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3FD" w:rsidRPr="00290041" w:rsidRDefault="00AF0E0F" w:rsidP="00EC73FD">
      <w:pPr>
        <w:jc w:val="center"/>
        <w:rPr>
          <w:b/>
          <w:sz w:val="26"/>
          <w:szCs w:val="26"/>
        </w:rPr>
      </w:pPr>
      <w:bookmarkStart w:id="0" w:name="OLE_LINK3"/>
      <w:bookmarkStart w:id="1" w:name="OLE_LINK4"/>
      <w:bookmarkStart w:id="2" w:name="OLE_LINK1"/>
      <w:bookmarkStart w:id="3" w:name="OLE_LINK2"/>
      <w:r>
        <w:rPr>
          <w:b/>
          <w:sz w:val="26"/>
          <w:szCs w:val="26"/>
        </w:rPr>
        <w:t>Ministru kabineta n</w:t>
      </w:r>
      <w:r w:rsidR="00EC73FD" w:rsidRPr="00290041">
        <w:rPr>
          <w:b/>
          <w:sz w:val="26"/>
          <w:szCs w:val="26"/>
        </w:rPr>
        <w:t xml:space="preserve">oteikumu projekta „Noteikumi par patērētāja kreditēšanu” </w:t>
      </w:r>
      <w:bookmarkEnd w:id="0"/>
      <w:bookmarkEnd w:id="1"/>
      <w:r w:rsidR="00EC73FD" w:rsidRPr="00290041">
        <w:rPr>
          <w:b/>
          <w:sz w:val="26"/>
          <w:szCs w:val="26"/>
        </w:rPr>
        <w:t xml:space="preserve">sākotnējās ietekmes novērtējuma </w:t>
      </w:r>
      <w:smartTag w:uri="schemas-tilde-lv/tildestengine" w:element="veidnes">
        <w:smartTagPr>
          <w:attr w:name="id" w:val="-1"/>
          <w:attr w:name="baseform" w:val="ziņojums"/>
          <w:attr w:name="text" w:val="ziņojums&#10;"/>
        </w:smartTagPr>
        <w:r w:rsidR="00EC73FD" w:rsidRPr="00290041">
          <w:rPr>
            <w:b/>
            <w:sz w:val="26"/>
            <w:szCs w:val="26"/>
          </w:rPr>
          <w:t>ziņojums</w:t>
        </w:r>
      </w:smartTag>
      <w:bookmarkEnd w:id="2"/>
      <w:bookmarkEnd w:id="3"/>
    </w:p>
    <w:p w:rsidR="00AF0E0F" w:rsidRPr="00290041" w:rsidRDefault="00EC73FD" w:rsidP="002F606E">
      <w:pPr>
        <w:pStyle w:val="naislab"/>
        <w:spacing w:before="0" w:after="0"/>
        <w:jc w:val="center"/>
        <w:outlineLvl w:val="0"/>
        <w:rPr>
          <w:b/>
          <w:sz w:val="26"/>
          <w:szCs w:val="26"/>
        </w:rPr>
      </w:pPr>
      <w:r w:rsidRPr="00290041">
        <w:rPr>
          <w:b/>
          <w:sz w:val="26"/>
          <w:szCs w:val="26"/>
        </w:rPr>
        <w:t>(anotācija)</w:t>
      </w: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1843"/>
        <w:gridCol w:w="7371"/>
      </w:tblGrid>
      <w:tr w:rsidR="00E74C48" w:rsidRPr="00290041" w:rsidTr="002B7F78">
        <w:tc>
          <w:tcPr>
            <w:tcW w:w="9555" w:type="dxa"/>
            <w:gridSpan w:val="3"/>
            <w:vAlign w:val="center"/>
          </w:tcPr>
          <w:p w:rsidR="00C74CAE" w:rsidRPr="00290041" w:rsidRDefault="00C74CAE">
            <w:pPr>
              <w:pStyle w:val="naisnod"/>
              <w:spacing w:before="0" w:after="0"/>
              <w:rPr>
                <w:sz w:val="26"/>
                <w:szCs w:val="26"/>
              </w:rPr>
            </w:pPr>
            <w:r w:rsidRPr="00290041">
              <w:rPr>
                <w:sz w:val="26"/>
                <w:szCs w:val="26"/>
              </w:rPr>
              <w:t>I. Tiesību akta projekta izstrādes nepieciešamība</w:t>
            </w:r>
          </w:p>
        </w:tc>
      </w:tr>
      <w:tr w:rsidR="00E74C48" w:rsidRPr="00290041" w:rsidTr="009A10D1">
        <w:trPr>
          <w:trHeight w:val="2565"/>
        </w:trPr>
        <w:tc>
          <w:tcPr>
            <w:tcW w:w="341" w:type="dxa"/>
          </w:tcPr>
          <w:p w:rsidR="00C74CAE" w:rsidRPr="00290041" w:rsidRDefault="00C74CAE">
            <w:pPr>
              <w:pStyle w:val="naiskr"/>
              <w:spacing w:before="0" w:after="0"/>
              <w:rPr>
                <w:sz w:val="26"/>
                <w:szCs w:val="26"/>
              </w:rPr>
            </w:pPr>
            <w:r w:rsidRPr="00290041">
              <w:rPr>
                <w:sz w:val="26"/>
                <w:szCs w:val="26"/>
              </w:rPr>
              <w:t>1.</w:t>
            </w:r>
          </w:p>
        </w:tc>
        <w:tc>
          <w:tcPr>
            <w:tcW w:w="1843" w:type="dxa"/>
          </w:tcPr>
          <w:p w:rsidR="00DE2440" w:rsidRPr="00290041" w:rsidRDefault="00C74CAE">
            <w:pPr>
              <w:pStyle w:val="naiskr"/>
              <w:spacing w:before="0" w:after="0"/>
              <w:ind w:hanging="10"/>
              <w:rPr>
                <w:sz w:val="26"/>
                <w:szCs w:val="26"/>
              </w:rPr>
            </w:pPr>
            <w:r w:rsidRPr="00290041">
              <w:rPr>
                <w:sz w:val="26"/>
                <w:szCs w:val="26"/>
              </w:rPr>
              <w:t>Pamatojums</w:t>
            </w:r>
          </w:p>
          <w:p w:rsidR="00DE2440" w:rsidRPr="00290041" w:rsidRDefault="00DE2440" w:rsidP="00DE2440">
            <w:pPr>
              <w:rPr>
                <w:sz w:val="26"/>
                <w:szCs w:val="26"/>
              </w:rPr>
            </w:pPr>
          </w:p>
          <w:p w:rsidR="00DE2440" w:rsidRPr="00290041" w:rsidRDefault="00DE2440" w:rsidP="00DE2440">
            <w:pPr>
              <w:rPr>
                <w:sz w:val="26"/>
                <w:szCs w:val="26"/>
              </w:rPr>
            </w:pPr>
          </w:p>
          <w:p w:rsidR="00DE2440" w:rsidRPr="00290041" w:rsidRDefault="00DE2440" w:rsidP="00DE2440">
            <w:pPr>
              <w:rPr>
                <w:sz w:val="26"/>
                <w:szCs w:val="26"/>
              </w:rPr>
            </w:pPr>
          </w:p>
          <w:p w:rsidR="00C74CAE" w:rsidRPr="00290041" w:rsidRDefault="00C74CAE" w:rsidP="00DE2440">
            <w:pPr>
              <w:ind w:firstLine="720"/>
              <w:rPr>
                <w:sz w:val="26"/>
                <w:szCs w:val="26"/>
              </w:rPr>
            </w:pPr>
          </w:p>
        </w:tc>
        <w:tc>
          <w:tcPr>
            <w:tcW w:w="7371" w:type="dxa"/>
          </w:tcPr>
          <w:p w:rsidR="00EC73FD" w:rsidRPr="00290041" w:rsidRDefault="00AF0E0F" w:rsidP="00EC73FD">
            <w:pPr>
              <w:pStyle w:val="naiskr"/>
              <w:spacing w:before="0" w:after="0"/>
              <w:ind w:left="70" w:firstLine="425"/>
              <w:jc w:val="both"/>
              <w:rPr>
                <w:sz w:val="26"/>
                <w:szCs w:val="26"/>
              </w:rPr>
            </w:pPr>
            <w:r>
              <w:rPr>
                <w:sz w:val="26"/>
                <w:szCs w:val="26"/>
              </w:rPr>
              <w:t>Ministru kabineta n</w:t>
            </w:r>
            <w:r w:rsidR="00EC73FD" w:rsidRPr="00290041">
              <w:rPr>
                <w:sz w:val="26"/>
                <w:szCs w:val="26"/>
              </w:rPr>
              <w:t>oteikumu projekts</w:t>
            </w:r>
            <w:r>
              <w:rPr>
                <w:sz w:val="26"/>
                <w:szCs w:val="26"/>
              </w:rPr>
              <w:t xml:space="preserve"> „Noteikumi par patērētāja kreditēšanu” (turpmāk – noteikumu projekts)</w:t>
            </w:r>
            <w:r w:rsidR="00EC73FD" w:rsidRPr="00290041">
              <w:rPr>
                <w:sz w:val="26"/>
                <w:szCs w:val="26"/>
              </w:rPr>
              <w:t xml:space="preserve"> izstrādāts, lai:</w:t>
            </w:r>
          </w:p>
          <w:p w:rsidR="00EC73FD" w:rsidRPr="00290041" w:rsidRDefault="00EC73FD" w:rsidP="00C12404">
            <w:pPr>
              <w:pStyle w:val="ListParagraph"/>
              <w:numPr>
                <w:ilvl w:val="0"/>
                <w:numId w:val="29"/>
              </w:numPr>
              <w:ind w:left="70" w:firstLine="425"/>
              <w:jc w:val="both"/>
              <w:rPr>
                <w:sz w:val="26"/>
                <w:szCs w:val="26"/>
              </w:rPr>
            </w:pPr>
            <w:r w:rsidRPr="00290041">
              <w:rPr>
                <w:sz w:val="26"/>
                <w:szCs w:val="26"/>
              </w:rPr>
              <w:t xml:space="preserve">ieviestu Latvijas tiesību aktos </w:t>
            </w:r>
            <w:r w:rsidRPr="00290041">
              <w:rPr>
                <w:rFonts w:eastAsia="Calibri"/>
                <w:sz w:val="26"/>
                <w:szCs w:val="26"/>
              </w:rPr>
              <w:t xml:space="preserve"> </w:t>
            </w:r>
            <w:r w:rsidRPr="00290041">
              <w:rPr>
                <w:sz w:val="26"/>
                <w:szCs w:val="26"/>
              </w:rPr>
              <w:t xml:space="preserve">Eiropas Parlamenta un Padomes 2014.gada 4.februāra direktīvas 2014/17/ES  </w:t>
            </w:r>
            <w:r w:rsidRPr="00290041">
              <w:rPr>
                <w:i/>
                <w:sz w:val="26"/>
                <w:szCs w:val="26"/>
              </w:rPr>
              <w:t>par patērētāju kredītlīgumiem saistībā ar mājokļa nekustamo īpašumu un ar ko groza Direktīvas 2008/48/EK un 2013/36/ES un Regulu (ES) Nr. 1093/2010</w:t>
            </w:r>
            <w:r w:rsidRPr="00290041">
              <w:rPr>
                <w:sz w:val="26"/>
                <w:szCs w:val="26"/>
              </w:rPr>
              <w:t xml:space="preserve"> (turpmāk – Direktīva 2014/17/ES) prasības;</w:t>
            </w:r>
          </w:p>
          <w:p w:rsidR="00424137" w:rsidRPr="002F606E" w:rsidRDefault="00EC73FD" w:rsidP="002F606E">
            <w:pPr>
              <w:pStyle w:val="ListParagraph"/>
              <w:numPr>
                <w:ilvl w:val="0"/>
                <w:numId w:val="29"/>
              </w:numPr>
              <w:ind w:left="70" w:firstLine="425"/>
              <w:jc w:val="both"/>
              <w:rPr>
                <w:sz w:val="26"/>
                <w:szCs w:val="26"/>
              </w:rPr>
            </w:pPr>
            <w:r w:rsidRPr="00290041">
              <w:rPr>
                <w:sz w:val="26"/>
                <w:szCs w:val="26"/>
              </w:rPr>
              <w:t>izpildītu Patērētāju tiesību aizsardzības likuma 8.panta ceturtajā Mi</w:t>
            </w:r>
            <w:r w:rsidR="0070789A" w:rsidRPr="00290041">
              <w:rPr>
                <w:sz w:val="26"/>
                <w:szCs w:val="26"/>
              </w:rPr>
              <w:t>nistru kabinetam doto deleģējumu</w:t>
            </w:r>
            <w:r w:rsidRPr="00290041">
              <w:rPr>
                <w:sz w:val="26"/>
                <w:szCs w:val="26"/>
              </w:rPr>
              <w:t xml:space="preserve"> izdot noteikumus par patērētāju kreditēšanu.</w:t>
            </w:r>
          </w:p>
        </w:tc>
      </w:tr>
      <w:tr w:rsidR="00E74C48" w:rsidRPr="00290041" w:rsidTr="002B7F78">
        <w:trPr>
          <w:trHeight w:val="472"/>
        </w:trPr>
        <w:tc>
          <w:tcPr>
            <w:tcW w:w="341" w:type="dxa"/>
          </w:tcPr>
          <w:p w:rsidR="00C74CAE" w:rsidRPr="00290041" w:rsidRDefault="00C74CAE">
            <w:pPr>
              <w:pStyle w:val="naiskr"/>
              <w:spacing w:before="0" w:after="0"/>
              <w:rPr>
                <w:sz w:val="26"/>
                <w:szCs w:val="26"/>
              </w:rPr>
            </w:pPr>
            <w:r w:rsidRPr="00290041">
              <w:rPr>
                <w:sz w:val="26"/>
                <w:szCs w:val="26"/>
              </w:rPr>
              <w:t>2.</w:t>
            </w:r>
          </w:p>
        </w:tc>
        <w:tc>
          <w:tcPr>
            <w:tcW w:w="1843" w:type="dxa"/>
          </w:tcPr>
          <w:p w:rsidR="00C74CAE" w:rsidRPr="00290041" w:rsidRDefault="007A735B">
            <w:pPr>
              <w:pStyle w:val="naiskr"/>
              <w:tabs>
                <w:tab w:val="left" w:pos="170"/>
              </w:tabs>
              <w:spacing w:before="0" w:after="0"/>
              <w:rPr>
                <w:sz w:val="26"/>
                <w:szCs w:val="26"/>
              </w:rPr>
            </w:pPr>
            <w:r w:rsidRPr="00290041">
              <w:rPr>
                <w:sz w:val="26"/>
                <w:szCs w:val="26"/>
              </w:rPr>
              <w:t>Pašreizējā situācija un problēmas, kuru risināšanai tiesību akta projekts izstrādāts, tiesiskā regulējuma mērķis un būtība</w:t>
            </w:r>
          </w:p>
        </w:tc>
        <w:tc>
          <w:tcPr>
            <w:tcW w:w="7371" w:type="dxa"/>
          </w:tcPr>
          <w:p w:rsidR="00D728E9" w:rsidRPr="00290041" w:rsidRDefault="00540215" w:rsidP="00D728E9">
            <w:pPr>
              <w:ind w:left="70" w:right="115" w:firstLine="425"/>
              <w:jc w:val="both"/>
              <w:rPr>
                <w:bCs/>
                <w:sz w:val="26"/>
                <w:szCs w:val="26"/>
              </w:rPr>
            </w:pPr>
            <w:r w:rsidRPr="00290041">
              <w:rPr>
                <w:bCs/>
                <w:sz w:val="26"/>
                <w:szCs w:val="26"/>
              </w:rPr>
              <w:t>Detalizētas p</w:t>
            </w:r>
            <w:r w:rsidR="00D728E9" w:rsidRPr="00290041">
              <w:rPr>
                <w:bCs/>
                <w:sz w:val="26"/>
                <w:szCs w:val="26"/>
              </w:rPr>
              <w:t>rasības patērētāju kreditēšanas pakalpojumu sniegšanai</w:t>
            </w:r>
            <w:r w:rsidRPr="00290041">
              <w:rPr>
                <w:bCs/>
                <w:sz w:val="26"/>
                <w:szCs w:val="26"/>
              </w:rPr>
              <w:t xml:space="preserve"> nosaka Patērētāju tiesību aizsardzības likums un </w:t>
            </w:r>
            <w:r w:rsidRPr="00290041">
              <w:rPr>
                <w:sz w:val="26"/>
                <w:szCs w:val="26"/>
              </w:rPr>
              <w:t xml:space="preserve">Ministru kabineta 2010.gada 28.decembra noteikumi Nr.1219 “Noteikumi par patērētāju kreditēšanu”. </w:t>
            </w:r>
            <w:r w:rsidR="00AF0E0F">
              <w:rPr>
                <w:sz w:val="26"/>
                <w:szCs w:val="26"/>
              </w:rPr>
              <w:t>Minētajos n</w:t>
            </w:r>
            <w:r w:rsidR="007F3DDF" w:rsidRPr="00290041">
              <w:rPr>
                <w:sz w:val="26"/>
                <w:szCs w:val="26"/>
              </w:rPr>
              <w:t>oteikumos ietvertās prasības izriet gan no</w:t>
            </w:r>
            <w:r w:rsidR="00925A8A" w:rsidRPr="00ED4BD8">
              <w:rPr>
                <w:sz w:val="26"/>
                <w:szCs w:val="26"/>
              </w:rPr>
              <w:t xml:space="preserve"> Eiropas Parlamenta un Padomes 2008.gada 23.aprīļa direktīvas 2008/48/EK</w:t>
            </w:r>
            <w:r w:rsidR="00925A8A" w:rsidRPr="00ED4BD8">
              <w:rPr>
                <w:b/>
                <w:bCs/>
                <w:sz w:val="26"/>
                <w:szCs w:val="26"/>
              </w:rPr>
              <w:t xml:space="preserve"> </w:t>
            </w:r>
            <w:r w:rsidR="00925A8A" w:rsidRPr="00ED4BD8">
              <w:rPr>
                <w:bCs/>
                <w:i/>
                <w:sz w:val="26"/>
                <w:szCs w:val="26"/>
              </w:rPr>
              <w:t>par patēriņa kredītlīgumiem un ar ko atceļ Direktīvu 87/102/</w:t>
            </w:r>
            <w:smartTag w:uri="schemas-tilde-lv/tildestengine" w:element="currency2">
              <w:smartTagPr>
                <w:attr w:name="currency_id" w:val="14"/>
                <w:attr w:name="currency_key" w:val="EEK"/>
                <w:attr w:name="currency_value" w:val="1"/>
                <w:attr w:name="currency_text" w:val="EEK"/>
              </w:smartTagPr>
              <w:smartTag w:uri="schemas-tilde-lv/tildestengine" w:element="currency">
                <w:smartTagPr>
                  <w:attr w:name="currency_text" w:val="EEK"/>
                  <w:attr w:name="currency_value" w:val="1"/>
                  <w:attr w:name="currency_key" w:val="EEK"/>
                  <w:attr w:name="currency_id" w:val="14"/>
                </w:smartTagPr>
                <w:r w:rsidR="00925A8A" w:rsidRPr="00ED4BD8">
                  <w:rPr>
                    <w:bCs/>
                    <w:i/>
                    <w:sz w:val="26"/>
                    <w:szCs w:val="26"/>
                  </w:rPr>
                  <w:t>EEK</w:t>
                </w:r>
              </w:smartTag>
            </w:smartTag>
            <w:r w:rsidR="00AF0E0F">
              <w:rPr>
                <w:sz w:val="26"/>
                <w:szCs w:val="26"/>
              </w:rPr>
              <w:t xml:space="preserve"> (turpmāk – D</w:t>
            </w:r>
            <w:r w:rsidR="00925A8A" w:rsidRPr="00ED4BD8">
              <w:rPr>
                <w:sz w:val="26"/>
                <w:szCs w:val="26"/>
              </w:rPr>
              <w:t xml:space="preserve">irektīva 2008/48/EK) </w:t>
            </w:r>
            <w:r w:rsidR="007F3DDF" w:rsidRPr="00290041">
              <w:rPr>
                <w:sz w:val="26"/>
                <w:szCs w:val="26"/>
              </w:rPr>
              <w:t xml:space="preserve"> prasībām, kā arī ir noteiktas nacionālās prasības kreditēšanas pakalpojumu sniegšanā.</w:t>
            </w:r>
          </w:p>
          <w:p w:rsidR="007F3DDF" w:rsidRPr="00290041" w:rsidRDefault="00D728E9" w:rsidP="00540215">
            <w:pPr>
              <w:ind w:right="115" w:firstLine="425"/>
              <w:jc w:val="both"/>
              <w:rPr>
                <w:sz w:val="26"/>
                <w:szCs w:val="26"/>
              </w:rPr>
            </w:pPr>
            <w:r w:rsidRPr="00290041">
              <w:rPr>
                <w:bCs/>
                <w:sz w:val="26"/>
                <w:szCs w:val="26"/>
              </w:rPr>
              <w:t xml:space="preserve">2014.gada 4.februārī tika pieņemta Direktīva 2014/17/ES, lai nodrošinātu pārredzamāku un efektīvāku mājokļu kredītu tirgu </w:t>
            </w:r>
            <w:r w:rsidR="00540215" w:rsidRPr="00290041">
              <w:rPr>
                <w:bCs/>
                <w:sz w:val="26"/>
                <w:szCs w:val="26"/>
              </w:rPr>
              <w:t xml:space="preserve">visās </w:t>
            </w:r>
            <w:r w:rsidRPr="00290041">
              <w:rPr>
                <w:bCs/>
                <w:sz w:val="26"/>
                <w:szCs w:val="26"/>
              </w:rPr>
              <w:t>E</w:t>
            </w:r>
            <w:r w:rsidR="00AF0E0F">
              <w:rPr>
                <w:bCs/>
                <w:sz w:val="26"/>
                <w:szCs w:val="26"/>
              </w:rPr>
              <w:t>iropas Savienības</w:t>
            </w:r>
            <w:r w:rsidRPr="00290041">
              <w:rPr>
                <w:bCs/>
                <w:sz w:val="26"/>
                <w:szCs w:val="26"/>
              </w:rPr>
              <w:t xml:space="preserve"> dalībvalstīs</w:t>
            </w:r>
            <w:r w:rsidR="00540215" w:rsidRPr="00290041">
              <w:rPr>
                <w:bCs/>
                <w:sz w:val="26"/>
                <w:szCs w:val="26"/>
              </w:rPr>
              <w:t xml:space="preserve"> un veicinātu pakalpojumu pieejamību</w:t>
            </w:r>
            <w:r w:rsidR="00AF0E0F">
              <w:rPr>
                <w:bCs/>
                <w:sz w:val="26"/>
                <w:szCs w:val="26"/>
              </w:rPr>
              <w:t>,</w:t>
            </w:r>
            <w:r w:rsidR="00540215" w:rsidRPr="00290041">
              <w:rPr>
                <w:bCs/>
                <w:sz w:val="26"/>
                <w:szCs w:val="26"/>
              </w:rPr>
              <w:t xml:space="preserve"> vienlaikus nodrošinot augstu patērētāju aizsardzības līmeni</w:t>
            </w:r>
            <w:r w:rsidRPr="00290041">
              <w:rPr>
                <w:bCs/>
                <w:sz w:val="26"/>
                <w:szCs w:val="26"/>
              </w:rPr>
              <w:t xml:space="preserve">. </w:t>
            </w:r>
            <w:r w:rsidR="00540215" w:rsidRPr="00290041">
              <w:rPr>
                <w:bCs/>
                <w:sz w:val="26"/>
                <w:szCs w:val="26"/>
              </w:rPr>
              <w:t xml:space="preserve">Saskaņā ar Direktīvas 2014/17/ES 3.pantu tajā noteiktās prasības ir attiecināmas uz </w:t>
            </w:r>
            <w:r w:rsidR="00540215" w:rsidRPr="00290041">
              <w:rPr>
                <w:sz w:val="26"/>
                <w:szCs w:val="26"/>
              </w:rPr>
              <w:t xml:space="preserve">kredītlīgumiem, kas ir nodrošināti ar hipotēku vai citu salīdzināmu nodrošinājumu, ko parasti izmanto dalībvalstī attiecībā uz mājokļa nekustamo īpašumu, vai kas ir nodrošināti ar tiesībām, kuras saistītas ar mājokļa nekustamo īpašumu un kredītlīgumiem, kuru mērķis ir iegūt vai saglabāt īpašumtiesības uz zemi vai esošu vai plānotu ēku. </w:t>
            </w:r>
            <w:r w:rsidR="00540215" w:rsidRPr="00E337FF">
              <w:rPr>
                <w:sz w:val="26"/>
                <w:szCs w:val="26"/>
                <w:u w:val="single"/>
              </w:rPr>
              <w:t xml:space="preserve">Šī direktīva neliedz dalībvalstīm saglabāt vai ieviest stingrākus noteikumus, lai aizsargātu patērētāju </w:t>
            </w:r>
            <w:r w:rsidR="007F3DDF" w:rsidRPr="00E337FF">
              <w:rPr>
                <w:sz w:val="26"/>
                <w:szCs w:val="26"/>
                <w:u w:val="single"/>
              </w:rPr>
              <w:t>tiesības.</w:t>
            </w:r>
            <w:r w:rsidR="007F3DDF" w:rsidRPr="00290041">
              <w:rPr>
                <w:sz w:val="26"/>
                <w:szCs w:val="26"/>
              </w:rPr>
              <w:t xml:space="preserve"> </w:t>
            </w:r>
          </w:p>
          <w:p w:rsidR="00540215" w:rsidRPr="00290041" w:rsidRDefault="007F3DDF" w:rsidP="00540215">
            <w:pPr>
              <w:ind w:right="115" w:firstLine="425"/>
              <w:jc w:val="both"/>
              <w:rPr>
                <w:bCs/>
                <w:sz w:val="26"/>
                <w:szCs w:val="26"/>
              </w:rPr>
            </w:pPr>
            <w:r w:rsidRPr="00290041">
              <w:rPr>
                <w:sz w:val="26"/>
                <w:szCs w:val="26"/>
              </w:rPr>
              <w:t>Līdz šim, n</w:t>
            </w:r>
            <w:r w:rsidR="00540215" w:rsidRPr="00290041">
              <w:rPr>
                <w:sz w:val="26"/>
                <w:szCs w:val="26"/>
              </w:rPr>
              <w:t>epastāvot Eiropas Savienības regulējumam hipotekārās kreditēšanas jomā, Latvija izvēlējās daļu Direktīvas 2008/48/EK prasību attiecināt arī uz kreditēšanas līgumiem, kuru atmaksa nodrošināta ar nekustamā īpašuma hipotēku. Līdz ar to šobrīd jau nacionālajā regulējumā (Patērētāju tiesību aizsardzības likumā un Ministru kabineta 2010.gada 28.decembra noteikumos Nr.1219 “Noteikumi par patērētāju kreditēšanu”) ir ietvertas prasības hipotekārajai kreditēšanai</w:t>
            </w:r>
            <w:r w:rsidR="000940BC" w:rsidRPr="00290041">
              <w:rPr>
                <w:sz w:val="26"/>
                <w:szCs w:val="26"/>
              </w:rPr>
              <w:t>, tai skaitā prasības reklāmai, pirms līguma sniedzamajai informācijai, līgumā norādāmajai informācijai, pirmstermiņa atmaksai un līguma darbības laikā sniedzamajai informācijai</w:t>
            </w:r>
            <w:r w:rsidR="00540215" w:rsidRPr="00290041">
              <w:rPr>
                <w:sz w:val="26"/>
                <w:szCs w:val="26"/>
              </w:rPr>
              <w:t>.</w:t>
            </w:r>
          </w:p>
          <w:p w:rsidR="00CA6FD9" w:rsidRPr="00290041" w:rsidRDefault="007F3DDF" w:rsidP="00CA6FD9">
            <w:pPr>
              <w:tabs>
                <w:tab w:val="left" w:pos="709"/>
              </w:tabs>
              <w:spacing w:before="100" w:beforeAutospacing="1"/>
              <w:ind w:firstLine="709"/>
              <w:jc w:val="both"/>
              <w:rPr>
                <w:color w:val="000000"/>
                <w:sz w:val="26"/>
                <w:szCs w:val="26"/>
              </w:rPr>
            </w:pPr>
            <w:r w:rsidRPr="00290041">
              <w:rPr>
                <w:bCs/>
                <w:sz w:val="26"/>
                <w:szCs w:val="26"/>
              </w:rPr>
              <w:lastRenderedPageBreak/>
              <w:t xml:space="preserve">2016.gada 9.jūnijā </w:t>
            </w:r>
            <w:r w:rsidR="00CA6FD9" w:rsidRPr="00290041">
              <w:rPr>
                <w:bCs/>
                <w:sz w:val="26"/>
                <w:szCs w:val="26"/>
              </w:rPr>
              <w:t>S</w:t>
            </w:r>
            <w:r w:rsidRPr="00290041">
              <w:rPr>
                <w:bCs/>
                <w:sz w:val="26"/>
                <w:szCs w:val="26"/>
              </w:rPr>
              <w:t>aeima 3.lasījumā apstiprināja grozījumus Patērētāju tiesību aizsardzības likumā (Nr.539/LP12)</w:t>
            </w:r>
            <w:r w:rsidR="00A967C9" w:rsidRPr="00290041">
              <w:rPr>
                <w:bCs/>
                <w:sz w:val="26"/>
                <w:szCs w:val="26"/>
              </w:rPr>
              <w:t>, kas precizē minētā likum</w:t>
            </w:r>
            <w:r w:rsidR="00AF0E0F">
              <w:rPr>
                <w:bCs/>
                <w:sz w:val="26"/>
                <w:szCs w:val="26"/>
              </w:rPr>
              <w:t>a</w:t>
            </w:r>
            <w:r w:rsidR="00A967C9" w:rsidRPr="00290041">
              <w:rPr>
                <w:bCs/>
                <w:sz w:val="26"/>
                <w:szCs w:val="26"/>
              </w:rPr>
              <w:t xml:space="preserve"> 8.panta ceturtajā daļā doto deleģējumu Ministru kabinetam noteikt</w:t>
            </w:r>
            <w:r w:rsidR="00CA6FD9" w:rsidRPr="00290041">
              <w:rPr>
                <w:color w:val="000000"/>
                <w:sz w:val="26"/>
                <w:szCs w:val="26"/>
              </w:rPr>
              <w:t>:</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1) pirms patērētāja kreditēšanas līguma noslēgšanas sniedzamās informācijas saturu un sniegšanas kārtību;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2) papildu pakalpojumu sniegšanas nosacījumus;</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3) patērētāja kreditēšanas līgumam izvirzāmās prasības un tajā ietveramo informāciju;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4) gada procentu likmes aprēķināšanas metodi;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5) ārvalstu valūtas un mainīgās procentu likmes kredītu nosacījumus;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6) patērētāja informēšanu kreditēšanas līguma darbības laikā;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7) kredīta pirmstermiņa atmaksu un kopējo kredīta izmaksu taisnīgu samazināšanu;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 xml:space="preserve">8) atsevišķiem kreditēšanas līgumu veidiem piemērojamās prasības; </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9) padoma došanai izvirzāmās prasības;</w:t>
            </w:r>
          </w:p>
          <w:p w:rsidR="00CA6FD9" w:rsidRPr="00290041" w:rsidRDefault="00CA6FD9" w:rsidP="00CA6FD9">
            <w:pPr>
              <w:tabs>
                <w:tab w:val="left" w:pos="709"/>
              </w:tabs>
              <w:ind w:firstLine="709"/>
              <w:jc w:val="both"/>
              <w:rPr>
                <w:color w:val="000000"/>
                <w:sz w:val="26"/>
                <w:szCs w:val="26"/>
              </w:rPr>
            </w:pPr>
            <w:r w:rsidRPr="00290041">
              <w:rPr>
                <w:color w:val="000000"/>
                <w:sz w:val="26"/>
                <w:szCs w:val="26"/>
              </w:rPr>
              <w:t>10) kredīta starpnieku un kredīta starpnieku pārstāvju pienākumus;</w:t>
            </w:r>
          </w:p>
          <w:p w:rsidR="00722BE2" w:rsidRPr="00290041" w:rsidRDefault="00CA6FD9" w:rsidP="00CA6FD9">
            <w:pPr>
              <w:tabs>
                <w:tab w:val="left" w:pos="709"/>
              </w:tabs>
              <w:ind w:firstLine="709"/>
              <w:jc w:val="both"/>
              <w:rPr>
                <w:color w:val="000000"/>
                <w:sz w:val="26"/>
                <w:szCs w:val="26"/>
              </w:rPr>
            </w:pPr>
            <w:r w:rsidRPr="00290041">
              <w:rPr>
                <w:color w:val="000000"/>
                <w:sz w:val="26"/>
                <w:szCs w:val="26"/>
              </w:rPr>
              <w:t xml:space="preserve">11) tiesisko regulējumu patērētāja kreditēšanai pret kustamas lietas ķīlu. </w:t>
            </w:r>
          </w:p>
          <w:p w:rsidR="00933F8F" w:rsidRPr="00290041" w:rsidRDefault="00933F8F" w:rsidP="00722BE2">
            <w:pPr>
              <w:tabs>
                <w:tab w:val="left" w:pos="709"/>
              </w:tabs>
              <w:jc w:val="both"/>
              <w:rPr>
                <w:color w:val="000000"/>
                <w:sz w:val="26"/>
                <w:szCs w:val="26"/>
              </w:rPr>
            </w:pPr>
          </w:p>
          <w:p w:rsidR="00CA6FD9" w:rsidRPr="00290041" w:rsidRDefault="00933F8F" w:rsidP="00722BE2">
            <w:pPr>
              <w:tabs>
                <w:tab w:val="left" w:pos="709"/>
              </w:tabs>
              <w:jc w:val="both"/>
              <w:rPr>
                <w:sz w:val="26"/>
                <w:szCs w:val="26"/>
              </w:rPr>
            </w:pPr>
            <w:r w:rsidRPr="00290041">
              <w:rPr>
                <w:color w:val="000000"/>
                <w:sz w:val="26"/>
                <w:szCs w:val="26"/>
              </w:rPr>
              <w:t xml:space="preserve">Sagatavotais noteikumu projekts paredz </w:t>
            </w:r>
            <w:r w:rsidR="00AF0E0F">
              <w:rPr>
                <w:color w:val="000000"/>
                <w:sz w:val="26"/>
                <w:szCs w:val="26"/>
              </w:rPr>
              <w:t>aizstāt</w:t>
            </w:r>
            <w:r w:rsidR="0079476D" w:rsidRPr="00290041">
              <w:rPr>
                <w:color w:val="000000"/>
                <w:sz w:val="26"/>
                <w:szCs w:val="26"/>
              </w:rPr>
              <w:t xml:space="preserve"> šobrīd sp</w:t>
            </w:r>
            <w:r w:rsidR="00DA7753" w:rsidRPr="00290041">
              <w:rPr>
                <w:color w:val="000000"/>
                <w:sz w:val="26"/>
                <w:szCs w:val="26"/>
              </w:rPr>
              <w:t>ēkā</w:t>
            </w:r>
            <w:r w:rsidR="0079476D" w:rsidRPr="00290041">
              <w:rPr>
                <w:color w:val="000000"/>
                <w:sz w:val="26"/>
                <w:szCs w:val="26"/>
              </w:rPr>
              <w:t xml:space="preserve"> esošos </w:t>
            </w:r>
            <w:r w:rsidR="00AF0E0F">
              <w:rPr>
                <w:color w:val="000000"/>
                <w:sz w:val="26"/>
                <w:szCs w:val="26"/>
              </w:rPr>
              <w:t xml:space="preserve">Ministru kabineta </w:t>
            </w:r>
            <w:r w:rsidR="0079476D" w:rsidRPr="00290041">
              <w:rPr>
                <w:color w:val="000000"/>
                <w:sz w:val="26"/>
                <w:szCs w:val="26"/>
              </w:rPr>
              <w:t>2</w:t>
            </w:r>
            <w:r w:rsidR="0079476D" w:rsidRPr="00290041">
              <w:rPr>
                <w:sz w:val="26"/>
                <w:szCs w:val="26"/>
              </w:rPr>
              <w:t>010.gada 28.decembra noteikumus Nr.1219 “Noteikumi par patērētāju kreditēšanu”</w:t>
            </w:r>
            <w:r w:rsidR="00DA7753" w:rsidRPr="00290041">
              <w:rPr>
                <w:sz w:val="26"/>
                <w:szCs w:val="26"/>
              </w:rPr>
              <w:t>, precizējot to normas un definīcijas atbilstoši Direktīvas 2014/17/ES prasībām</w:t>
            </w:r>
            <w:r w:rsidR="0079476D" w:rsidRPr="00290041">
              <w:rPr>
                <w:sz w:val="26"/>
                <w:szCs w:val="26"/>
              </w:rPr>
              <w:t>.</w:t>
            </w:r>
          </w:p>
          <w:p w:rsidR="00DA7753" w:rsidRPr="00290041" w:rsidRDefault="00DA7753" w:rsidP="00722BE2">
            <w:pPr>
              <w:tabs>
                <w:tab w:val="left" w:pos="709"/>
              </w:tabs>
              <w:jc w:val="both"/>
              <w:rPr>
                <w:sz w:val="26"/>
                <w:szCs w:val="26"/>
              </w:rPr>
            </w:pPr>
          </w:p>
          <w:p w:rsidR="00DA7753" w:rsidRPr="00290041" w:rsidRDefault="00DA7753" w:rsidP="00722BE2">
            <w:pPr>
              <w:tabs>
                <w:tab w:val="left" w:pos="709"/>
              </w:tabs>
              <w:jc w:val="both"/>
              <w:rPr>
                <w:sz w:val="26"/>
                <w:szCs w:val="26"/>
              </w:rPr>
            </w:pPr>
            <w:r w:rsidRPr="00290041">
              <w:rPr>
                <w:sz w:val="26"/>
                <w:szCs w:val="26"/>
              </w:rPr>
              <w:t xml:space="preserve">Salīdzinājumā ar spēkā esošajiem </w:t>
            </w:r>
            <w:r w:rsidR="00AF0E0F">
              <w:rPr>
                <w:sz w:val="26"/>
                <w:szCs w:val="26"/>
              </w:rPr>
              <w:t xml:space="preserve">Ministru kabineta </w:t>
            </w:r>
            <w:r w:rsidRPr="00290041">
              <w:rPr>
                <w:color w:val="000000"/>
                <w:sz w:val="26"/>
                <w:szCs w:val="26"/>
              </w:rPr>
              <w:t>2</w:t>
            </w:r>
            <w:r w:rsidRPr="00290041">
              <w:rPr>
                <w:sz w:val="26"/>
                <w:szCs w:val="26"/>
              </w:rPr>
              <w:t>010.gada 28.decembra noteikumiem Nr.1219 “Noteikumi par patērētāju</w:t>
            </w:r>
            <w:r w:rsidR="00AF0E0F">
              <w:rPr>
                <w:sz w:val="26"/>
                <w:szCs w:val="26"/>
              </w:rPr>
              <w:t xml:space="preserve"> kreditēšanu” noteikumu projektā</w:t>
            </w:r>
            <w:r w:rsidRPr="00290041">
              <w:rPr>
                <w:sz w:val="26"/>
                <w:szCs w:val="26"/>
              </w:rPr>
              <w:t>:</w:t>
            </w:r>
          </w:p>
          <w:p w:rsidR="00DA7753" w:rsidRPr="00290041" w:rsidRDefault="00DA7753" w:rsidP="00722BE2">
            <w:pPr>
              <w:tabs>
                <w:tab w:val="left" w:pos="709"/>
              </w:tabs>
              <w:jc w:val="both"/>
              <w:rPr>
                <w:sz w:val="26"/>
                <w:szCs w:val="26"/>
              </w:rPr>
            </w:pPr>
          </w:p>
          <w:p w:rsidR="00DA7753" w:rsidRPr="00290041" w:rsidRDefault="00AF0E0F" w:rsidP="00DA7753">
            <w:pPr>
              <w:pStyle w:val="ListParagraph"/>
              <w:numPr>
                <w:ilvl w:val="0"/>
                <w:numId w:val="30"/>
              </w:numPr>
              <w:tabs>
                <w:tab w:val="left" w:pos="709"/>
              </w:tabs>
              <w:jc w:val="both"/>
              <w:rPr>
                <w:sz w:val="26"/>
                <w:szCs w:val="26"/>
              </w:rPr>
            </w:pPr>
            <w:r>
              <w:rPr>
                <w:sz w:val="26"/>
                <w:szCs w:val="26"/>
              </w:rPr>
              <w:t xml:space="preserve">paredz </w:t>
            </w:r>
            <w:r w:rsidR="00DA7753" w:rsidRPr="00290041">
              <w:rPr>
                <w:sz w:val="26"/>
                <w:szCs w:val="26"/>
              </w:rPr>
              <w:t>noteikt gada procentu likmes aprēķināšanas kārtību arī kreditēšanas līgumiem nekustamā īpašuma iegādei vai kreditēšanas līgumiem, kuru atmaksa ir nodrošināta ar nekustamā īpašuma hipotēku (turpmāk - hipotekārās kreditēšanas līgums). Noteikumu projekta 1.pielikumā ir noteikti arī papildus pieņēmumi, kuri ir izmantojami hipotekārās kreditēšanas līgumu gada procentu likm</w:t>
            </w:r>
            <w:r w:rsidR="00C12404" w:rsidRPr="00290041">
              <w:rPr>
                <w:sz w:val="26"/>
                <w:szCs w:val="26"/>
              </w:rPr>
              <w:t>es</w:t>
            </w:r>
            <w:r>
              <w:rPr>
                <w:sz w:val="26"/>
                <w:szCs w:val="26"/>
              </w:rPr>
              <w:t xml:space="preserve"> aprēķināšanai;</w:t>
            </w:r>
          </w:p>
          <w:p w:rsidR="00DA7753" w:rsidRDefault="00AF0E0F" w:rsidP="00DA7753">
            <w:pPr>
              <w:pStyle w:val="ListParagraph"/>
              <w:numPr>
                <w:ilvl w:val="0"/>
                <w:numId w:val="30"/>
              </w:numPr>
              <w:tabs>
                <w:tab w:val="left" w:pos="709"/>
              </w:tabs>
              <w:jc w:val="both"/>
              <w:rPr>
                <w:sz w:val="26"/>
                <w:szCs w:val="26"/>
              </w:rPr>
            </w:pPr>
            <w:r>
              <w:rPr>
                <w:sz w:val="26"/>
                <w:szCs w:val="26"/>
              </w:rPr>
              <w:t>p</w:t>
            </w:r>
            <w:r w:rsidR="005624C1" w:rsidRPr="00290041">
              <w:rPr>
                <w:sz w:val="26"/>
                <w:szCs w:val="26"/>
              </w:rPr>
              <w:t xml:space="preserve">recizēta informācija, kas sniedzama patērētājam </w:t>
            </w:r>
            <w:r w:rsidR="000940BC" w:rsidRPr="00290041">
              <w:rPr>
                <w:sz w:val="26"/>
                <w:szCs w:val="26"/>
              </w:rPr>
              <w:t xml:space="preserve">reklāmā un </w:t>
            </w:r>
            <w:r w:rsidR="005624C1" w:rsidRPr="00290041">
              <w:rPr>
                <w:sz w:val="26"/>
                <w:szCs w:val="26"/>
              </w:rPr>
              <w:t xml:space="preserve">pirms hipotekārās kreditēšanas līguma noslēgšanas, kā arī </w:t>
            </w:r>
            <w:r w:rsidR="00C12404" w:rsidRPr="00290041">
              <w:rPr>
                <w:sz w:val="26"/>
                <w:szCs w:val="26"/>
              </w:rPr>
              <w:t xml:space="preserve">noteikumu projekta 4.pielikumā pievienota Eiropas </w:t>
            </w:r>
            <w:proofErr w:type="spellStart"/>
            <w:r w:rsidR="00C12404" w:rsidRPr="00290041">
              <w:rPr>
                <w:sz w:val="26"/>
                <w:szCs w:val="26"/>
              </w:rPr>
              <w:t>standartinformācijas</w:t>
            </w:r>
            <w:proofErr w:type="spellEnd"/>
            <w:r w:rsidR="00C12404" w:rsidRPr="00290041">
              <w:rPr>
                <w:sz w:val="26"/>
                <w:szCs w:val="26"/>
              </w:rPr>
              <w:t xml:space="preserve"> forma, kas izmantojama informācijas sniegšanai par hi</w:t>
            </w:r>
            <w:r>
              <w:rPr>
                <w:sz w:val="26"/>
                <w:szCs w:val="26"/>
              </w:rPr>
              <w:t>potekārās kreditēšanas līgumiem;</w:t>
            </w:r>
          </w:p>
          <w:p w:rsidR="00772B2E"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772B2E">
              <w:rPr>
                <w:sz w:val="26"/>
                <w:szCs w:val="26"/>
              </w:rPr>
              <w:t xml:space="preserve">paredzētas papildus informēšanas prasības kredītiem pret kustamas lietas ķīlu, pirms līguma noslēgšanas patērētāju informējot par kredīta kopējo summu, izņemšanas </w:t>
            </w:r>
            <w:r w:rsidR="00772B2E">
              <w:rPr>
                <w:sz w:val="26"/>
                <w:szCs w:val="26"/>
              </w:rPr>
              <w:lastRenderedPageBreak/>
              <w:t xml:space="preserve">noteikumiem, </w:t>
            </w:r>
            <w:r w:rsidR="00D520E1">
              <w:rPr>
                <w:sz w:val="26"/>
                <w:szCs w:val="26"/>
              </w:rPr>
              <w:t>kreditēšanas līguma darbības termiņu un aizņēmuma likmi, lai patērētājs būtu informēts par potenciālajām kredīta izmaksām;</w:t>
            </w:r>
          </w:p>
          <w:p w:rsidR="00C1240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n</w:t>
            </w:r>
            <w:r w:rsidR="00C12404" w:rsidRPr="00290041">
              <w:rPr>
                <w:sz w:val="26"/>
                <w:szCs w:val="26"/>
              </w:rPr>
              <w:t>oteiktas patērētāju padomu došanas pakalpojumiem izvirzāmās prasībās;</w:t>
            </w:r>
          </w:p>
          <w:p w:rsidR="008F2F1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p</w:t>
            </w:r>
            <w:r w:rsidR="000940BC" w:rsidRPr="00290041">
              <w:rPr>
                <w:sz w:val="26"/>
                <w:szCs w:val="26"/>
              </w:rPr>
              <w:t>aredzēts a</w:t>
            </w:r>
            <w:r w:rsidR="00D70233" w:rsidRPr="00290041">
              <w:rPr>
                <w:sz w:val="26"/>
                <w:szCs w:val="26"/>
              </w:rPr>
              <w:t>izliegums komplektēt</w:t>
            </w:r>
            <w:r w:rsidR="008F2F14" w:rsidRPr="00290041">
              <w:rPr>
                <w:sz w:val="26"/>
                <w:szCs w:val="26"/>
              </w:rPr>
              <w:t xml:space="preserve"> hipotekārās kreditēšanas pakalpojumus ar citiem</w:t>
            </w:r>
            <w:r w:rsidR="00C12404" w:rsidRPr="00290041">
              <w:rPr>
                <w:sz w:val="26"/>
                <w:szCs w:val="26"/>
              </w:rPr>
              <w:t xml:space="preserve"> finanšu pakalpojum</w:t>
            </w:r>
            <w:r w:rsidR="00AF0E0F">
              <w:rPr>
                <w:sz w:val="26"/>
                <w:szCs w:val="26"/>
              </w:rPr>
              <w:t>iem</w:t>
            </w:r>
            <w:r w:rsidR="00C12404" w:rsidRPr="00290041">
              <w:rPr>
                <w:sz w:val="26"/>
                <w:szCs w:val="26"/>
              </w:rPr>
              <w:t xml:space="preserve"> </w:t>
            </w:r>
            <w:r w:rsidR="00D70233" w:rsidRPr="00290041">
              <w:rPr>
                <w:sz w:val="26"/>
                <w:szCs w:val="26"/>
              </w:rPr>
              <w:t xml:space="preserve">vienotā </w:t>
            </w:r>
            <w:r w:rsidR="00C12404" w:rsidRPr="00290041">
              <w:rPr>
                <w:sz w:val="26"/>
                <w:szCs w:val="26"/>
              </w:rPr>
              <w:t>paketē,</w:t>
            </w:r>
            <w:r w:rsidR="00D70233" w:rsidRPr="00290041">
              <w:rPr>
                <w:sz w:val="26"/>
                <w:szCs w:val="26"/>
              </w:rPr>
              <w:t xml:space="preserve"> nepiedāvājot tos patērētājiem iegādāties atsevišķi</w:t>
            </w:r>
            <w:r w:rsidR="008F2F14" w:rsidRPr="00290041">
              <w:rPr>
                <w:sz w:val="26"/>
                <w:szCs w:val="26"/>
              </w:rPr>
              <w:t>, izņemot, ja kreditēšanas pakalpojumu sniedzējs var pierādīt, ka</w:t>
            </w:r>
            <w:r w:rsidR="00AF0E0F">
              <w:rPr>
                <w:sz w:val="26"/>
                <w:szCs w:val="26"/>
              </w:rPr>
              <w:t>,</w:t>
            </w:r>
            <w:r w:rsidR="008F2F14" w:rsidRPr="00290041">
              <w:rPr>
                <w:sz w:val="26"/>
                <w:szCs w:val="26"/>
              </w:rPr>
              <w:t xml:space="preserve"> salīdzinot ar līdzīgiem pakalpojumiem, šāds komplektēts piedāvājums sniedz ieguvumus patērētājam; </w:t>
            </w:r>
            <w:r w:rsidR="00D70233" w:rsidRPr="00290041">
              <w:rPr>
                <w:sz w:val="26"/>
                <w:szCs w:val="26"/>
              </w:rPr>
              <w:t xml:space="preserve"> </w:t>
            </w:r>
          </w:p>
          <w:p w:rsidR="00C1240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n</w:t>
            </w:r>
            <w:r w:rsidR="008F2F14" w:rsidRPr="00290041">
              <w:rPr>
                <w:sz w:val="26"/>
                <w:szCs w:val="26"/>
              </w:rPr>
              <w:t>oteikt</w:t>
            </w:r>
            <w:r w:rsidR="000940BC" w:rsidRPr="00290041">
              <w:rPr>
                <w:sz w:val="26"/>
                <w:szCs w:val="26"/>
              </w:rPr>
              <w:t>as</w:t>
            </w:r>
            <w:r w:rsidR="008F2F14" w:rsidRPr="00290041">
              <w:rPr>
                <w:sz w:val="26"/>
                <w:szCs w:val="26"/>
              </w:rPr>
              <w:t xml:space="preserve"> prasības</w:t>
            </w:r>
            <w:r w:rsidR="00D70233" w:rsidRPr="00290041">
              <w:rPr>
                <w:sz w:val="26"/>
                <w:szCs w:val="26"/>
              </w:rPr>
              <w:t>, kas jāievēro</w:t>
            </w:r>
            <w:r w:rsidR="00AF0E0F">
              <w:rPr>
                <w:sz w:val="26"/>
                <w:szCs w:val="26"/>
              </w:rPr>
              <w:t>,</w:t>
            </w:r>
            <w:r w:rsidR="00D70233" w:rsidRPr="00290041">
              <w:rPr>
                <w:sz w:val="26"/>
                <w:szCs w:val="26"/>
              </w:rPr>
              <w:t xml:space="preserve"> piešķirot patērētājiem </w:t>
            </w:r>
            <w:r w:rsidR="008F2F14" w:rsidRPr="00290041">
              <w:rPr>
                <w:sz w:val="26"/>
                <w:szCs w:val="26"/>
              </w:rPr>
              <w:t>aizdevumu</w:t>
            </w:r>
            <w:r w:rsidR="00D70233" w:rsidRPr="00290041">
              <w:rPr>
                <w:sz w:val="26"/>
                <w:szCs w:val="26"/>
              </w:rPr>
              <w:t xml:space="preserve"> ārvalstu valūtā, lai mazinātu valūtu risku svārstību negatīvo ietekmi uz patērēt</w:t>
            </w:r>
            <w:r w:rsidR="008F2F14" w:rsidRPr="00290041">
              <w:rPr>
                <w:sz w:val="26"/>
                <w:szCs w:val="26"/>
              </w:rPr>
              <w:t>āju;</w:t>
            </w:r>
          </w:p>
          <w:p w:rsidR="008F2F1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p</w:t>
            </w:r>
            <w:r w:rsidR="00E337FF">
              <w:rPr>
                <w:sz w:val="26"/>
                <w:szCs w:val="26"/>
              </w:rPr>
              <w:t>recizētas prasība</w:t>
            </w:r>
            <w:r w:rsidR="008F2F14" w:rsidRPr="00290041">
              <w:rPr>
                <w:sz w:val="26"/>
                <w:szCs w:val="26"/>
              </w:rPr>
              <w:t>s kreditēšanas līgumu pirmstermiņa atmaksai</w:t>
            </w:r>
            <w:r w:rsidR="000940BC" w:rsidRPr="00290041">
              <w:rPr>
                <w:sz w:val="26"/>
                <w:szCs w:val="26"/>
              </w:rPr>
              <w:t xml:space="preserve"> </w:t>
            </w:r>
            <w:r w:rsidR="008F2F14" w:rsidRPr="00290041">
              <w:rPr>
                <w:sz w:val="26"/>
                <w:szCs w:val="26"/>
              </w:rPr>
              <w:t xml:space="preserve">gadījumos, ja notiek aizdevuma </w:t>
            </w:r>
            <w:proofErr w:type="spellStart"/>
            <w:r w:rsidR="00734537">
              <w:rPr>
                <w:sz w:val="26"/>
                <w:szCs w:val="26"/>
              </w:rPr>
              <w:t>pārkreditācija</w:t>
            </w:r>
            <w:proofErr w:type="spellEnd"/>
            <w:r w:rsidR="00734537">
              <w:rPr>
                <w:sz w:val="26"/>
                <w:szCs w:val="26"/>
              </w:rPr>
              <w:t xml:space="preserve"> pie cita kredīta devēja</w:t>
            </w:r>
            <w:r w:rsidR="008F2F14" w:rsidRPr="00290041">
              <w:rPr>
                <w:sz w:val="26"/>
                <w:szCs w:val="26"/>
              </w:rPr>
              <w:t xml:space="preserve">; </w:t>
            </w:r>
          </w:p>
          <w:p w:rsidR="008F2F14" w:rsidRPr="00290041" w:rsidRDefault="00A34A0C" w:rsidP="00DA7753">
            <w:pPr>
              <w:pStyle w:val="ListParagraph"/>
              <w:numPr>
                <w:ilvl w:val="0"/>
                <w:numId w:val="30"/>
              </w:numPr>
              <w:tabs>
                <w:tab w:val="left" w:pos="709"/>
              </w:tabs>
              <w:jc w:val="both"/>
              <w:rPr>
                <w:sz w:val="26"/>
                <w:szCs w:val="26"/>
              </w:rPr>
            </w:pPr>
            <w:r>
              <w:rPr>
                <w:sz w:val="26"/>
                <w:szCs w:val="26"/>
              </w:rPr>
              <w:t xml:space="preserve"> </w:t>
            </w:r>
            <w:r w:rsidR="00AF0E0F">
              <w:rPr>
                <w:sz w:val="26"/>
                <w:szCs w:val="26"/>
              </w:rPr>
              <w:t>p</w:t>
            </w:r>
            <w:r w:rsidR="008F2F14" w:rsidRPr="00290041">
              <w:rPr>
                <w:sz w:val="26"/>
                <w:szCs w:val="26"/>
              </w:rPr>
              <w:t>recizēti kredīta starpnieka un kredīta starpnieku pārstāvju pienākumi informācijas sniegšanā patērētājiem.</w:t>
            </w:r>
          </w:p>
          <w:p w:rsidR="00C12404" w:rsidRDefault="00C12404" w:rsidP="00C12404">
            <w:pPr>
              <w:tabs>
                <w:tab w:val="left" w:pos="709"/>
              </w:tabs>
              <w:jc w:val="both"/>
              <w:rPr>
                <w:sz w:val="26"/>
                <w:szCs w:val="26"/>
              </w:rPr>
            </w:pPr>
          </w:p>
          <w:p w:rsidR="00540215" w:rsidRPr="002F606E" w:rsidRDefault="002749CA" w:rsidP="002F606E">
            <w:pPr>
              <w:tabs>
                <w:tab w:val="left" w:pos="709"/>
              </w:tabs>
              <w:ind w:firstLine="589"/>
              <w:jc w:val="both"/>
              <w:rPr>
                <w:sz w:val="26"/>
                <w:szCs w:val="26"/>
              </w:rPr>
            </w:pPr>
            <w:r w:rsidRPr="004D2812">
              <w:rPr>
                <w:sz w:val="26"/>
                <w:szCs w:val="26"/>
              </w:rPr>
              <w:t xml:space="preserve">Ņemot vērā, ka šo noteikumu projekta </w:t>
            </w:r>
            <w:proofErr w:type="spellStart"/>
            <w:r w:rsidRPr="004D2812">
              <w:rPr>
                <w:sz w:val="26"/>
                <w:szCs w:val="26"/>
              </w:rPr>
              <w:t>V.nodaļā</w:t>
            </w:r>
            <w:proofErr w:type="spellEnd"/>
            <w:r w:rsidRPr="004D2812">
              <w:rPr>
                <w:sz w:val="26"/>
                <w:szCs w:val="26"/>
              </w:rPr>
              <w:t xml:space="preserve"> iekļauto prasību </w:t>
            </w:r>
            <w:r w:rsidRPr="004D2812">
              <w:rPr>
                <w:bCs/>
                <w:sz w:val="26"/>
                <w:szCs w:val="26"/>
              </w:rPr>
              <w:t xml:space="preserve">informācijai, kas sniedzama patērētājam pirms kreditēšanas līguma noslēgšanas, par </w:t>
            </w:r>
            <w:r w:rsidRPr="004D2812">
              <w:rPr>
                <w:sz w:val="26"/>
                <w:szCs w:val="26"/>
              </w:rPr>
              <w:t>kredītu, kuru atmaksa nodrošināta ar nekustamo īpašumu vai kredīta mērķis ir iegūt vai saglabāt tiesības uz nekustamo īpašumu izpildei nepieciešams pielāgot kredīta devēju informācijas sistēmas un veikt veidlapu sagatavošanas darbus, noteikumu projekta 1</w:t>
            </w:r>
            <w:r w:rsidR="00B32AFB" w:rsidRPr="004D2812">
              <w:rPr>
                <w:sz w:val="26"/>
                <w:szCs w:val="26"/>
              </w:rPr>
              <w:t>18</w:t>
            </w:r>
            <w:r w:rsidRPr="004D2812">
              <w:rPr>
                <w:sz w:val="26"/>
                <w:szCs w:val="26"/>
              </w:rPr>
              <w:t xml:space="preserve">.punkts paredz pārejas periodu </w:t>
            </w:r>
            <w:proofErr w:type="spellStart"/>
            <w:r w:rsidRPr="004D2812">
              <w:rPr>
                <w:sz w:val="26"/>
                <w:szCs w:val="26"/>
              </w:rPr>
              <w:t>V.nodaļas</w:t>
            </w:r>
            <w:proofErr w:type="spellEnd"/>
            <w:r w:rsidRPr="004D2812">
              <w:rPr>
                <w:sz w:val="26"/>
                <w:szCs w:val="26"/>
              </w:rPr>
              <w:t xml:space="preserve"> prasību piemērošanai līdz 2017.gada 1.janvārim.</w:t>
            </w:r>
          </w:p>
        </w:tc>
      </w:tr>
      <w:tr w:rsidR="00E74C48" w:rsidRPr="00290041" w:rsidTr="002B7F78">
        <w:trPr>
          <w:trHeight w:val="476"/>
        </w:trPr>
        <w:tc>
          <w:tcPr>
            <w:tcW w:w="341" w:type="dxa"/>
          </w:tcPr>
          <w:p w:rsidR="00C74CAE" w:rsidRPr="00290041" w:rsidRDefault="007A735B" w:rsidP="005A7D7D">
            <w:pPr>
              <w:pStyle w:val="naiskr"/>
              <w:spacing w:before="0" w:after="0"/>
              <w:rPr>
                <w:sz w:val="26"/>
                <w:szCs w:val="26"/>
              </w:rPr>
            </w:pPr>
            <w:r w:rsidRPr="00290041">
              <w:rPr>
                <w:sz w:val="26"/>
                <w:szCs w:val="26"/>
              </w:rPr>
              <w:lastRenderedPageBreak/>
              <w:t>3</w:t>
            </w:r>
            <w:r w:rsidR="00C74CAE" w:rsidRPr="00290041">
              <w:rPr>
                <w:sz w:val="26"/>
                <w:szCs w:val="26"/>
              </w:rPr>
              <w:t>.</w:t>
            </w:r>
          </w:p>
        </w:tc>
        <w:tc>
          <w:tcPr>
            <w:tcW w:w="1843" w:type="dxa"/>
          </w:tcPr>
          <w:p w:rsidR="00C74CAE" w:rsidRPr="00290041" w:rsidRDefault="00C74CAE">
            <w:pPr>
              <w:pStyle w:val="naiskr"/>
              <w:spacing w:before="0" w:after="0"/>
              <w:rPr>
                <w:sz w:val="26"/>
                <w:szCs w:val="26"/>
              </w:rPr>
            </w:pPr>
            <w:r w:rsidRPr="00290041">
              <w:rPr>
                <w:sz w:val="26"/>
                <w:szCs w:val="26"/>
              </w:rPr>
              <w:t>Projekta izstrādē iesaistītās institūcijas</w:t>
            </w:r>
          </w:p>
        </w:tc>
        <w:tc>
          <w:tcPr>
            <w:tcW w:w="7371" w:type="dxa"/>
          </w:tcPr>
          <w:p w:rsidR="00C74CAE" w:rsidRPr="00290041" w:rsidRDefault="00186BC8" w:rsidP="002F606E">
            <w:pPr>
              <w:widowControl w:val="0"/>
              <w:suppressAutoHyphens/>
              <w:autoSpaceDE w:val="0"/>
              <w:autoSpaceDN w:val="0"/>
              <w:adjustRightInd w:val="0"/>
              <w:ind w:firstLine="557"/>
              <w:jc w:val="both"/>
              <w:rPr>
                <w:sz w:val="26"/>
                <w:szCs w:val="26"/>
              </w:rPr>
            </w:pPr>
            <w:r w:rsidRPr="00290041">
              <w:rPr>
                <w:rFonts w:eastAsia="Calibri"/>
                <w:sz w:val="26"/>
                <w:szCs w:val="26"/>
              </w:rPr>
              <w:t xml:space="preserve">Pamatojoties uz </w:t>
            </w:r>
            <w:r w:rsidRPr="00290041">
              <w:rPr>
                <w:iCs/>
                <w:color w:val="000000"/>
                <w:sz w:val="26"/>
                <w:szCs w:val="26"/>
              </w:rPr>
              <w:t>Ekonomikas ministrijas 2014.gada 11.jūlija rīkojumu Nr.134 “</w:t>
            </w:r>
            <w:r w:rsidRPr="00290041">
              <w:rPr>
                <w:i/>
                <w:color w:val="000000" w:themeColor="text1"/>
                <w:sz w:val="26"/>
                <w:szCs w:val="26"/>
              </w:rPr>
              <w:t>Par darba grupas izveidi Patērētāju kreditēšanas likumprojekta izstrādei</w:t>
            </w:r>
            <w:r w:rsidR="00AF0E0F">
              <w:rPr>
                <w:i/>
                <w:color w:val="000000" w:themeColor="text1"/>
                <w:sz w:val="26"/>
                <w:szCs w:val="26"/>
              </w:rPr>
              <w:t>”</w:t>
            </w:r>
            <w:r w:rsidR="00AF0E0F">
              <w:rPr>
                <w:iCs/>
                <w:color w:val="000000"/>
                <w:sz w:val="26"/>
                <w:szCs w:val="26"/>
              </w:rPr>
              <w:t>,</w:t>
            </w:r>
            <w:r w:rsidRPr="00290041">
              <w:rPr>
                <w:iCs/>
                <w:color w:val="000000"/>
                <w:sz w:val="26"/>
                <w:szCs w:val="26"/>
              </w:rPr>
              <w:t xml:space="preserve"> Ekonomikas ministrija izveidoja darba grupu Direktīvas 2014/17/ES ieviešanai (tālāk tekstā - Darba grupa). </w:t>
            </w:r>
            <w:r w:rsidR="0079476D" w:rsidRPr="00290041">
              <w:rPr>
                <w:iCs/>
                <w:color w:val="000000"/>
                <w:sz w:val="26"/>
                <w:szCs w:val="26"/>
              </w:rPr>
              <w:t>Noteikumu projekts</w:t>
            </w:r>
            <w:r w:rsidR="00AF0E0F">
              <w:rPr>
                <w:iCs/>
                <w:color w:val="000000"/>
                <w:sz w:val="26"/>
                <w:szCs w:val="26"/>
              </w:rPr>
              <w:t xml:space="preserve"> izstrādāts sadarbībā ar D</w:t>
            </w:r>
            <w:r w:rsidRPr="00290041">
              <w:rPr>
                <w:iCs/>
                <w:color w:val="000000"/>
                <w:sz w:val="26"/>
                <w:szCs w:val="26"/>
              </w:rPr>
              <w:t xml:space="preserve">arba grupu, kurā iekļauti pārstāvji no Tieslietu ministrijas, Finanšu ministrijas, Patērētāju tiesību aizsardzības centra, Latvijas Bankas, Finanšu un kapitāla tirgus komisijas, Latvijas Komercbanku asociācijas, </w:t>
            </w:r>
            <w:r w:rsidRPr="00290041">
              <w:rPr>
                <w:sz w:val="26"/>
                <w:szCs w:val="26"/>
              </w:rPr>
              <w:t>Latvijas Darba devēju konfederācijas, Latvijas Tirdzniecības un rūpniecīb</w:t>
            </w:r>
            <w:r w:rsidR="00AF0E0F">
              <w:rPr>
                <w:sz w:val="26"/>
                <w:szCs w:val="26"/>
              </w:rPr>
              <w:t>as kameras, Latvijas Nekustamo ī</w:t>
            </w:r>
            <w:r w:rsidRPr="00290041">
              <w:rPr>
                <w:sz w:val="26"/>
                <w:szCs w:val="26"/>
              </w:rPr>
              <w:t xml:space="preserve">pašumu darījumu asociācijas, Latvijas Hipotekāro </w:t>
            </w:r>
            <w:proofErr w:type="spellStart"/>
            <w:r w:rsidRPr="00290041">
              <w:rPr>
                <w:sz w:val="26"/>
                <w:szCs w:val="26"/>
              </w:rPr>
              <w:t>Nebanku</w:t>
            </w:r>
            <w:proofErr w:type="spellEnd"/>
            <w:r w:rsidRPr="00290041">
              <w:rPr>
                <w:sz w:val="26"/>
                <w:szCs w:val="26"/>
              </w:rPr>
              <w:t xml:space="preserve"> Aizdevēju Asociācijas, Latvijas Lombardu asociācijas, Latvijas Alternatīvo finanšu pakalpojumu asociācijas, Latvijas Ķīlas kreditoru asociācijas, Latvijas Īpašumu vērtētāju asociācijas, Latvijas Kredītņēmēju asociācijas un Latvijas Patērētāju interešu aizstāvības asociācijas. </w:t>
            </w:r>
          </w:p>
        </w:tc>
      </w:tr>
      <w:tr w:rsidR="00E74C48" w:rsidRPr="00290041" w:rsidTr="002B7F78">
        <w:tc>
          <w:tcPr>
            <w:tcW w:w="341" w:type="dxa"/>
          </w:tcPr>
          <w:p w:rsidR="00C74CAE" w:rsidRPr="00290041" w:rsidRDefault="007A735B" w:rsidP="005A7D7D">
            <w:pPr>
              <w:pStyle w:val="naiskr"/>
              <w:spacing w:before="0" w:after="0"/>
              <w:rPr>
                <w:sz w:val="26"/>
                <w:szCs w:val="26"/>
              </w:rPr>
            </w:pPr>
            <w:r w:rsidRPr="00290041">
              <w:rPr>
                <w:sz w:val="26"/>
                <w:szCs w:val="26"/>
              </w:rPr>
              <w:t>4</w:t>
            </w:r>
            <w:r w:rsidR="00C74CAE" w:rsidRPr="00290041">
              <w:rPr>
                <w:sz w:val="26"/>
                <w:szCs w:val="26"/>
              </w:rPr>
              <w:t>.</w:t>
            </w:r>
          </w:p>
        </w:tc>
        <w:tc>
          <w:tcPr>
            <w:tcW w:w="1843" w:type="dxa"/>
          </w:tcPr>
          <w:p w:rsidR="00C74CAE" w:rsidRPr="00290041" w:rsidRDefault="00C74CAE">
            <w:pPr>
              <w:pStyle w:val="naiskr"/>
              <w:spacing w:before="0" w:after="0"/>
              <w:rPr>
                <w:sz w:val="26"/>
                <w:szCs w:val="26"/>
              </w:rPr>
            </w:pPr>
            <w:r w:rsidRPr="00290041">
              <w:rPr>
                <w:sz w:val="26"/>
                <w:szCs w:val="26"/>
              </w:rPr>
              <w:t>Cita informācija</w:t>
            </w:r>
          </w:p>
        </w:tc>
        <w:tc>
          <w:tcPr>
            <w:tcW w:w="7371" w:type="dxa"/>
          </w:tcPr>
          <w:p w:rsidR="00AF358C" w:rsidRPr="00290041" w:rsidRDefault="004838AD" w:rsidP="008A5CBA">
            <w:pPr>
              <w:pStyle w:val="naiskr"/>
              <w:spacing w:before="0" w:after="80"/>
              <w:rPr>
                <w:sz w:val="26"/>
                <w:szCs w:val="26"/>
              </w:rPr>
            </w:pPr>
            <w:r w:rsidRPr="00290041">
              <w:rPr>
                <w:sz w:val="26"/>
                <w:szCs w:val="26"/>
              </w:rPr>
              <w:t>Nav</w:t>
            </w:r>
          </w:p>
        </w:tc>
      </w:tr>
    </w:tbl>
    <w:p w:rsidR="00040321" w:rsidRDefault="00040321">
      <w:pPr>
        <w:pStyle w:val="naisf"/>
        <w:spacing w:before="0" w:after="0"/>
        <w:ind w:firstLine="0"/>
        <w:rPr>
          <w:sz w:val="26"/>
          <w:szCs w:val="26"/>
        </w:rPr>
      </w:pPr>
    </w:p>
    <w:p w:rsidR="00AF0E0F" w:rsidRDefault="00AF0E0F">
      <w:pPr>
        <w:pStyle w:val="naisf"/>
        <w:spacing w:before="0" w:after="0"/>
        <w:ind w:firstLine="0"/>
        <w:rPr>
          <w:sz w:val="26"/>
          <w:szCs w:val="26"/>
        </w:rPr>
      </w:pPr>
    </w:p>
    <w:p w:rsidR="00AF0E0F" w:rsidRPr="00290041" w:rsidRDefault="00AF0E0F">
      <w:pPr>
        <w:pStyle w:val="naisf"/>
        <w:spacing w:before="0" w:after="0"/>
        <w:ind w:firstLine="0"/>
        <w:rPr>
          <w:sz w:val="26"/>
          <w:szCs w:val="26"/>
        </w:rPr>
      </w:pPr>
    </w:p>
    <w:tbl>
      <w:tblPr>
        <w:tblpPr w:leftFromText="180" w:rightFromText="180" w:vertAnchor="text" w:horzAnchor="margin" w:tblpXSpec="center" w:tblpY="149"/>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41"/>
        <w:gridCol w:w="2835"/>
        <w:gridCol w:w="6379"/>
      </w:tblGrid>
      <w:tr w:rsidR="00E74C48" w:rsidRPr="00290041" w:rsidTr="002B7F78">
        <w:tc>
          <w:tcPr>
            <w:tcW w:w="9555" w:type="dxa"/>
            <w:gridSpan w:val="3"/>
            <w:vAlign w:val="center"/>
          </w:tcPr>
          <w:p w:rsidR="00E34475" w:rsidRPr="00290041" w:rsidRDefault="00C74CAE" w:rsidP="00E34475">
            <w:pPr>
              <w:ind w:left="57" w:right="57"/>
              <w:jc w:val="center"/>
              <w:rPr>
                <w:b/>
                <w:bCs/>
                <w:sz w:val="26"/>
                <w:szCs w:val="26"/>
              </w:rPr>
            </w:pPr>
            <w:r w:rsidRPr="00290041">
              <w:rPr>
                <w:b/>
                <w:sz w:val="26"/>
                <w:szCs w:val="26"/>
              </w:rPr>
              <w:lastRenderedPageBreak/>
              <w:t>II. Tiesību akta projekta ietekme uz sabiedrību</w:t>
            </w:r>
            <w:r w:rsidR="00E34475" w:rsidRPr="00290041">
              <w:rPr>
                <w:b/>
                <w:bCs/>
                <w:sz w:val="26"/>
                <w:szCs w:val="26"/>
              </w:rPr>
              <w:t>, tautsaimniecības attīstību</w:t>
            </w:r>
          </w:p>
          <w:p w:rsidR="00C74CAE" w:rsidRPr="00290041" w:rsidRDefault="00E34475" w:rsidP="00E34475">
            <w:pPr>
              <w:pStyle w:val="naisnod"/>
              <w:spacing w:before="0" w:after="0"/>
              <w:rPr>
                <w:sz w:val="26"/>
                <w:szCs w:val="26"/>
              </w:rPr>
            </w:pPr>
            <w:r w:rsidRPr="00290041">
              <w:rPr>
                <w:sz w:val="26"/>
                <w:szCs w:val="26"/>
              </w:rPr>
              <w:t>un administratīvo slogu</w:t>
            </w:r>
          </w:p>
        </w:tc>
      </w:tr>
      <w:tr w:rsidR="00E74C48" w:rsidRPr="00290041" w:rsidTr="002F21AE">
        <w:trPr>
          <w:trHeight w:val="467"/>
        </w:trPr>
        <w:tc>
          <w:tcPr>
            <w:tcW w:w="341" w:type="dxa"/>
          </w:tcPr>
          <w:p w:rsidR="00C74CAE" w:rsidRPr="00290041" w:rsidRDefault="00C74CAE">
            <w:pPr>
              <w:pStyle w:val="naiskr"/>
              <w:spacing w:before="0" w:after="0"/>
              <w:rPr>
                <w:sz w:val="26"/>
                <w:szCs w:val="26"/>
              </w:rPr>
            </w:pPr>
            <w:r w:rsidRPr="00290041">
              <w:rPr>
                <w:sz w:val="26"/>
                <w:szCs w:val="26"/>
              </w:rPr>
              <w:t>1.</w:t>
            </w:r>
          </w:p>
        </w:tc>
        <w:tc>
          <w:tcPr>
            <w:tcW w:w="2835" w:type="dxa"/>
          </w:tcPr>
          <w:p w:rsidR="00C74CAE" w:rsidRPr="00290041" w:rsidRDefault="00C74CAE" w:rsidP="005A7D7D">
            <w:pPr>
              <w:pStyle w:val="naiskr"/>
              <w:spacing w:before="0" w:after="0"/>
              <w:rPr>
                <w:sz w:val="26"/>
                <w:szCs w:val="26"/>
              </w:rPr>
            </w:pPr>
            <w:r w:rsidRPr="00290041">
              <w:rPr>
                <w:sz w:val="26"/>
                <w:szCs w:val="26"/>
              </w:rPr>
              <w:t xml:space="preserve">Sabiedrības </w:t>
            </w:r>
            <w:proofErr w:type="spellStart"/>
            <w:r w:rsidRPr="00290041">
              <w:rPr>
                <w:sz w:val="26"/>
                <w:szCs w:val="26"/>
              </w:rPr>
              <w:t>mērķgrupa</w:t>
            </w:r>
            <w:r w:rsidR="00E34475" w:rsidRPr="00290041">
              <w:rPr>
                <w:sz w:val="26"/>
                <w:szCs w:val="26"/>
              </w:rPr>
              <w:t>s</w:t>
            </w:r>
            <w:proofErr w:type="spellEnd"/>
          </w:p>
        </w:tc>
        <w:tc>
          <w:tcPr>
            <w:tcW w:w="6379" w:type="dxa"/>
          </w:tcPr>
          <w:p w:rsidR="003917E4" w:rsidRPr="00290041" w:rsidRDefault="003917E4" w:rsidP="004D2812">
            <w:pPr>
              <w:ind w:firstLine="448"/>
              <w:jc w:val="both"/>
              <w:rPr>
                <w:rFonts w:eastAsia="Calibri"/>
                <w:sz w:val="26"/>
                <w:szCs w:val="26"/>
              </w:rPr>
            </w:pPr>
            <w:r w:rsidRPr="00290041">
              <w:rPr>
                <w:rFonts w:eastAsia="Calibri"/>
                <w:sz w:val="26"/>
                <w:szCs w:val="26"/>
              </w:rPr>
              <w:t xml:space="preserve">1) </w:t>
            </w:r>
            <w:r w:rsidRPr="00636844">
              <w:rPr>
                <w:rFonts w:eastAsia="Calibri"/>
                <w:sz w:val="26"/>
                <w:szCs w:val="26"/>
                <w:u w:val="single"/>
              </w:rPr>
              <w:t>Patērētāji</w:t>
            </w:r>
            <w:r w:rsidRPr="00290041">
              <w:rPr>
                <w:rFonts w:eastAsia="Calibri"/>
                <w:sz w:val="26"/>
                <w:szCs w:val="26"/>
              </w:rPr>
              <w:t xml:space="preserve"> (~ </w:t>
            </w:r>
            <w:r w:rsidR="000940BC" w:rsidRPr="00290041">
              <w:rPr>
                <w:rFonts w:eastAsia="Calibri"/>
                <w:sz w:val="26"/>
                <w:szCs w:val="26"/>
              </w:rPr>
              <w:t>1,5</w:t>
            </w:r>
            <w:r w:rsidRPr="00290041">
              <w:rPr>
                <w:rFonts w:eastAsia="Calibri"/>
                <w:sz w:val="26"/>
                <w:szCs w:val="26"/>
              </w:rPr>
              <w:t xml:space="preserve"> miljoni Latvijas iedzīvotāju</w:t>
            </w:r>
            <w:r w:rsidR="00A76271" w:rsidRPr="00290041">
              <w:rPr>
                <w:rFonts w:eastAsia="Calibri"/>
                <w:sz w:val="26"/>
                <w:szCs w:val="26"/>
              </w:rPr>
              <w:t xml:space="preserve">). Noteikumu projekts </w:t>
            </w:r>
            <w:r w:rsidRPr="00290041">
              <w:rPr>
                <w:rFonts w:eastAsia="Calibri"/>
                <w:sz w:val="26"/>
                <w:szCs w:val="26"/>
              </w:rPr>
              <w:t>paredz stiprināt patērētāju aizsardzību, slēdzot patērētāju kreditēšanas līgumus.</w:t>
            </w:r>
          </w:p>
          <w:p w:rsidR="003917E4" w:rsidRPr="00290041" w:rsidRDefault="003917E4" w:rsidP="004D2812">
            <w:pPr>
              <w:ind w:firstLine="448"/>
              <w:jc w:val="both"/>
              <w:rPr>
                <w:sz w:val="26"/>
                <w:szCs w:val="26"/>
              </w:rPr>
            </w:pPr>
            <w:r w:rsidRPr="00290041">
              <w:rPr>
                <w:sz w:val="26"/>
                <w:szCs w:val="26"/>
              </w:rPr>
              <w:t xml:space="preserve">2) </w:t>
            </w:r>
            <w:r w:rsidR="00AF0E0F">
              <w:rPr>
                <w:sz w:val="26"/>
                <w:szCs w:val="26"/>
                <w:u w:val="single"/>
              </w:rPr>
              <w:t>K</w:t>
            </w:r>
            <w:r w:rsidRPr="00636844">
              <w:rPr>
                <w:sz w:val="26"/>
                <w:szCs w:val="26"/>
                <w:u w:val="single"/>
              </w:rPr>
              <w:t>apitālsabiedrības, kas veic patērētāju kreditēšanu</w:t>
            </w:r>
            <w:r w:rsidR="00A76271" w:rsidRPr="00290041">
              <w:rPr>
                <w:sz w:val="26"/>
                <w:szCs w:val="26"/>
              </w:rPr>
              <w:t>. Š</w:t>
            </w:r>
            <w:r w:rsidRPr="00290041">
              <w:rPr>
                <w:sz w:val="26"/>
                <w:szCs w:val="26"/>
              </w:rPr>
              <w:t>obrīd</w:t>
            </w:r>
            <w:r w:rsidR="00A76271" w:rsidRPr="00290041">
              <w:rPr>
                <w:sz w:val="26"/>
                <w:szCs w:val="26"/>
              </w:rPr>
              <w:t xml:space="preserve"> Patērētāju tiesību aizsardzības centra izsniegto </w:t>
            </w:r>
            <w:r w:rsidRPr="00290041">
              <w:rPr>
                <w:sz w:val="26"/>
                <w:szCs w:val="26"/>
              </w:rPr>
              <w:t>licenci saņēmušas 57 kapitālsabiedrības, no kurām hipotekāros kredītus izsniedz vismaz 11 kapitālsabiedrības</w:t>
            </w:r>
            <w:r w:rsidR="001940BF">
              <w:rPr>
                <w:sz w:val="26"/>
                <w:szCs w:val="26"/>
              </w:rPr>
              <w:t xml:space="preserve">. Tāpat </w:t>
            </w:r>
            <w:r w:rsidR="001940BF" w:rsidRPr="00290041">
              <w:rPr>
                <w:sz w:val="26"/>
                <w:szCs w:val="26"/>
              </w:rPr>
              <w:t xml:space="preserve"> kreditēšanas pakalpojumu </w:t>
            </w:r>
            <w:r w:rsidR="001940BF">
              <w:rPr>
                <w:sz w:val="26"/>
                <w:szCs w:val="26"/>
              </w:rPr>
              <w:t>tirgū darbojas 16</w:t>
            </w:r>
            <w:r w:rsidR="00A76271" w:rsidRPr="00290041">
              <w:rPr>
                <w:sz w:val="26"/>
                <w:szCs w:val="26"/>
              </w:rPr>
              <w:t xml:space="preserve"> kredītiestādes, kas saņēmušas Finanšu un kapitāla tirgus komisijas izsniegto licenci  </w:t>
            </w:r>
            <w:r w:rsidR="001940BF">
              <w:rPr>
                <w:sz w:val="26"/>
                <w:szCs w:val="26"/>
              </w:rPr>
              <w:t>(</w:t>
            </w:r>
            <w:r w:rsidR="00A76271" w:rsidRPr="00290041">
              <w:rPr>
                <w:sz w:val="26"/>
                <w:szCs w:val="26"/>
              </w:rPr>
              <w:t xml:space="preserve">tai skaitā </w:t>
            </w:r>
            <w:r w:rsidR="000940BC" w:rsidRPr="00290041">
              <w:rPr>
                <w:sz w:val="26"/>
                <w:szCs w:val="26"/>
              </w:rPr>
              <w:t>8</w:t>
            </w:r>
            <w:r w:rsidR="00A76271" w:rsidRPr="00290041">
              <w:rPr>
                <w:sz w:val="26"/>
                <w:szCs w:val="26"/>
              </w:rPr>
              <w:t xml:space="preserve"> ārvalstu filiāles</w:t>
            </w:r>
            <w:r w:rsidR="001940BF">
              <w:rPr>
                <w:sz w:val="26"/>
                <w:szCs w:val="26"/>
              </w:rPr>
              <w:t xml:space="preserve">), kā arī 34 </w:t>
            </w:r>
            <w:proofErr w:type="spellStart"/>
            <w:r w:rsidR="001940BF">
              <w:rPr>
                <w:sz w:val="26"/>
                <w:szCs w:val="26"/>
              </w:rPr>
              <w:t>krājaizdevu</w:t>
            </w:r>
            <w:proofErr w:type="spellEnd"/>
            <w:r w:rsidR="001940BF">
              <w:rPr>
                <w:sz w:val="26"/>
                <w:szCs w:val="26"/>
              </w:rPr>
              <w:t xml:space="preserve"> sabiedrības (vēl 6 sabiedrībām licence anulēta)</w:t>
            </w:r>
            <w:r w:rsidRPr="00290041">
              <w:rPr>
                <w:sz w:val="26"/>
                <w:szCs w:val="26"/>
              </w:rPr>
              <w:t>.</w:t>
            </w:r>
            <w:r w:rsidR="00A76271" w:rsidRPr="00290041">
              <w:rPr>
                <w:sz w:val="26"/>
                <w:szCs w:val="26"/>
              </w:rPr>
              <w:t xml:space="preserve"> Precīza skaitliska informācija nav pieejama par  kreditēšanas pakalpojumu sniedzējiem, kas piedāvā</w:t>
            </w:r>
            <w:r w:rsidRPr="00290041">
              <w:rPr>
                <w:sz w:val="26"/>
                <w:szCs w:val="26"/>
              </w:rPr>
              <w:t xml:space="preserve"> </w:t>
            </w:r>
            <w:r w:rsidR="006D7A85" w:rsidRPr="00290041">
              <w:rPr>
                <w:sz w:val="26"/>
                <w:szCs w:val="26"/>
              </w:rPr>
              <w:t xml:space="preserve"> norēķināties par preču vai pakalpojumu iegādi atlikta maksājuma, aizdevuma vai citas tamlīdzīgas finansiālas vienošanās veidā, nepiesaistot trešās personas finansējumu un kuriem nav nepieciešama Patērētāju tiesību aizsardzības centra izsniegtā licence.</w:t>
            </w:r>
          </w:p>
          <w:p w:rsidR="003917E4" w:rsidRPr="00290041" w:rsidRDefault="003917E4" w:rsidP="004D2812">
            <w:pPr>
              <w:ind w:firstLine="448"/>
              <w:jc w:val="both"/>
              <w:rPr>
                <w:sz w:val="26"/>
                <w:szCs w:val="26"/>
              </w:rPr>
            </w:pPr>
            <w:r w:rsidRPr="00290041">
              <w:rPr>
                <w:sz w:val="26"/>
                <w:szCs w:val="26"/>
              </w:rPr>
              <w:t xml:space="preserve">3) </w:t>
            </w:r>
            <w:r w:rsidR="00AF0E0F">
              <w:rPr>
                <w:sz w:val="26"/>
                <w:szCs w:val="26"/>
                <w:u w:val="single"/>
              </w:rPr>
              <w:t>K</w:t>
            </w:r>
            <w:r w:rsidRPr="00636844">
              <w:rPr>
                <w:sz w:val="26"/>
                <w:szCs w:val="26"/>
                <w:u w:val="single"/>
              </w:rPr>
              <w:t>redīta starpnieki un kredīta starpnieku pārstāvji</w:t>
            </w:r>
            <w:r w:rsidRPr="00290041">
              <w:rPr>
                <w:sz w:val="26"/>
                <w:szCs w:val="26"/>
              </w:rPr>
              <w:t xml:space="preserve">. Šobrīd nav zināms precīzs  privātpersonu skaits, kas ir iesaistītas kredīta starpniecības pakalpojumu sniegšanā hipotekārās kreditēšanas jomā, jo šādi dati netiek apkopoti. </w:t>
            </w:r>
          </w:p>
          <w:p w:rsidR="00F14C5C" w:rsidRPr="00290041" w:rsidRDefault="00F14C5C" w:rsidP="004D2812">
            <w:pPr>
              <w:ind w:firstLine="448"/>
              <w:jc w:val="both"/>
              <w:rPr>
                <w:iCs/>
                <w:strike/>
                <w:sz w:val="26"/>
                <w:szCs w:val="26"/>
              </w:rPr>
            </w:pPr>
          </w:p>
        </w:tc>
      </w:tr>
      <w:tr w:rsidR="005A7D7D" w:rsidRPr="00290041" w:rsidTr="002F21AE">
        <w:trPr>
          <w:trHeight w:val="517"/>
        </w:trPr>
        <w:tc>
          <w:tcPr>
            <w:tcW w:w="341" w:type="dxa"/>
          </w:tcPr>
          <w:p w:rsidR="005A7D7D" w:rsidRPr="00290041" w:rsidRDefault="005A7D7D">
            <w:pPr>
              <w:pStyle w:val="naiskr"/>
              <w:spacing w:before="0" w:after="0"/>
              <w:rPr>
                <w:sz w:val="26"/>
                <w:szCs w:val="26"/>
              </w:rPr>
            </w:pPr>
            <w:r w:rsidRPr="00290041">
              <w:rPr>
                <w:sz w:val="26"/>
                <w:szCs w:val="26"/>
              </w:rPr>
              <w:t>2.</w:t>
            </w:r>
          </w:p>
        </w:tc>
        <w:tc>
          <w:tcPr>
            <w:tcW w:w="2835" w:type="dxa"/>
          </w:tcPr>
          <w:p w:rsidR="005A7D7D" w:rsidRPr="00290041" w:rsidRDefault="005A7D7D">
            <w:pPr>
              <w:pStyle w:val="naiskr"/>
              <w:spacing w:before="0" w:after="0"/>
              <w:rPr>
                <w:sz w:val="26"/>
                <w:szCs w:val="26"/>
              </w:rPr>
            </w:pPr>
            <w:r w:rsidRPr="00290041">
              <w:rPr>
                <w:sz w:val="26"/>
                <w:szCs w:val="26"/>
              </w:rPr>
              <w:t>Tiesiskā regulējuma ietekme uz tautsaimniecību un administratīvo slogu</w:t>
            </w:r>
          </w:p>
        </w:tc>
        <w:tc>
          <w:tcPr>
            <w:tcW w:w="6379" w:type="dxa"/>
          </w:tcPr>
          <w:p w:rsidR="00E83116" w:rsidRPr="00290041" w:rsidRDefault="00E83116" w:rsidP="00E83116">
            <w:pPr>
              <w:pStyle w:val="NormalWeb"/>
              <w:spacing w:before="0" w:beforeAutospacing="0" w:after="0" w:afterAutospacing="0"/>
              <w:ind w:firstLine="397"/>
              <w:jc w:val="both"/>
              <w:rPr>
                <w:sz w:val="26"/>
                <w:szCs w:val="26"/>
              </w:rPr>
            </w:pPr>
            <w:r w:rsidRPr="00290041">
              <w:rPr>
                <w:sz w:val="26"/>
                <w:szCs w:val="26"/>
              </w:rPr>
              <w:t>Noteikumu projekta pieņemšana veicinās patērētāju tiesību aizsardzību Latvijā, īpaši attiecībā uz patērētāju kreditēšanu</w:t>
            </w:r>
            <w:r w:rsidR="00AF0E0F">
              <w:rPr>
                <w:sz w:val="26"/>
                <w:szCs w:val="26"/>
              </w:rPr>
              <w:t>,</w:t>
            </w:r>
            <w:r w:rsidRPr="00290041">
              <w:rPr>
                <w:sz w:val="26"/>
                <w:szCs w:val="26"/>
              </w:rPr>
              <w:t xml:space="preserve"> uzlaboj</w:t>
            </w:r>
            <w:r w:rsidR="00AF0E0F">
              <w:rPr>
                <w:sz w:val="26"/>
                <w:szCs w:val="26"/>
              </w:rPr>
              <w:t>ot esošo regulējumu atbilstoši D</w:t>
            </w:r>
            <w:r w:rsidRPr="00290041">
              <w:rPr>
                <w:sz w:val="26"/>
                <w:szCs w:val="26"/>
              </w:rPr>
              <w:t>irektīvai 20</w:t>
            </w:r>
            <w:r w:rsidR="000940BC" w:rsidRPr="00290041">
              <w:rPr>
                <w:sz w:val="26"/>
                <w:szCs w:val="26"/>
              </w:rPr>
              <w:t>14</w:t>
            </w:r>
            <w:r w:rsidRPr="00290041">
              <w:rPr>
                <w:sz w:val="26"/>
                <w:szCs w:val="26"/>
              </w:rPr>
              <w:t>/</w:t>
            </w:r>
            <w:r w:rsidR="000940BC" w:rsidRPr="00290041">
              <w:rPr>
                <w:sz w:val="26"/>
                <w:szCs w:val="26"/>
              </w:rPr>
              <w:t>17</w:t>
            </w:r>
            <w:r w:rsidRPr="00290041">
              <w:rPr>
                <w:sz w:val="26"/>
                <w:szCs w:val="26"/>
              </w:rPr>
              <w:t xml:space="preserve">/EK un esošajai ekonomiskajai situācijai. </w:t>
            </w:r>
          </w:p>
          <w:p w:rsidR="00E83116" w:rsidRPr="00290041" w:rsidRDefault="00E83116" w:rsidP="00E83116">
            <w:pPr>
              <w:pStyle w:val="NormalWeb"/>
              <w:spacing w:before="0" w:beforeAutospacing="0" w:after="0" w:afterAutospacing="0"/>
              <w:ind w:firstLine="397"/>
              <w:jc w:val="both"/>
              <w:rPr>
                <w:sz w:val="26"/>
                <w:szCs w:val="26"/>
              </w:rPr>
            </w:pPr>
            <w:r w:rsidRPr="00290041">
              <w:rPr>
                <w:sz w:val="26"/>
                <w:szCs w:val="26"/>
              </w:rPr>
              <w:t xml:space="preserve">Noteikumu projekts uzliek jaunus tiesiskus pienākumus kredītu devējiem, tai skaitā papildus informācijas sniegšanu patērētājam pirms kreditēšanas līguma noslēgšanas par piedāvāto </w:t>
            </w:r>
            <w:r w:rsidR="000940BC" w:rsidRPr="00290041">
              <w:rPr>
                <w:sz w:val="26"/>
                <w:szCs w:val="26"/>
              </w:rPr>
              <w:t xml:space="preserve">hipotekārās </w:t>
            </w:r>
            <w:r w:rsidRPr="00290041">
              <w:rPr>
                <w:sz w:val="26"/>
                <w:szCs w:val="26"/>
              </w:rPr>
              <w:t>kreditēšanas pakalpojumu.</w:t>
            </w:r>
          </w:p>
          <w:p w:rsidR="005A7D7D" w:rsidRPr="00290041" w:rsidRDefault="00E83116" w:rsidP="00E83116">
            <w:pPr>
              <w:pStyle w:val="naiskr"/>
              <w:spacing w:before="0" w:after="80"/>
              <w:jc w:val="both"/>
              <w:rPr>
                <w:iCs/>
                <w:sz w:val="26"/>
                <w:szCs w:val="26"/>
              </w:rPr>
            </w:pPr>
            <w:r w:rsidRPr="00290041">
              <w:rPr>
                <w:sz w:val="26"/>
                <w:szCs w:val="26"/>
              </w:rPr>
              <w:t xml:space="preserve">Noteikumu projekts papildina patērētāju tiesību apjomu kreditēšanas jomā, piemēram, saņemt </w:t>
            </w:r>
            <w:proofErr w:type="spellStart"/>
            <w:r w:rsidRPr="00290041">
              <w:rPr>
                <w:sz w:val="26"/>
                <w:szCs w:val="26"/>
              </w:rPr>
              <w:t>pirmslīguma</w:t>
            </w:r>
            <w:proofErr w:type="spellEnd"/>
            <w:r w:rsidRPr="00290041">
              <w:rPr>
                <w:sz w:val="26"/>
                <w:szCs w:val="26"/>
              </w:rPr>
              <w:t xml:space="preserve"> informāciju par piedāvāto pakalpojumu, lai varētu pieņemt uz informāciju balstītu ekonomiski izdevīgu lēmumu, kā arī pieprasīt kreditēšanas līguma projektu, lai varētu ar to iepazīties pirms līguma parakstīšanas.</w:t>
            </w:r>
          </w:p>
        </w:tc>
      </w:tr>
      <w:tr w:rsidR="005A7D7D" w:rsidRPr="00290041" w:rsidTr="002F21AE">
        <w:trPr>
          <w:trHeight w:val="357"/>
        </w:trPr>
        <w:tc>
          <w:tcPr>
            <w:tcW w:w="341" w:type="dxa"/>
          </w:tcPr>
          <w:p w:rsidR="005A7D7D" w:rsidRPr="00290041" w:rsidRDefault="005A7D7D" w:rsidP="005A7D7D">
            <w:pPr>
              <w:pStyle w:val="naiskr"/>
              <w:spacing w:before="0" w:after="0"/>
              <w:rPr>
                <w:sz w:val="26"/>
                <w:szCs w:val="26"/>
              </w:rPr>
            </w:pPr>
            <w:r w:rsidRPr="00290041">
              <w:rPr>
                <w:sz w:val="26"/>
                <w:szCs w:val="26"/>
              </w:rPr>
              <w:t>3.</w:t>
            </w:r>
          </w:p>
        </w:tc>
        <w:tc>
          <w:tcPr>
            <w:tcW w:w="2835" w:type="dxa"/>
          </w:tcPr>
          <w:p w:rsidR="005A7D7D" w:rsidRPr="00290041" w:rsidRDefault="005A7D7D" w:rsidP="005A7D7D">
            <w:pPr>
              <w:pStyle w:val="naiskr"/>
              <w:spacing w:before="0" w:after="0"/>
              <w:rPr>
                <w:sz w:val="26"/>
                <w:szCs w:val="26"/>
              </w:rPr>
            </w:pPr>
            <w:r w:rsidRPr="00290041">
              <w:rPr>
                <w:sz w:val="26"/>
                <w:szCs w:val="26"/>
              </w:rPr>
              <w:t>Administratīvo izmaksu monetārs novērtējums</w:t>
            </w:r>
          </w:p>
        </w:tc>
        <w:tc>
          <w:tcPr>
            <w:tcW w:w="6379" w:type="dxa"/>
          </w:tcPr>
          <w:p w:rsidR="005A7D7D" w:rsidRPr="00290041" w:rsidRDefault="00636844" w:rsidP="00817DA0">
            <w:pPr>
              <w:pStyle w:val="naiskr"/>
              <w:spacing w:before="0" w:after="80"/>
              <w:jc w:val="both"/>
              <w:rPr>
                <w:iCs/>
                <w:sz w:val="26"/>
                <w:szCs w:val="26"/>
              </w:rPr>
            </w:pPr>
            <w:r>
              <w:rPr>
                <w:iCs/>
                <w:sz w:val="26"/>
                <w:szCs w:val="26"/>
              </w:rPr>
              <w:t>Nav attiecināms.</w:t>
            </w:r>
          </w:p>
        </w:tc>
      </w:tr>
      <w:tr w:rsidR="00483078" w:rsidRPr="00290041" w:rsidTr="002F21AE">
        <w:tc>
          <w:tcPr>
            <w:tcW w:w="341" w:type="dxa"/>
          </w:tcPr>
          <w:p w:rsidR="00483078" w:rsidRPr="00290041" w:rsidRDefault="00483078" w:rsidP="00D86A32">
            <w:pPr>
              <w:pStyle w:val="naiskr"/>
              <w:spacing w:before="0" w:after="0"/>
              <w:rPr>
                <w:sz w:val="26"/>
                <w:szCs w:val="26"/>
              </w:rPr>
            </w:pPr>
            <w:r w:rsidRPr="00290041">
              <w:rPr>
                <w:sz w:val="26"/>
                <w:szCs w:val="26"/>
              </w:rPr>
              <w:t>4.</w:t>
            </w:r>
          </w:p>
        </w:tc>
        <w:tc>
          <w:tcPr>
            <w:tcW w:w="2835" w:type="dxa"/>
          </w:tcPr>
          <w:p w:rsidR="00483078" w:rsidRPr="00290041" w:rsidRDefault="00483078" w:rsidP="00D86A32">
            <w:pPr>
              <w:pStyle w:val="naiskr"/>
              <w:spacing w:before="0" w:after="0"/>
              <w:rPr>
                <w:sz w:val="26"/>
                <w:szCs w:val="26"/>
              </w:rPr>
            </w:pPr>
            <w:r w:rsidRPr="00290041">
              <w:rPr>
                <w:sz w:val="26"/>
                <w:szCs w:val="26"/>
              </w:rPr>
              <w:t>Cita informācija</w:t>
            </w:r>
          </w:p>
        </w:tc>
        <w:tc>
          <w:tcPr>
            <w:tcW w:w="6379" w:type="dxa"/>
          </w:tcPr>
          <w:p w:rsidR="00483078" w:rsidRPr="00290041" w:rsidRDefault="00483078" w:rsidP="00D86A32">
            <w:pPr>
              <w:pStyle w:val="naiskr"/>
              <w:spacing w:before="0" w:after="0"/>
              <w:rPr>
                <w:sz w:val="26"/>
                <w:szCs w:val="26"/>
              </w:rPr>
            </w:pPr>
            <w:r w:rsidRPr="00290041">
              <w:rPr>
                <w:sz w:val="26"/>
                <w:szCs w:val="26"/>
              </w:rPr>
              <w:t>Nav</w:t>
            </w:r>
          </w:p>
        </w:tc>
      </w:tr>
    </w:tbl>
    <w:p w:rsidR="00AF0E0F" w:rsidRPr="00290041" w:rsidRDefault="00AF0E0F">
      <w:pPr>
        <w:pStyle w:val="NormalWeb"/>
        <w:spacing w:before="0" w:beforeAutospacing="0" w:after="0" w:afterAutospacing="0"/>
        <w:rPr>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3"/>
        <w:gridCol w:w="5565"/>
      </w:tblGrid>
      <w:tr w:rsidR="00E83116" w:rsidRPr="00290041" w:rsidTr="002F606E">
        <w:trPr>
          <w:jc w:val="center"/>
        </w:trPr>
        <w:tc>
          <w:tcPr>
            <w:tcW w:w="9634" w:type="dxa"/>
            <w:gridSpan w:val="3"/>
          </w:tcPr>
          <w:p w:rsidR="00E83116" w:rsidRPr="00290041" w:rsidRDefault="00E83116" w:rsidP="00577445">
            <w:pPr>
              <w:pStyle w:val="naisnod"/>
              <w:spacing w:before="0" w:after="0"/>
              <w:jc w:val="both"/>
              <w:rPr>
                <w:sz w:val="26"/>
                <w:szCs w:val="26"/>
              </w:rPr>
            </w:pPr>
            <w:r w:rsidRPr="00290041">
              <w:rPr>
                <w:sz w:val="26"/>
                <w:szCs w:val="26"/>
              </w:rPr>
              <w:t>V. Tiesību akta projekta atbilstība Latvijas Republikas starptautiskajām saistībām</w:t>
            </w:r>
          </w:p>
        </w:tc>
      </w:tr>
      <w:tr w:rsidR="00E83116" w:rsidRPr="00290041" w:rsidTr="002F606E">
        <w:trPr>
          <w:jc w:val="center"/>
        </w:trPr>
        <w:tc>
          <w:tcPr>
            <w:tcW w:w="426"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1.</w:t>
            </w:r>
          </w:p>
        </w:tc>
        <w:tc>
          <w:tcPr>
            <w:tcW w:w="3643" w:type="dxa"/>
          </w:tcPr>
          <w:p w:rsidR="00E83116" w:rsidRPr="00290041" w:rsidRDefault="00E83116" w:rsidP="00577445">
            <w:pPr>
              <w:pStyle w:val="naiskr"/>
              <w:tabs>
                <w:tab w:val="left" w:pos="2628"/>
              </w:tabs>
              <w:spacing w:before="0" w:after="0"/>
              <w:jc w:val="both"/>
              <w:rPr>
                <w:iCs/>
                <w:sz w:val="26"/>
                <w:szCs w:val="26"/>
              </w:rPr>
            </w:pPr>
            <w:r w:rsidRPr="00290041">
              <w:rPr>
                <w:sz w:val="26"/>
                <w:szCs w:val="26"/>
              </w:rPr>
              <w:t>Saistības pret Eiropas Savienību</w:t>
            </w:r>
          </w:p>
        </w:tc>
        <w:tc>
          <w:tcPr>
            <w:tcW w:w="5565" w:type="dxa"/>
          </w:tcPr>
          <w:p w:rsidR="00E83116" w:rsidRPr="00290041" w:rsidRDefault="00E83116" w:rsidP="004D2812">
            <w:pPr>
              <w:pStyle w:val="naiskr"/>
              <w:tabs>
                <w:tab w:val="left" w:pos="2628"/>
              </w:tabs>
              <w:spacing w:before="0" w:after="0"/>
              <w:ind w:firstLine="354"/>
              <w:jc w:val="both"/>
              <w:rPr>
                <w:bCs/>
                <w:sz w:val="26"/>
                <w:szCs w:val="26"/>
              </w:rPr>
            </w:pPr>
            <w:r w:rsidRPr="00290041">
              <w:rPr>
                <w:sz w:val="26"/>
                <w:szCs w:val="26"/>
              </w:rPr>
              <w:t>1) Eiropas Parlamenta un Padomes 2008.gada 23.aprīļa direktīva 2008/48/EK</w:t>
            </w:r>
            <w:r w:rsidRPr="00290041">
              <w:rPr>
                <w:b/>
                <w:bCs/>
                <w:sz w:val="26"/>
                <w:szCs w:val="26"/>
              </w:rPr>
              <w:t xml:space="preserve"> </w:t>
            </w:r>
            <w:r w:rsidRPr="00290041">
              <w:rPr>
                <w:bCs/>
                <w:i/>
                <w:sz w:val="26"/>
                <w:szCs w:val="26"/>
              </w:rPr>
              <w:t>par patēriņa kredītlīgumiem un ar ko atceļ Direktīvu 87/102/EEK</w:t>
            </w:r>
            <w:r w:rsidRPr="00290041">
              <w:rPr>
                <w:bCs/>
                <w:sz w:val="26"/>
                <w:szCs w:val="26"/>
              </w:rPr>
              <w:t xml:space="preserve">, kas ir piemērojama no 2010.gada </w:t>
            </w:r>
            <w:r w:rsidRPr="00290041">
              <w:rPr>
                <w:bCs/>
                <w:sz w:val="26"/>
                <w:szCs w:val="26"/>
              </w:rPr>
              <w:lastRenderedPageBreak/>
              <w:t>11.jūnija</w:t>
            </w:r>
            <w:r w:rsidR="00771E13" w:rsidRPr="00290041">
              <w:rPr>
                <w:bCs/>
                <w:sz w:val="26"/>
                <w:szCs w:val="26"/>
              </w:rPr>
              <w:t xml:space="preserve"> </w:t>
            </w:r>
            <w:r w:rsidR="00771E13" w:rsidRPr="00290041">
              <w:rPr>
                <w:bCs/>
                <w:i/>
                <w:sz w:val="26"/>
                <w:szCs w:val="26"/>
              </w:rPr>
              <w:t xml:space="preserve">(jau ieviesta Latvijas tiesību aktos ar Patērētāju tiesību aizsardzības likumu un </w:t>
            </w:r>
            <w:r w:rsidR="00771E13" w:rsidRPr="00290041">
              <w:rPr>
                <w:i/>
                <w:sz w:val="26"/>
                <w:szCs w:val="26"/>
              </w:rPr>
              <w:t>Ministru kabineta 2010.gada 28.decembra noteikumiem Nr.1219 “Noteikumi par patērētāju kreditēšanu”</w:t>
            </w:r>
            <w:r w:rsidR="00771E13" w:rsidRPr="00290041">
              <w:rPr>
                <w:bCs/>
                <w:i/>
                <w:sz w:val="26"/>
                <w:szCs w:val="26"/>
              </w:rPr>
              <w:t>)</w:t>
            </w:r>
            <w:r w:rsidRPr="00290041">
              <w:rPr>
                <w:bCs/>
                <w:sz w:val="26"/>
                <w:szCs w:val="26"/>
              </w:rPr>
              <w:t>;</w:t>
            </w:r>
          </w:p>
          <w:p w:rsidR="00E83116" w:rsidRPr="00290041" w:rsidRDefault="00E83116" w:rsidP="004D2812">
            <w:pPr>
              <w:pStyle w:val="naiskr"/>
              <w:tabs>
                <w:tab w:val="left" w:pos="2628"/>
              </w:tabs>
              <w:spacing w:before="0" w:after="0"/>
              <w:ind w:firstLine="354"/>
              <w:jc w:val="both"/>
              <w:rPr>
                <w:sz w:val="26"/>
                <w:szCs w:val="26"/>
              </w:rPr>
            </w:pPr>
            <w:r w:rsidRPr="00290041">
              <w:rPr>
                <w:bCs/>
                <w:sz w:val="26"/>
                <w:szCs w:val="26"/>
              </w:rPr>
              <w:t xml:space="preserve">2) </w:t>
            </w:r>
            <w:r w:rsidRPr="00290041">
              <w:rPr>
                <w:sz w:val="26"/>
                <w:szCs w:val="26"/>
              </w:rPr>
              <w:t>Labojums Eiropas Parlamenta un Padomes Direktīvā 2008/48/EK (2008. gada 23. aprīlis) par patēriņa kredītlīgumiem un ar ko atceļ Direktīvu 87/102/EEK</w:t>
            </w:r>
            <w:r w:rsidR="00771E13" w:rsidRPr="00290041">
              <w:rPr>
                <w:sz w:val="26"/>
                <w:szCs w:val="26"/>
              </w:rPr>
              <w:t xml:space="preserve"> </w:t>
            </w:r>
            <w:r w:rsidR="00771E13" w:rsidRPr="00290041">
              <w:rPr>
                <w:bCs/>
                <w:i/>
                <w:sz w:val="26"/>
                <w:szCs w:val="26"/>
              </w:rPr>
              <w:t xml:space="preserve">(jau ieviesta Latvijas tiesību aktos ar Patērētāju tiesību aizsardzības likumu un </w:t>
            </w:r>
            <w:r w:rsidR="00771E13" w:rsidRPr="00290041">
              <w:rPr>
                <w:i/>
                <w:sz w:val="26"/>
                <w:szCs w:val="26"/>
              </w:rPr>
              <w:t>Ministru kabineta 2010.gada 28.decembra noteikumiem Nr.1219 “Noteikumi par patērētāju kreditēšanu”</w:t>
            </w:r>
            <w:r w:rsidR="00771E13" w:rsidRPr="00290041">
              <w:rPr>
                <w:bCs/>
                <w:i/>
                <w:sz w:val="26"/>
                <w:szCs w:val="26"/>
              </w:rPr>
              <w:t>);</w:t>
            </w:r>
          </w:p>
          <w:p w:rsidR="00890B71" w:rsidRPr="00290041" w:rsidRDefault="00890B71" w:rsidP="004D2812">
            <w:pPr>
              <w:pStyle w:val="naiskr"/>
              <w:tabs>
                <w:tab w:val="left" w:pos="2628"/>
              </w:tabs>
              <w:spacing w:before="0" w:after="0"/>
              <w:ind w:firstLine="354"/>
              <w:jc w:val="both"/>
              <w:rPr>
                <w:bCs/>
                <w:sz w:val="26"/>
                <w:szCs w:val="26"/>
              </w:rPr>
            </w:pPr>
            <w:r w:rsidRPr="00290041">
              <w:rPr>
                <w:sz w:val="26"/>
                <w:szCs w:val="26"/>
              </w:rPr>
              <w:t xml:space="preserve">3) Eiropas Parlamenta un Padomes 2014.gada 4.februāra direktīva 2014/17/ES  </w:t>
            </w:r>
            <w:r w:rsidRPr="00290041">
              <w:rPr>
                <w:i/>
                <w:sz w:val="26"/>
                <w:szCs w:val="26"/>
              </w:rPr>
              <w:t>par patērētāju kredītlīgumiem saistībā ar mājokļa nekustamo īpašumu un ar ko groza Direktīvas 2008/48/EK un 2013/36/ES un Regulu (ES) Nr. 1093/2010</w:t>
            </w:r>
          </w:p>
        </w:tc>
      </w:tr>
      <w:tr w:rsidR="00E83116" w:rsidRPr="00290041" w:rsidTr="002F606E">
        <w:trPr>
          <w:jc w:val="center"/>
        </w:trPr>
        <w:tc>
          <w:tcPr>
            <w:tcW w:w="426"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lastRenderedPageBreak/>
              <w:t>2.</w:t>
            </w:r>
          </w:p>
        </w:tc>
        <w:tc>
          <w:tcPr>
            <w:tcW w:w="3643" w:type="dxa"/>
          </w:tcPr>
          <w:p w:rsidR="00E83116" w:rsidRPr="00290041" w:rsidRDefault="00E83116" w:rsidP="00577445">
            <w:pPr>
              <w:pStyle w:val="naiskr"/>
              <w:tabs>
                <w:tab w:val="left" w:pos="2628"/>
              </w:tabs>
              <w:spacing w:before="0" w:after="0"/>
              <w:jc w:val="both"/>
              <w:rPr>
                <w:iCs/>
                <w:sz w:val="26"/>
                <w:szCs w:val="26"/>
              </w:rPr>
            </w:pPr>
            <w:r w:rsidRPr="00290041">
              <w:rPr>
                <w:sz w:val="26"/>
                <w:szCs w:val="26"/>
              </w:rPr>
              <w:t>Citas starptautiskās saistības</w:t>
            </w:r>
          </w:p>
        </w:tc>
        <w:tc>
          <w:tcPr>
            <w:tcW w:w="5565"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Nav</w:t>
            </w:r>
          </w:p>
        </w:tc>
      </w:tr>
      <w:tr w:rsidR="00E83116" w:rsidRPr="00290041" w:rsidTr="002F606E">
        <w:trPr>
          <w:jc w:val="center"/>
        </w:trPr>
        <w:tc>
          <w:tcPr>
            <w:tcW w:w="426"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3.</w:t>
            </w:r>
          </w:p>
        </w:tc>
        <w:tc>
          <w:tcPr>
            <w:tcW w:w="3643" w:type="dxa"/>
          </w:tcPr>
          <w:p w:rsidR="00E83116" w:rsidRPr="00290041" w:rsidRDefault="00E83116" w:rsidP="00577445">
            <w:pPr>
              <w:pStyle w:val="naiskr"/>
              <w:tabs>
                <w:tab w:val="left" w:pos="2628"/>
              </w:tabs>
              <w:spacing w:before="0" w:after="0"/>
              <w:jc w:val="both"/>
              <w:rPr>
                <w:sz w:val="26"/>
                <w:szCs w:val="26"/>
              </w:rPr>
            </w:pPr>
            <w:r w:rsidRPr="00290041">
              <w:rPr>
                <w:sz w:val="26"/>
                <w:szCs w:val="26"/>
              </w:rPr>
              <w:t>Cita informācija</w:t>
            </w:r>
          </w:p>
        </w:tc>
        <w:tc>
          <w:tcPr>
            <w:tcW w:w="5565" w:type="dxa"/>
          </w:tcPr>
          <w:p w:rsidR="00E83116" w:rsidRPr="00290041" w:rsidRDefault="00E83116" w:rsidP="00577445">
            <w:pPr>
              <w:pStyle w:val="naiskr"/>
              <w:tabs>
                <w:tab w:val="left" w:pos="2628"/>
              </w:tabs>
              <w:spacing w:before="0" w:after="0"/>
              <w:jc w:val="both"/>
              <w:rPr>
                <w:iCs/>
                <w:sz w:val="26"/>
                <w:szCs w:val="26"/>
              </w:rPr>
            </w:pPr>
            <w:r w:rsidRPr="00290041">
              <w:rPr>
                <w:iCs/>
                <w:sz w:val="26"/>
                <w:szCs w:val="26"/>
              </w:rPr>
              <w:t>Nav</w:t>
            </w:r>
          </w:p>
        </w:tc>
      </w:tr>
    </w:tbl>
    <w:p w:rsidR="00AF0E0F" w:rsidRPr="00290041" w:rsidRDefault="00AF0E0F" w:rsidP="00E83116">
      <w:pPr>
        <w:pStyle w:val="naisf"/>
        <w:spacing w:before="0" w:after="0"/>
        <w:rPr>
          <w:sz w:val="26"/>
          <w:szCs w:val="26"/>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407"/>
        <w:gridCol w:w="2407"/>
        <w:gridCol w:w="2407"/>
        <w:gridCol w:w="2407"/>
      </w:tblGrid>
      <w:tr w:rsidR="00E83116" w:rsidRPr="00290041" w:rsidTr="002F606E">
        <w:trPr>
          <w:trHeight w:val="523"/>
          <w:jc w:val="center"/>
        </w:trPr>
        <w:tc>
          <w:tcPr>
            <w:tcW w:w="9628" w:type="dxa"/>
            <w:gridSpan w:val="4"/>
            <w:vAlign w:val="center"/>
          </w:tcPr>
          <w:p w:rsidR="00E83116" w:rsidRPr="00290041" w:rsidRDefault="00E83116" w:rsidP="00577445">
            <w:pPr>
              <w:pStyle w:val="naisnod"/>
              <w:spacing w:before="0" w:after="0"/>
              <w:rPr>
                <w:sz w:val="26"/>
                <w:szCs w:val="26"/>
              </w:rPr>
            </w:pPr>
            <w:r w:rsidRPr="00290041">
              <w:rPr>
                <w:sz w:val="26"/>
                <w:szCs w:val="26"/>
              </w:rPr>
              <w:t xml:space="preserve">1.tabula </w:t>
            </w:r>
          </w:p>
          <w:p w:rsidR="00E83116" w:rsidRPr="00290041" w:rsidRDefault="00E83116" w:rsidP="00577445">
            <w:pPr>
              <w:pStyle w:val="naisnod"/>
              <w:spacing w:before="0" w:after="0"/>
              <w:rPr>
                <w:i/>
                <w:sz w:val="26"/>
                <w:szCs w:val="26"/>
              </w:rPr>
            </w:pPr>
            <w:r w:rsidRPr="00290041">
              <w:rPr>
                <w:sz w:val="26"/>
                <w:szCs w:val="26"/>
              </w:rPr>
              <w:t>Tiesību akta projekta atbilstība ES tiesību aktiem</w:t>
            </w:r>
          </w:p>
        </w:tc>
      </w:tr>
      <w:tr w:rsidR="00E83116" w:rsidRPr="00290041" w:rsidTr="002F606E">
        <w:trPr>
          <w:trHeight w:val="163"/>
          <w:jc w:val="center"/>
        </w:trPr>
        <w:tc>
          <w:tcPr>
            <w:tcW w:w="9628" w:type="dxa"/>
            <w:gridSpan w:val="4"/>
            <w:vAlign w:val="center"/>
          </w:tcPr>
          <w:p w:rsidR="00E83116" w:rsidRPr="00290041" w:rsidRDefault="00E83116" w:rsidP="00577445">
            <w:pPr>
              <w:pStyle w:val="naiskr"/>
              <w:spacing w:before="0" w:after="0"/>
              <w:rPr>
                <w:i/>
                <w:sz w:val="26"/>
                <w:szCs w:val="26"/>
              </w:rPr>
            </w:pPr>
          </w:p>
        </w:tc>
      </w:tr>
      <w:tr w:rsidR="00E83116" w:rsidRPr="00290041" w:rsidTr="002F606E">
        <w:trPr>
          <w:trHeight w:val="165"/>
          <w:jc w:val="center"/>
        </w:trPr>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A</w:t>
            </w:r>
          </w:p>
        </w:tc>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B</w:t>
            </w:r>
          </w:p>
        </w:tc>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C</w:t>
            </w:r>
          </w:p>
        </w:tc>
        <w:tc>
          <w:tcPr>
            <w:tcW w:w="2407" w:type="dxa"/>
            <w:vAlign w:val="center"/>
          </w:tcPr>
          <w:p w:rsidR="00E83116" w:rsidRPr="00290041" w:rsidRDefault="00E83116" w:rsidP="00577445">
            <w:pPr>
              <w:pStyle w:val="naiskr"/>
              <w:spacing w:before="0" w:after="0"/>
              <w:jc w:val="center"/>
              <w:rPr>
                <w:sz w:val="26"/>
                <w:szCs w:val="26"/>
              </w:rPr>
            </w:pPr>
            <w:r w:rsidRPr="00290041">
              <w:rPr>
                <w:sz w:val="26"/>
                <w:szCs w:val="26"/>
              </w:rPr>
              <w:t>D</w:t>
            </w:r>
          </w:p>
        </w:tc>
      </w:tr>
      <w:tr w:rsidR="00E83116" w:rsidRPr="00290041" w:rsidTr="002F606E">
        <w:trPr>
          <w:trHeight w:val="552"/>
          <w:jc w:val="center"/>
        </w:trPr>
        <w:tc>
          <w:tcPr>
            <w:tcW w:w="2407" w:type="dxa"/>
          </w:tcPr>
          <w:p w:rsidR="00E83116" w:rsidRPr="00290041" w:rsidRDefault="00ED4BD8" w:rsidP="00577445">
            <w:pPr>
              <w:pStyle w:val="naiskr"/>
              <w:spacing w:before="0" w:after="0"/>
              <w:rPr>
                <w:sz w:val="26"/>
                <w:szCs w:val="26"/>
              </w:rPr>
            </w:pPr>
            <w:r w:rsidRPr="00290041">
              <w:rPr>
                <w:sz w:val="26"/>
                <w:szCs w:val="26"/>
              </w:rPr>
              <w:t>Direktīvas 2014/17/ES 4.panta 1</w:t>
            </w:r>
            <w:r w:rsidR="005F7C8D" w:rsidRPr="00290041">
              <w:rPr>
                <w:sz w:val="26"/>
                <w:szCs w:val="26"/>
              </w:rPr>
              <w:t>4</w:t>
            </w:r>
            <w:r w:rsidRPr="00290041">
              <w:rPr>
                <w:sz w:val="26"/>
                <w:szCs w:val="26"/>
              </w:rPr>
              <w:t>.apakšpunkts</w:t>
            </w:r>
          </w:p>
        </w:tc>
        <w:tc>
          <w:tcPr>
            <w:tcW w:w="2407" w:type="dxa"/>
          </w:tcPr>
          <w:p w:rsidR="00E83116" w:rsidRPr="00290041" w:rsidRDefault="005F7C8D" w:rsidP="00577445">
            <w:pPr>
              <w:pStyle w:val="naiskr"/>
              <w:spacing w:before="0" w:after="0"/>
              <w:rPr>
                <w:sz w:val="26"/>
                <w:szCs w:val="26"/>
              </w:rPr>
            </w:pPr>
            <w:r w:rsidRPr="00290041">
              <w:rPr>
                <w:sz w:val="26"/>
                <w:szCs w:val="26"/>
              </w:rPr>
              <w:t>2.1.apakšpunkts</w:t>
            </w:r>
          </w:p>
        </w:tc>
        <w:tc>
          <w:tcPr>
            <w:tcW w:w="2407" w:type="dxa"/>
          </w:tcPr>
          <w:p w:rsidR="00E83116" w:rsidRPr="00290041" w:rsidRDefault="00E83116" w:rsidP="00577445">
            <w:pPr>
              <w:pStyle w:val="naiskr"/>
              <w:spacing w:before="0" w:after="0"/>
              <w:rPr>
                <w:sz w:val="26"/>
                <w:szCs w:val="26"/>
              </w:rPr>
            </w:pPr>
            <w:r w:rsidRPr="00290041">
              <w:rPr>
                <w:sz w:val="26"/>
                <w:szCs w:val="26"/>
              </w:rPr>
              <w:t>Ieviests pilnībā.</w:t>
            </w:r>
          </w:p>
          <w:p w:rsidR="00E83116" w:rsidRPr="00290041" w:rsidRDefault="00E83116" w:rsidP="00577445">
            <w:pPr>
              <w:pStyle w:val="naiskr"/>
              <w:spacing w:before="0" w:after="0"/>
              <w:rPr>
                <w:sz w:val="26"/>
                <w:szCs w:val="26"/>
              </w:rPr>
            </w:pPr>
          </w:p>
        </w:tc>
        <w:tc>
          <w:tcPr>
            <w:tcW w:w="2407" w:type="dxa"/>
          </w:tcPr>
          <w:p w:rsidR="00E83116" w:rsidRPr="00290041" w:rsidRDefault="00E83116"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4.panta 15.apakšpunkts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2.2.apakšpunkts,</w:t>
            </w:r>
          </w:p>
          <w:p w:rsidR="005F7C8D" w:rsidRPr="00290041" w:rsidRDefault="005F7C8D" w:rsidP="005F7C8D">
            <w:pPr>
              <w:pStyle w:val="naiskr"/>
              <w:spacing w:before="0" w:after="0"/>
              <w:rPr>
                <w:sz w:val="26"/>
                <w:szCs w:val="26"/>
              </w:rPr>
            </w:pPr>
            <w:r w:rsidRPr="00290041">
              <w:rPr>
                <w:sz w:val="26"/>
                <w:szCs w:val="26"/>
              </w:rPr>
              <w:t>5.punkts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4.panta 16.apakšpunkts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2.3.apakšpunkts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4.panta 12.apakšpunkts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2.6.apakšpunkts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4.panta 28.apakšpunkts</w:t>
            </w:r>
          </w:p>
        </w:tc>
        <w:tc>
          <w:tcPr>
            <w:tcW w:w="2407" w:type="dxa"/>
          </w:tcPr>
          <w:p w:rsidR="005F7C8D" w:rsidRPr="00290041" w:rsidRDefault="005F7C8D" w:rsidP="005F7C8D">
            <w:pPr>
              <w:pStyle w:val="naiskr"/>
              <w:spacing w:before="0" w:after="0"/>
              <w:rPr>
                <w:sz w:val="26"/>
                <w:szCs w:val="26"/>
              </w:rPr>
            </w:pPr>
            <w:r w:rsidRPr="00290041">
              <w:rPr>
                <w:sz w:val="26"/>
                <w:szCs w:val="26"/>
              </w:rPr>
              <w:t>2.5.apakšpunkts</w:t>
            </w:r>
          </w:p>
        </w:tc>
        <w:tc>
          <w:tcPr>
            <w:tcW w:w="2407" w:type="dxa"/>
          </w:tcPr>
          <w:p w:rsidR="005F7C8D" w:rsidRPr="00290041" w:rsidRDefault="005F7C8D" w:rsidP="005F7C8D">
            <w:pPr>
              <w:pStyle w:val="naiskr"/>
              <w:spacing w:before="0" w:after="0"/>
              <w:rPr>
                <w:sz w:val="26"/>
                <w:szCs w:val="26"/>
              </w:rPr>
            </w:pPr>
            <w:r w:rsidRPr="00290041">
              <w:rPr>
                <w:sz w:val="26"/>
                <w:szCs w:val="26"/>
              </w:rPr>
              <w:t>Ieviests pilnībā.</w:t>
            </w:r>
          </w:p>
          <w:p w:rsidR="005F7C8D" w:rsidRPr="00290041" w:rsidRDefault="005F7C8D" w:rsidP="005F7C8D">
            <w:pPr>
              <w:pStyle w:val="naiskr"/>
              <w:spacing w:before="0" w:after="0"/>
              <w:rPr>
                <w:sz w:val="26"/>
                <w:szCs w:val="26"/>
              </w:rPr>
            </w:pPr>
          </w:p>
        </w:tc>
        <w:tc>
          <w:tcPr>
            <w:tcW w:w="2407" w:type="dxa"/>
          </w:tcPr>
          <w:p w:rsidR="005F7C8D" w:rsidRPr="00290041" w:rsidRDefault="005F7C8D" w:rsidP="005F7C8D">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3.panta 2.punkta (b)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3.1.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t>Direktīvas 2014/17/ES 3.panta 2.punkta (c)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3.7.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lastRenderedPageBreak/>
              <w:t>Direktīvas 2014/17/ES 3.panta 2.punkta (e)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3.3.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t>Direktīvas 2014/17/ES 3.panta 2.punkta (f)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3.4. apakšpunkts</w:t>
            </w:r>
          </w:p>
        </w:tc>
        <w:tc>
          <w:tcPr>
            <w:tcW w:w="2407" w:type="dxa"/>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77445">
            <w:pPr>
              <w:pStyle w:val="naiskr"/>
              <w:spacing w:before="0" w:after="0"/>
              <w:rPr>
                <w:sz w:val="26"/>
                <w:szCs w:val="26"/>
              </w:rPr>
            </w:pPr>
            <w:r w:rsidRPr="00290041">
              <w:rPr>
                <w:sz w:val="26"/>
                <w:szCs w:val="26"/>
              </w:rPr>
              <w:t xml:space="preserve">Direktīvas 2014/17/ES 3.panta 3.punkta (c) apakšpunkts, </w:t>
            </w:r>
          </w:p>
        </w:tc>
        <w:tc>
          <w:tcPr>
            <w:tcW w:w="2407" w:type="dxa"/>
            <w:vMerge w:val="restart"/>
          </w:tcPr>
          <w:p w:rsidR="005F7C8D" w:rsidRPr="00290041" w:rsidRDefault="005F7C8D" w:rsidP="00577445">
            <w:pPr>
              <w:pStyle w:val="naiskr"/>
              <w:spacing w:before="0" w:after="0"/>
              <w:rPr>
                <w:sz w:val="26"/>
                <w:szCs w:val="26"/>
              </w:rPr>
            </w:pPr>
            <w:r w:rsidRPr="00290041">
              <w:rPr>
                <w:sz w:val="26"/>
                <w:szCs w:val="26"/>
              </w:rPr>
              <w:t>3.5. apakšpunkts</w:t>
            </w:r>
          </w:p>
        </w:tc>
        <w:tc>
          <w:tcPr>
            <w:tcW w:w="2407" w:type="dxa"/>
            <w:vMerge w:val="restart"/>
          </w:tcPr>
          <w:p w:rsidR="005F7C8D" w:rsidRPr="00290041" w:rsidRDefault="005F7C8D" w:rsidP="00577445">
            <w:pPr>
              <w:pStyle w:val="naiskr"/>
              <w:spacing w:before="0" w:after="0"/>
              <w:rPr>
                <w:sz w:val="26"/>
                <w:szCs w:val="26"/>
              </w:rPr>
            </w:pPr>
            <w:r w:rsidRPr="00290041">
              <w:rPr>
                <w:sz w:val="26"/>
                <w:szCs w:val="26"/>
              </w:rPr>
              <w:t>Ieviests pilnībā.</w:t>
            </w:r>
          </w:p>
          <w:p w:rsidR="005F7C8D" w:rsidRPr="00290041" w:rsidRDefault="005F7C8D" w:rsidP="00577445">
            <w:pPr>
              <w:pStyle w:val="naiskr"/>
              <w:spacing w:before="0" w:after="0"/>
              <w:rPr>
                <w:sz w:val="26"/>
                <w:szCs w:val="26"/>
              </w:rPr>
            </w:pPr>
          </w:p>
        </w:tc>
        <w:tc>
          <w:tcPr>
            <w:tcW w:w="2407" w:type="dxa"/>
            <w:vMerge w:val="restart"/>
          </w:tcPr>
          <w:p w:rsidR="005F7C8D" w:rsidRPr="00290041" w:rsidRDefault="005F7C8D" w:rsidP="00577445">
            <w:pPr>
              <w:pStyle w:val="naiskr"/>
              <w:spacing w:before="0" w:after="0"/>
              <w:jc w:val="both"/>
              <w:rPr>
                <w:sz w:val="26"/>
                <w:szCs w:val="26"/>
              </w:rPr>
            </w:pPr>
            <w:r w:rsidRPr="00290041">
              <w:rPr>
                <w:sz w:val="26"/>
                <w:szCs w:val="26"/>
              </w:rPr>
              <w:t>Stingrākas prasības nav paredzētas.</w:t>
            </w:r>
          </w:p>
        </w:tc>
      </w:tr>
      <w:tr w:rsidR="005F7C8D" w:rsidRPr="00290041" w:rsidTr="002F606E">
        <w:trPr>
          <w:trHeight w:val="552"/>
          <w:jc w:val="center"/>
        </w:trPr>
        <w:tc>
          <w:tcPr>
            <w:tcW w:w="2407" w:type="dxa"/>
          </w:tcPr>
          <w:p w:rsidR="005F7C8D" w:rsidRPr="00290041" w:rsidRDefault="005F7C8D" w:rsidP="005F7C8D">
            <w:pPr>
              <w:pStyle w:val="naiskr"/>
              <w:spacing w:before="0" w:after="0"/>
              <w:rPr>
                <w:sz w:val="26"/>
                <w:szCs w:val="26"/>
              </w:rPr>
            </w:pPr>
            <w:r w:rsidRPr="00290041">
              <w:rPr>
                <w:sz w:val="26"/>
                <w:szCs w:val="26"/>
              </w:rPr>
              <w:t>Direktīvas 2014/17/ES  3.panta 5.punkts</w:t>
            </w:r>
          </w:p>
        </w:tc>
        <w:tc>
          <w:tcPr>
            <w:tcW w:w="2407" w:type="dxa"/>
            <w:vMerge/>
          </w:tcPr>
          <w:p w:rsidR="005F7C8D" w:rsidRPr="00290041" w:rsidRDefault="005F7C8D" w:rsidP="00577445">
            <w:pPr>
              <w:pStyle w:val="naiskr"/>
              <w:spacing w:before="0" w:after="0"/>
              <w:rPr>
                <w:sz w:val="26"/>
                <w:szCs w:val="26"/>
              </w:rPr>
            </w:pPr>
          </w:p>
        </w:tc>
        <w:tc>
          <w:tcPr>
            <w:tcW w:w="2407" w:type="dxa"/>
            <w:vMerge/>
          </w:tcPr>
          <w:p w:rsidR="005F7C8D" w:rsidRPr="00290041" w:rsidRDefault="005F7C8D" w:rsidP="00577445">
            <w:pPr>
              <w:pStyle w:val="naiskr"/>
              <w:spacing w:before="0" w:after="0"/>
              <w:rPr>
                <w:sz w:val="26"/>
                <w:szCs w:val="26"/>
              </w:rPr>
            </w:pPr>
          </w:p>
        </w:tc>
        <w:tc>
          <w:tcPr>
            <w:tcW w:w="2407" w:type="dxa"/>
            <w:vMerge/>
          </w:tcPr>
          <w:p w:rsidR="005F7C8D" w:rsidRPr="00290041" w:rsidRDefault="005F7C8D" w:rsidP="00577445">
            <w:pPr>
              <w:pStyle w:val="naiskr"/>
              <w:spacing w:before="0" w:after="0"/>
              <w:jc w:val="both"/>
              <w:rPr>
                <w:sz w:val="26"/>
                <w:szCs w:val="26"/>
              </w:rPr>
            </w:pPr>
          </w:p>
        </w:tc>
      </w:tr>
      <w:tr w:rsidR="005470FF" w:rsidRPr="00290041" w:rsidTr="002F606E">
        <w:trPr>
          <w:trHeight w:val="552"/>
          <w:jc w:val="center"/>
        </w:trPr>
        <w:tc>
          <w:tcPr>
            <w:tcW w:w="2407" w:type="dxa"/>
          </w:tcPr>
          <w:p w:rsidR="005470FF" w:rsidRPr="00290041" w:rsidRDefault="005470FF" w:rsidP="00577445">
            <w:pPr>
              <w:pStyle w:val="naiskr"/>
              <w:spacing w:before="0" w:after="0"/>
              <w:rPr>
                <w:sz w:val="26"/>
                <w:szCs w:val="26"/>
              </w:rPr>
            </w:pPr>
            <w:r w:rsidRPr="00290041">
              <w:rPr>
                <w:sz w:val="26"/>
                <w:szCs w:val="26"/>
              </w:rPr>
              <w:t>Direktīvas 2014/17/ES  4.panta 13.punkta pēdējais teikums</w:t>
            </w:r>
          </w:p>
        </w:tc>
        <w:tc>
          <w:tcPr>
            <w:tcW w:w="2407" w:type="dxa"/>
          </w:tcPr>
          <w:p w:rsidR="005470FF" w:rsidRPr="00290041" w:rsidRDefault="005470FF" w:rsidP="00577445">
            <w:pPr>
              <w:pStyle w:val="naiskr"/>
              <w:spacing w:before="0" w:after="0"/>
              <w:rPr>
                <w:sz w:val="26"/>
                <w:szCs w:val="26"/>
              </w:rPr>
            </w:pPr>
            <w:r w:rsidRPr="00290041">
              <w:rPr>
                <w:sz w:val="26"/>
                <w:szCs w:val="26"/>
              </w:rPr>
              <w:t>6.1.apakšpunkts</w:t>
            </w:r>
          </w:p>
        </w:tc>
        <w:tc>
          <w:tcPr>
            <w:tcW w:w="2407" w:type="dxa"/>
          </w:tcPr>
          <w:p w:rsidR="005470FF" w:rsidRPr="00290041" w:rsidRDefault="005470FF" w:rsidP="00577445">
            <w:pPr>
              <w:pStyle w:val="naiskr"/>
              <w:spacing w:before="0" w:after="0"/>
              <w:rPr>
                <w:sz w:val="26"/>
                <w:szCs w:val="26"/>
              </w:rPr>
            </w:pPr>
            <w:r w:rsidRPr="00290041">
              <w:rPr>
                <w:sz w:val="26"/>
                <w:szCs w:val="26"/>
              </w:rPr>
              <w:t>Ieviests pilnībā.</w:t>
            </w:r>
          </w:p>
          <w:p w:rsidR="005470FF" w:rsidRPr="00290041" w:rsidRDefault="005470FF" w:rsidP="00577445">
            <w:pPr>
              <w:pStyle w:val="naiskr"/>
              <w:spacing w:before="0" w:after="0"/>
              <w:rPr>
                <w:sz w:val="26"/>
                <w:szCs w:val="26"/>
              </w:rPr>
            </w:pPr>
          </w:p>
        </w:tc>
        <w:tc>
          <w:tcPr>
            <w:tcW w:w="2407" w:type="dxa"/>
          </w:tcPr>
          <w:p w:rsidR="005470FF" w:rsidRPr="00290041" w:rsidRDefault="005470FF" w:rsidP="00577445">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Direktīvas 2014/17/ES  4.panta 25.punkts</w:t>
            </w:r>
          </w:p>
        </w:tc>
        <w:tc>
          <w:tcPr>
            <w:tcW w:w="2407" w:type="dxa"/>
          </w:tcPr>
          <w:p w:rsidR="007061F2" w:rsidRPr="00290041" w:rsidRDefault="007061F2" w:rsidP="007061F2">
            <w:pPr>
              <w:pStyle w:val="naiskr"/>
              <w:spacing w:before="0" w:after="0"/>
              <w:rPr>
                <w:sz w:val="26"/>
                <w:szCs w:val="26"/>
              </w:rPr>
            </w:pPr>
            <w:r w:rsidRPr="00290041">
              <w:rPr>
                <w:sz w:val="26"/>
                <w:szCs w:val="26"/>
              </w:rPr>
              <w:t>82.3. apa</w:t>
            </w:r>
            <w:r w:rsidR="009B5848" w:rsidRPr="00290041">
              <w:rPr>
                <w:sz w:val="26"/>
                <w:szCs w:val="26"/>
              </w:rPr>
              <w:t>k</w:t>
            </w:r>
            <w:r w:rsidRPr="00290041">
              <w:rPr>
                <w:sz w:val="26"/>
                <w:szCs w:val="26"/>
              </w:rPr>
              <w:t>špunkts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Direktīvas 2014/17/ES  4.panta 26.punkts</w:t>
            </w:r>
          </w:p>
        </w:tc>
        <w:tc>
          <w:tcPr>
            <w:tcW w:w="2407" w:type="dxa"/>
          </w:tcPr>
          <w:p w:rsidR="007061F2" w:rsidRPr="00290041" w:rsidRDefault="007061F2" w:rsidP="007061F2">
            <w:pPr>
              <w:pStyle w:val="naiskr"/>
              <w:spacing w:before="0" w:after="0"/>
              <w:rPr>
                <w:sz w:val="26"/>
                <w:szCs w:val="26"/>
              </w:rPr>
            </w:pPr>
            <w:r w:rsidRPr="00290041">
              <w:rPr>
                <w:sz w:val="26"/>
                <w:szCs w:val="26"/>
              </w:rPr>
              <w:t>82. punkta ievaddaļa</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Direktīvas 2014/17/ES  8.pants</w:t>
            </w:r>
          </w:p>
        </w:tc>
        <w:tc>
          <w:tcPr>
            <w:tcW w:w="2407" w:type="dxa"/>
          </w:tcPr>
          <w:p w:rsidR="007061F2" w:rsidRPr="00290041" w:rsidRDefault="009B5848" w:rsidP="007061F2">
            <w:pPr>
              <w:pStyle w:val="naiskr"/>
              <w:spacing w:before="0" w:after="0"/>
              <w:rPr>
                <w:sz w:val="26"/>
                <w:szCs w:val="26"/>
              </w:rPr>
            </w:pPr>
            <w:r w:rsidRPr="00290041">
              <w:rPr>
                <w:sz w:val="26"/>
                <w:szCs w:val="26"/>
              </w:rPr>
              <w:t>20. punkts;</w:t>
            </w:r>
          </w:p>
          <w:p w:rsidR="009B5848" w:rsidRPr="00290041" w:rsidRDefault="009B5848" w:rsidP="007061F2">
            <w:pPr>
              <w:pStyle w:val="naiskr"/>
              <w:spacing w:before="0" w:after="0"/>
              <w:rPr>
                <w:sz w:val="26"/>
                <w:szCs w:val="26"/>
              </w:rPr>
            </w:pPr>
            <w:r w:rsidRPr="00290041">
              <w:rPr>
                <w:sz w:val="26"/>
                <w:szCs w:val="26"/>
              </w:rPr>
              <w:t>21.17.apakšpunkts;</w:t>
            </w:r>
          </w:p>
          <w:p w:rsidR="009B5848" w:rsidRPr="00290041" w:rsidRDefault="009B5848" w:rsidP="007061F2">
            <w:pPr>
              <w:pStyle w:val="naiskr"/>
              <w:spacing w:before="0" w:after="0"/>
              <w:rPr>
                <w:sz w:val="26"/>
                <w:szCs w:val="26"/>
              </w:rPr>
            </w:pPr>
            <w:r w:rsidRPr="00290041">
              <w:rPr>
                <w:sz w:val="26"/>
                <w:szCs w:val="26"/>
              </w:rPr>
              <w:t>21.18.apakšpunkts;</w:t>
            </w:r>
          </w:p>
          <w:p w:rsidR="009B5848" w:rsidRPr="00290041" w:rsidRDefault="009B5848" w:rsidP="007061F2">
            <w:pPr>
              <w:pStyle w:val="naiskr"/>
              <w:spacing w:before="0" w:after="0"/>
              <w:rPr>
                <w:sz w:val="26"/>
                <w:szCs w:val="26"/>
              </w:rPr>
            </w:pPr>
            <w:r w:rsidRPr="00290041">
              <w:rPr>
                <w:sz w:val="26"/>
                <w:szCs w:val="26"/>
              </w:rPr>
              <w:t>26.punkts;</w:t>
            </w:r>
          </w:p>
          <w:p w:rsidR="009B5848" w:rsidRPr="00290041" w:rsidRDefault="009B5848" w:rsidP="007061F2">
            <w:pPr>
              <w:pStyle w:val="naiskr"/>
              <w:spacing w:before="0" w:after="0"/>
              <w:rPr>
                <w:sz w:val="26"/>
                <w:szCs w:val="26"/>
              </w:rPr>
            </w:pPr>
            <w:r w:rsidRPr="00290041">
              <w:rPr>
                <w:sz w:val="26"/>
                <w:szCs w:val="26"/>
              </w:rPr>
              <w:t>31. punkts;</w:t>
            </w:r>
          </w:p>
          <w:p w:rsidR="009B5848" w:rsidRPr="00290041" w:rsidRDefault="009B5848" w:rsidP="007061F2">
            <w:pPr>
              <w:pStyle w:val="naiskr"/>
              <w:spacing w:before="0" w:after="0"/>
              <w:rPr>
                <w:sz w:val="26"/>
                <w:szCs w:val="26"/>
              </w:rPr>
            </w:pPr>
            <w:r w:rsidRPr="00290041">
              <w:rPr>
                <w:sz w:val="26"/>
                <w:szCs w:val="26"/>
              </w:rPr>
              <w:t>32. punkts;</w:t>
            </w:r>
          </w:p>
          <w:p w:rsidR="009B5848" w:rsidRPr="00290041" w:rsidRDefault="009B5848" w:rsidP="007061F2">
            <w:pPr>
              <w:pStyle w:val="naiskr"/>
              <w:spacing w:before="0" w:after="0"/>
              <w:rPr>
                <w:sz w:val="26"/>
                <w:szCs w:val="26"/>
              </w:rPr>
            </w:pPr>
            <w:r w:rsidRPr="00290041">
              <w:rPr>
                <w:sz w:val="26"/>
                <w:szCs w:val="26"/>
              </w:rPr>
              <w:t>36. punkts;</w:t>
            </w:r>
          </w:p>
          <w:p w:rsidR="009B5848" w:rsidRPr="00290041" w:rsidRDefault="009B5848" w:rsidP="007061F2">
            <w:pPr>
              <w:pStyle w:val="naiskr"/>
              <w:spacing w:before="0" w:after="0"/>
              <w:rPr>
                <w:sz w:val="26"/>
                <w:szCs w:val="26"/>
              </w:rPr>
            </w:pPr>
            <w:r w:rsidRPr="00290041">
              <w:rPr>
                <w:sz w:val="26"/>
                <w:szCs w:val="26"/>
              </w:rPr>
              <w:t>42.10. apakšpunkts;</w:t>
            </w:r>
          </w:p>
          <w:p w:rsidR="009B5848" w:rsidRPr="00290041" w:rsidRDefault="009B5848" w:rsidP="007061F2">
            <w:pPr>
              <w:pStyle w:val="naiskr"/>
              <w:spacing w:before="0" w:after="0"/>
              <w:rPr>
                <w:sz w:val="26"/>
                <w:szCs w:val="26"/>
              </w:rPr>
            </w:pPr>
            <w:r w:rsidRPr="00290041">
              <w:rPr>
                <w:sz w:val="26"/>
                <w:szCs w:val="26"/>
              </w:rPr>
              <w:t>47. punkts;</w:t>
            </w:r>
          </w:p>
          <w:p w:rsidR="009B5848" w:rsidRPr="00290041" w:rsidRDefault="009B5848" w:rsidP="007061F2">
            <w:pPr>
              <w:pStyle w:val="naiskr"/>
              <w:spacing w:before="0" w:after="0"/>
              <w:rPr>
                <w:sz w:val="26"/>
                <w:szCs w:val="26"/>
              </w:rPr>
            </w:pPr>
            <w:r w:rsidRPr="00290041">
              <w:rPr>
                <w:sz w:val="26"/>
                <w:szCs w:val="26"/>
              </w:rPr>
              <w:t>48. punkts;</w:t>
            </w:r>
          </w:p>
          <w:p w:rsidR="009B5848" w:rsidRPr="00290041" w:rsidRDefault="009B5848" w:rsidP="007061F2">
            <w:pPr>
              <w:pStyle w:val="naiskr"/>
              <w:spacing w:before="0" w:after="0"/>
              <w:rPr>
                <w:sz w:val="26"/>
                <w:szCs w:val="26"/>
              </w:rPr>
            </w:pPr>
            <w:r w:rsidRPr="00290041">
              <w:rPr>
                <w:sz w:val="26"/>
                <w:szCs w:val="26"/>
              </w:rPr>
              <w:t>56.9. apakšpunkts;</w:t>
            </w:r>
          </w:p>
          <w:p w:rsidR="009B5848" w:rsidRPr="00290041" w:rsidRDefault="009B5848" w:rsidP="007061F2">
            <w:pPr>
              <w:pStyle w:val="naiskr"/>
              <w:spacing w:before="0" w:after="0"/>
              <w:rPr>
                <w:sz w:val="26"/>
                <w:szCs w:val="26"/>
              </w:rPr>
            </w:pPr>
            <w:r w:rsidRPr="00290041">
              <w:rPr>
                <w:sz w:val="26"/>
                <w:szCs w:val="26"/>
              </w:rPr>
              <w:t>57. punkts;</w:t>
            </w:r>
          </w:p>
          <w:p w:rsidR="009B5848" w:rsidRPr="00290041" w:rsidRDefault="009B5848" w:rsidP="007061F2">
            <w:pPr>
              <w:pStyle w:val="naiskr"/>
              <w:spacing w:before="0" w:after="0"/>
              <w:rPr>
                <w:sz w:val="26"/>
                <w:szCs w:val="26"/>
              </w:rPr>
            </w:pPr>
            <w:r w:rsidRPr="00290041">
              <w:rPr>
                <w:sz w:val="26"/>
                <w:szCs w:val="26"/>
              </w:rPr>
              <w:t>88. punkts;</w:t>
            </w:r>
          </w:p>
          <w:p w:rsidR="009B5848" w:rsidRPr="00290041" w:rsidRDefault="009B5848" w:rsidP="007061F2">
            <w:pPr>
              <w:pStyle w:val="naiskr"/>
              <w:spacing w:before="0" w:after="0"/>
              <w:rPr>
                <w:sz w:val="26"/>
                <w:szCs w:val="26"/>
              </w:rPr>
            </w:pPr>
            <w:r w:rsidRPr="00290041">
              <w:rPr>
                <w:sz w:val="26"/>
                <w:szCs w:val="26"/>
              </w:rPr>
              <w:t>105. punkts;</w:t>
            </w:r>
          </w:p>
          <w:p w:rsidR="009B5848" w:rsidRPr="00290041" w:rsidRDefault="009B5848" w:rsidP="007061F2">
            <w:pPr>
              <w:pStyle w:val="naiskr"/>
              <w:spacing w:before="0" w:after="0"/>
              <w:rPr>
                <w:sz w:val="26"/>
                <w:szCs w:val="26"/>
              </w:rPr>
            </w:pPr>
            <w:r w:rsidRPr="00290041">
              <w:rPr>
                <w:sz w:val="26"/>
                <w:szCs w:val="26"/>
              </w:rPr>
              <w:t>107. punkts;</w:t>
            </w:r>
          </w:p>
          <w:p w:rsidR="009B5848" w:rsidRPr="00290041" w:rsidRDefault="009B5848" w:rsidP="007061F2">
            <w:pPr>
              <w:pStyle w:val="naiskr"/>
              <w:spacing w:before="0" w:after="0"/>
              <w:rPr>
                <w:sz w:val="26"/>
                <w:szCs w:val="26"/>
              </w:rPr>
            </w:pPr>
            <w:r w:rsidRPr="00290041">
              <w:rPr>
                <w:sz w:val="26"/>
                <w:szCs w:val="26"/>
              </w:rPr>
              <w:t>114. punkts;</w:t>
            </w:r>
          </w:p>
          <w:p w:rsidR="009B5848" w:rsidRPr="00290041" w:rsidRDefault="009B5848" w:rsidP="007061F2">
            <w:pPr>
              <w:pStyle w:val="naiskr"/>
              <w:spacing w:before="0" w:after="0"/>
              <w:rPr>
                <w:sz w:val="26"/>
                <w:szCs w:val="26"/>
              </w:rPr>
            </w:pPr>
            <w:r w:rsidRPr="00290041">
              <w:rPr>
                <w:sz w:val="26"/>
                <w:szCs w:val="26"/>
              </w:rPr>
              <w:t>115.punkts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Direktīvas 2014/17/ES  11.panta 1.punkts;</w:t>
            </w:r>
          </w:p>
          <w:p w:rsidR="007061F2" w:rsidRPr="00290041" w:rsidRDefault="007061F2" w:rsidP="007061F2">
            <w:pPr>
              <w:pStyle w:val="naiskr"/>
              <w:spacing w:before="0" w:after="0"/>
              <w:rPr>
                <w:sz w:val="26"/>
                <w:szCs w:val="26"/>
              </w:rPr>
            </w:pPr>
            <w:r w:rsidRPr="00290041">
              <w:rPr>
                <w:sz w:val="26"/>
                <w:szCs w:val="26"/>
              </w:rPr>
              <w:t>11.panta 2.punkts;</w:t>
            </w:r>
          </w:p>
          <w:p w:rsidR="007061F2" w:rsidRPr="00290041" w:rsidRDefault="007061F2" w:rsidP="007061F2">
            <w:pPr>
              <w:pStyle w:val="naiskr"/>
              <w:spacing w:before="0" w:after="0"/>
              <w:rPr>
                <w:sz w:val="26"/>
                <w:szCs w:val="26"/>
              </w:rPr>
            </w:pPr>
            <w:r w:rsidRPr="00290041">
              <w:rPr>
                <w:sz w:val="26"/>
                <w:szCs w:val="26"/>
              </w:rPr>
              <w:t>11.panta 3.punkts;</w:t>
            </w:r>
          </w:p>
          <w:p w:rsidR="007061F2" w:rsidRPr="00290041" w:rsidRDefault="007061F2" w:rsidP="007061F2">
            <w:pPr>
              <w:pStyle w:val="naiskr"/>
              <w:spacing w:before="0" w:after="0"/>
              <w:rPr>
                <w:sz w:val="26"/>
                <w:szCs w:val="26"/>
              </w:rPr>
            </w:pPr>
            <w:r w:rsidRPr="00290041">
              <w:rPr>
                <w:sz w:val="26"/>
                <w:szCs w:val="26"/>
              </w:rPr>
              <w:lastRenderedPageBreak/>
              <w:t>11.panta 4.punkts;</w:t>
            </w:r>
          </w:p>
          <w:p w:rsidR="007061F2" w:rsidRPr="00290041" w:rsidRDefault="007061F2" w:rsidP="007061F2">
            <w:pPr>
              <w:pStyle w:val="naiskr"/>
              <w:spacing w:before="0" w:after="0"/>
              <w:rPr>
                <w:sz w:val="26"/>
                <w:szCs w:val="26"/>
              </w:rPr>
            </w:pPr>
            <w:r w:rsidRPr="00290041">
              <w:rPr>
                <w:sz w:val="26"/>
                <w:szCs w:val="26"/>
              </w:rPr>
              <w:t>11.panta 5.punkts</w:t>
            </w:r>
          </w:p>
        </w:tc>
        <w:tc>
          <w:tcPr>
            <w:tcW w:w="2407" w:type="dxa"/>
          </w:tcPr>
          <w:p w:rsidR="007061F2" w:rsidRPr="00290041" w:rsidRDefault="007061F2" w:rsidP="007061F2">
            <w:pPr>
              <w:pStyle w:val="naiskr"/>
              <w:spacing w:before="0" w:after="0"/>
              <w:rPr>
                <w:sz w:val="26"/>
                <w:szCs w:val="26"/>
              </w:rPr>
            </w:pPr>
            <w:r w:rsidRPr="00290041">
              <w:rPr>
                <w:sz w:val="26"/>
                <w:szCs w:val="26"/>
              </w:rPr>
              <w:lastRenderedPageBreak/>
              <w:t>16.punkts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12.pants</w:t>
            </w:r>
          </w:p>
        </w:tc>
        <w:tc>
          <w:tcPr>
            <w:tcW w:w="2407" w:type="dxa"/>
          </w:tcPr>
          <w:p w:rsidR="007061F2" w:rsidRPr="00290041" w:rsidRDefault="007061F2" w:rsidP="007061F2">
            <w:pPr>
              <w:pStyle w:val="naiskr"/>
              <w:spacing w:before="0" w:after="0"/>
              <w:rPr>
                <w:sz w:val="26"/>
                <w:szCs w:val="26"/>
              </w:rPr>
            </w:pPr>
            <w:r w:rsidRPr="00290041">
              <w:rPr>
                <w:sz w:val="26"/>
                <w:szCs w:val="26"/>
              </w:rPr>
              <w:t>82.punkts</w:t>
            </w:r>
          </w:p>
          <w:p w:rsidR="007061F2" w:rsidRPr="00290041" w:rsidRDefault="007061F2" w:rsidP="007061F2">
            <w:pPr>
              <w:pStyle w:val="naiskr"/>
              <w:spacing w:before="0" w:after="0"/>
              <w:rPr>
                <w:sz w:val="26"/>
                <w:szCs w:val="26"/>
              </w:rPr>
            </w:pPr>
            <w:r w:rsidRPr="00290041">
              <w:rPr>
                <w:sz w:val="26"/>
                <w:szCs w:val="26"/>
              </w:rPr>
              <w:t>83.punkts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13.panta 1.punkts</w:t>
            </w:r>
          </w:p>
        </w:tc>
        <w:tc>
          <w:tcPr>
            <w:tcW w:w="2407" w:type="dxa"/>
          </w:tcPr>
          <w:p w:rsidR="007061F2" w:rsidRPr="00290041" w:rsidRDefault="007061F2" w:rsidP="007061F2">
            <w:pPr>
              <w:pStyle w:val="naiskr"/>
              <w:spacing w:before="0" w:after="0"/>
              <w:rPr>
                <w:sz w:val="26"/>
                <w:szCs w:val="26"/>
              </w:rPr>
            </w:pPr>
            <w:r w:rsidRPr="00290041">
              <w:rPr>
                <w:sz w:val="26"/>
                <w:szCs w:val="26"/>
              </w:rPr>
              <w:t>31.punkts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1.punkts</w:t>
            </w:r>
          </w:p>
        </w:tc>
        <w:tc>
          <w:tcPr>
            <w:tcW w:w="2407" w:type="dxa"/>
          </w:tcPr>
          <w:p w:rsidR="007061F2" w:rsidRPr="00290041" w:rsidRDefault="007061F2" w:rsidP="007061F2">
            <w:pPr>
              <w:pStyle w:val="naiskr"/>
              <w:spacing w:before="0" w:after="0"/>
              <w:rPr>
                <w:sz w:val="26"/>
                <w:szCs w:val="26"/>
              </w:rPr>
            </w:pPr>
            <w:r w:rsidRPr="00290041">
              <w:rPr>
                <w:sz w:val="26"/>
                <w:szCs w:val="26"/>
              </w:rPr>
              <w:t>32.punkts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bCs/>
                <w:sz w:val="26"/>
                <w:szCs w:val="26"/>
              </w:rPr>
            </w:pPr>
            <w:r w:rsidRPr="00290041">
              <w:rPr>
                <w:sz w:val="26"/>
                <w:szCs w:val="26"/>
              </w:rPr>
              <w:t xml:space="preserve">Direktīvas 2014/17/ES  </w:t>
            </w:r>
            <w:r w:rsidRPr="00290041">
              <w:rPr>
                <w:bCs/>
                <w:sz w:val="26"/>
                <w:szCs w:val="26"/>
              </w:rPr>
              <w:t>14.panta 2.punkts;</w:t>
            </w:r>
          </w:p>
          <w:p w:rsidR="007061F2" w:rsidRPr="00290041" w:rsidRDefault="007061F2" w:rsidP="007061F2">
            <w:pPr>
              <w:pStyle w:val="naiskr"/>
              <w:spacing w:before="0" w:after="0"/>
              <w:rPr>
                <w:sz w:val="26"/>
                <w:szCs w:val="26"/>
              </w:rPr>
            </w:pPr>
            <w:r w:rsidRPr="00290041">
              <w:rPr>
                <w:bCs/>
                <w:sz w:val="26"/>
                <w:szCs w:val="26"/>
              </w:rPr>
              <w:t>14.panta 7.punkts</w:t>
            </w:r>
          </w:p>
        </w:tc>
        <w:tc>
          <w:tcPr>
            <w:tcW w:w="2407" w:type="dxa"/>
          </w:tcPr>
          <w:p w:rsidR="007061F2" w:rsidRPr="00290041" w:rsidRDefault="007061F2" w:rsidP="007061F2">
            <w:pPr>
              <w:pStyle w:val="naiskr"/>
              <w:spacing w:before="0" w:after="0"/>
              <w:rPr>
                <w:sz w:val="26"/>
                <w:szCs w:val="26"/>
              </w:rPr>
            </w:pPr>
            <w:r w:rsidRPr="00290041">
              <w:rPr>
                <w:sz w:val="26"/>
                <w:szCs w:val="26"/>
              </w:rPr>
              <w:t>33.punkts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3.punkts</w:t>
            </w:r>
          </w:p>
        </w:tc>
        <w:tc>
          <w:tcPr>
            <w:tcW w:w="2407" w:type="dxa"/>
          </w:tcPr>
          <w:p w:rsidR="007061F2" w:rsidRPr="00290041" w:rsidRDefault="007061F2" w:rsidP="007061F2">
            <w:pPr>
              <w:pStyle w:val="naiskr"/>
              <w:spacing w:before="0" w:after="0"/>
              <w:rPr>
                <w:sz w:val="26"/>
                <w:szCs w:val="26"/>
              </w:rPr>
            </w:pPr>
            <w:r w:rsidRPr="00290041">
              <w:rPr>
                <w:sz w:val="26"/>
                <w:szCs w:val="26"/>
              </w:rPr>
              <w:t>35.punkts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8.punkts</w:t>
            </w:r>
          </w:p>
        </w:tc>
        <w:tc>
          <w:tcPr>
            <w:tcW w:w="2407" w:type="dxa"/>
          </w:tcPr>
          <w:p w:rsidR="007061F2" w:rsidRPr="00290041" w:rsidRDefault="007061F2" w:rsidP="007061F2">
            <w:pPr>
              <w:pStyle w:val="naiskr"/>
              <w:spacing w:before="0" w:after="0"/>
              <w:rPr>
                <w:sz w:val="26"/>
                <w:szCs w:val="26"/>
              </w:rPr>
            </w:pPr>
            <w:r w:rsidRPr="00290041">
              <w:rPr>
                <w:sz w:val="26"/>
                <w:szCs w:val="26"/>
              </w:rPr>
              <w:t>34.punkts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10.punkts</w:t>
            </w:r>
          </w:p>
        </w:tc>
        <w:tc>
          <w:tcPr>
            <w:tcW w:w="2407" w:type="dxa"/>
          </w:tcPr>
          <w:p w:rsidR="007061F2" w:rsidRPr="00290041" w:rsidRDefault="007061F2" w:rsidP="007061F2">
            <w:pPr>
              <w:pStyle w:val="naiskr"/>
              <w:spacing w:before="0" w:after="0"/>
              <w:rPr>
                <w:sz w:val="26"/>
                <w:szCs w:val="26"/>
              </w:rPr>
            </w:pPr>
            <w:r w:rsidRPr="00290041">
              <w:rPr>
                <w:sz w:val="26"/>
                <w:szCs w:val="26"/>
              </w:rPr>
              <w:t>37.punkts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7061F2" w:rsidRPr="00290041" w:rsidTr="002F606E">
        <w:trPr>
          <w:trHeight w:val="552"/>
          <w:jc w:val="center"/>
        </w:trPr>
        <w:tc>
          <w:tcPr>
            <w:tcW w:w="2407" w:type="dxa"/>
          </w:tcPr>
          <w:p w:rsidR="007061F2" w:rsidRPr="00290041" w:rsidRDefault="007061F2" w:rsidP="007061F2">
            <w:pPr>
              <w:pStyle w:val="naiskr"/>
              <w:spacing w:before="0" w:after="0"/>
              <w:rPr>
                <w:sz w:val="26"/>
                <w:szCs w:val="26"/>
              </w:rPr>
            </w:pPr>
            <w:r w:rsidRPr="00290041">
              <w:rPr>
                <w:sz w:val="26"/>
                <w:szCs w:val="26"/>
              </w:rPr>
              <w:t xml:space="preserve">Direktīvas 2014/17/ES  </w:t>
            </w:r>
            <w:r w:rsidRPr="00290041">
              <w:rPr>
                <w:bCs/>
                <w:sz w:val="26"/>
                <w:szCs w:val="26"/>
              </w:rPr>
              <w:t>14.panta 11.punkts</w:t>
            </w:r>
          </w:p>
        </w:tc>
        <w:tc>
          <w:tcPr>
            <w:tcW w:w="2407" w:type="dxa"/>
          </w:tcPr>
          <w:p w:rsidR="007061F2" w:rsidRPr="00290041" w:rsidRDefault="007061F2" w:rsidP="007061F2">
            <w:pPr>
              <w:pStyle w:val="naiskr"/>
              <w:spacing w:before="0" w:after="0"/>
              <w:rPr>
                <w:sz w:val="26"/>
                <w:szCs w:val="26"/>
              </w:rPr>
            </w:pPr>
            <w:r w:rsidRPr="00290041">
              <w:rPr>
                <w:sz w:val="26"/>
                <w:szCs w:val="26"/>
              </w:rPr>
              <w:t>36.punkts</w:t>
            </w:r>
          </w:p>
        </w:tc>
        <w:tc>
          <w:tcPr>
            <w:tcW w:w="2407" w:type="dxa"/>
          </w:tcPr>
          <w:p w:rsidR="007061F2" w:rsidRPr="00290041" w:rsidRDefault="007061F2" w:rsidP="007061F2">
            <w:pPr>
              <w:pStyle w:val="naiskr"/>
              <w:spacing w:before="0" w:after="0"/>
              <w:rPr>
                <w:sz w:val="26"/>
                <w:szCs w:val="26"/>
              </w:rPr>
            </w:pPr>
            <w:r w:rsidRPr="00290041">
              <w:rPr>
                <w:sz w:val="26"/>
                <w:szCs w:val="26"/>
              </w:rPr>
              <w:t>Ieviests pilnībā.</w:t>
            </w:r>
          </w:p>
          <w:p w:rsidR="007061F2" w:rsidRPr="00290041" w:rsidRDefault="007061F2" w:rsidP="007061F2">
            <w:pPr>
              <w:pStyle w:val="naiskr"/>
              <w:spacing w:before="0" w:after="0"/>
              <w:rPr>
                <w:sz w:val="26"/>
                <w:szCs w:val="26"/>
              </w:rPr>
            </w:pPr>
          </w:p>
        </w:tc>
        <w:tc>
          <w:tcPr>
            <w:tcW w:w="2407" w:type="dxa"/>
          </w:tcPr>
          <w:p w:rsidR="007061F2" w:rsidRPr="00290041" w:rsidRDefault="007061F2" w:rsidP="007061F2">
            <w:pPr>
              <w:pStyle w:val="naiskr"/>
              <w:spacing w:before="0" w:after="0"/>
              <w:jc w:val="both"/>
              <w:rPr>
                <w:sz w:val="26"/>
                <w:szCs w:val="26"/>
              </w:rPr>
            </w:pPr>
            <w:r w:rsidRPr="00290041">
              <w:rPr>
                <w:sz w:val="26"/>
                <w:szCs w:val="26"/>
              </w:rPr>
              <w:t>Stingrākas prasības nav paredzētas.</w:t>
            </w:r>
          </w:p>
        </w:tc>
      </w:tr>
      <w:tr w:rsidR="006F345E" w:rsidRPr="00290041" w:rsidTr="002F606E">
        <w:trPr>
          <w:trHeight w:val="552"/>
          <w:jc w:val="center"/>
        </w:trPr>
        <w:tc>
          <w:tcPr>
            <w:tcW w:w="2407" w:type="dxa"/>
          </w:tcPr>
          <w:p w:rsidR="006F345E" w:rsidRPr="00290041" w:rsidRDefault="006F345E" w:rsidP="006F345E">
            <w:pPr>
              <w:pStyle w:val="naiskr"/>
              <w:spacing w:before="0" w:after="0"/>
              <w:rPr>
                <w:sz w:val="26"/>
                <w:szCs w:val="26"/>
              </w:rPr>
            </w:pPr>
            <w:r w:rsidRPr="00290041">
              <w:rPr>
                <w:sz w:val="26"/>
                <w:szCs w:val="26"/>
              </w:rPr>
              <w:t xml:space="preserve">Direktīvas 2014/17/ES  </w:t>
            </w:r>
            <w:r w:rsidRPr="00290041">
              <w:rPr>
                <w:bCs/>
                <w:sz w:val="26"/>
                <w:szCs w:val="26"/>
              </w:rPr>
              <w:t>15.panta 1.punkts</w:t>
            </w:r>
          </w:p>
        </w:tc>
        <w:tc>
          <w:tcPr>
            <w:tcW w:w="2407" w:type="dxa"/>
          </w:tcPr>
          <w:p w:rsidR="006F345E" w:rsidRPr="00290041" w:rsidRDefault="006F345E" w:rsidP="006F345E">
            <w:pPr>
              <w:pStyle w:val="naiskr"/>
              <w:spacing w:before="0" w:after="0"/>
              <w:rPr>
                <w:sz w:val="26"/>
                <w:szCs w:val="26"/>
              </w:rPr>
            </w:pPr>
            <w:r w:rsidRPr="00290041">
              <w:rPr>
                <w:sz w:val="26"/>
                <w:szCs w:val="26"/>
              </w:rPr>
              <w:t>114.punkts</w:t>
            </w:r>
          </w:p>
        </w:tc>
        <w:tc>
          <w:tcPr>
            <w:tcW w:w="2407" w:type="dxa"/>
          </w:tcPr>
          <w:p w:rsidR="006F345E" w:rsidRPr="00290041" w:rsidRDefault="006F345E" w:rsidP="006F345E">
            <w:pPr>
              <w:pStyle w:val="naiskr"/>
              <w:spacing w:before="0" w:after="0"/>
              <w:rPr>
                <w:sz w:val="26"/>
                <w:szCs w:val="26"/>
              </w:rPr>
            </w:pPr>
            <w:r w:rsidRPr="00290041">
              <w:rPr>
                <w:sz w:val="26"/>
                <w:szCs w:val="26"/>
              </w:rPr>
              <w:t>Ieviests pilnībā.</w:t>
            </w:r>
          </w:p>
          <w:p w:rsidR="006F345E" w:rsidRPr="00290041" w:rsidRDefault="006F345E" w:rsidP="006F345E">
            <w:pPr>
              <w:pStyle w:val="naiskr"/>
              <w:spacing w:before="0" w:after="0"/>
              <w:rPr>
                <w:sz w:val="26"/>
                <w:szCs w:val="26"/>
              </w:rPr>
            </w:pPr>
          </w:p>
        </w:tc>
        <w:tc>
          <w:tcPr>
            <w:tcW w:w="2407" w:type="dxa"/>
          </w:tcPr>
          <w:p w:rsidR="006F345E" w:rsidRPr="00290041" w:rsidRDefault="006F345E" w:rsidP="006F345E">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 xml:space="preserve">Direktīvas 2014/17/ES  </w:t>
            </w:r>
            <w:r w:rsidRPr="00290041">
              <w:rPr>
                <w:bCs/>
                <w:sz w:val="26"/>
                <w:szCs w:val="26"/>
              </w:rPr>
              <w:t>15.panta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115.punkts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bCs/>
                <w:sz w:val="26"/>
                <w:szCs w:val="26"/>
              </w:rPr>
            </w:pPr>
            <w:r w:rsidRPr="00290041">
              <w:rPr>
                <w:sz w:val="26"/>
                <w:szCs w:val="26"/>
              </w:rPr>
              <w:t xml:space="preserve">Direktīvas 2014/17/ES  </w:t>
            </w:r>
            <w:r w:rsidRPr="00290041">
              <w:rPr>
                <w:bCs/>
                <w:sz w:val="26"/>
                <w:szCs w:val="26"/>
              </w:rPr>
              <w:t>15.panta 3.punkts;</w:t>
            </w:r>
          </w:p>
          <w:p w:rsidR="009B5848" w:rsidRPr="00290041" w:rsidRDefault="009B5848" w:rsidP="009B5848">
            <w:pPr>
              <w:pStyle w:val="naiskr"/>
              <w:spacing w:before="0" w:after="0"/>
              <w:rPr>
                <w:sz w:val="26"/>
                <w:szCs w:val="26"/>
              </w:rPr>
            </w:pPr>
            <w:r w:rsidRPr="00290041">
              <w:rPr>
                <w:bCs/>
                <w:sz w:val="26"/>
                <w:szCs w:val="26"/>
              </w:rPr>
              <w:t>15.panta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112.punkts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 xml:space="preserve">Direktīvas 2014/17/ES  </w:t>
            </w:r>
            <w:r w:rsidRPr="00290041">
              <w:rPr>
                <w:bCs/>
                <w:sz w:val="26"/>
                <w:szCs w:val="26"/>
              </w:rPr>
              <w:t>16.panta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38., 39., 40.punkts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7.punkts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lastRenderedPageBreak/>
              <w:t>Direktīvas 2014/17/ES  17.panta 3.punkts</w:t>
            </w:r>
          </w:p>
        </w:tc>
        <w:tc>
          <w:tcPr>
            <w:tcW w:w="2407" w:type="dxa"/>
          </w:tcPr>
          <w:p w:rsidR="009B5848" w:rsidRPr="00290041" w:rsidRDefault="009B5848" w:rsidP="009B5848">
            <w:pPr>
              <w:pStyle w:val="naiskr"/>
              <w:spacing w:before="0" w:after="0"/>
              <w:rPr>
                <w:sz w:val="26"/>
                <w:szCs w:val="26"/>
              </w:rPr>
            </w:pPr>
            <w:r w:rsidRPr="00290041">
              <w:rPr>
                <w:sz w:val="26"/>
                <w:szCs w:val="26"/>
              </w:rPr>
              <w:t>8.punkts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5.punkts</w:t>
            </w:r>
          </w:p>
        </w:tc>
        <w:tc>
          <w:tcPr>
            <w:tcW w:w="2407" w:type="dxa"/>
          </w:tcPr>
          <w:p w:rsidR="009B5848" w:rsidRPr="00290041" w:rsidRDefault="009B5848" w:rsidP="009B5848">
            <w:pPr>
              <w:pStyle w:val="naiskr"/>
              <w:spacing w:before="0" w:after="0"/>
              <w:rPr>
                <w:sz w:val="26"/>
                <w:szCs w:val="26"/>
              </w:rPr>
            </w:pPr>
            <w:r w:rsidRPr="00290041">
              <w:rPr>
                <w:sz w:val="26"/>
                <w:szCs w:val="26"/>
              </w:rPr>
              <w:t>11.punkts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6.punkts</w:t>
            </w:r>
          </w:p>
        </w:tc>
        <w:tc>
          <w:tcPr>
            <w:tcW w:w="2407" w:type="dxa"/>
          </w:tcPr>
          <w:p w:rsidR="009B5848" w:rsidRPr="00290041" w:rsidRDefault="009B5848" w:rsidP="009B5848">
            <w:pPr>
              <w:pStyle w:val="naiskr"/>
              <w:spacing w:before="0" w:after="0"/>
              <w:rPr>
                <w:sz w:val="26"/>
                <w:szCs w:val="26"/>
              </w:rPr>
            </w:pPr>
            <w:r w:rsidRPr="00290041">
              <w:rPr>
                <w:sz w:val="26"/>
                <w:szCs w:val="26"/>
              </w:rPr>
              <w:t>12.punkts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17.panta 7.punkts</w:t>
            </w:r>
          </w:p>
        </w:tc>
        <w:tc>
          <w:tcPr>
            <w:tcW w:w="2407" w:type="dxa"/>
          </w:tcPr>
          <w:p w:rsidR="009B5848" w:rsidRPr="00290041" w:rsidRDefault="009B5848" w:rsidP="009B5848">
            <w:pPr>
              <w:pStyle w:val="naiskr"/>
              <w:spacing w:before="0" w:after="0"/>
              <w:rPr>
                <w:sz w:val="26"/>
                <w:szCs w:val="26"/>
              </w:rPr>
            </w:pPr>
            <w:r w:rsidRPr="00290041">
              <w:rPr>
                <w:sz w:val="26"/>
                <w:szCs w:val="26"/>
              </w:rPr>
              <w:t>10.punkts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1.punkts;</w:t>
            </w:r>
          </w:p>
          <w:p w:rsidR="009B5848" w:rsidRPr="00290041" w:rsidRDefault="009B5848" w:rsidP="009B5848">
            <w:pPr>
              <w:pStyle w:val="naiskr"/>
              <w:spacing w:before="0" w:after="0"/>
              <w:rPr>
                <w:sz w:val="26"/>
                <w:szCs w:val="26"/>
              </w:rPr>
            </w:pPr>
            <w:r w:rsidRPr="00290041">
              <w:rPr>
                <w:sz w:val="26"/>
                <w:szCs w:val="26"/>
              </w:rPr>
              <w:t>22.panta 2.punkts;</w:t>
            </w:r>
          </w:p>
          <w:p w:rsidR="009B5848" w:rsidRPr="00290041" w:rsidRDefault="009B5848" w:rsidP="009B5848">
            <w:pPr>
              <w:pStyle w:val="naiskr"/>
              <w:spacing w:before="0" w:after="0"/>
              <w:rPr>
                <w:sz w:val="26"/>
                <w:szCs w:val="26"/>
              </w:rPr>
            </w:pPr>
            <w:r w:rsidRPr="00290041">
              <w:rPr>
                <w:sz w:val="26"/>
                <w:szCs w:val="26"/>
              </w:rPr>
              <w:t>22.panta 6.punkts</w:t>
            </w:r>
          </w:p>
        </w:tc>
        <w:tc>
          <w:tcPr>
            <w:tcW w:w="2407" w:type="dxa"/>
          </w:tcPr>
          <w:p w:rsidR="009B5848" w:rsidRPr="00290041" w:rsidRDefault="009B5848" w:rsidP="009B5848">
            <w:pPr>
              <w:pStyle w:val="naiskr"/>
              <w:spacing w:before="0" w:after="0"/>
              <w:rPr>
                <w:sz w:val="26"/>
                <w:szCs w:val="26"/>
              </w:rPr>
            </w:pPr>
            <w:r w:rsidRPr="00290041">
              <w:rPr>
                <w:sz w:val="26"/>
                <w:szCs w:val="26"/>
              </w:rPr>
              <w:t>48.punkts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3.punkta (a)</w:t>
            </w:r>
          </w:p>
        </w:tc>
        <w:tc>
          <w:tcPr>
            <w:tcW w:w="2407" w:type="dxa"/>
          </w:tcPr>
          <w:p w:rsidR="009B5848" w:rsidRPr="00290041" w:rsidRDefault="009B5848" w:rsidP="009B5848">
            <w:pPr>
              <w:pStyle w:val="naiskr"/>
              <w:spacing w:before="0" w:after="0"/>
              <w:rPr>
                <w:sz w:val="26"/>
                <w:szCs w:val="26"/>
              </w:rPr>
            </w:pPr>
            <w:r w:rsidRPr="00290041">
              <w:rPr>
                <w:sz w:val="26"/>
                <w:szCs w:val="26"/>
              </w:rPr>
              <w:t>49.punkts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3.punkta (b)</w:t>
            </w:r>
          </w:p>
        </w:tc>
        <w:tc>
          <w:tcPr>
            <w:tcW w:w="2407" w:type="dxa"/>
          </w:tcPr>
          <w:p w:rsidR="009B5848" w:rsidRPr="00290041" w:rsidRDefault="009B5848" w:rsidP="009B5848">
            <w:pPr>
              <w:pStyle w:val="naiskr"/>
              <w:spacing w:before="0" w:after="0"/>
              <w:rPr>
                <w:sz w:val="26"/>
                <w:szCs w:val="26"/>
              </w:rPr>
            </w:pPr>
            <w:r w:rsidRPr="00290041">
              <w:rPr>
                <w:sz w:val="26"/>
                <w:szCs w:val="26"/>
              </w:rPr>
              <w:t>50.punkts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3.punkta (c)</w:t>
            </w:r>
          </w:p>
        </w:tc>
        <w:tc>
          <w:tcPr>
            <w:tcW w:w="2407" w:type="dxa"/>
          </w:tcPr>
          <w:p w:rsidR="009B5848" w:rsidRPr="00290041" w:rsidRDefault="009B5848" w:rsidP="009B5848">
            <w:pPr>
              <w:pStyle w:val="naiskr"/>
              <w:spacing w:before="0" w:after="0"/>
              <w:rPr>
                <w:sz w:val="26"/>
                <w:szCs w:val="26"/>
              </w:rPr>
            </w:pPr>
            <w:r w:rsidRPr="00290041">
              <w:rPr>
                <w:sz w:val="26"/>
                <w:szCs w:val="26"/>
              </w:rPr>
              <w:t>51.punkts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3.punkta (d) un (e)</w:t>
            </w:r>
          </w:p>
        </w:tc>
        <w:tc>
          <w:tcPr>
            <w:tcW w:w="2407" w:type="dxa"/>
          </w:tcPr>
          <w:p w:rsidR="009B5848" w:rsidRPr="00290041" w:rsidRDefault="009B5848" w:rsidP="009B5848">
            <w:pPr>
              <w:pStyle w:val="naiskr"/>
              <w:spacing w:before="0" w:after="0"/>
              <w:rPr>
                <w:sz w:val="26"/>
                <w:szCs w:val="26"/>
              </w:rPr>
            </w:pPr>
            <w:r w:rsidRPr="00290041">
              <w:rPr>
                <w:sz w:val="26"/>
                <w:szCs w:val="26"/>
              </w:rPr>
              <w:t>52.punkts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54.punkts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5.punkts</w:t>
            </w:r>
          </w:p>
        </w:tc>
        <w:tc>
          <w:tcPr>
            <w:tcW w:w="2407" w:type="dxa"/>
          </w:tcPr>
          <w:p w:rsidR="009B5848" w:rsidRPr="00290041" w:rsidRDefault="009B5848" w:rsidP="009B5848">
            <w:pPr>
              <w:pStyle w:val="naiskr"/>
              <w:spacing w:before="0" w:after="0"/>
              <w:rPr>
                <w:sz w:val="26"/>
                <w:szCs w:val="26"/>
              </w:rPr>
            </w:pPr>
            <w:r w:rsidRPr="00290041">
              <w:rPr>
                <w:sz w:val="26"/>
                <w:szCs w:val="26"/>
              </w:rPr>
              <w:t>53.punkts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22.panta 7.punkts</w:t>
            </w:r>
          </w:p>
        </w:tc>
        <w:tc>
          <w:tcPr>
            <w:tcW w:w="2407" w:type="dxa"/>
          </w:tcPr>
          <w:p w:rsidR="009B5848" w:rsidRPr="00290041" w:rsidRDefault="009B5848" w:rsidP="009B5848">
            <w:pPr>
              <w:pStyle w:val="naiskr"/>
              <w:spacing w:before="0" w:after="0"/>
              <w:rPr>
                <w:sz w:val="26"/>
                <w:szCs w:val="26"/>
              </w:rPr>
            </w:pPr>
            <w:r w:rsidRPr="00290041">
              <w:rPr>
                <w:sz w:val="26"/>
                <w:szCs w:val="26"/>
              </w:rPr>
              <w:t>55.punkts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84.punkts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lastRenderedPageBreak/>
              <w:t>Direktīvas 2014/17/ES  23.panta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85.punkts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3.punkts</w:t>
            </w:r>
          </w:p>
        </w:tc>
        <w:tc>
          <w:tcPr>
            <w:tcW w:w="2407" w:type="dxa"/>
          </w:tcPr>
          <w:p w:rsidR="009B5848" w:rsidRPr="00290041" w:rsidRDefault="009B5848" w:rsidP="009B5848">
            <w:pPr>
              <w:pStyle w:val="naiskr"/>
              <w:spacing w:before="0" w:after="0"/>
              <w:rPr>
                <w:sz w:val="26"/>
                <w:szCs w:val="26"/>
              </w:rPr>
            </w:pPr>
            <w:r w:rsidRPr="00290041">
              <w:rPr>
                <w:sz w:val="26"/>
                <w:szCs w:val="26"/>
              </w:rPr>
              <w:t>86.punkts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87.punkts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23.panta 6.punkts</w:t>
            </w:r>
          </w:p>
        </w:tc>
        <w:tc>
          <w:tcPr>
            <w:tcW w:w="2407" w:type="dxa"/>
          </w:tcPr>
          <w:p w:rsidR="009B5848" w:rsidRPr="00290041" w:rsidRDefault="009B5848" w:rsidP="009B5848">
            <w:pPr>
              <w:pStyle w:val="naiskr"/>
              <w:spacing w:before="0" w:after="0"/>
              <w:rPr>
                <w:sz w:val="26"/>
                <w:szCs w:val="26"/>
              </w:rPr>
            </w:pPr>
            <w:r w:rsidRPr="00290041">
              <w:rPr>
                <w:sz w:val="26"/>
                <w:szCs w:val="26"/>
              </w:rPr>
              <w:t>88.punkts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24.pants</w:t>
            </w:r>
          </w:p>
        </w:tc>
        <w:tc>
          <w:tcPr>
            <w:tcW w:w="2407" w:type="dxa"/>
          </w:tcPr>
          <w:p w:rsidR="009B5848" w:rsidRPr="00290041" w:rsidRDefault="009B5848" w:rsidP="009B5848">
            <w:pPr>
              <w:pStyle w:val="naiskr"/>
              <w:spacing w:before="0" w:after="0"/>
              <w:rPr>
                <w:sz w:val="26"/>
                <w:szCs w:val="26"/>
              </w:rPr>
            </w:pPr>
            <w:r w:rsidRPr="00290041">
              <w:rPr>
                <w:sz w:val="26"/>
                <w:szCs w:val="26"/>
              </w:rPr>
              <w:t>89.punkts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25.panta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99.punkts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25.panta 3.punkts</w:t>
            </w:r>
          </w:p>
        </w:tc>
        <w:tc>
          <w:tcPr>
            <w:tcW w:w="2407" w:type="dxa"/>
          </w:tcPr>
          <w:p w:rsidR="009B5848" w:rsidRPr="00290041" w:rsidRDefault="009B5848" w:rsidP="009B5848">
            <w:pPr>
              <w:pStyle w:val="naiskr"/>
              <w:spacing w:before="0" w:after="0"/>
              <w:rPr>
                <w:sz w:val="26"/>
                <w:szCs w:val="26"/>
              </w:rPr>
            </w:pPr>
            <w:r w:rsidRPr="00290041">
              <w:rPr>
                <w:sz w:val="26"/>
                <w:szCs w:val="26"/>
              </w:rPr>
              <w:t>101.punkts</w:t>
            </w:r>
          </w:p>
          <w:p w:rsidR="009B5848" w:rsidRPr="00290041" w:rsidRDefault="009B5848" w:rsidP="009B5848">
            <w:pPr>
              <w:pStyle w:val="naiskr"/>
              <w:spacing w:before="0" w:after="0"/>
              <w:rPr>
                <w:sz w:val="26"/>
                <w:szCs w:val="26"/>
              </w:rPr>
            </w:pPr>
            <w:r w:rsidRPr="00290041">
              <w:rPr>
                <w:sz w:val="26"/>
                <w:szCs w:val="26"/>
              </w:rPr>
              <w:t>103.punkts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25.panta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105.punkts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27.panta 1.punkts</w:t>
            </w:r>
          </w:p>
        </w:tc>
        <w:tc>
          <w:tcPr>
            <w:tcW w:w="2407" w:type="dxa"/>
          </w:tcPr>
          <w:p w:rsidR="009B5848" w:rsidRPr="00290041" w:rsidRDefault="009B5848" w:rsidP="009B5848">
            <w:pPr>
              <w:pStyle w:val="naiskr"/>
              <w:spacing w:before="0" w:after="0"/>
              <w:rPr>
                <w:sz w:val="26"/>
                <w:szCs w:val="26"/>
              </w:rPr>
            </w:pPr>
            <w:r w:rsidRPr="00290041">
              <w:rPr>
                <w:sz w:val="26"/>
                <w:szCs w:val="26"/>
              </w:rPr>
              <w:t>90.punkts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27.panta 2.punkts</w:t>
            </w:r>
          </w:p>
        </w:tc>
        <w:tc>
          <w:tcPr>
            <w:tcW w:w="2407" w:type="dxa"/>
          </w:tcPr>
          <w:p w:rsidR="009B5848" w:rsidRPr="00290041" w:rsidRDefault="009B5848" w:rsidP="009B5848">
            <w:pPr>
              <w:pStyle w:val="naiskr"/>
              <w:spacing w:before="0" w:after="0"/>
              <w:rPr>
                <w:sz w:val="26"/>
                <w:szCs w:val="26"/>
              </w:rPr>
            </w:pPr>
            <w:r w:rsidRPr="00290041">
              <w:rPr>
                <w:sz w:val="26"/>
                <w:szCs w:val="26"/>
              </w:rPr>
              <w:t>91.punkts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9B5848" w:rsidRPr="00290041" w:rsidTr="002F606E">
        <w:trPr>
          <w:trHeight w:val="552"/>
          <w:jc w:val="center"/>
        </w:trPr>
        <w:tc>
          <w:tcPr>
            <w:tcW w:w="2407" w:type="dxa"/>
          </w:tcPr>
          <w:p w:rsidR="009B5848" w:rsidRPr="00290041" w:rsidRDefault="009B5848" w:rsidP="009B5848">
            <w:pPr>
              <w:pStyle w:val="naiskr"/>
              <w:spacing w:before="0" w:after="0"/>
              <w:rPr>
                <w:sz w:val="26"/>
                <w:szCs w:val="26"/>
              </w:rPr>
            </w:pPr>
            <w:r w:rsidRPr="00290041">
              <w:rPr>
                <w:sz w:val="26"/>
                <w:szCs w:val="26"/>
              </w:rPr>
              <w:t>Direktīvas 2014/17/ES  27.panta 4.punkts</w:t>
            </w:r>
          </w:p>
        </w:tc>
        <w:tc>
          <w:tcPr>
            <w:tcW w:w="2407" w:type="dxa"/>
          </w:tcPr>
          <w:p w:rsidR="009B5848" w:rsidRPr="00290041" w:rsidRDefault="009B5848" w:rsidP="009B5848">
            <w:pPr>
              <w:pStyle w:val="naiskr"/>
              <w:spacing w:before="0" w:after="0"/>
              <w:rPr>
                <w:sz w:val="26"/>
                <w:szCs w:val="26"/>
              </w:rPr>
            </w:pPr>
            <w:r w:rsidRPr="00290041">
              <w:rPr>
                <w:sz w:val="26"/>
                <w:szCs w:val="26"/>
              </w:rPr>
              <w:t>92.punkts</w:t>
            </w:r>
          </w:p>
        </w:tc>
        <w:tc>
          <w:tcPr>
            <w:tcW w:w="2407" w:type="dxa"/>
          </w:tcPr>
          <w:p w:rsidR="009B5848" w:rsidRPr="00290041" w:rsidRDefault="009B5848" w:rsidP="009B5848">
            <w:pPr>
              <w:pStyle w:val="naiskr"/>
              <w:spacing w:before="0" w:after="0"/>
              <w:rPr>
                <w:sz w:val="26"/>
                <w:szCs w:val="26"/>
              </w:rPr>
            </w:pPr>
            <w:r w:rsidRPr="00290041">
              <w:rPr>
                <w:sz w:val="26"/>
                <w:szCs w:val="26"/>
              </w:rPr>
              <w:t>Ieviests pilnībā.</w:t>
            </w:r>
          </w:p>
          <w:p w:rsidR="009B5848" w:rsidRPr="00290041" w:rsidRDefault="009B5848" w:rsidP="009B5848">
            <w:pPr>
              <w:pStyle w:val="naiskr"/>
              <w:spacing w:before="0" w:after="0"/>
              <w:rPr>
                <w:sz w:val="26"/>
                <w:szCs w:val="26"/>
              </w:rPr>
            </w:pPr>
          </w:p>
        </w:tc>
        <w:tc>
          <w:tcPr>
            <w:tcW w:w="2407" w:type="dxa"/>
          </w:tcPr>
          <w:p w:rsidR="009B5848" w:rsidRPr="00290041" w:rsidRDefault="009B5848" w:rsidP="009B5848">
            <w:pPr>
              <w:pStyle w:val="naiskr"/>
              <w:spacing w:before="0" w:after="0"/>
              <w:jc w:val="both"/>
              <w:rPr>
                <w:sz w:val="26"/>
                <w:szCs w:val="26"/>
              </w:rPr>
            </w:pPr>
            <w:r w:rsidRPr="00290041">
              <w:rPr>
                <w:sz w:val="26"/>
                <w:szCs w:val="26"/>
              </w:rPr>
              <w:t>Stingrākas prasības nav paredzētas.</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t>Direktīvas 2014/17/ES  1.pielikums</w:t>
            </w:r>
          </w:p>
        </w:tc>
        <w:tc>
          <w:tcPr>
            <w:tcW w:w="2407" w:type="dxa"/>
          </w:tcPr>
          <w:p w:rsidR="00CD69B1" w:rsidRPr="00290041" w:rsidRDefault="00CD69B1" w:rsidP="00CD69B1">
            <w:pPr>
              <w:pStyle w:val="naiskr"/>
              <w:spacing w:before="0" w:after="0"/>
              <w:rPr>
                <w:sz w:val="26"/>
                <w:szCs w:val="26"/>
              </w:rPr>
            </w:pPr>
            <w:r w:rsidRPr="00290041">
              <w:rPr>
                <w:sz w:val="26"/>
                <w:szCs w:val="26"/>
              </w:rPr>
              <w:t>1.pielikums</w:t>
            </w:r>
          </w:p>
        </w:tc>
        <w:tc>
          <w:tcPr>
            <w:tcW w:w="2407" w:type="dxa"/>
          </w:tcPr>
          <w:p w:rsidR="00CD69B1" w:rsidRPr="00290041" w:rsidRDefault="00CD69B1" w:rsidP="00CD69B1">
            <w:pPr>
              <w:pStyle w:val="naiskr"/>
              <w:spacing w:before="0" w:after="0"/>
              <w:rPr>
                <w:sz w:val="26"/>
                <w:szCs w:val="26"/>
              </w:rPr>
            </w:pPr>
            <w:r w:rsidRPr="00290041">
              <w:rPr>
                <w:sz w:val="26"/>
                <w:szCs w:val="26"/>
              </w:rPr>
              <w:t>Ieviests pilnībā.</w:t>
            </w:r>
          </w:p>
          <w:p w:rsidR="00CD69B1" w:rsidRPr="00290041" w:rsidRDefault="00CD69B1" w:rsidP="00CD69B1">
            <w:pPr>
              <w:pStyle w:val="naiskr"/>
              <w:spacing w:before="0" w:after="0"/>
              <w:rPr>
                <w:sz w:val="26"/>
                <w:szCs w:val="26"/>
              </w:rPr>
            </w:pPr>
          </w:p>
        </w:tc>
        <w:tc>
          <w:tcPr>
            <w:tcW w:w="2407" w:type="dxa"/>
          </w:tcPr>
          <w:p w:rsidR="00CD69B1" w:rsidRPr="00290041" w:rsidRDefault="00CD69B1" w:rsidP="00CD69B1">
            <w:pPr>
              <w:pStyle w:val="naiskr"/>
              <w:spacing w:before="0" w:after="0"/>
              <w:jc w:val="both"/>
              <w:rPr>
                <w:sz w:val="26"/>
                <w:szCs w:val="26"/>
              </w:rPr>
            </w:pPr>
            <w:r w:rsidRPr="00290041">
              <w:rPr>
                <w:sz w:val="26"/>
                <w:szCs w:val="26"/>
              </w:rPr>
              <w:t>Stingrākas prasības nav paredzētas.</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t>Direktīvas 2014/17/ES  2.pielikums</w:t>
            </w:r>
          </w:p>
        </w:tc>
        <w:tc>
          <w:tcPr>
            <w:tcW w:w="2407" w:type="dxa"/>
          </w:tcPr>
          <w:p w:rsidR="00CD69B1" w:rsidRPr="00290041" w:rsidRDefault="00CD69B1" w:rsidP="00CD69B1">
            <w:pPr>
              <w:pStyle w:val="naiskr"/>
              <w:spacing w:before="0" w:after="0"/>
              <w:rPr>
                <w:sz w:val="26"/>
                <w:szCs w:val="26"/>
              </w:rPr>
            </w:pPr>
            <w:r w:rsidRPr="00290041">
              <w:rPr>
                <w:sz w:val="26"/>
                <w:szCs w:val="26"/>
              </w:rPr>
              <w:t>4.pielikums</w:t>
            </w:r>
          </w:p>
        </w:tc>
        <w:tc>
          <w:tcPr>
            <w:tcW w:w="2407" w:type="dxa"/>
          </w:tcPr>
          <w:p w:rsidR="00CD69B1" w:rsidRPr="00290041" w:rsidRDefault="00CD69B1" w:rsidP="00CD69B1">
            <w:pPr>
              <w:pStyle w:val="naiskr"/>
              <w:spacing w:before="0" w:after="0"/>
              <w:rPr>
                <w:sz w:val="26"/>
                <w:szCs w:val="26"/>
              </w:rPr>
            </w:pPr>
            <w:r w:rsidRPr="00290041">
              <w:rPr>
                <w:sz w:val="26"/>
                <w:szCs w:val="26"/>
              </w:rPr>
              <w:t>Ieviests pilnībā.</w:t>
            </w:r>
          </w:p>
          <w:p w:rsidR="00CD69B1" w:rsidRPr="00290041" w:rsidRDefault="00CD69B1" w:rsidP="00CD69B1">
            <w:pPr>
              <w:pStyle w:val="naiskr"/>
              <w:spacing w:before="0" w:after="0"/>
              <w:rPr>
                <w:sz w:val="26"/>
                <w:szCs w:val="26"/>
              </w:rPr>
            </w:pPr>
          </w:p>
        </w:tc>
        <w:tc>
          <w:tcPr>
            <w:tcW w:w="2407" w:type="dxa"/>
          </w:tcPr>
          <w:p w:rsidR="00CD69B1" w:rsidRPr="00290041" w:rsidRDefault="00CD69B1" w:rsidP="00CD69B1">
            <w:pPr>
              <w:pStyle w:val="naiskr"/>
              <w:spacing w:before="0" w:after="0"/>
              <w:jc w:val="both"/>
              <w:rPr>
                <w:sz w:val="26"/>
                <w:szCs w:val="26"/>
              </w:rPr>
            </w:pPr>
            <w:r w:rsidRPr="00290041">
              <w:rPr>
                <w:sz w:val="26"/>
                <w:szCs w:val="26"/>
              </w:rPr>
              <w:t>Stingrākas prasības nav paredzētas.</w:t>
            </w:r>
          </w:p>
        </w:tc>
      </w:tr>
      <w:tr w:rsidR="00CD69B1" w:rsidRPr="00290041" w:rsidTr="002F606E">
        <w:trPr>
          <w:trHeight w:val="552"/>
          <w:jc w:val="center"/>
        </w:trPr>
        <w:tc>
          <w:tcPr>
            <w:tcW w:w="2407" w:type="dxa"/>
          </w:tcPr>
          <w:p w:rsidR="00CD69B1" w:rsidRPr="00290041" w:rsidRDefault="00CD69B1" w:rsidP="00CD69B1">
            <w:pPr>
              <w:rPr>
                <w:sz w:val="26"/>
                <w:szCs w:val="26"/>
              </w:rPr>
            </w:pPr>
            <w:r w:rsidRPr="00290041">
              <w:rPr>
                <w:sz w:val="26"/>
                <w:szCs w:val="26"/>
              </w:rPr>
              <w:t>Kā ir izmantota ES tiesību aktā paredzētā rīcības brīvība dalībvalstij pārņemt vai ieviest noteiktas ES tiesību akta normas.</w:t>
            </w:r>
          </w:p>
          <w:p w:rsidR="00CD69B1" w:rsidRPr="00290041" w:rsidRDefault="00CD69B1" w:rsidP="00CD69B1">
            <w:pPr>
              <w:pStyle w:val="naiskr"/>
              <w:spacing w:before="0" w:after="0"/>
              <w:rPr>
                <w:sz w:val="26"/>
                <w:szCs w:val="26"/>
              </w:rPr>
            </w:pPr>
            <w:r w:rsidRPr="00290041">
              <w:rPr>
                <w:sz w:val="26"/>
                <w:szCs w:val="26"/>
              </w:rPr>
              <w:lastRenderedPageBreak/>
              <w:t>Kādēļ?</w:t>
            </w:r>
          </w:p>
        </w:tc>
        <w:tc>
          <w:tcPr>
            <w:tcW w:w="7221" w:type="dxa"/>
            <w:gridSpan w:val="3"/>
          </w:tcPr>
          <w:p w:rsidR="00771E13" w:rsidRPr="00290041" w:rsidRDefault="00771E13" w:rsidP="002F606E">
            <w:pPr>
              <w:pStyle w:val="CommentText"/>
              <w:ind w:firstLine="679"/>
              <w:jc w:val="both"/>
              <w:rPr>
                <w:sz w:val="26"/>
                <w:szCs w:val="26"/>
              </w:rPr>
            </w:pPr>
            <w:r w:rsidRPr="00290041">
              <w:rPr>
                <w:sz w:val="26"/>
                <w:szCs w:val="26"/>
              </w:rPr>
              <w:lastRenderedPageBreak/>
              <w:t xml:space="preserve">Direktīvas 2014/17/ES 3.panta 3.punktā paredzētā brīvība nepiemērot direktīvas prasības noteiktiem kreditēšanas līgumiem izmantota daļēji, izvērtējot izņēmuma praktisko nepieciešamību. </w:t>
            </w:r>
          </w:p>
          <w:p w:rsidR="00E85E91" w:rsidRPr="00290041" w:rsidRDefault="00E85E91" w:rsidP="002F606E">
            <w:pPr>
              <w:pStyle w:val="CommentText"/>
              <w:ind w:firstLine="679"/>
              <w:jc w:val="both"/>
              <w:rPr>
                <w:sz w:val="26"/>
                <w:szCs w:val="26"/>
              </w:rPr>
            </w:pPr>
            <w:r w:rsidRPr="00290041">
              <w:rPr>
                <w:sz w:val="26"/>
                <w:szCs w:val="26"/>
              </w:rPr>
              <w:t xml:space="preserve">Nav izmantota </w:t>
            </w:r>
            <w:r w:rsidR="00AF0E0F" w:rsidRPr="00290041">
              <w:rPr>
                <w:sz w:val="26"/>
                <w:szCs w:val="26"/>
              </w:rPr>
              <w:t xml:space="preserve">Direktīvas 2014/17/ES </w:t>
            </w:r>
            <w:r w:rsidRPr="00290041">
              <w:rPr>
                <w:sz w:val="26"/>
                <w:szCs w:val="26"/>
              </w:rPr>
              <w:t xml:space="preserve">11.panta 1.punktā paredzētā brīvība, jo Latvijas likumdošana šobrīd pieprasa norādīt gada procentu likmi reklāmā, kurā norādīta skaitliskā informācija par kredīta piedāvājumu. Tāpat nav izmantota 6.punktā paredzētā brīvība </w:t>
            </w:r>
            <w:r w:rsidRPr="00290041">
              <w:rPr>
                <w:sz w:val="26"/>
                <w:szCs w:val="26"/>
              </w:rPr>
              <w:lastRenderedPageBreak/>
              <w:t>noteikt papildus reklāmās iekļaujamos brīdinājumus, ņemot vērā jau paredzēto reklāmā norādāmās informācijas apmēru, kas sniedz izsmeļošu informāciju par kredītu.</w:t>
            </w:r>
          </w:p>
          <w:p w:rsidR="00E85E91" w:rsidRPr="00290041" w:rsidRDefault="00E85E91" w:rsidP="002F606E">
            <w:pPr>
              <w:pStyle w:val="CommentText"/>
              <w:ind w:firstLine="679"/>
              <w:jc w:val="both"/>
              <w:rPr>
                <w:sz w:val="26"/>
                <w:szCs w:val="26"/>
              </w:rPr>
            </w:pPr>
            <w:r w:rsidRPr="00290041">
              <w:rPr>
                <w:sz w:val="26"/>
                <w:szCs w:val="26"/>
              </w:rPr>
              <w:t>Tika izmantota 12.panta 3.punktā paredzētā brīvība atļaut kreditoriem piedāvāt pakalpojumu komplektus, ja tie var pierādīt, ka patērētājs no tā neapšaubāmi iegūst, kā arī 4.punktā paredzētā iespēja prasīt apdrošināšanas polisi.</w:t>
            </w:r>
          </w:p>
          <w:p w:rsidR="00E85E91" w:rsidRPr="00290041" w:rsidRDefault="00E85E91" w:rsidP="002F606E">
            <w:pPr>
              <w:pStyle w:val="CommentText"/>
              <w:ind w:firstLine="679"/>
              <w:jc w:val="both"/>
              <w:rPr>
                <w:sz w:val="26"/>
                <w:szCs w:val="26"/>
              </w:rPr>
            </w:pPr>
            <w:r w:rsidRPr="00290041">
              <w:rPr>
                <w:sz w:val="26"/>
                <w:szCs w:val="26"/>
              </w:rPr>
              <w:t xml:space="preserve">Nav izmantota 13.panta 2.punktā paredzētā brīvība noteikt papildus brīdinājumus vispārīgajā </w:t>
            </w:r>
            <w:proofErr w:type="spellStart"/>
            <w:r w:rsidRPr="00290041">
              <w:rPr>
                <w:sz w:val="26"/>
                <w:szCs w:val="26"/>
              </w:rPr>
              <w:t>pirmslīguma</w:t>
            </w:r>
            <w:proofErr w:type="spellEnd"/>
            <w:r w:rsidRPr="00290041">
              <w:rPr>
                <w:sz w:val="26"/>
                <w:szCs w:val="26"/>
              </w:rPr>
              <w:t xml:space="preserve"> informācijā.</w:t>
            </w:r>
          </w:p>
          <w:p w:rsidR="00CD69B1" w:rsidRPr="00290041" w:rsidRDefault="00CD69B1" w:rsidP="002F606E">
            <w:pPr>
              <w:pStyle w:val="CommentText"/>
              <w:ind w:firstLine="679"/>
              <w:jc w:val="both"/>
              <w:rPr>
                <w:sz w:val="26"/>
                <w:szCs w:val="26"/>
              </w:rPr>
            </w:pPr>
            <w:r w:rsidRPr="00290041">
              <w:rPr>
                <w:sz w:val="26"/>
                <w:szCs w:val="26"/>
              </w:rPr>
              <w:t>Saskaņā ar Direktīva</w:t>
            </w:r>
            <w:r w:rsidR="00AF0E0F">
              <w:rPr>
                <w:sz w:val="26"/>
                <w:szCs w:val="26"/>
              </w:rPr>
              <w:t>s 2014/17/ES  14.panta 6.punktu</w:t>
            </w:r>
            <w:r w:rsidRPr="00290041">
              <w:rPr>
                <w:sz w:val="26"/>
                <w:szCs w:val="26"/>
              </w:rPr>
              <w:t xml:space="preserve"> jānosaka vai nu pārdomu periods pirms kreditēšanas līguma noslēgšanas, vai arī atteikuma tiesību periods pēc kreditēšanas līguma noslēgšanas. Tā kā </w:t>
            </w:r>
            <w:r w:rsidR="00AF0E0F">
              <w:rPr>
                <w:sz w:val="26"/>
                <w:szCs w:val="26"/>
              </w:rPr>
              <w:t>Patērētāju tiesību aizsardzības likuma</w:t>
            </w:r>
            <w:r w:rsidRPr="00290041">
              <w:rPr>
                <w:sz w:val="26"/>
                <w:szCs w:val="26"/>
              </w:rPr>
              <w:t xml:space="preserve"> grozījumu projektā tika paredzētas atteikuma tiesības no hipotekārās kreditēšanas līguma, noteikum</w:t>
            </w:r>
            <w:r w:rsidR="00AF0E0F">
              <w:rPr>
                <w:sz w:val="26"/>
                <w:szCs w:val="26"/>
              </w:rPr>
              <w:t>u projektā</w:t>
            </w:r>
            <w:r w:rsidRPr="00290041">
              <w:rPr>
                <w:sz w:val="26"/>
                <w:szCs w:val="26"/>
              </w:rPr>
              <w:t xml:space="preserve"> attiecīgi paredzēts sniegt informāciju par atteikuma tiesību izmantošanu.</w:t>
            </w:r>
          </w:p>
          <w:p w:rsidR="00E85E91" w:rsidRPr="00290041" w:rsidRDefault="00E85E91" w:rsidP="002F606E">
            <w:pPr>
              <w:pStyle w:val="CommentText"/>
              <w:ind w:firstLine="679"/>
              <w:jc w:val="both"/>
              <w:rPr>
                <w:sz w:val="26"/>
                <w:szCs w:val="26"/>
              </w:rPr>
            </w:pPr>
            <w:r w:rsidRPr="00290041">
              <w:rPr>
                <w:sz w:val="26"/>
                <w:szCs w:val="26"/>
              </w:rPr>
              <w:t>Nav izmantota 16.panta 2.punktā paredzētā brīvība detalizētāk regulēt skaidrojumu sniegšanu patērētājam, atstājot to šobrīd kredīta devēju ziņā, jo šobrīd nav informācijas par problēmām un attiecīgi regulējuma nepieciešamību šajā jomā.</w:t>
            </w:r>
          </w:p>
          <w:p w:rsidR="00E85E91" w:rsidRPr="00290041" w:rsidRDefault="00290041" w:rsidP="002F606E">
            <w:pPr>
              <w:pStyle w:val="CommentText"/>
              <w:ind w:firstLine="679"/>
              <w:jc w:val="both"/>
              <w:rPr>
                <w:sz w:val="26"/>
                <w:szCs w:val="26"/>
              </w:rPr>
            </w:pPr>
            <w:r w:rsidRPr="00290041">
              <w:rPr>
                <w:sz w:val="26"/>
                <w:szCs w:val="26"/>
              </w:rPr>
              <w:t>Izmantota 22.pantā paredzētā brīvība aizliegt izmantot terminu “neatkarīgs padoms”, ja vien netiek izpildīti zināmi priekšnoteikumi.</w:t>
            </w:r>
          </w:p>
          <w:p w:rsidR="00290041" w:rsidRPr="00290041" w:rsidRDefault="00290041" w:rsidP="002F606E">
            <w:pPr>
              <w:pStyle w:val="CommentText"/>
              <w:ind w:firstLine="679"/>
              <w:jc w:val="both"/>
              <w:rPr>
                <w:sz w:val="26"/>
                <w:szCs w:val="26"/>
              </w:rPr>
            </w:pPr>
            <w:r w:rsidRPr="00290041">
              <w:rPr>
                <w:sz w:val="26"/>
                <w:szCs w:val="26"/>
              </w:rPr>
              <w:t xml:space="preserve">Attiecībā uz 23.pantā paredzētajiem aizsardzības mehānismiem ārvalstu valūtu kredītu gadījumā ir izvēlēts variants, kur kredīta devējs var piedāvāt gan </w:t>
            </w:r>
            <w:r w:rsidR="00AF0E0F" w:rsidRPr="00290041">
              <w:rPr>
                <w:sz w:val="26"/>
                <w:szCs w:val="26"/>
              </w:rPr>
              <w:t>Direktīv</w:t>
            </w:r>
            <w:r w:rsidR="00AF0E0F">
              <w:rPr>
                <w:sz w:val="26"/>
                <w:szCs w:val="26"/>
              </w:rPr>
              <w:t>ā</w:t>
            </w:r>
            <w:r w:rsidR="00AF0E0F" w:rsidRPr="00290041">
              <w:rPr>
                <w:sz w:val="26"/>
                <w:szCs w:val="26"/>
              </w:rPr>
              <w:t xml:space="preserve"> 2014/17/ES </w:t>
            </w:r>
            <w:r w:rsidRPr="00290041">
              <w:rPr>
                <w:sz w:val="26"/>
                <w:szCs w:val="26"/>
              </w:rPr>
              <w:t>paredzētos mehānismus, gan arī citus – kreditēšanas līgumā paredzētus mehānismus.</w:t>
            </w:r>
          </w:p>
          <w:p w:rsidR="00DA0E1E" w:rsidRPr="00315880" w:rsidRDefault="00290041" w:rsidP="002F606E">
            <w:pPr>
              <w:pStyle w:val="CommentText"/>
              <w:ind w:firstLine="679"/>
              <w:jc w:val="both"/>
              <w:rPr>
                <w:sz w:val="26"/>
                <w:szCs w:val="26"/>
              </w:rPr>
            </w:pPr>
            <w:r w:rsidRPr="00290041">
              <w:rPr>
                <w:sz w:val="26"/>
                <w:szCs w:val="26"/>
              </w:rPr>
              <w:t xml:space="preserve">Attiecībā uz pirmstermiņa atmaksas regulējumu </w:t>
            </w:r>
            <w:r w:rsidR="00AF0E0F" w:rsidRPr="00290041">
              <w:rPr>
                <w:sz w:val="26"/>
                <w:szCs w:val="26"/>
              </w:rPr>
              <w:t xml:space="preserve">Direktīvas 2014/17/ES </w:t>
            </w:r>
            <w:r w:rsidR="00AF0E0F">
              <w:rPr>
                <w:sz w:val="26"/>
                <w:szCs w:val="26"/>
              </w:rPr>
              <w:t>25.pantā</w:t>
            </w:r>
            <w:r w:rsidRPr="00290041">
              <w:rPr>
                <w:sz w:val="26"/>
                <w:szCs w:val="26"/>
              </w:rPr>
              <w:t xml:space="preserve"> tika izvēlēts saglabāt iepriekš spēkā esošos ierobežojumus pirmstermiņa atmaksas kompensācijai, piemēram, tas, ka kompensācija pienākas tikai, ja atmaksa tiek veikta fiksētas aizņēmuma likmes piemērošanas laikā, kā arī noteikti kompensācijas ierobežojumi</w:t>
            </w:r>
            <w:r w:rsidRPr="00315880">
              <w:rPr>
                <w:sz w:val="26"/>
                <w:szCs w:val="26"/>
              </w:rPr>
              <w:t>.</w:t>
            </w:r>
            <w:r w:rsidR="00DA0E1E" w:rsidRPr="00315880">
              <w:rPr>
                <w:sz w:val="26"/>
                <w:szCs w:val="26"/>
              </w:rPr>
              <w:t xml:space="preserve"> Papildus noteikumu projekta 107.punkts paredz noteikt iespēju kredīta </w:t>
            </w:r>
            <w:proofErr w:type="spellStart"/>
            <w:r w:rsidR="00DA0E1E" w:rsidRPr="00315880">
              <w:rPr>
                <w:sz w:val="26"/>
                <w:szCs w:val="26"/>
              </w:rPr>
              <w:t>devērjam</w:t>
            </w:r>
            <w:proofErr w:type="spellEnd"/>
            <w:r w:rsidR="00DA0E1E" w:rsidRPr="00315880">
              <w:rPr>
                <w:sz w:val="26"/>
                <w:szCs w:val="26"/>
              </w:rPr>
              <w:t xml:space="preserve"> prasīt segt administratīvos izdevumus, kas saistās ar </w:t>
            </w:r>
            <w:proofErr w:type="spellStart"/>
            <w:r w:rsidR="00DA0E1E" w:rsidRPr="00315880">
              <w:rPr>
                <w:sz w:val="26"/>
                <w:szCs w:val="26"/>
              </w:rPr>
              <w:t>pārkreditāciju</w:t>
            </w:r>
            <w:proofErr w:type="spellEnd"/>
            <w:r w:rsidR="00DA0E1E" w:rsidRPr="00315880">
              <w:rPr>
                <w:sz w:val="26"/>
                <w:szCs w:val="26"/>
              </w:rPr>
              <w:t xml:space="preserve"> pie cita kredīta devēja. </w:t>
            </w:r>
          </w:p>
          <w:p w:rsidR="00DA0E1E" w:rsidRPr="00315880" w:rsidRDefault="00DA0E1E" w:rsidP="002F606E">
            <w:pPr>
              <w:pStyle w:val="CommentText"/>
              <w:ind w:firstLine="679"/>
              <w:jc w:val="both"/>
              <w:rPr>
                <w:sz w:val="26"/>
                <w:szCs w:val="26"/>
              </w:rPr>
            </w:pPr>
            <w:r w:rsidRPr="00315880">
              <w:rPr>
                <w:color w:val="000000" w:themeColor="text1"/>
                <w:sz w:val="26"/>
                <w:szCs w:val="26"/>
              </w:rPr>
              <w:t xml:space="preserve">Šobrīd MK noteikumu Nr.1219 “Noteikumi par patērētāja kreditēšanu” 71.punkts paredz aizliegumu prasīt jebkādu kompensāciju par kredīta saistību pildīšanu pirms noteiktā termiņa, izņemot noteikumu 72.punktā minēto gadījumu, t.i., ja pirmstermiņa atmaksa notiek periodā, attiecībā uz kuru saskaņā ar kreditēšanas līgumu tiek piemērota fiksētā aizdevuma likme. </w:t>
            </w:r>
            <w:proofErr w:type="spellStart"/>
            <w:r w:rsidRPr="00315880">
              <w:rPr>
                <w:color w:val="000000" w:themeColor="text1"/>
                <w:sz w:val="26"/>
                <w:szCs w:val="26"/>
              </w:rPr>
              <w:t>Pārkreditācija</w:t>
            </w:r>
            <w:proofErr w:type="spellEnd"/>
            <w:r w:rsidRPr="00315880">
              <w:rPr>
                <w:color w:val="000000" w:themeColor="text1"/>
                <w:sz w:val="26"/>
                <w:szCs w:val="26"/>
              </w:rPr>
              <w:t xml:space="preserve"> pie cita kredīta devēja ir viens no veidiem, kā patērētājs var izpildīt savas saistības pirms līgumā noteiktā termiņa. Pēc šobrīd spēkā esošajiem noteikumiem arī </w:t>
            </w:r>
            <w:proofErr w:type="spellStart"/>
            <w:r w:rsidRPr="00315880">
              <w:rPr>
                <w:color w:val="000000" w:themeColor="text1"/>
                <w:sz w:val="26"/>
                <w:szCs w:val="26"/>
              </w:rPr>
              <w:t>pārkreditācijas</w:t>
            </w:r>
            <w:proofErr w:type="spellEnd"/>
            <w:r w:rsidRPr="00315880">
              <w:rPr>
                <w:color w:val="000000" w:themeColor="text1"/>
                <w:sz w:val="26"/>
                <w:szCs w:val="26"/>
              </w:rPr>
              <w:t xml:space="preserve"> gadījumā piemērotos tie paši noteikumi kompensācijas ierobežojumiem un aprēķinam. </w:t>
            </w:r>
          </w:p>
          <w:p w:rsidR="00DA0E1E" w:rsidRPr="00315880" w:rsidRDefault="00DA0E1E" w:rsidP="002F606E">
            <w:pPr>
              <w:pStyle w:val="naisc"/>
              <w:spacing w:before="0" w:after="0"/>
              <w:ind w:firstLine="679"/>
              <w:jc w:val="both"/>
              <w:rPr>
                <w:color w:val="000000" w:themeColor="text1"/>
                <w:sz w:val="26"/>
                <w:szCs w:val="26"/>
              </w:rPr>
            </w:pPr>
            <w:r w:rsidRPr="00315880">
              <w:rPr>
                <w:color w:val="000000" w:themeColor="text1"/>
                <w:sz w:val="26"/>
                <w:szCs w:val="26"/>
              </w:rPr>
              <w:t xml:space="preserve">Noteikumu projektā piedāvātā </w:t>
            </w:r>
            <w:proofErr w:type="spellStart"/>
            <w:r w:rsidRPr="00315880">
              <w:rPr>
                <w:color w:val="000000" w:themeColor="text1"/>
                <w:sz w:val="26"/>
                <w:szCs w:val="26"/>
              </w:rPr>
              <w:t>XII.nodaļas</w:t>
            </w:r>
            <w:proofErr w:type="spellEnd"/>
            <w:r w:rsidRPr="00315880">
              <w:rPr>
                <w:color w:val="000000" w:themeColor="text1"/>
                <w:sz w:val="26"/>
                <w:szCs w:val="26"/>
              </w:rPr>
              <w:t xml:space="preserve"> redakcija un 107.punkts faktiski atļauj pieprasīt hipotekārajiem kredītiem kompensāciju arī tajos gadījumos, kad pirmstermiņa atmaksa </w:t>
            </w:r>
            <w:r w:rsidRPr="00315880">
              <w:rPr>
                <w:color w:val="000000" w:themeColor="text1"/>
                <w:sz w:val="26"/>
                <w:szCs w:val="26"/>
              </w:rPr>
              <w:lastRenderedPageBreak/>
              <w:t xml:space="preserve">pārkreditējoties veikta pie mainīgās aizņēmuma likmes (kas līdz šim bija aizliegts). Līdz ar to noteikumu projektā piedāvātā 107.punkta (jaunajā numerācijā) ir labvēlīgāka kredīta devējiem </w:t>
            </w:r>
            <w:proofErr w:type="spellStart"/>
            <w:r w:rsidRPr="00315880">
              <w:rPr>
                <w:color w:val="000000" w:themeColor="text1"/>
                <w:sz w:val="26"/>
                <w:szCs w:val="26"/>
              </w:rPr>
              <w:t>pārkreditācijas</w:t>
            </w:r>
            <w:proofErr w:type="spellEnd"/>
            <w:r w:rsidRPr="00315880">
              <w:rPr>
                <w:color w:val="000000" w:themeColor="text1"/>
                <w:sz w:val="26"/>
                <w:szCs w:val="26"/>
              </w:rPr>
              <w:t xml:space="preserve"> gadījumā.</w:t>
            </w:r>
          </w:p>
          <w:p w:rsidR="00DA0E1E" w:rsidRPr="00315880" w:rsidRDefault="00DA0E1E" w:rsidP="002F606E">
            <w:pPr>
              <w:pStyle w:val="naisc"/>
              <w:spacing w:before="0" w:after="0"/>
              <w:ind w:firstLine="679"/>
              <w:jc w:val="both"/>
              <w:rPr>
                <w:color w:val="000000" w:themeColor="text1"/>
                <w:sz w:val="26"/>
                <w:szCs w:val="26"/>
              </w:rPr>
            </w:pPr>
            <w:r w:rsidRPr="00315880">
              <w:rPr>
                <w:color w:val="000000" w:themeColor="text1"/>
                <w:sz w:val="26"/>
                <w:szCs w:val="26"/>
              </w:rPr>
              <w:t>Direktīvas 2014/17/ES 25.panta 3.punkts paredz dalībvalstīm tiesības noteikt kompensāciju kredīta devējam par kredīta pirmstermiņa atmaksu (ko Latvija ir noteikusi vēl pārņemot Direktīvas 2008/48/EK prasības un attiecinot tās arī uz hipotekāro kreditēšanu, sekojot nozares vēlmēm), vienlaikus nosakot, ka šāda kompensācija nedrīkst pārsniegt kreditora finanšu zaudējumus, kā arī paredzot tiesības dalībvalstīm ierobežot kompensācijas apmēru vai pieprasīšanas laika periodu. Līdz ar to kompensācijas noteikšana, ko paredz noteikumu projekts, nav pretrunā ar direktīvas 2014/17/EK prasībām.</w:t>
            </w:r>
          </w:p>
          <w:p w:rsidR="00290041" w:rsidRPr="00290041" w:rsidRDefault="00DA0E1E" w:rsidP="002F606E">
            <w:pPr>
              <w:pStyle w:val="CommentText"/>
              <w:ind w:firstLine="679"/>
              <w:jc w:val="both"/>
              <w:rPr>
                <w:sz w:val="26"/>
                <w:szCs w:val="26"/>
              </w:rPr>
            </w:pPr>
            <w:r w:rsidRPr="00315880">
              <w:rPr>
                <w:color w:val="000000" w:themeColor="text1"/>
                <w:sz w:val="26"/>
                <w:szCs w:val="26"/>
              </w:rPr>
              <w:t xml:space="preserve">Vienlaikus EM norāda, ka pirmstermiņa atmaksas tiesības patērētājam paredzētas gan direktīvā 2008/48/EK, gan direktīvā 2014/17/ES kā vienas no galvenajām patērētāja tiesībām saistībā ar kreditēšanas līgumu, un tās nebūtu ierobežojamas, nosakot nesamērīgi lielu kompensāciju par </w:t>
            </w:r>
            <w:proofErr w:type="spellStart"/>
            <w:r w:rsidRPr="00315880">
              <w:rPr>
                <w:color w:val="000000" w:themeColor="text1"/>
                <w:sz w:val="26"/>
                <w:szCs w:val="26"/>
              </w:rPr>
              <w:t>pārkreditāciju</w:t>
            </w:r>
            <w:proofErr w:type="spellEnd"/>
            <w:r w:rsidRPr="00315880">
              <w:rPr>
                <w:color w:val="000000" w:themeColor="text1"/>
                <w:sz w:val="26"/>
                <w:szCs w:val="26"/>
              </w:rPr>
              <w:t>, kas šobrīd novērojama praksē. Iespēja pārkreditēties veicina konkurenci, kā arī nodrošina patērētājam tiesības pāriet pie cita kredīta devēja, ja esošais neapmierina, ko nevar ierobežot.</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21" w:type="dxa"/>
            <w:gridSpan w:val="3"/>
          </w:tcPr>
          <w:p w:rsidR="00CD69B1" w:rsidRPr="00290041" w:rsidRDefault="00CD69B1" w:rsidP="00CD69B1">
            <w:pPr>
              <w:pStyle w:val="naiskr"/>
              <w:spacing w:before="0" w:after="0"/>
              <w:jc w:val="both"/>
              <w:rPr>
                <w:sz w:val="26"/>
                <w:szCs w:val="26"/>
              </w:rPr>
            </w:pPr>
            <w:r w:rsidRPr="00290041">
              <w:rPr>
                <w:sz w:val="26"/>
                <w:szCs w:val="26"/>
              </w:rPr>
              <w:t>Projekts šo jomu neskar</w:t>
            </w:r>
          </w:p>
        </w:tc>
      </w:tr>
      <w:tr w:rsidR="00CD69B1" w:rsidRPr="00290041" w:rsidTr="002F606E">
        <w:trPr>
          <w:trHeight w:val="552"/>
          <w:jc w:val="center"/>
        </w:trPr>
        <w:tc>
          <w:tcPr>
            <w:tcW w:w="2407" w:type="dxa"/>
          </w:tcPr>
          <w:p w:rsidR="00CD69B1" w:rsidRPr="00290041" w:rsidRDefault="00CD69B1" w:rsidP="00CD69B1">
            <w:pPr>
              <w:pStyle w:val="naiskr"/>
              <w:spacing w:before="0" w:after="0"/>
              <w:rPr>
                <w:sz w:val="26"/>
                <w:szCs w:val="26"/>
              </w:rPr>
            </w:pPr>
            <w:r w:rsidRPr="00290041">
              <w:rPr>
                <w:sz w:val="26"/>
                <w:szCs w:val="26"/>
              </w:rPr>
              <w:t>Cita informācija</w:t>
            </w:r>
          </w:p>
        </w:tc>
        <w:tc>
          <w:tcPr>
            <w:tcW w:w="7221" w:type="dxa"/>
            <w:gridSpan w:val="3"/>
          </w:tcPr>
          <w:p w:rsidR="00CD69B1" w:rsidRPr="00290041" w:rsidRDefault="00AF0E0F" w:rsidP="004D2812">
            <w:pPr>
              <w:pStyle w:val="naiskr"/>
              <w:spacing w:before="0" w:after="0"/>
              <w:ind w:firstLine="395"/>
              <w:jc w:val="both"/>
              <w:rPr>
                <w:sz w:val="26"/>
                <w:szCs w:val="26"/>
              </w:rPr>
            </w:pPr>
            <w:r w:rsidRPr="00290041">
              <w:rPr>
                <w:sz w:val="26"/>
                <w:szCs w:val="26"/>
              </w:rPr>
              <w:t xml:space="preserve">Direktīvas 2014/17/ES </w:t>
            </w:r>
            <w:r w:rsidR="00CD69B1" w:rsidRPr="00290041">
              <w:rPr>
                <w:sz w:val="26"/>
                <w:szCs w:val="26"/>
              </w:rPr>
              <w:t>3.panta 2.punkta (a) apakšpunkts netiek pārņemts, jo Latvijas teritorijā netika konstatēti šāda veida pakalpojumi.</w:t>
            </w:r>
          </w:p>
          <w:p w:rsidR="00CD69B1" w:rsidRPr="004D2812" w:rsidRDefault="002D5E80" w:rsidP="004D2812">
            <w:pPr>
              <w:pStyle w:val="naiskr"/>
              <w:spacing w:before="0" w:after="0"/>
              <w:ind w:firstLine="395"/>
              <w:jc w:val="both"/>
              <w:rPr>
                <w:sz w:val="26"/>
                <w:szCs w:val="26"/>
              </w:rPr>
            </w:pPr>
            <w:r w:rsidRPr="004D2812">
              <w:rPr>
                <w:sz w:val="26"/>
                <w:szCs w:val="26"/>
              </w:rPr>
              <w:t>Pārējās direktīvas 2014/17/ES normas pārņemtas ar 2016.gada 9.jūnijā Saeimā pieņemto likumu “Grozījumi Patērētāju tiesību aizsardzības likumā”. Tāpat, lai pārņemtu direktīvas prasības saistībā ar starpnieku reģistrāciju un uzraudzību, tiek izstrādāts ministru kabineta noteikumu projekts “Kredīta starpnieku un kredīta starpnieku pārstāvju reģistrācijas noteikumi”, atbilstoši Patērētāju tiesību aizsardzības likuma 8.</w:t>
            </w:r>
            <w:r w:rsidRPr="004D2812">
              <w:rPr>
                <w:sz w:val="26"/>
                <w:szCs w:val="26"/>
                <w:vertAlign w:val="superscript"/>
              </w:rPr>
              <w:t>2</w:t>
            </w:r>
            <w:r w:rsidRPr="004D2812">
              <w:rPr>
                <w:sz w:val="26"/>
                <w:szCs w:val="26"/>
              </w:rPr>
              <w:t>panta trešajā daļā dotajam deleģējumam.</w:t>
            </w:r>
          </w:p>
        </w:tc>
      </w:tr>
    </w:tbl>
    <w:p w:rsidR="00AF0E0F" w:rsidRDefault="00AF0E0F" w:rsidP="009D5C4D">
      <w:pPr>
        <w:rPr>
          <w:sz w:val="26"/>
          <w:szCs w:val="2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361"/>
        <w:gridCol w:w="6852"/>
      </w:tblGrid>
      <w:tr w:rsidR="00E74C48" w:rsidRPr="00290041" w:rsidTr="00615C78">
        <w:trPr>
          <w:jc w:val="center"/>
        </w:trPr>
        <w:tc>
          <w:tcPr>
            <w:tcW w:w="9638" w:type="dxa"/>
            <w:gridSpan w:val="3"/>
          </w:tcPr>
          <w:p w:rsidR="00C74CAE" w:rsidRPr="00290041" w:rsidRDefault="00C74CAE">
            <w:pPr>
              <w:pStyle w:val="naisnod"/>
              <w:spacing w:before="0" w:after="0"/>
              <w:ind w:left="57" w:right="57"/>
              <w:rPr>
                <w:sz w:val="26"/>
                <w:szCs w:val="26"/>
              </w:rPr>
            </w:pPr>
            <w:r w:rsidRPr="00290041">
              <w:rPr>
                <w:sz w:val="26"/>
                <w:szCs w:val="26"/>
              </w:rPr>
              <w:lastRenderedPageBreak/>
              <w:t>VI. Sabiedrības līdzdalība un šīs līdzdalības rezultāti</w:t>
            </w:r>
          </w:p>
        </w:tc>
      </w:tr>
      <w:tr w:rsidR="00615C78" w:rsidRPr="00290041" w:rsidTr="00615C78">
        <w:trPr>
          <w:trHeight w:val="553"/>
          <w:jc w:val="center"/>
        </w:trPr>
        <w:tc>
          <w:tcPr>
            <w:tcW w:w="425" w:type="dxa"/>
          </w:tcPr>
          <w:p w:rsidR="00C74CAE" w:rsidRPr="00290041" w:rsidRDefault="00C74CAE">
            <w:pPr>
              <w:pStyle w:val="naiskr"/>
              <w:spacing w:before="0" w:after="0"/>
              <w:ind w:left="57" w:right="57"/>
              <w:rPr>
                <w:bCs/>
                <w:sz w:val="26"/>
                <w:szCs w:val="26"/>
              </w:rPr>
            </w:pPr>
            <w:r w:rsidRPr="00290041">
              <w:rPr>
                <w:bCs/>
                <w:sz w:val="26"/>
                <w:szCs w:val="26"/>
              </w:rPr>
              <w:t>1.</w:t>
            </w:r>
          </w:p>
        </w:tc>
        <w:tc>
          <w:tcPr>
            <w:tcW w:w="2361" w:type="dxa"/>
          </w:tcPr>
          <w:p w:rsidR="00C74CAE" w:rsidRPr="00290041" w:rsidRDefault="00D745B7">
            <w:pPr>
              <w:pStyle w:val="naiskr"/>
              <w:tabs>
                <w:tab w:val="left" w:pos="170"/>
              </w:tabs>
              <w:spacing w:before="0" w:after="0"/>
              <w:ind w:left="57" w:right="57"/>
              <w:rPr>
                <w:sz w:val="26"/>
                <w:szCs w:val="26"/>
              </w:rPr>
            </w:pPr>
            <w:r w:rsidRPr="00290041">
              <w:rPr>
                <w:sz w:val="26"/>
                <w:szCs w:val="26"/>
              </w:rPr>
              <w:t>Plānotās sabiedrības līdzdalības un komunikācijas aktivitātes saistībā ar projektu</w:t>
            </w:r>
          </w:p>
        </w:tc>
        <w:tc>
          <w:tcPr>
            <w:tcW w:w="6852" w:type="dxa"/>
          </w:tcPr>
          <w:p w:rsidR="007E0D33" w:rsidRPr="00290041" w:rsidRDefault="00AF0E0F" w:rsidP="007E0D33">
            <w:pPr>
              <w:widowControl w:val="0"/>
              <w:suppressAutoHyphens/>
              <w:autoSpaceDE w:val="0"/>
              <w:autoSpaceDN w:val="0"/>
              <w:adjustRightInd w:val="0"/>
              <w:ind w:firstLine="564"/>
              <w:jc w:val="both"/>
              <w:rPr>
                <w:sz w:val="26"/>
                <w:szCs w:val="26"/>
              </w:rPr>
            </w:pPr>
            <w:r>
              <w:rPr>
                <w:rFonts w:eastAsia="Calibri"/>
                <w:sz w:val="26"/>
                <w:szCs w:val="26"/>
              </w:rPr>
              <w:t>Noteikumu projekta</w:t>
            </w:r>
            <w:r w:rsidR="007E0D33" w:rsidRPr="00290041">
              <w:rPr>
                <w:rFonts w:eastAsia="Calibri"/>
                <w:sz w:val="26"/>
                <w:szCs w:val="26"/>
              </w:rPr>
              <w:t xml:space="preserve"> izstrādes procesā notikušas </w:t>
            </w:r>
            <w:r w:rsidR="007E0D33" w:rsidRPr="00290041">
              <w:rPr>
                <w:iCs/>
                <w:color w:val="000000"/>
                <w:sz w:val="26"/>
                <w:szCs w:val="26"/>
              </w:rPr>
              <w:t>diskusijas ar Darba grupā iesaistīto iestāžu un biedrību pārstāvjiem.</w:t>
            </w:r>
          </w:p>
          <w:p w:rsidR="003C0D46" w:rsidRPr="00290041" w:rsidRDefault="003C0D46" w:rsidP="003C0D46">
            <w:pPr>
              <w:pStyle w:val="naiskr"/>
              <w:spacing w:before="0" w:after="0"/>
              <w:ind w:left="57" w:right="57"/>
              <w:jc w:val="both"/>
              <w:rPr>
                <w:sz w:val="26"/>
                <w:szCs w:val="26"/>
              </w:rPr>
            </w:pPr>
          </w:p>
        </w:tc>
      </w:tr>
      <w:tr w:rsidR="00615C78" w:rsidRPr="00290041" w:rsidTr="00615C78">
        <w:trPr>
          <w:trHeight w:val="339"/>
          <w:jc w:val="center"/>
        </w:trPr>
        <w:tc>
          <w:tcPr>
            <w:tcW w:w="425" w:type="dxa"/>
          </w:tcPr>
          <w:p w:rsidR="00C74CAE" w:rsidRPr="00290041" w:rsidRDefault="00C74CAE">
            <w:pPr>
              <w:pStyle w:val="naiskr"/>
              <w:spacing w:before="0" w:after="0"/>
              <w:ind w:left="57" w:right="57"/>
              <w:rPr>
                <w:bCs/>
                <w:sz w:val="26"/>
                <w:szCs w:val="26"/>
              </w:rPr>
            </w:pPr>
            <w:r w:rsidRPr="00290041">
              <w:rPr>
                <w:bCs/>
                <w:sz w:val="26"/>
                <w:szCs w:val="26"/>
              </w:rPr>
              <w:t>2.</w:t>
            </w:r>
          </w:p>
        </w:tc>
        <w:tc>
          <w:tcPr>
            <w:tcW w:w="2361" w:type="dxa"/>
          </w:tcPr>
          <w:p w:rsidR="00C74CAE" w:rsidRPr="00290041" w:rsidRDefault="00C74CAE">
            <w:pPr>
              <w:pStyle w:val="naiskr"/>
              <w:spacing w:before="0" w:after="0"/>
              <w:ind w:left="57" w:right="57"/>
              <w:rPr>
                <w:sz w:val="26"/>
                <w:szCs w:val="26"/>
              </w:rPr>
            </w:pPr>
            <w:r w:rsidRPr="00290041">
              <w:rPr>
                <w:sz w:val="26"/>
                <w:szCs w:val="26"/>
              </w:rPr>
              <w:t xml:space="preserve">Sabiedrības līdzdalība projekta izstrādē </w:t>
            </w:r>
          </w:p>
        </w:tc>
        <w:tc>
          <w:tcPr>
            <w:tcW w:w="6852" w:type="dxa"/>
          </w:tcPr>
          <w:p w:rsidR="00621263" w:rsidRPr="00290041" w:rsidRDefault="007E0D33" w:rsidP="00AF0E0F">
            <w:pPr>
              <w:pStyle w:val="naiskr"/>
              <w:spacing w:before="0" w:after="0"/>
              <w:ind w:left="57" w:right="57"/>
              <w:jc w:val="both"/>
              <w:rPr>
                <w:sz w:val="26"/>
                <w:szCs w:val="26"/>
              </w:rPr>
            </w:pPr>
            <w:r w:rsidRPr="00290041">
              <w:rPr>
                <w:sz w:val="26"/>
                <w:szCs w:val="26"/>
              </w:rPr>
              <w:t>Sabiedrības līdzdalība tika nodrošināta</w:t>
            </w:r>
            <w:r w:rsidR="00AF0E0F">
              <w:rPr>
                <w:sz w:val="26"/>
                <w:szCs w:val="26"/>
              </w:rPr>
              <w:t>,</w:t>
            </w:r>
            <w:r w:rsidRPr="00290041">
              <w:rPr>
                <w:sz w:val="26"/>
                <w:szCs w:val="26"/>
              </w:rPr>
              <w:t xml:space="preserve"> izstrādājot noteikumu projektu </w:t>
            </w:r>
            <w:r w:rsidR="00AF0E0F">
              <w:rPr>
                <w:sz w:val="26"/>
                <w:szCs w:val="26"/>
              </w:rPr>
              <w:t>D</w:t>
            </w:r>
            <w:r w:rsidRPr="00290041">
              <w:rPr>
                <w:sz w:val="26"/>
                <w:szCs w:val="26"/>
              </w:rPr>
              <w:t>arba grupā, kurā</w:t>
            </w:r>
            <w:r w:rsidR="00AF0E0F">
              <w:rPr>
                <w:sz w:val="26"/>
                <w:szCs w:val="26"/>
              </w:rPr>
              <w:t xml:space="preserve"> iesaistīti gan komersanti</w:t>
            </w:r>
            <w:r w:rsidRPr="00290041">
              <w:rPr>
                <w:sz w:val="26"/>
                <w:szCs w:val="26"/>
              </w:rPr>
              <w:t>, gan patērētāju nevalstiskās organizācijas, kā arī valsts pārvaldes iestādes.</w:t>
            </w:r>
          </w:p>
        </w:tc>
      </w:tr>
      <w:tr w:rsidR="00615C78" w:rsidRPr="00290041" w:rsidTr="00615C78">
        <w:trPr>
          <w:trHeight w:val="375"/>
          <w:jc w:val="center"/>
        </w:trPr>
        <w:tc>
          <w:tcPr>
            <w:tcW w:w="425" w:type="dxa"/>
          </w:tcPr>
          <w:p w:rsidR="00C74CAE" w:rsidRPr="00290041" w:rsidRDefault="00C74CAE">
            <w:pPr>
              <w:pStyle w:val="naiskr"/>
              <w:spacing w:before="0" w:after="0"/>
              <w:ind w:left="57" w:right="57"/>
              <w:rPr>
                <w:bCs/>
                <w:sz w:val="26"/>
                <w:szCs w:val="26"/>
              </w:rPr>
            </w:pPr>
            <w:r w:rsidRPr="00290041">
              <w:rPr>
                <w:bCs/>
                <w:sz w:val="26"/>
                <w:szCs w:val="26"/>
              </w:rPr>
              <w:t>3.</w:t>
            </w:r>
          </w:p>
        </w:tc>
        <w:tc>
          <w:tcPr>
            <w:tcW w:w="2361" w:type="dxa"/>
          </w:tcPr>
          <w:p w:rsidR="00C74CAE" w:rsidRPr="00290041" w:rsidRDefault="00C74CAE">
            <w:pPr>
              <w:pStyle w:val="naiskr"/>
              <w:spacing w:before="0" w:after="0"/>
              <w:ind w:left="57" w:right="57"/>
              <w:rPr>
                <w:sz w:val="26"/>
                <w:szCs w:val="26"/>
              </w:rPr>
            </w:pPr>
            <w:r w:rsidRPr="00290041">
              <w:rPr>
                <w:sz w:val="26"/>
                <w:szCs w:val="26"/>
              </w:rPr>
              <w:t xml:space="preserve">Sabiedrības līdzdalības rezultāti </w:t>
            </w:r>
          </w:p>
        </w:tc>
        <w:tc>
          <w:tcPr>
            <w:tcW w:w="6852" w:type="dxa"/>
          </w:tcPr>
          <w:p w:rsidR="009A10D1" w:rsidRPr="00290041" w:rsidRDefault="007E0D33" w:rsidP="009A10D1">
            <w:pPr>
              <w:pStyle w:val="naiskr"/>
              <w:spacing w:before="0" w:after="0"/>
              <w:ind w:left="57" w:right="57"/>
              <w:jc w:val="both"/>
              <w:rPr>
                <w:rStyle w:val="st1"/>
                <w:bCs/>
                <w:sz w:val="26"/>
                <w:szCs w:val="26"/>
              </w:rPr>
            </w:pPr>
            <w:r w:rsidRPr="00290041">
              <w:rPr>
                <w:rStyle w:val="st1"/>
                <w:bCs/>
                <w:sz w:val="26"/>
                <w:szCs w:val="26"/>
              </w:rPr>
              <w:t xml:space="preserve">Darba grupa atbalstīja </w:t>
            </w:r>
            <w:r w:rsidR="00AF0E0F">
              <w:rPr>
                <w:rStyle w:val="st1"/>
                <w:bCs/>
                <w:sz w:val="26"/>
                <w:szCs w:val="26"/>
              </w:rPr>
              <w:t xml:space="preserve">noteikumu </w:t>
            </w:r>
            <w:r w:rsidRPr="00290041">
              <w:rPr>
                <w:rStyle w:val="st1"/>
                <w:bCs/>
                <w:sz w:val="26"/>
                <w:szCs w:val="26"/>
              </w:rPr>
              <w:t>projekta tālāko virzību.</w:t>
            </w:r>
          </w:p>
          <w:p w:rsidR="00C74CAE" w:rsidRPr="00290041" w:rsidRDefault="00C74CAE" w:rsidP="00D4627A">
            <w:pPr>
              <w:jc w:val="both"/>
              <w:rPr>
                <w:strike/>
                <w:sz w:val="26"/>
                <w:szCs w:val="26"/>
              </w:rPr>
            </w:pPr>
          </w:p>
        </w:tc>
      </w:tr>
      <w:tr w:rsidR="00615C78" w:rsidRPr="00290041" w:rsidTr="00615C78">
        <w:trPr>
          <w:trHeight w:val="476"/>
          <w:jc w:val="center"/>
        </w:trPr>
        <w:tc>
          <w:tcPr>
            <w:tcW w:w="425" w:type="dxa"/>
          </w:tcPr>
          <w:p w:rsidR="00C74CAE" w:rsidRPr="00290041" w:rsidRDefault="00423582">
            <w:pPr>
              <w:pStyle w:val="naiskr"/>
              <w:spacing w:before="0" w:after="0"/>
              <w:ind w:left="57" w:right="57"/>
              <w:rPr>
                <w:bCs/>
                <w:sz w:val="26"/>
                <w:szCs w:val="26"/>
              </w:rPr>
            </w:pPr>
            <w:r w:rsidRPr="00290041">
              <w:rPr>
                <w:bCs/>
                <w:sz w:val="26"/>
                <w:szCs w:val="26"/>
              </w:rPr>
              <w:t>4</w:t>
            </w:r>
            <w:r w:rsidR="00C74CAE" w:rsidRPr="00290041">
              <w:rPr>
                <w:bCs/>
                <w:sz w:val="26"/>
                <w:szCs w:val="26"/>
              </w:rPr>
              <w:t>.</w:t>
            </w:r>
          </w:p>
        </w:tc>
        <w:tc>
          <w:tcPr>
            <w:tcW w:w="2361" w:type="dxa"/>
          </w:tcPr>
          <w:p w:rsidR="00C74CAE" w:rsidRPr="00290041" w:rsidRDefault="00C74CAE" w:rsidP="00B74894">
            <w:pPr>
              <w:pStyle w:val="naiskr"/>
              <w:spacing w:before="0" w:after="0"/>
              <w:ind w:left="57" w:right="57"/>
              <w:rPr>
                <w:sz w:val="26"/>
                <w:szCs w:val="26"/>
              </w:rPr>
            </w:pPr>
            <w:r w:rsidRPr="00290041">
              <w:rPr>
                <w:sz w:val="26"/>
                <w:szCs w:val="26"/>
              </w:rPr>
              <w:t>Cita informācija</w:t>
            </w:r>
          </w:p>
        </w:tc>
        <w:tc>
          <w:tcPr>
            <w:tcW w:w="6852" w:type="dxa"/>
          </w:tcPr>
          <w:p w:rsidR="00C74CAE" w:rsidRPr="00290041" w:rsidRDefault="00DF63B9" w:rsidP="002335BB">
            <w:pPr>
              <w:pStyle w:val="naiskr"/>
              <w:spacing w:before="0" w:after="0"/>
              <w:ind w:left="57" w:right="57"/>
              <w:jc w:val="both"/>
              <w:rPr>
                <w:iCs/>
                <w:sz w:val="26"/>
                <w:szCs w:val="26"/>
              </w:rPr>
            </w:pPr>
            <w:r w:rsidRPr="00290041">
              <w:rPr>
                <w:sz w:val="26"/>
                <w:szCs w:val="26"/>
                <w:shd w:val="clear" w:color="auto" w:fill="FFFFFF"/>
              </w:rPr>
              <w:t>Nav</w:t>
            </w:r>
          </w:p>
        </w:tc>
      </w:tr>
    </w:tbl>
    <w:p w:rsidR="00AF0E0F" w:rsidRPr="00290041" w:rsidRDefault="00AF0E0F" w:rsidP="00497D9E">
      <w:pPr>
        <w:pStyle w:val="naisf"/>
        <w:spacing w:before="0" w:after="0"/>
        <w:ind w:firstLine="0"/>
        <w:rPr>
          <w:sz w:val="26"/>
          <w:szCs w:val="26"/>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4110"/>
        <w:gridCol w:w="5103"/>
      </w:tblGrid>
      <w:tr w:rsidR="00E74C48" w:rsidRPr="00290041" w:rsidTr="00615C78">
        <w:tc>
          <w:tcPr>
            <w:tcW w:w="9639" w:type="dxa"/>
            <w:gridSpan w:val="3"/>
          </w:tcPr>
          <w:p w:rsidR="00C74CAE" w:rsidRPr="00290041" w:rsidRDefault="00C74CAE">
            <w:pPr>
              <w:pStyle w:val="naisnod"/>
              <w:spacing w:before="0" w:after="0"/>
              <w:ind w:left="57" w:right="57"/>
              <w:rPr>
                <w:sz w:val="26"/>
                <w:szCs w:val="26"/>
              </w:rPr>
            </w:pPr>
            <w:r w:rsidRPr="00290041">
              <w:rPr>
                <w:sz w:val="26"/>
                <w:szCs w:val="26"/>
              </w:rPr>
              <w:t>VII. Tiesību akta projekta izpildes nodrošināšana un tās ietekme uz institūcijām</w:t>
            </w:r>
          </w:p>
        </w:tc>
      </w:tr>
      <w:tr w:rsidR="00E74C48" w:rsidRPr="00290041" w:rsidTr="00615C78">
        <w:trPr>
          <w:trHeight w:val="427"/>
        </w:trPr>
        <w:tc>
          <w:tcPr>
            <w:tcW w:w="426" w:type="dxa"/>
          </w:tcPr>
          <w:p w:rsidR="00C74CAE" w:rsidRPr="00290041" w:rsidRDefault="00C74CAE">
            <w:pPr>
              <w:pStyle w:val="naisnod"/>
              <w:spacing w:before="0" w:after="0"/>
              <w:ind w:left="57" w:right="57"/>
              <w:jc w:val="left"/>
              <w:rPr>
                <w:b w:val="0"/>
                <w:sz w:val="26"/>
                <w:szCs w:val="26"/>
              </w:rPr>
            </w:pPr>
            <w:r w:rsidRPr="00290041">
              <w:rPr>
                <w:b w:val="0"/>
                <w:sz w:val="26"/>
                <w:szCs w:val="26"/>
              </w:rPr>
              <w:t>1.</w:t>
            </w:r>
          </w:p>
        </w:tc>
        <w:tc>
          <w:tcPr>
            <w:tcW w:w="4110" w:type="dxa"/>
          </w:tcPr>
          <w:p w:rsidR="00C74CAE" w:rsidRPr="00290041" w:rsidRDefault="00C74CAE">
            <w:pPr>
              <w:pStyle w:val="naisf"/>
              <w:spacing w:before="0" w:after="0"/>
              <w:ind w:left="57" w:right="57" w:firstLine="0"/>
              <w:jc w:val="left"/>
              <w:rPr>
                <w:sz w:val="26"/>
                <w:szCs w:val="26"/>
              </w:rPr>
            </w:pPr>
            <w:r w:rsidRPr="00290041">
              <w:rPr>
                <w:sz w:val="26"/>
                <w:szCs w:val="26"/>
              </w:rPr>
              <w:t xml:space="preserve">Projekta izpildē iesaistītās institūcijas </w:t>
            </w:r>
          </w:p>
        </w:tc>
        <w:tc>
          <w:tcPr>
            <w:tcW w:w="5103" w:type="dxa"/>
          </w:tcPr>
          <w:p w:rsidR="00C74CAE" w:rsidRPr="00290041" w:rsidRDefault="007E0D33">
            <w:pPr>
              <w:pStyle w:val="naisnod"/>
              <w:spacing w:before="0" w:after="0"/>
              <w:ind w:left="57" w:right="57"/>
              <w:jc w:val="left"/>
              <w:rPr>
                <w:b w:val="0"/>
                <w:sz w:val="26"/>
                <w:szCs w:val="26"/>
              </w:rPr>
            </w:pPr>
            <w:r w:rsidRPr="00290041">
              <w:rPr>
                <w:b w:val="0"/>
                <w:iCs/>
                <w:sz w:val="26"/>
                <w:szCs w:val="26"/>
              </w:rPr>
              <w:t>Patērētāju tiesību aizsardzības centrs</w:t>
            </w:r>
          </w:p>
        </w:tc>
      </w:tr>
      <w:tr w:rsidR="00E74C48" w:rsidRPr="00290041" w:rsidTr="00615C78">
        <w:trPr>
          <w:trHeight w:val="463"/>
        </w:trPr>
        <w:tc>
          <w:tcPr>
            <w:tcW w:w="426" w:type="dxa"/>
          </w:tcPr>
          <w:p w:rsidR="00C74CAE" w:rsidRPr="00290041" w:rsidRDefault="00C74CAE">
            <w:pPr>
              <w:pStyle w:val="naisnod"/>
              <w:spacing w:before="0" w:after="0"/>
              <w:ind w:left="57" w:right="57"/>
              <w:jc w:val="left"/>
              <w:rPr>
                <w:b w:val="0"/>
                <w:sz w:val="26"/>
                <w:szCs w:val="26"/>
              </w:rPr>
            </w:pPr>
            <w:r w:rsidRPr="00290041">
              <w:rPr>
                <w:b w:val="0"/>
                <w:sz w:val="26"/>
                <w:szCs w:val="26"/>
              </w:rPr>
              <w:t>2.</w:t>
            </w:r>
          </w:p>
        </w:tc>
        <w:tc>
          <w:tcPr>
            <w:tcW w:w="4110" w:type="dxa"/>
          </w:tcPr>
          <w:p w:rsidR="00D860FF" w:rsidRPr="00290041" w:rsidRDefault="00D3121A" w:rsidP="00D860FF">
            <w:pPr>
              <w:rPr>
                <w:sz w:val="26"/>
                <w:szCs w:val="26"/>
              </w:rPr>
            </w:pPr>
            <w:r w:rsidRPr="00290041">
              <w:rPr>
                <w:sz w:val="26"/>
                <w:szCs w:val="26"/>
              </w:rPr>
              <w:t>Projekta izpildes ietekme uz pārvaldes funkcijām un institucionālo struktūru.</w:t>
            </w:r>
          </w:p>
          <w:p w:rsidR="00C74CAE" w:rsidRPr="00290041" w:rsidRDefault="00D860FF" w:rsidP="00D860FF">
            <w:pPr>
              <w:rPr>
                <w:sz w:val="26"/>
                <w:szCs w:val="26"/>
              </w:rPr>
            </w:pPr>
            <w:r w:rsidRPr="00290041">
              <w:rPr>
                <w:sz w:val="26"/>
                <w:szCs w:val="26"/>
              </w:rPr>
              <w:t>J</w:t>
            </w:r>
            <w:r w:rsidR="00D3121A" w:rsidRPr="00290041">
              <w:rPr>
                <w:sz w:val="26"/>
                <w:szCs w:val="26"/>
              </w:rPr>
              <w:t>aunu institūciju izveide, esošu institūciju likvidācija vai reorganizācija, to ietekme uz institūcijas cilvēkresursiem</w:t>
            </w:r>
          </w:p>
        </w:tc>
        <w:tc>
          <w:tcPr>
            <w:tcW w:w="5103" w:type="dxa"/>
          </w:tcPr>
          <w:p w:rsidR="00D0768E" w:rsidRPr="00290041" w:rsidRDefault="00D0768E" w:rsidP="0046755E">
            <w:pPr>
              <w:pStyle w:val="naisnod"/>
              <w:spacing w:before="0" w:after="0"/>
              <w:ind w:left="57" w:right="57"/>
              <w:jc w:val="both"/>
              <w:rPr>
                <w:b w:val="0"/>
                <w:sz w:val="26"/>
                <w:szCs w:val="26"/>
              </w:rPr>
            </w:pPr>
            <w:r w:rsidRPr="00290041">
              <w:rPr>
                <w:b w:val="0"/>
                <w:iCs/>
                <w:sz w:val="26"/>
                <w:szCs w:val="26"/>
              </w:rPr>
              <w:t xml:space="preserve">Projekts neietekmē </w:t>
            </w:r>
            <w:r w:rsidRPr="00290041">
              <w:rPr>
                <w:b w:val="0"/>
                <w:sz w:val="26"/>
                <w:szCs w:val="26"/>
              </w:rPr>
              <w:t>pārvaldes institucionālo struktūru. Jaunas institūcijas netiek izveidotas, likvidētas vai reorganizētas.</w:t>
            </w:r>
          </w:p>
          <w:p w:rsidR="003D20FF" w:rsidRPr="00290041" w:rsidRDefault="003D20FF" w:rsidP="00C86B49">
            <w:pPr>
              <w:pStyle w:val="naisnod"/>
              <w:spacing w:before="0" w:after="0"/>
              <w:ind w:left="57" w:right="57"/>
              <w:jc w:val="left"/>
              <w:rPr>
                <w:b w:val="0"/>
                <w:strike/>
                <w:sz w:val="26"/>
                <w:szCs w:val="26"/>
              </w:rPr>
            </w:pPr>
          </w:p>
        </w:tc>
      </w:tr>
      <w:tr w:rsidR="00E74C48" w:rsidRPr="00290041" w:rsidTr="00615C78">
        <w:trPr>
          <w:trHeight w:val="476"/>
        </w:trPr>
        <w:tc>
          <w:tcPr>
            <w:tcW w:w="426" w:type="dxa"/>
          </w:tcPr>
          <w:p w:rsidR="00C74CAE" w:rsidRPr="00290041" w:rsidRDefault="00D3121A">
            <w:pPr>
              <w:pStyle w:val="naiskr"/>
              <w:spacing w:before="0" w:after="0"/>
              <w:ind w:left="57" w:right="57"/>
              <w:rPr>
                <w:sz w:val="26"/>
                <w:szCs w:val="26"/>
              </w:rPr>
            </w:pPr>
            <w:r w:rsidRPr="00290041">
              <w:rPr>
                <w:sz w:val="26"/>
                <w:szCs w:val="26"/>
              </w:rPr>
              <w:t>3</w:t>
            </w:r>
            <w:r w:rsidR="00C74CAE" w:rsidRPr="00290041">
              <w:rPr>
                <w:sz w:val="26"/>
                <w:szCs w:val="26"/>
              </w:rPr>
              <w:t>.</w:t>
            </w:r>
          </w:p>
        </w:tc>
        <w:tc>
          <w:tcPr>
            <w:tcW w:w="4110" w:type="dxa"/>
          </w:tcPr>
          <w:p w:rsidR="00C74CAE" w:rsidRPr="00290041" w:rsidRDefault="00C74CAE">
            <w:pPr>
              <w:pStyle w:val="naiskr"/>
              <w:spacing w:before="0" w:after="0"/>
              <w:ind w:left="57" w:right="57"/>
              <w:rPr>
                <w:sz w:val="26"/>
                <w:szCs w:val="26"/>
              </w:rPr>
            </w:pPr>
            <w:r w:rsidRPr="00290041">
              <w:rPr>
                <w:sz w:val="26"/>
                <w:szCs w:val="26"/>
              </w:rPr>
              <w:t>Cita informācija</w:t>
            </w:r>
          </w:p>
        </w:tc>
        <w:tc>
          <w:tcPr>
            <w:tcW w:w="5103" w:type="dxa"/>
          </w:tcPr>
          <w:p w:rsidR="00C74CAE" w:rsidRPr="00290041" w:rsidRDefault="00C74CAE" w:rsidP="0046755E">
            <w:pPr>
              <w:pStyle w:val="naisnod"/>
              <w:spacing w:before="0" w:after="0"/>
              <w:ind w:left="57" w:right="57"/>
              <w:jc w:val="both"/>
              <w:rPr>
                <w:b w:val="0"/>
                <w:sz w:val="26"/>
                <w:szCs w:val="26"/>
              </w:rPr>
            </w:pPr>
          </w:p>
        </w:tc>
      </w:tr>
    </w:tbl>
    <w:p w:rsidR="00C74CAE" w:rsidRPr="00290041" w:rsidRDefault="00C74CAE" w:rsidP="002764FA">
      <w:pPr>
        <w:pStyle w:val="naisf"/>
        <w:tabs>
          <w:tab w:val="left" w:pos="5760"/>
        </w:tabs>
        <w:spacing w:before="0" w:after="0"/>
        <w:ind w:firstLine="0"/>
        <w:rPr>
          <w:sz w:val="26"/>
          <w:szCs w:val="26"/>
        </w:rPr>
      </w:pPr>
    </w:p>
    <w:p w:rsidR="002B00F2" w:rsidRPr="00290041" w:rsidRDefault="002B00F2" w:rsidP="002B00F2">
      <w:pPr>
        <w:tabs>
          <w:tab w:val="left" w:pos="990"/>
        </w:tabs>
        <w:rPr>
          <w:sz w:val="26"/>
          <w:szCs w:val="26"/>
        </w:rPr>
      </w:pPr>
      <w:r w:rsidRPr="00290041">
        <w:rPr>
          <w:i/>
          <w:iCs/>
          <w:sz w:val="26"/>
          <w:szCs w:val="26"/>
        </w:rPr>
        <w:t xml:space="preserve">Anotācijas </w:t>
      </w:r>
      <w:r w:rsidR="00CF2FA3" w:rsidRPr="00290041">
        <w:rPr>
          <w:i/>
          <w:iCs/>
          <w:sz w:val="26"/>
          <w:szCs w:val="26"/>
        </w:rPr>
        <w:t>III</w:t>
      </w:r>
      <w:r w:rsidR="00AF0E0F">
        <w:rPr>
          <w:i/>
          <w:iCs/>
          <w:sz w:val="26"/>
          <w:szCs w:val="26"/>
        </w:rPr>
        <w:t>, IV</w:t>
      </w:r>
      <w:r w:rsidR="00E83116" w:rsidRPr="00290041">
        <w:rPr>
          <w:i/>
          <w:iCs/>
          <w:sz w:val="26"/>
          <w:szCs w:val="26"/>
        </w:rPr>
        <w:t xml:space="preserve"> </w:t>
      </w:r>
      <w:r w:rsidRPr="00290041">
        <w:rPr>
          <w:i/>
          <w:iCs/>
          <w:sz w:val="26"/>
          <w:szCs w:val="26"/>
        </w:rPr>
        <w:t>sadaļa – projekts š</w:t>
      </w:r>
      <w:r w:rsidR="000013C7" w:rsidRPr="00290041">
        <w:rPr>
          <w:i/>
          <w:iCs/>
          <w:sz w:val="26"/>
          <w:szCs w:val="26"/>
        </w:rPr>
        <w:t>o</w:t>
      </w:r>
      <w:r w:rsidRPr="00290041">
        <w:rPr>
          <w:i/>
          <w:iCs/>
          <w:sz w:val="26"/>
          <w:szCs w:val="26"/>
        </w:rPr>
        <w:t xml:space="preserve"> jom</w:t>
      </w:r>
      <w:r w:rsidR="000013C7" w:rsidRPr="00290041">
        <w:rPr>
          <w:i/>
          <w:iCs/>
          <w:sz w:val="26"/>
          <w:szCs w:val="26"/>
        </w:rPr>
        <w:t>u</w:t>
      </w:r>
      <w:r w:rsidRPr="00290041">
        <w:rPr>
          <w:i/>
          <w:iCs/>
          <w:sz w:val="26"/>
          <w:szCs w:val="26"/>
        </w:rPr>
        <w:t xml:space="preserve"> neskar.</w:t>
      </w:r>
    </w:p>
    <w:p w:rsidR="002B00F2" w:rsidRPr="00290041" w:rsidRDefault="002B00F2" w:rsidP="002764FA">
      <w:pPr>
        <w:pStyle w:val="naisf"/>
        <w:tabs>
          <w:tab w:val="left" w:pos="5760"/>
        </w:tabs>
        <w:spacing w:before="0" w:after="0"/>
        <w:ind w:firstLine="0"/>
        <w:rPr>
          <w:sz w:val="26"/>
          <w:szCs w:val="26"/>
        </w:rPr>
      </w:pPr>
    </w:p>
    <w:p w:rsidR="00AF0E0F" w:rsidRDefault="00AF0E0F" w:rsidP="00AF0E0F">
      <w:pPr>
        <w:tabs>
          <w:tab w:val="left" w:pos="5387"/>
        </w:tabs>
        <w:spacing w:before="120"/>
        <w:jc w:val="both"/>
        <w:rPr>
          <w:sz w:val="26"/>
          <w:szCs w:val="26"/>
        </w:rPr>
      </w:pPr>
      <w:r>
        <w:rPr>
          <w:sz w:val="26"/>
          <w:szCs w:val="26"/>
        </w:rPr>
        <w:t>Ministru prezidenta biedrs,</w:t>
      </w:r>
    </w:p>
    <w:p w:rsidR="00086A82" w:rsidRPr="00086A82" w:rsidRDefault="00AF0E0F" w:rsidP="00086A82">
      <w:pPr>
        <w:tabs>
          <w:tab w:val="left" w:pos="5387"/>
        </w:tabs>
        <w:spacing w:before="120" w:after="240"/>
        <w:jc w:val="both"/>
        <w:rPr>
          <w:sz w:val="26"/>
          <w:szCs w:val="26"/>
        </w:rPr>
      </w:pPr>
      <w:r>
        <w:rPr>
          <w:sz w:val="26"/>
          <w:szCs w:val="26"/>
        </w:rPr>
        <w:t>e</w:t>
      </w:r>
      <w:r w:rsidR="00086A82" w:rsidRPr="00086A82">
        <w:rPr>
          <w:sz w:val="26"/>
          <w:szCs w:val="26"/>
        </w:rPr>
        <w:t>konomikas ministrs</w:t>
      </w:r>
      <w:r w:rsidR="00086A82" w:rsidRPr="00086A82">
        <w:rPr>
          <w:sz w:val="26"/>
          <w:szCs w:val="26"/>
        </w:rPr>
        <w:tab/>
        <w:t xml:space="preserve">        </w:t>
      </w:r>
      <w:r w:rsidR="00086A82" w:rsidRPr="00086A82">
        <w:rPr>
          <w:sz w:val="26"/>
          <w:szCs w:val="26"/>
        </w:rPr>
        <w:tab/>
      </w:r>
      <w:r w:rsidR="00086A82" w:rsidRPr="00086A82">
        <w:rPr>
          <w:sz w:val="26"/>
          <w:szCs w:val="26"/>
        </w:rPr>
        <w:tab/>
        <w:t xml:space="preserve"> </w:t>
      </w:r>
      <w:r w:rsidR="00086A82">
        <w:rPr>
          <w:sz w:val="26"/>
          <w:szCs w:val="26"/>
        </w:rPr>
        <w:t xml:space="preserve">      </w:t>
      </w:r>
      <w:r w:rsidR="00086A82" w:rsidRPr="00086A82">
        <w:rPr>
          <w:sz w:val="26"/>
          <w:szCs w:val="26"/>
        </w:rPr>
        <w:t xml:space="preserve"> </w:t>
      </w:r>
      <w:proofErr w:type="spellStart"/>
      <w:r w:rsidR="00086A82" w:rsidRPr="00086A82">
        <w:rPr>
          <w:sz w:val="26"/>
          <w:szCs w:val="26"/>
        </w:rPr>
        <w:t>A.Ašeradens</w:t>
      </w:r>
      <w:proofErr w:type="spellEnd"/>
    </w:p>
    <w:p w:rsidR="002B00F2" w:rsidRPr="00086A82" w:rsidRDefault="002B00F2" w:rsidP="002764FA">
      <w:pPr>
        <w:pStyle w:val="naisf"/>
        <w:tabs>
          <w:tab w:val="left" w:pos="5760"/>
        </w:tabs>
        <w:spacing w:before="0" w:after="0"/>
        <w:ind w:firstLine="0"/>
        <w:rPr>
          <w:sz w:val="26"/>
          <w:szCs w:val="26"/>
        </w:rPr>
      </w:pPr>
    </w:p>
    <w:p w:rsidR="00DE0244" w:rsidRPr="00086A82" w:rsidRDefault="00040321" w:rsidP="002542DB">
      <w:pPr>
        <w:tabs>
          <w:tab w:val="left" w:pos="7371"/>
          <w:tab w:val="right" w:pos="8931"/>
        </w:tabs>
        <w:spacing w:before="120"/>
        <w:jc w:val="both"/>
        <w:rPr>
          <w:sz w:val="26"/>
          <w:szCs w:val="26"/>
        </w:rPr>
      </w:pPr>
      <w:r w:rsidRPr="00086A82">
        <w:rPr>
          <w:bCs/>
          <w:sz w:val="26"/>
          <w:szCs w:val="26"/>
        </w:rPr>
        <w:t>Vīza: valsts sekretār</w:t>
      </w:r>
      <w:r w:rsidR="002542DB" w:rsidRPr="00086A82">
        <w:rPr>
          <w:bCs/>
          <w:sz w:val="26"/>
          <w:szCs w:val="26"/>
        </w:rPr>
        <w:t>s</w:t>
      </w:r>
      <w:r w:rsidRPr="00086A82">
        <w:rPr>
          <w:bCs/>
          <w:sz w:val="26"/>
          <w:szCs w:val="26"/>
        </w:rPr>
        <w:tab/>
      </w:r>
      <w:r w:rsidRPr="00086A82">
        <w:rPr>
          <w:bCs/>
          <w:sz w:val="26"/>
          <w:szCs w:val="26"/>
        </w:rPr>
        <w:tab/>
      </w:r>
      <w:proofErr w:type="spellStart"/>
      <w:r w:rsidR="002542DB" w:rsidRPr="00086A82">
        <w:rPr>
          <w:bCs/>
          <w:sz w:val="26"/>
          <w:szCs w:val="26"/>
        </w:rPr>
        <w:t>J</w:t>
      </w:r>
      <w:r w:rsidRPr="00086A82">
        <w:rPr>
          <w:bCs/>
          <w:sz w:val="26"/>
          <w:szCs w:val="26"/>
        </w:rPr>
        <w:t>.</w:t>
      </w:r>
      <w:r w:rsidR="002542DB" w:rsidRPr="00086A82">
        <w:rPr>
          <w:bCs/>
          <w:sz w:val="26"/>
          <w:szCs w:val="26"/>
        </w:rPr>
        <w:t>Stinka</w:t>
      </w:r>
      <w:proofErr w:type="spellEnd"/>
    </w:p>
    <w:p w:rsidR="0043354D" w:rsidRPr="00290041" w:rsidRDefault="0043354D" w:rsidP="00DE0244">
      <w:pPr>
        <w:pStyle w:val="BodyTextIndent"/>
        <w:spacing w:before="0"/>
        <w:ind w:firstLine="0"/>
        <w:jc w:val="both"/>
        <w:rPr>
          <w:sz w:val="26"/>
          <w:szCs w:val="26"/>
        </w:rPr>
      </w:pPr>
    </w:p>
    <w:p w:rsidR="00040321" w:rsidRPr="00290041" w:rsidRDefault="00040321" w:rsidP="00DE0244">
      <w:pPr>
        <w:pStyle w:val="BodyTextIndent"/>
        <w:spacing w:before="0"/>
        <w:ind w:firstLine="0"/>
        <w:jc w:val="both"/>
        <w:rPr>
          <w:sz w:val="26"/>
          <w:szCs w:val="26"/>
        </w:rPr>
      </w:pPr>
    </w:p>
    <w:p w:rsidR="00040321" w:rsidRPr="00290041" w:rsidRDefault="00040321" w:rsidP="00DE0244">
      <w:pPr>
        <w:pStyle w:val="BodyTextIndent"/>
        <w:spacing w:before="0"/>
        <w:ind w:firstLine="0"/>
        <w:jc w:val="both"/>
        <w:rPr>
          <w:sz w:val="26"/>
          <w:szCs w:val="26"/>
        </w:rPr>
      </w:pPr>
    </w:p>
    <w:p w:rsidR="00040321" w:rsidRPr="00290041" w:rsidRDefault="00040321" w:rsidP="00DE0244">
      <w:pPr>
        <w:pStyle w:val="BodyTextIndent"/>
        <w:spacing w:before="0"/>
        <w:ind w:firstLine="0"/>
        <w:jc w:val="both"/>
        <w:rPr>
          <w:sz w:val="26"/>
          <w:szCs w:val="26"/>
        </w:rPr>
      </w:pPr>
    </w:p>
    <w:p w:rsidR="00085438" w:rsidRPr="00290041" w:rsidRDefault="00290041" w:rsidP="00085438">
      <w:pPr>
        <w:rPr>
          <w:sz w:val="20"/>
          <w:szCs w:val="20"/>
        </w:rPr>
      </w:pPr>
      <w:r>
        <w:rPr>
          <w:sz w:val="20"/>
          <w:szCs w:val="20"/>
        </w:rPr>
        <w:fldChar w:fldCharType="begin"/>
      </w:r>
      <w:r>
        <w:rPr>
          <w:sz w:val="20"/>
          <w:szCs w:val="20"/>
        </w:rPr>
        <w:instrText xml:space="preserve"> DATE  \@ "dd.MM.yyyy HH:mm"  \* MERGEFORMAT </w:instrText>
      </w:r>
      <w:r>
        <w:rPr>
          <w:sz w:val="20"/>
          <w:szCs w:val="20"/>
        </w:rPr>
        <w:fldChar w:fldCharType="separate"/>
      </w:r>
      <w:r w:rsidR="007418B2">
        <w:rPr>
          <w:noProof/>
          <w:sz w:val="20"/>
          <w:szCs w:val="20"/>
        </w:rPr>
        <w:t>09.10.2016 20:50</w:t>
      </w:r>
      <w:r>
        <w:rPr>
          <w:sz w:val="20"/>
          <w:szCs w:val="20"/>
        </w:rPr>
        <w:fldChar w:fldCharType="end"/>
      </w:r>
      <w:bookmarkStart w:id="4" w:name="_GoBack"/>
      <w:bookmarkEnd w:id="4"/>
    </w:p>
    <w:p w:rsidR="00085438" w:rsidRPr="00290041" w:rsidRDefault="00085438" w:rsidP="00085438">
      <w:pPr>
        <w:rPr>
          <w:sz w:val="20"/>
          <w:szCs w:val="20"/>
        </w:rPr>
      </w:pPr>
      <w:r w:rsidRPr="00290041">
        <w:rPr>
          <w:sz w:val="20"/>
          <w:szCs w:val="20"/>
        </w:rPr>
        <w:fldChar w:fldCharType="begin"/>
      </w:r>
      <w:r w:rsidRPr="00290041">
        <w:rPr>
          <w:sz w:val="20"/>
          <w:szCs w:val="20"/>
        </w:rPr>
        <w:instrText xml:space="preserve"> NUMWORDS   \* MERGEFORMAT </w:instrText>
      </w:r>
      <w:r w:rsidRPr="00290041">
        <w:rPr>
          <w:sz w:val="20"/>
          <w:szCs w:val="20"/>
        </w:rPr>
        <w:fldChar w:fldCharType="separate"/>
      </w:r>
      <w:r w:rsidR="005871F3">
        <w:rPr>
          <w:noProof/>
          <w:sz w:val="20"/>
          <w:szCs w:val="20"/>
        </w:rPr>
        <w:t>2790</w:t>
      </w:r>
      <w:r w:rsidRPr="00290041">
        <w:rPr>
          <w:sz w:val="20"/>
          <w:szCs w:val="20"/>
        </w:rPr>
        <w:fldChar w:fldCharType="end"/>
      </w:r>
    </w:p>
    <w:p w:rsidR="00085438" w:rsidRPr="00290041" w:rsidRDefault="00D47B4B" w:rsidP="00085438">
      <w:pPr>
        <w:rPr>
          <w:sz w:val="20"/>
          <w:szCs w:val="20"/>
        </w:rPr>
      </w:pPr>
      <w:proofErr w:type="spellStart"/>
      <w:r w:rsidRPr="00290041">
        <w:rPr>
          <w:sz w:val="20"/>
          <w:szCs w:val="20"/>
        </w:rPr>
        <w:t>L.Duntava</w:t>
      </w:r>
      <w:proofErr w:type="spellEnd"/>
    </w:p>
    <w:p w:rsidR="00F6257B" w:rsidRPr="007E0D33" w:rsidRDefault="00085438" w:rsidP="00085438">
      <w:pPr>
        <w:pStyle w:val="BodyTextIndent"/>
        <w:spacing w:before="0"/>
        <w:ind w:firstLine="0"/>
        <w:jc w:val="both"/>
        <w:rPr>
          <w:rStyle w:val="Hyperlink"/>
          <w:sz w:val="20"/>
        </w:rPr>
      </w:pPr>
      <w:r w:rsidRPr="00290041">
        <w:rPr>
          <w:sz w:val="20"/>
        </w:rPr>
        <w:t>67013</w:t>
      </w:r>
      <w:r w:rsidR="00D47B4B" w:rsidRPr="00290041">
        <w:rPr>
          <w:sz w:val="20"/>
        </w:rPr>
        <w:t>132</w:t>
      </w:r>
      <w:r w:rsidRPr="00290041">
        <w:rPr>
          <w:sz w:val="20"/>
        </w:rPr>
        <w:t xml:space="preserve">, </w:t>
      </w:r>
      <w:hyperlink r:id="rId8" w:history="1">
        <w:r w:rsidR="00D47B4B" w:rsidRPr="00290041">
          <w:rPr>
            <w:rStyle w:val="Hyperlink"/>
            <w:sz w:val="20"/>
          </w:rPr>
          <w:t>linda.duntava@em.gov.lv</w:t>
        </w:r>
      </w:hyperlink>
    </w:p>
    <w:sectPr w:rsidR="00F6257B" w:rsidRPr="007E0D33" w:rsidSect="002F606E">
      <w:headerReference w:type="even" r:id="rId9"/>
      <w:headerReference w:type="default" r:id="rId10"/>
      <w:footerReference w:type="default" r:id="rId11"/>
      <w:footerReference w:type="first" r:id="rId12"/>
      <w:pgSz w:w="11906" w:h="16838" w:code="9"/>
      <w:pgMar w:top="993"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67" w:rsidRDefault="007E0C67">
      <w:r>
        <w:separator/>
      </w:r>
    </w:p>
  </w:endnote>
  <w:endnote w:type="continuationSeparator" w:id="0">
    <w:p w:rsidR="007E0C67" w:rsidRDefault="007E0C67">
      <w:r>
        <w:continuationSeparator/>
      </w:r>
    </w:p>
  </w:endnote>
  <w:endnote w:type="continuationNotice" w:id="1">
    <w:p w:rsidR="007E0C67" w:rsidRDefault="007E0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1E" w:rsidRPr="004B3152" w:rsidRDefault="00DA0E1E" w:rsidP="002F21AE">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5871F3">
      <w:rPr>
        <w:noProof/>
        <w:sz w:val="20"/>
        <w:szCs w:val="20"/>
      </w:rPr>
      <w:t>EManot_091016_kredits.docx</w:t>
    </w:r>
    <w:r>
      <w:rPr>
        <w:sz w:val="20"/>
        <w:szCs w:val="20"/>
      </w:rPr>
      <w:fldChar w:fldCharType="end"/>
    </w:r>
    <w:r>
      <w:rPr>
        <w:sz w:val="20"/>
        <w:szCs w:val="20"/>
      </w:rPr>
      <w:t xml:space="preserve">; Ministru kabineta noteikumu projekta </w:t>
    </w:r>
    <w:r w:rsidRPr="002F21AE">
      <w:rPr>
        <w:sz w:val="20"/>
        <w:szCs w:val="20"/>
      </w:rPr>
      <w:t xml:space="preserve">“Noteikumi par </w:t>
    </w:r>
    <w:r>
      <w:rPr>
        <w:sz w:val="20"/>
        <w:szCs w:val="20"/>
      </w:rPr>
      <w:t xml:space="preserve">patērētāja kreditēšanu” sākotnējās ietekmes novērtējuma </w:t>
    </w:r>
    <w:smartTag w:uri="schemas-tilde-lv/tildestengine" w:element="veidnes">
      <w:smartTagPr>
        <w:attr w:name="text" w:val="ziņojums"/>
        <w:attr w:name="baseform" w:val="ziņojums"/>
        <w:attr w:name="id" w:val="-1"/>
      </w:smartTagPr>
      <w:r>
        <w:rPr>
          <w:sz w:val="20"/>
          <w:szCs w:val="20"/>
        </w:rPr>
        <w:t>ziņojums</w:t>
      </w:r>
    </w:smartTag>
    <w:r>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1E" w:rsidRDefault="00DA0E1E" w:rsidP="00CF05F7">
    <w:pPr>
      <w:tabs>
        <w:tab w:val="left" w:pos="8222"/>
      </w:tabs>
      <w:ind w:right="-51"/>
      <w:jc w:val="both"/>
    </w:pPr>
    <w:r>
      <w:rPr>
        <w:sz w:val="20"/>
        <w:szCs w:val="20"/>
      </w:rPr>
      <w:t>EMAnot_300516_apvienosanas nodeva</w:t>
    </w: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EMAnot_110716_kredit.docx</w:t>
    </w:r>
    <w:r>
      <w:rPr>
        <w:sz w:val="20"/>
        <w:szCs w:val="20"/>
      </w:rPr>
      <w:fldChar w:fldCharType="end"/>
    </w:r>
    <w:r>
      <w:rPr>
        <w:sz w:val="20"/>
        <w:szCs w:val="20"/>
      </w:rPr>
      <w:t xml:space="preserve">; Ministru kabineta noteikumu projekta </w:t>
    </w:r>
    <w:r w:rsidRPr="002F21AE">
      <w:rPr>
        <w:sz w:val="20"/>
        <w:szCs w:val="20"/>
      </w:rPr>
      <w:t>“Noteikumi par valsts nodevu par apvienošanās izvērtēšanu</w:t>
    </w:r>
    <w:r>
      <w:rPr>
        <w:sz w:val="20"/>
        <w:szCs w:val="20"/>
      </w:rPr>
      <w:t xml:space="preserve">” sākotnējās ietekmes novērtējuma </w:t>
    </w:r>
    <w:smartTag w:uri="schemas-tilde-lv/tildestengine" w:element="veidnes">
      <w:smartTagPr>
        <w:attr w:name="id" w:val="-1"/>
        <w:attr w:name="baseform" w:val="ziņojums"/>
        <w:attr w:name="text" w:val="ziņojums"/>
      </w:smartTagPr>
      <w:r>
        <w:rPr>
          <w:sz w:val="20"/>
          <w:szCs w:val="20"/>
        </w:rPr>
        <w:t>ziņojums</w:t>
      </w:r>
    </w:smartTag>
    <w:r>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67" w:rsidRDefault="007E0C67">
      <w:r>
        <w:separator/>
      </w:r>
    </w:p>
  </w:footnote>
  <w:footnote w:type="continuationSeparator" w:id="0">
    <w:p w:rsidR="007E0C67" w:rsidRDefault="007E0C67">
      <w:r>
        <w:continuationSeparator/>
      </w:r>
    </w:p>
  </w:footnote>
  <w:footnote w:type="continuationNotice" w:id="1">
    <w:p w:rsidR="007E0C67" w:rsidRDefault="007E0C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1E" w:rsidRDefault="00DA0E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0E1E" w:rsidRDefault="00DA0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E1E" w:rsidRPr="00DF43A7" w:rsidRDefault="00DA0E1E">
    <w:pPr>
      <w:pStyle w:val="Header"/>
      <w:framePr w:wrap="around" w:vAnchor="text" w:hAnchor="margin" w:xAlign="center" w:y="1"/>
      <w:rPr>
        <w:rStyle w:val="PageNumber"/>
        <w:sz w:val="20"/>
        <w:szCs w:val="20"/>
      </w:rPr>
    </w:pPr>
    <w:r w:rsidRPr="00DF43A7">
      <w:rPr>
        <w:rStyle w:val="PageNumber"/>
        <w:sz w:val="20"/>
        <w:szCs w:val="20"/>
      </w:rPr>
      <w:fldChar w:fldCharType="begin"/>
    </w:r>
    <w:r w:rsidRPr="00DF43A7">
      <w:rPr>
        <w:rStyle w:val="PageNumber"/>
        <w:sz w:val="20"/>
        <w:szCs w:val="20"/>
      </w:rPr>
      <w:instrText xml:space="preserve">PAGE  </w:instrText>
    </w:r>
    <w:r w:rsidRPr="00DF43A7">
      <w:rPr>
        <w:rStyle w:val="PageNumber"/>
        <w:sz w:val="20"/>
        <w:szCs w:val="20"/>
      </w:rPr>
      <w:fldChar w:fldCharType="separate"/>
    </w:r>
    <w:r w:rsidR="007418B2">
      <w:rPr>
        <w:rStyle w:val="PageNumber"/>
        <w:noProof/>
        <w:sz w:val="20"/>
        <w:szCs w:val="20"/>
      </w:rPr>
      <w:t>12</w:t>
    </w:r>
    <w:r w:rsidRPr="00DF43A7">
      <w:rPr>
        <w:rStyle w:val="PageNumber"/>
        <w:sz w:val="20"/>
        <w:szCs w:val="20"/>
      </w:rPr>
      <w:fldChar w:fldCharType="end"/>
    </w:r>
  </w:p>
  <w:p w:rsidR="00DA0E1E" w:rsidRDefault="00DA0E1E" w:rsidP="00D65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EF73BE"/>
    <w:multiLevelType w:val="hybridMultilevel"/>
    <w:tmpl w:val="9F3AE91A"/>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ECD7B27"/>
    <w:multiLevelType w:val="hybridMultilevel"/>
    <w:tmpl w:val="DAD8385A"/>
    <w:lvl w:ilvl="0" w:tplc="C54A350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9CA1FDC"/>
    <w:multiLevelType w:val="hybridMultilevel"/>
    <w:tmpl w:val="0868BD4C"/>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0F75AFF"/>
    <w:multiLevelType w:val="hybridMultilevel"/>
    <w:tmpl w:val="DBC824A0"/>
    <w:lvl w:ilvl="0" w:tplc="8BDC0298">
      <w:numFmt w:val="bullet"/>
      <w:lvlText w:val="-"/>
      <w:lvlJc w:val="left"/>
      <w:pPr>
        <w:ind w:left="845" w:hanging="360"/>
      </w:pPr>
      <w:rPr>
        <w:rFonts w:ascii="Times New Roman" w:eastAsia="Times New Roman"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8" w15:restartNumberingAfterBreak="0">
    <w:nsid w:val="281F701A"/>
    <w:multiLevelType w:val="hybridMultilevel"/>
    <w:tmpl w:val="0CE05F5A"/>
    <w:lvl w:ilvl="0" w:tplc="3DB0FB22">
      <w:start w:val="100"/>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95964AE"/>
    <w:multiLevelType w:val="hybridMultilevel"/>
    <w:tmpl w:val="5D5E4300"/>
    <w:lvl w:ilvl="0" w:tplc="E9CCD086">
      <w:start w:val="1"/>
      <w:numFmt w:val="bullet"/>
      <w:lvlText w:val=""/>
      <w:lvlJc w:val="left"/>
      <w:pPr>
        <w:ind w:left="396" w:hanging="360"/>
      </w:pPr>
      <w:rPr>
        <w:rFonts w:ascii="Symbol" w:hAnsi="Symbol" w:hint="default"/>
      </w:rPr>
    </w:lvl>
    <w:lvl w:ilvl="1" w:tplc="04260003" w:tentative="1">
      <w:start w:val="1"/>
      <w:numFmt w:val="bullet"/>
      <w:lvlText w:val="o"/>
      <w:lvlJc w:val="left"/>
      <w:pPr>
        <w:ind w:left="1116" w:hanging="360"/>
      </w:pPr>
      <w:rPr>
        <w:rFonts w:ascii="Courier New" w:hAnsi="Courier New" w:cs="Courier New" w:hint="default"/>
      </w:rPr>
    </w:lvl>
    <w:lvl w:ilvl="2" w:tplc="04260005" w:tentative="1">
      <w:start w:val="1"/>
      <w:numFmt w:val="bullet"/>
      <w:lvlText w:val=""/>
      <w:lvlJc w:val="left"/>
      <w:pPr>
        <w:ind w:left="1836" w:hanging="360"/>
      </w:pPr>
      <w:rPr>
        <w:rFonts w:ascii="Wingdings" w:hAnsi="Wingdings" w:hint="default"/>
      </w:rPr>
    </w:lvl>
    <w:lvl w:ilvl="3" w:tplc="04260001" w:tentative="1">
      <w:start w:val="1"/>
      <w:numFmt w:val="bullet"/>
      <w:lvlText w:val=""/>
      <w:lvlJc w:val="left"/>
      <w:pPr>
        <w:ind w:left="2556" w:hanging="360"/>
      </w:pPr>
      <w:rPr>
        <w:rFonts w:ascii="Symbol" w:hAnsi="Symbol" w:hint="default"/>
      </w:rPr>
    </w:lvl>
    <w:lvl w:ilvl="4" w:tplc="04260003" w:tentative="1">
      <w:start w:val="1"/>
      <w:numFmt w:val="bullet"/>
      <w:lvlText w:val="o"/>
      <w:lvlJc w:val="left"/>
      <w:pPr>
        <w:ind w:left="3276" w:hanging="360"/>
      </w:pPr>
      <w:rPr>
        <w:rFonts w:ascii="Courier New" w:hAnsi="Courier New" w:cs="Courier New" w:hint="default"/>
      </w:rPr>
    </w:lvl>
    <w:lvl w:ilvl="5" w:tplc="04260005" w:tentative="1">
      <w:start w:val="1"/>
      <w:numFmt w:val="bullet"/>
      <w:lvlText w:val=""/>
      <w:lvlJc w:val="left"/>
      <w:pPr>
        <w:ind w:left="3996" w:hanging="360"/>
      </w:pPr>
      <w:rPr>
        <w:rFonts w:ascii="Wingdings" w:hAnsi="Wingdings" w:hint="default"/>
      </w:rPr>
    </w:lvl>
    <w:lvl w:ilvl="6" w:tplc="04260001" w:tentative="1">
      <w:start w:val="1"/>
      <w:numFmt w:val="bullet"/>
      <w:lvlText w:val=""/>
      <w:lvlJc w:val="left"/>
      <w:pPr>
        <w:ind w:left="4716" w:hanging="360"/>
      </w:pPr>
      <w:rPr>
        <w:rFonts w:ascii="Symbol" w:hAnsi="Symbol" w:hint="default"/>
      </w:rPr>
    </w:lvl>
    <w:lvl w:ilvl="7" w:tplc="04260003" w:tentative="1">
      <w:start w:val="1"/>
      <w:numFmt w:val="bullet"/>
      <w:lvlText w:val="o"/>
      <w:lvlJc w:val="left"/>
      <w:pPr>
        <w:ind w:left="5436" w:hanging="360"/>
      </w:pPr>
      <w:rPr>
        <w:rFonts w:ascii="Courier New" w:hAnsi="Courier New" w:cs="Courier New" w:hint="default"/>
      </w:rPr>
    </w:lvl>
    <w:lvl w:ilvl="8" w:tplc="04260005" w:tentative="1">
      <w:start w:val="1"/>
      <w:numFmt w:val="bullet"/>
      <w:lvlText w:val=""/>
      <w:lvlJc w:val="left"/>
      <w:pPr>
        <w:ind w:left="6156" w:hanging="360"/>
      </w:pPr>
      <w:rPr>
        <w:rFonts w:ascii="Wingdings" w:hAnsi="Wingdings" w:hint="default"/>
      </w:rPr>
    </w:lvl>
  </w:abstractNum>
  <w:abstractNum w:abstractNumId="10" w15:restartNumberingAfterBreak="0">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15:restartNumberingAfterBreak="0">
    <w:nsid w:val="37493B15"/>
    <w:multiLevelType w:val="hybridMultilevel"/>
    <w:tmpl w:val="1E7A7768"/>
    <w:lvl w:ilvl="0" w:tplc="5D18E9D4">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7744C"/>
    <w:multiLevelType w:val="hybridMultilevel"/>
    <w:tmpl w:val="A376607A"/>
    <w:lvl w:ilvl="0" w:tplc="78828938">
      <w:start w:val="26"/>
      <w:numFmt w:val="bullet"/>
      <w:lvlText w:val="-"/>
      <w:lvlJc w:val="left"/>
      <w:pPr>
        <w:ind w:left="720" w:hanging="360"/>
      </w:pPr>
      <w:rPr>
        <w:rFonts w:ascii="Calibri" w:eastAsiaTheme="minorHAnsi" w:hAnsi="Calibri" w:cstheme="minorBid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41547C3B"/>
    <w:multiLevelType w:val="hybridMultilevel"/>
    <w:tmpl w:val="64A43C04"/>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7D9020F"/>
    <w:multiLevelType w:val="hybridMultilevel"/>
    <w:tmpl w:val="DA1E2AFA"/>
    <w:lvl w:ilvl="0" w:tplc="D6F0614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CB62DA4"/>
    <w:multiLevelType w:val="hybridMultilevel"/>
    <w:tmpl w:val="8F1A497E"/>
    <w:lvl w:ilvl="0" w:tplc="A04ABCF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0" w15:restartNumberingAfterBreak="0">
    <w:nsid w:val="4D306E81"/>
    <w:multiLevelType w:val="hybridMultilevel"/>
    <w:tmpl w:val="EFB6C3F6"/>
    <w:lvl w:ilvl="0" w:tplc="99EA38B6">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E415A1C"/>
    <w:multiLevelType w:val="hybridMultilevel"/>
    <w:tmpl w:val="DDC09E62"/>
    <w:lvl w:ilvl="0" w:tplc="04260011">
      <w:start w:val="1"/>
      <w:numFmt w:val="decimal"/>
      <w:lvlText w:val="%1)"/>
      <w:lvlJc w:val="left"/>
      <w:pPr>
        <w:ind w:left="360" w:hanging="360"/>
      </w:pPr>
      <w:rPr>
        <w:rFonts w:hint="default"/>
      </w:rPr>
    </w:lvl>
    <w:lvl w:ilvl="1" w:tplc="0BC6FC5A">
      <w:start w:val="1"/>
      <w:numFmt w:val="decimal"/>
      <w:lvlText w:val="%2)"/>
      <w:lvlJc w:val="left"/>
      <w:pPr>
        <w:ind w:left="2040" w:hanging="13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993F2E"/>
    <w:multiLevelType w:val="hybridMultilevel"/>
    <w:tmpl w:val="17243846"/>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FA7B0E"/>
    <w:multiLevelType w:val="hybridMultilevel"/>
    <w:tmpl w:val="0D5E1AD2"/>
    <w:lvl w:ilvl="0" w:tplc="E9CCD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A29399F"/>
    <w:multiLevelType w:val="hybridMultilevel"/>
    <w:tmpl w:val="97949956"/>
    <w:lvl w:ilvl="0" w:tplc="5D18E9D4">
      <w:start w:val="1"/>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6"/>
  </w:num>
  <w:num w:numId="4">
    <w:abstractNumId w:val="3"/>
  </w:num>
  <w:num w:numId="5">
    <w:abstractNumId w:val="0"/>
  </w:num>
  <w:num w:numId="6">
    <w:abstractNumId w:val="22"/>
  </w:num>
  <w:num w:numId="7">
    <w:abstractNumId w:val="27"/>
  </w:num>
  <w:num w:numId="8">
    <w:abstractNumId w:val="16"/>
  </w:num>
  <w:num w:numId="9">
    <w:abstractNumId w:val="5"/>
  </w:num>
  <w:num w:numId="10">
    <w:abstractNumId w:val="17"/>
  </w:num>
  <w:num w:numId="11">
    <w:abstractNumId w:val="18"/>
  </w:num>
  <w:num w:numId="12">
    <w:abstractNumId w:val="24"/>
  </w:num>
  <w:num w:numId="13">
    <w:abstractNumId w:val="25"/>
  </w:num>
  <w:num w:numId="14">
    <w:abstractNumId w:val="19"/>
  </w:num>
  <w:num w:numId="15">
    <w:abstractNumId w:val="8"/>
  </w:num>
  <w:num w:numId="16">
    <w:abstractNumId w:val="11"/>
  </w:num>
  <w:num w:numId="17">
    <w:abstractNumId w:val="1"/>
  </w:num>
  <w:num w:numId="18">
    <w:abstractNumId w:val="14"/>
  </w:num>
  <w:num w:numId="19">
    <w:abstractNumId w:val="4"/>
  </w:num>
  <w:num w:numId="20">
    <w:abstractNumId w:val="29"/>
  </w:num>
  <w:num w:numId="21">
    <w:abstractNumId w:val="20"/>
  </w:num>
  <w:num w:numId="22">
    <w:abstractNumId w:val="15"/>
  </w:num>
  <w:num w:numId="23">
    <w:abstractNumId w:val="21"/>
  </w:num>
  <w:num w:numId="24">
    <w:abstractNumId w:val="2"/>
  </w:num>
  <w:num w:numId="25">
    <w:abstractNumId w:val="12"/>
  </w:num>
  <w:num w:numId="26">
    <w:abstractNumId w:val="28"/>
  </w:num>
  <w:num w:numId="27">
    <w:abstractNumId w:val="13"/>
  </w:num>
  <w:num w:numId="28">
    <w:abstractNumId w:val="9"/>
  </w:num>
  <w:num w:numId="29">
    <w:abstractNumId w:val="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E"/>
    <w:rsid w:val="000013C7"/>
    <w:rsid w:val="00003B09"/>
    <w:rsid w:val="00004A3F"/>
    <w:rsid w:val="00005034"/>
    <w:rsid w:val="00006C4C"/>
    <w:rsid w:val="00013557"/>
    <w:rsid w:val="000215D6"/>
    <w:rsid w:val="0002238E"/>
    <w:rsid w:val="00022603"/>
    <w:rsid w:val="00027DAF"/>
    <w:rsid w:val="00030BAA"/>
    <w:rsid w:val="0003455A"/>
    <w:rsid w:val="00040321"/>
    <w:rsid w:val="00042741"/>
    <w:rsid w:val="00042F60"/>
    <w:rsid w:val="000442A7"/>
    <w:rsid w:val="0004593B"/>
    <w:rsid w:val="00054324"/>
    <w:rsid w:val="000621AC"/>
    <w:rsid w:val="000634C2"/>
    <w:rsid w:val="00063B6E"/>
    <w:rsid w:val="000644BC"/>
    <w:rsid w:val="00064F76"/>
    <w:rsid w:val="000665F5"/>
    <w:rsid w:val="00076173"/>
    <w:rsid w:val="00077F0A"/>
    <w:rsid w:val="00080A0A"/>
    <w:rsid w:val="00085438"/>
    <w:rsid w:val="00086A82"/>
    <w:rsid w:val="000940BC"/>
    <w:rsid w:val="000969FB"/>
    <w:rsid w:val="000A3A8D"/>
    <w:rsid w:val="000A6E33"/>
    <w:rsid w:val="000B110B"/>
    <w:rsid w:val="000B24E7"/>
    <w:rsid w:val="000B2906"/>
    <w:rsid w:val="000C2B82"/>
    <w:rsid w:val="000C3D80"/>
    <w:rsid w:val="000D0877"/>
    <w:rsid w:val="000E07C6"/>
    <w:rsid w:val="000E5526"/>
    <w:rsid w:val="000E77B8"/>
    <w:rsid w:val="000F142A"/>
    <w:rsid w:val="00105038"/>
    <w:rsid w:val="001232AC"/>
    <w:rsid w:val="00127B31"/>
    <w:rsid w:val="00130C03"/>
    <w:rsid w:val="001319EB"/>
    <w:rsid w:val="0014711B"/>
    <w:rsid w:val="00171AD5"/>
    <w:rsid w:val="00171C76"/>
    <w:rsid w:val="001768BF"/>
    <w:rsid w:val="00177220"/>
    <w:rsid w:val="0018356E"/>
    <w:rsid w:val="00185365"/>
    <w:rsid w:val="00186BC8"/>
    <w:rsid w:val="0019151F"/>
    <w:rsid w:val="001929E0"/>
    <w:rsid w:val="00193DF1"/>
    <w:rsid w:val="001940BF"/>
    <w:rsid w:val="00195723"/>
    <w:rsid w:val="001960A3"/>
    <w:rsid w:val="001A01B1"/>
    <w:rsid w:val="001A12C7"/>
    <w:rsid w:val="001A149B"/>
    <w:rsid w:val="001A58E3"/>
    <w:rsid w:val="001C3BBE"/>
    <w:rsid w:val="001D330A"/>
    <w:rsid w:val="001D6764"/>
    <w:rsid w:val="001D67E1"/>
    <w:rsid w:val="001E01E6"/>
    <w:rsid w:val="001E6A3D"/>
    <w:rsid w:val="001F4613"/>
    <w:rsid w:val="002021B4"/>
    <w:rsid w:val="0020400A"/>
    <w:rsid w:val="00204889"/>
    <w:rsid w:val="002121B0"/>
    <w:rsid w:val="00213F39"/>
    <w:rsid w:val="00217049"/>
    <w:rsid w:val="00220264"/>
    <w:rsid w:val="00221883"/>
    <w:rsid w:val="00223B9C"/>
    <w:rsid w:val="00230158"/>
    <w:rsid w:val="002335BB"/>
    <w:rsid w:val="00233ED6"/>
    <w:rsid w:val="0023425B"/>
    <w:rsid w:val="002349B6"/>
    <w:rsid w:val="00236ACA"/>
    <w:rsid w:val="00252779"/>
    <w:rsid w:val="002542DB"/>
    <w:rsid w:val="002609F6"/>
    <w:rsid w:val="002614C1"/>
    <w:rsid w:val="00262EAA"/>
    <w:rsid w:val="00265F61"/>
    <w:rsid w:val="00271233"/>
    <w:rsid w:val="002749CA"/>
    <w:rsid w:val="002764FA"/>
    <w:rsid w:val="00277B4A"/>
    <w:rsid w:val="00277FE0"/>
    <w:rsid w:val="0028114C"/>
    <w:rsid w:val="00290041"/>
    <w:rsid w:val="00290F4F"/>
    <w:rsid w:val="002A7D51"/>
    <w:rsid w:val="002B00F2"/>
    <w:rsid w:val="002B5BF9"/>
    <w:rsid w:val="002B7F78"/>
    <w:rsid w:val="002C020B"/>
    <w:rsid w:val="002C499F"/>
    <w:rsid w:val="002D1953"/>
    <w:rsid w:val="002D232A"/>
    <w:rsid w:val="002D5E80"/>
    <w:rsid w:val="002E0977"/>
    <w:rsid w:val="002E0BDF"/>
    <w:rsid w:val="002F00C0"/>
    <w:rsid w:val="002F21AE"/>
    <w:rsid w:val="002F4533"/>
    <w:rsid w:val="002F606E"/>
    <w:rsid w:val="003011A0"/>
    <w:rsid w:val="00301327"/>
    <w:rsid w:val="0030218C"/>
    <w:rsid w:val="00305249"/>
    <w:rsid w:val="003125A8"/>
    <w:rsid w:val="00312FA7"/>
    <w:rsid w:val="00315880"/>
    <w:rsid w:val="0031706E"/>
    <w:rsid w:val="003312C9"/>
    <w:rsid w:val="003335A8"/>
    <w:rsid w:val="0033646E"/>
    <w:rsid w:val="00341AE5"/>
    <w:rsid w:val="00345A31"/>
    <w:rsid w:val="00351997"/>
    <w:rsid w:val="003546BD"/>
    <w:rsid w:val="003573FA"/>
    <w:rsid w:val="00360707"/>
    <w:rsid w:val="003743F9"/>
    <w:rsid w:val="00381E71"/>
    <w:rsid w:val="00381FF8"/>
    <w:rsid w:val="003917E4"/>
    <w:rsid w:val="00394815"/>
    <w:rsid w:val="00397C7A"/>
    <w:rsid w:val="003A0046"/>
    <w:rsid w:val="003A02FD"/>
    <w:rsid w:val="003A4750"/>
    <w:rsid w:val="003A5931"/>
    <w:rsid w:val="003B21E3"/>
    <w:rsid w:val="003B45C0"/>
    <w:rsid w:val="003B4860"/>
    <w:rsid w:val="003B7FE0"/>
    <w:rsid w:val="003C0043"/>
    <w:rsid w:val="003C0B18"/>
    <w:rsid w:val="003C0D46"/>
    <w:rsid w:val="003C1547"/>
    <w:rsid w:val="003C23A4"/>
    <w:rsid w:val="003D20FF"/>
    <w:rsid w:val="003D296E"/>
    <w:rsid w:val="003D451A"/>
    <w:rsid w:val="003D539C"/>
    <w:rsid w:val="003F3F42"/>
    <w:rsid w:val="003F5496"/>
    <w:rsid w:val="003F7376"/>
    <w:rsid w:val="0040557C"/>
    <w:rsid w:val="004055A0"/>
    <w:rsid w:val="00411948"/>
    <w:rsid w:val="00423582"/>
    <w:rsid w:val="00424137"/>
    <w:rsid w:val="0042654A"/>
    <w:rsid w:val="00430AC8"/>
    <w:rsid w:val="0043195C"/>
    <w:rsid w:val="0043354D"/>
    <w:rsid w:val="00435C88"/>
    <w:rsid w:val="00435D6D"/>
    <w:rsid w:val="004437AA"/>
    <w:rsid w:val="00453835"/>
    <w:rsid w:val="00460E9E"/>
    <w:rsid w:val="004621BC"/>
    <w:rsid w:val="0046584E"/>
    <w:rsid w:val="0046755E"/>
    <w:rsid w:val="00473696"/>
    <w:rsid w:val="00474D47"/>
    <w:rsid w:val="00474FF5"/>
    <w:rsid w:val="00477A88"/>
    <w:rsid w:val="00483078"/>
    <w:rsid w:val="004838AD"/>
    <w:rsid w:val="0048392A"/>
    <w:rsid w:val="00490AB1"/>
    <w:rsid w:val="00495A99"/>
    <w:rsid w:val="00497D9E"/>
    <w:rsid w:val="004A0B42"/>
    <w:rsid w:val="004A6AB4"/>
    <w:rsid w:val="004A7D86"/>
    <w:rsid w:val="004B3152"/>
    <w:rsid w:val="004B48E3"/>
    <w:rsid w:val="004C08DF"/>
    <w:rsid w:val="004C3567"/>
    <w:rsid w:val="004C60D1"/>
    <w:rsid w:val="004C7800"/>
    <w:rsid w:val="004D280B"/>
    <w:rsid w:val="004D2812"/>
    <w:rsid w:val="004D6E85"/>
    <w:rsid w:val="004D78DB"/>
    <w:rsid w:val="004E159F"/>
    <w:rsid w:val="004E51E9"/>
    <w:rsid w:val="004E6587"/>
    <w:rsid w:val="004E7B47"/>
    <w:rsid w:val="004F0159"/>
    <w:rsid w:val="004F024F"/>
    <w:rsid w:val="004F129E"/>
    <w:rsid w:val="004F4AE1"/>
    <w:rsid w:val="004F61D1"/>
    <w:rsid w:val="00502AC5"/>
    <w:rsid w:val="005036A5"/>
    <w:rsid w:val="00522FA5"/>
    <w:rsid w:val="005309F2"/>
    <w:rsid w:val="00540215"/>
    <w:rsid w:val="00540906"/>
    <w:rsid w:val="00540E69"/>
    <w:rsid w:val="00544BC4"/>
    <w:rsid w:val="00545E3E"/>
    <w:rsid w:val="005470FF"/>
    <w:rsid w:val="00553677"/>
    <w:rsid w:val="00554994"/>
    <w:rsid w:val="005561A6"/>
    <w:rsid w:val="00556B85"/>
    <w:rsid w:val="00556C66"/>
    <w:rsid w:val="005624C1"/>
    <w:rsid w:val="00566966"/>
    <w:rsid w:val="00570553"/>
    <w:rsid w:val="0057520D"/>
    <w:rsid w:val="00577445"/>
    <w:rsid w:val="00577F98"/>
    <w:rsid w:val="00582FAB"/>
    <w:rsid w:val="005833C3"/>
    <w:rsid w:val="0058414F"/>
    <w:rsid w:val="005871F3"/>
    <w:rsid w:val="00592A89"/>
    <w:rsid w:val="005A10F9"/>
    <w:rsid w:val="005A1384"/>
    <w:rsid w:val="005A77B6"/>
    <w:rsid w:val="005A7D7D"/>
    <w:rsid w:val="005B5442"/>
    <w:rsid w:val="005B5892"/>
    <w:rsid w:val="005B58AC"/>
    <w:rsid w:val="005B6AE0"/>
    <w:rsid w:val="005C0FB0"/>
    <w:rsid w:val="005C3BE5"/>
    <w:rsid w:val="005C5626"/>
    <w:rsid w:val="005D048F"/>
    <w:rsid w:val="005D6410"/>
    <w:rsid w:val="005E0B4C"/>
    <w:rsid w:val="005E4D37"/>
    <w:rsid w:val="005F057A"/>
    <w:rsid w:val="005F0BA1"/>
    <w:rsid w:val="005F297F"/>
    <w:rsid w:val="005F2CF2"/>
    <w:rsid w:val="005F68C5"/>
    <w:rsid w:val="005F7C8D"/>
    <w:rsid w:val="00602D09"/>
    <w:rsid w:val="00606E1A"/>
    <w:rsid w:val="0060796A"/>
    <w:rsid w:val="00612E78"/>
    <w:rsid w:val="0061407D"/>
    <w:rsid w:val="00615C78"/>
    <w:rsid w:val="00621263"/>
    <w:rsid w:val="00622DA6"/>
    <w:rsid w:val="00623AA7"/>
    <w:rsid w:val="00627C0F"/>
    <w:rsid w:val="00636844"/>
    <w:rsid w:val="00642453"/>
    <w:rsid w:val="00642F22"/>
    <w:rsid w:val="00644264"/>
    <w:rsid w:val="00645EAA"/>
    <w:rsid w:val="00646082"/>
    <w:rsid w:val="00652289"/>
    <w:rsid w:val="006555B9"/>
    <w:rsid w:val="00660025"/>
    <w:rsid w:val="006712AF"/>
    <w:rsid w:val="0067183A"/>
    <w:rsid w:val="00675202"/>
    <w:rsid w:val="0067719A"/>
    <w:rsid w:val="00680618"/>
    <w:rsid w:val="0068399C"/>
    <w:rsid w:val="006867C1"/>
    <w:rsid w:val="006948D1"/>
    <w:rsid w:val="00694B3A"/>
    <w:rsid w:val="006966AD"/>
    <w:rsid w:val="006A010D"/>
    <w:rsid w:val="006A12B5"/>
    <w:rsid w:val="006A7F4F"/>
    <w:rsid w:val="006C07BE"/>
    <w:rsid w:val="006C0912"/>
    <w:rsid w:val="006C35C2"/>
    <w:rsid w:val="006D19C4"/>
    <w:rsid w:val="006D7A85"/>
    <w:rsid w:val="006E02E5"/>
    <w:rsid w:val="006E14F5"/>
    <w:rsid w:val="006E48EA"/>
    <w:rsid w:val="006E5046"/>
    <w:rsid w:val="006F345E"/>
    <w:rsid w:val="00700A7F"/>
    <w:rsid w:val="00702386"/>
    <w:rsid w:val="007061F2"/>
    <w:rsid w:val="0070789A"/>
    <w:rsid w:val="00711910"/>
    <w:rsid w:val="00712D97"/>
    <w:rsid w:val="00716AE1"/>
    <w:rsid w:val="0071754F"/>
    <w:rsid w:val="00722BE2"/>
    <w:rsid w:val="00734537"/>
    <w:rsid w:val="007364B5"/>
    <w:rsid w:val="007416F1"/>
    <w:rsid w:val="007418B2"/>
    <w:rsid w:val="00764AE7"/>
    <w:rsid w:val="00765C96"/>
    <w:rsid w:val="00771C34"/>
    <w:rsid w:val="00771E13"/>
    <w:rsid w:val="00772B2E"/>
    <w:rsid w:val="00787E97"/>
    <w:rsid w:val="007931D8"/>
    <w:rsid w:val="0079476D"/>
    <w:rsid w:val="00794E13"/>
    <w:rsid w:val="00797B69"/>
    <w:rsid w:val="007A0D13"/>
    <w:rsid w:val="007A5F45"/>
    <w:rsid w:val="007A61F4"/>
    <w:rsid w:val="007A735B"/>
    <w:rsid w:val="007B1D8C"/>
    <w:rsid w:val="007B48EB"/>
    <w:rsid w:val="007B4ACB"/>
    <w:rsid w:val="007B6753"/>
    <w:rsid w:val="007B790F"/>
    <w:rsid w:val="007D2BE0"/>
    <w:rsid w:val="007E0C67"/>
    <w:rsid w:val="007E0D33"/>
    <w:rsid w:val="007E1D95"/>
    <w:rsid w:val="007E2B14"/>
    <w:rsid w:val="007E7174"/>
    <w:rsid w:val="007F061F"/>
    <w:rsid w:val="007F1EA2"/>
    <w:rsid w:val="007F3DDF"/>
    <w:rsid w:val="007F6587"/>
    <w:rsid w:val="00800D58"/>
    <w:rsid w:val="00800F9D"/>
    <w:rsid w:val="00802C95"/>
    <w:rsid w:val="00806FD4"/>
    <w:rsid w:val="00814DE2"/>
    <w:rsid w:val="00817DA0"/>
    <w:rsid w:val="00817EAC"/>
    <w:rsid w:val="00822E15"/>
    <w:rsid w:val="00824277"/>
    <w:rsid w:val="00827AEF"/>
    <w:rsid w:val="00834001"/>
    <w:rsid w:val="008374AB"/>
    <w:rsid w:val="00851417"/>
    <w:rsid w:val="00853FC9"/>
    <w:rsid w:val="00855EB0"/>
    <w:rsid w:val="00860CF7"/>
    <w:rsid w:val="00861990"/>
    <w:rsid w:val="00861CD9"/>
    <w:rsid w:val="008723E2"/>
    <w:rsid w:val="008745A4"/>
    <w:rsid w:val="008776C0"/>
    <w:rsid w:val="0089045E"/>
    <w:rsid w:val="00890B71"/>
    <w:rsid w:val="00892B08"/>
    <w:rsid w:val="00893144"/>
    <w:rsid w:val="00896B6A"/>
    <w:rsid w:val="008A38B0"/>
    <w:rsid w:val="008A5CBA"/>
    <w:rsid w:val="008A6D47"/>
    <w:rsid w:val="008C4356"/>
    <w:rsid w:val="008C74E9"/>
    <w:rsid w:val="008D5376"/>
    <w:rsid w:val="008E68DD"/>
    <w:rsid w:val="008F2F14"/>
    <w:rsid w:val="008F6FFC"/>
    <w:rsid w:val="00902BBE"/>
    <w:rsid w:val="00904AA0"/>
    <w:rsid w:val="009077D7"/>
    <w:rsid w:val="00910653"/>
    <w:rsid w:val="00910FE8"/>
    <w:rsid w:val="00921EF5"/>
    <w:rsid w:val="00924B48"/>
    <w:rsid w:val="00924CF7"/>
    <w:rsid w:val="00925802"/>
    <w:rsid w:val="00925A8A"/>
    <w:rsid w:val="00933F8F"/>
    <w:rsid w:val="00936233"/>
    <w:rsid w:val="00940C7C"/>
    <w:rsid w:val="00943123"/>
    <w:rsid w:val="0094325C"/>
    <w:rsid w:val="00945D0E"/>
    <w:rsid w:val="00947DAF"/>
    <w:rsid w:val="009512E5"/>
    <w:rsid w:val="00952A29"/>
    <w:rsid w:val="009541D3"/>
    <w:rsid w:val="009658F4"/>
    <w:rsid w:val="00981DE8"/>
    <w:rsid w:val="009825FB"/>
    <w:rsid w:val="009860E1"/>
    <w:rsid w:val="00986B05"/>
    <w:rsid w:val="009901D1"/>
    <w:rsid w:val="00994EE9"/>
    <w:rsid w:val="0099762A"/>
    <w:rsid w:val="00997F84"/>
    <w:rsid w:val="009A0EE9"/>
    <w:rsid w:val="009A10D1"/>
    <w:rsid w:val="009B0005"/>
    <w:rsid w:val="009B4834"/>
    <w:rsid w:val="009B4DCC"/>
    <w:rsid w:val="009B5848"/>
    <w:rsid w:val="009C0C09"/>
    <w:rsid w:val="009D5C4D"/>
    <w:rsid w:val="009E6544"/>
    <w:rsid w:val="009E6EE2"/>
    <w:rsid w:val="009E6FF6"/>
    <w:rsid w:val="009F090D"/>
    <w:rsid w:val="009F62D9"/>
    <w:rsid w:val="00A00DAE"/>
    <w:rsid w:val="00A0647A"/>
    <w:rsid w:val="00A2045D"/>
    <w:rsid w:val="00A24B57"/>
    <w:rsid w:val="00A34A0C"/>
    <w:rsid w:val="00A3763C"/>
    <w:rsid w:val="00A40133"/>
    <w:rsid w:val="00A51D36"/>
    <w:rsid w:val="00A520EA"/>
    <w:rsid w:val="00A54B5F"/>
    <w:rsid w:val="00A56DAE"/>
    <w:rsid w:val="00A610AC"/>
    <w:rsid w:val="00A6468F"/>
    <w:rsid w:val="00A76271"/>
    <w:rsid w:val="00A80F16"/>
    <w:rsid w:val="00A8609A"/>
    <w:rsid w:val="00A967C9"/>
    <w:rsid w:val="00AA005B"/>
    <w:rsid w:val="00AA1AE6"/>
    <w:rsid w:val="00AA493D"/>
    <w:rsid w:val="00AB3083"/>
    <w:rsid w:val="00AC56A7"/>
    <w:rsid w:val="00AC5B37"/>
    <w:rsid w:val="00AC7396"/>
    <w:rsid w:val="00AF0E0F"/>
    <w:rsid w:val="00AF1800"/>
    <w:rsid w:val="00AF358C"/>
    <w:rsid w:val="00AF43CF"/>
    <w:rsid w:val="00AF5989"/>
    <w:rsid w:val="00B00B55"/>
    <w:rsid w:val="00B07E8C"/>
    <w:rsid w:val="00B10E30"/>
    <w:rsid w:val="00B14FFF"/>
    <w:rsid w:val="00B1657C"/>
    <w:rsid w:val="00B201B2"/>
    <w:rsid w:val="00B22123"/>
    <w:rsid w:val="00B26BAA"/>
    <w:rsid w:val="00B271B3"/>
    <w:rsid w:val="00B32AFB"/>
    <w:rsid w:val="00B339C2"/>
    <w:rsid w:val="00B4202F"/>
    <w:rsid w:val="00B42ACF"/>
    <w:rsid w:val="00B45C1A"/>
    <w:rsid w:val="00B47F95"/>
    <w:rsid w:val="00B53027"/>
    <w:rsid w:val="00B57253"/>
    <w:rsid w:val="00B5740D"/>
    <w:rsid w:val="00B60FF8"/>
    <w:rsid w:val="00B63249"/>
    <w:rsid w:val="00B6395F"/>
    <w:rsid w:val="00B70BC3"/>
    <w:rsid w:val="00B70DA5"/>
    <w:rsid w:val="00B714F6"/>
    <w:rsid w:val="00B741F7"/>
    <w:rsid w:val="00B7438E"/>
    <w:rsid w:val="00B74894"/>
    <w:rsid w:val="00B758CB"/>
    <w:rsid w:val="00B801AD"/>
    <w:rsid w:val="00B83603"/>
    <w:rsid w:val="00B87BB4"/>
    <w:rsid w:val="00BA1EFE"/>
    <w:rsid w:val="00BB0B18"/>
    <w:rsid w:val="00BB0EB4"/>
    <w:rsid w:val="00BB3177"/>
    <w:rsid w:val="00BB5555"/>
    <w:rsid w:val="00BB5F1A"/>
    <w:rsid w:val="00BB7BF6"/>
    <w:rsid w:val="00BC21D4"/>
    <w:rsid w:val="00BC2264"/>
    <w:rsid w:val="00BC5E9E"/>
    <w:rsid w:val="00BD3E52"/>
    <w:rsid w:val="00BD4BD6"/>
    <w:rsid w:val="00BD7CC7"/>
    <w:rsid w:val="00BE6A1D"/>
    <w:rsid w:val="00C00931"/>
    <w:rsid w:val="00C01789"/>
    <w:rsid w:val="00C0328E"/>
    <w:rsid w:val="00C10C8A"/>
    <w:rsid w:val="00C12404"/>
    <w:rsid w:val="00C14768"/>
    <w:rsid w:val="00C14FE7"/>
    <w:rsid w:val="00C167F8"/>
    <w:rsid w:val="00C21ECD"/>
    <w:rsid w:val="00C31E36"/>
    <w:rsid w:val="00C46465"/>
    <w:rsid w:val="00C51733"/>
    <w:rsid w:val="00C54972"/>
    <w:rsid w:val="00C62DD6"/>
    <w:rsid w:val="00C74CAE"/>
    <w:rsid w:val="00C82DE9"/>
    <w:rsid w:val="00C86748"/>
    <w:rsid w:val="00C86B49"/>
    <w:rsid w:val="00C86EBE"/>
    <w:rsid w:val="00C921F1"/>
    <w:rsid w:val="00C926CC"/>
    <w:rsid w:val="00C93607"/>
    <w:rsid w:val="00C94FFA"/>
    <w:rsid w:val="00CA6FD9"/>
    <w:rsid w:val="00CB30D8"/>
    <w:rsid w:val="00CB34BA"/>
    <w:rsid w:val="00CC123D"/>
    <w:rsid w:val="00CD53DC"/>
    <w:rsid w:val="00CD69B1"/>
    <w:rsid w:val="00CE0E49"/>
    <w:rsid w:val="00CE67A6"/>
    <w:rsid w:val="00CE7B53"/>
    <w:rsid w:val="00CF05F7"/>
    <w:rsid w:val="00CF2A0A"/>
    <w:rsid w:val="00CF2FA3"/>
    <w:rsid w:val="00CF30FF"/>
    <w:rsid w:val="00CF4E0F"/>
    <w:rsid w:val="00CF575E"/>
    <w:rsid w:val="00CF793E"/>
    <w:rsid w:val="00D0166B"/>
    <w:rsid w:val="00D02F03"/>
    <w:rsid w:val="00D037AE"/>
    <w:rsid w:val="00D0768E"/>
    <w:rsid w:val="00D1137F"/>
    <w:rsid w:val="00D14192"/>
    <w:rsid w:val="00D14D5D"/>
    <w:rsid w:val="00D20606"/>
    <w:rsid w:val="00D20CB2"/>
    <w:rsid w:val="00D2766E"/>
    <w:rsid w:val="00D27EAE"/>
    <w:rsid w:val="00D3121A"/>
    <w:rsid w:val="00D3492A"/>
    <w:rsid w:val="00D43DD8"/>
    <w:rsid w:val="00D4627A"/>
    <w:rsid w:val="00D47B4B"/>
    <w:rsid w:val="00D50CC0"/>
    <w:rsid w:val="00D520E1"/>
    <w:rsid w:val="00D5330E"/>
    <w:rsid w:val="00D57482"/>
    <w:rsid w:val="00D60732"/>
    <w:rsid w:val="00D64425"/>
    <w:rsid w:val="00D64A59"/>
    <w:rsid w:val="00D657EE"/>
    <w:rsid w:val="00D66CA5"/>
    <w:rsid w:val="00D67D8A"/>
    <w:rsid w:val="00D70233"/>
    <w:rsid w:val="00D728E9"/>
    <w:rsid w:val="00D730E4"/>
    <w:rsid w:val="00D745B7"/>
    <w:rsid w:val="00D85DDF"/>
    <w:rsid w:val="00D860FF"/>
    <w:rsid w:val="00D86A32"/>
    <w:rsid w:val="00D87F0C"/>
    <w:rsid w:val="00D936D7"/>
    <w:rsid w:val="00D93BB2"/>
    <w:rsid w:val="00D9596A"/>
    <w:rsid w:val="00D95F2F"/>
    <w:rsid w:val="00D97A85"/>
    <w:rsid w:val="00DA0E1E"/>
    <w:rsid w:val="00DA38CC"/>
    <w:rsid w:val="00DA5843"/>
    <w:rsid w:val="00DA7753"/>
    <w:rsid w:val="00DA78E5"/>
    <w:rsid w:val="00DB0E87"/>
    <w:rsid w:val="00DB3B9C"/>
    <w:rsid w:val="00DB49EC"/>
    <w:rsid w:val="00DB7C69"/>
    <w:rsid w:val="00DD0104"/>
    <w:rsid w:val="00DD4A76"/>
    <w:rsid w:val="00DD4C6A"/>
    <w:rsid w:val="00DD4C81"/>
    <w:rsid w:val="00DE0244"/>
    <w:rsid w:val="00DE2440"/>
    <w:rsid w:val="00DF260B"/>
    <w:rsid w:val="00DF43A7"/>
    <w:rsid w:val="00DF63B9"/>
    <w:rsid w:val="00E005CB"/>
    <w:rsid w:val="00E0342A"/>
    <w:rsid w:val="00E03710"/>
    <w:rsid w:val="00E044F1"/>
    <w:rsid w:val="00E215AE"/>
    <w:rsid w:val="00E27375"/>
    <w:rsid w:val="00E27DD9"/>
    <w:rsid w:val="00E30766"/>
    <w:rsid w:val="00E337FF"/>
    <w:rsid w:val="00E34475"/>
    <w:rsid w:val="00E40116"/>
    <w:rsid w:val="00E47BE5"/>
    <w:rsid w:val="00E54673"/>
    <w:rsid w:val="00E54CA5"/>
    <w:rsid w:val="00E60362"/>
    <w:rsid w:val="00E74C48"/>
    <w:rsid w:val="00E7722A"/>
    <w:rsid w:val="00E80C00"/>
    <w:rsid w:val="00E83116"/>
    <w:rsid w:val="00E85E91"/>
    <w:rsid w:val="00E906FE"/>
    <w:rsid w:val="00E96584"/>
    <w:rsid w:val="00EB1471"/>
    <w:rsid w:val="00EB19E6"/>
    <w:rsid w:val="00EB573E"/>
    <w:rsid w:val="00EB7523"/>
    <w:rsid w:val="00EB7DB3"/>
    <w:rsid w:val="00EC6007"/>
    <w:rsid w:val="00EC60C1"/>
    <w:rsid w:val="00EC73FD"/>
    <w:rsid w:val="00ED4BD8"/>
    <w:rsid w:val="00ED54A2"/>
    <w:rsid w:val="00EE12F6"/>
    <w:rsid w:val="00EF7D67"/>
    <w:rsid w:val="00F02976"/>
    <w:rsid w:val="00F03196"/>
    <w:rsid w:val="00F05484"/>
    <w:rsid w:val="00F1197F"/>
    <w:rsid w:val="00F11FEE"/>
    <w:rsid w:val="00F14C5C"/>
    <w:rsid w:val="00F163FD"/>
    <w:rsid w:val="00F173FF"/>
    <w:rsid w:val="00F17FCC"/>
    <w:rsid w:val="00F242A5"/>
    <w:rsid w:val="00F305C0"/>
    <w:rsid w:val="00F36E25"/>
    <w:rsid w:val="00F42C81"/>
    <w:rsid w:val="00F47165"/>
    <w:rsid w:val="00F52670"/>
    <w:rsid w:val="00F55997"/>
    <w:rsid w:val="00F55DC5"/>
    <w:rsid w:val="00F6136C"/>
    <w:rsid w:val="00F61490"/>
    <w:rsid w:val="00F61665"/>
    <w:rsid w:val="00F6257B"/>
    <w:rsid w:val="00F63FC6"/>
    <w:rsid w:val="00F90729"/>
    <w:rsid w:val="00F9162A"/>
    <w:rsid w:val="00F93BE3"/>
    <w:rsid w:val="00F96D85"/>
    <w:rsid w:val="00FA4E6D"/>
    <w:rsid w:val="00FA79CC"/>
    <w:rsid w:val="00FA7E99"/>
    <w:rsid w:val="00FB4925"/>
    <w:rsid w:val="00FC27A1"/>
    <w:rsid w:val="00FD1E1E"/>
    <w:rsid w:val="00FD1F92"/>
    <w:rsid w:val="00FD2307"/>
    <w:rsid w:val="00FD4BC0"/>
    <w:rsid w:val="00FD5698"/>
    <w:rsid w:val="00FE4F13"/>
    <w:rsid w:val="00FF30B3"/>
    <w:rsid w:val="00FF4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martTagType w:namespaceuri="schemas-tilde-lv/tildestengine" w:name="currency"/>
  <w:smartTagType w:namespaceuri="schemas-tilde-lv/tildestengine" w:name="veidnes"/>
  <w:shapeDefaults>
    <o:shapedefaults v:ext="edit" spidmax="2049"/>
    <o:shapelayout v:ext="edit">
      <o:idmap v:ext="edit" data="1"/>
    </o:shapelayout>
  </w:shapeDefaults>
  <w:decimalSymbol w:val=","/>
  <w:listSeparator w:val=";"/>
  <w15:docId w15:val="{87AC5E97-6437-4BA4-8463-14B09F5B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en-US" w:eastAsia="en-US"/>
    </w:rPr>
  </w:style>
  <w:style w:type="character" w:customStyle="1" w:styleId="HeaderChar">
    <w:name w:val="Header Char"/>
    <w:basedOn w:val="DefaultParagraphFont"/>
    <w:link w:val="Header"/>
    <w:uiPriority w:val="99"/>
    <w:locked/>
    <w:rPr>
      <w:sz w:val="24"/>
    </w:rPr>
  </w:style>
  <w:style w:type="character" w:styleId="PageNumber">
    <w:name w:val="page number"/>
    <w:basedOn w:val="DefaultParagraphFont"/>
    <w:rPr>
      <w:rFonts w:cs="Times New Roman"/>
    </w:rPr>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uiPriority w:val="99"/>
    <w:pPr>
      <w:spacing w:before="75" w:after="75"/>
      <w:jc w:val="center"/>
    </w:pPr>
  </w:style>
  <w:style w:type="character" w:customStyle="1" w:styleId="th1">
    <w:name w:val="th1"/>
    <w:uiPriority w:val="99"/>
    <w:rPr>
      <w:b/>
      <w:color w:val="333333"/>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lv-LV" w:eastAsia="lv-LV"/>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74CAE"/>
    <w:rPr>
      <w:sz w:val="0"/>
      <w:szCs w:val="0"/>
      <w:lang w:val="lv-LV" w:eastAsia="lv-LV"/>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style>
  <w:style w:type="character" w:styleId="FootnoteReference">
    <w:name w:val="footnote reference"/>
    <w:basedOn w:val="DefaultParagraphFont"/>
    <w:uiPriority w:val="99"/>
    <w:semiHidden/>
    <w:rPr>
      <w:rFonts w:cs="Times New Roman"/>
      <w:vertAlign w:val="superscript"/>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C74CAE"/>
    <w:rPr>
      <w:b/>
      <w:bCs/>
      <w:sz w:val="20"/>
      <w:szCs w:val="20"/>
      <w:lang w:val="lv-LV" w:eastAsia="lv-LV"/>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sz w:val="24"/>
      <w:lang w:val="lv-LV" w:eastAsia="lv-LV"/>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74CAE"/>
    <w:rPr>
      <w:sz w:val="0"/>
      <w:szCs w:val="0"/>
      <w:lang w:val="lv-LV" w:eastAsia="lv-LV"/>
    </w:rPr>
  </w:style>
  <w:style w:type="character" w:customStyle="1" w:styleId="apple-style-span">
    <w:name w:val="apple-style-span"/>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paragraph" w:styleId="PlainText">
    <w:name w:val="Plain Text"/>
    <w:basedOn w:val="Normal"/>
    <w:link w:val="PlainTextChar"/>
    <w:uiPriority w:val="99"/>
    <w:rPr>
      <w:rFonts w:ascii="Courier New" w:hAnsi="Courier New"/>
      <w:sz w:val="20"/>
      <w:szCs w:val="20"/>
      <w:lang w:val="en-US" w:eastAsia="en-US"/>
    </w:rPr>
  </w:style>
  <w:style w:type="character" w:customStyle="1" w:styleId="PlainTextChar">
    <w:name w:val="Plain Text Char"/>
    <w:basedOn w:val="DefaultParagraphFont"/>
    <w:link w:val="PlainText"/>
    <w:uiPriority w:val="99"/>
    <w:locked/>
    <w:rPr>
      <w:rFonts w:ascii="Courier New" w:hAnsi="Courier New"/>
    </w:rPr>
  </w:style>
  <w:style w:type="character" w:customStyle="1" w:styleId="st1">
    <w:name w:val="st1"/>
    <w:uiPriority w:val="99"/>
  </w:style>
  <w:style w:type="character" w:styleId="Emphasis">
    <w:name w:val="Emphasis"/>
    <w:basedOn w:val="DefaultParagraphFont"/>
    <w:uiPriority w:val="99"/>
    <w:qFormat/>
    <w:rPr>
      <w:rFonts w:cs="Times New Roman"/>
      <w:i/>
    </w:rPr>
  </w:style>
  <w:style w:type="character" w:styleId="Strong">
    <w:name w:val="Strong"/>
    <w:basedOn w:val="DefaultParagraphFont"/>
    <w:uiPriority w:val="99"/>
    <w:qFormat/>
    <w:rPr>
      <w:rFonts w:cs="Times New Roman"/>
      <w:b/>
    </w:rPr>
  </w:style>
  <w:style w:type="paragraph" w:customStyle="1" w:styleId="CharChar2RakstzRakstzCharCharRakstzRakstzCharCharRakstzRakstzCharCharRakstzRakstzCharChar">
    <w:name w:val="Char Char2 Rakstz. Rakstz. Char Char Rakstz. Rakstz. Char Char Rakstz. Rakstz. Char Char Rakstz. Rakstz. Char Char"/>
    <w:basedOn w:val="Normal"/>
    <w:uiPriority w:val="99"/>
    <w:pPr>
      <w:spacing w:before="40"/>
      <w:jc w:val="both"/>
    </w:pPr>
    <w:rPr>
      <w:lang w:val="pl-PL" w:eastAsia="pl-PL"/>
    </w:rPr>
  </w:style>
  <w:style w:type="paragraph" w:styleId="ListParagraph">
    <w:name w:val="List Paragraph"/>
    <w:basedOn w:val="Normal"/>
    <w:link w:val="ListParagraphChar"/>
    <w:uiPriority w:val="34"/>
    <w:qFormat/>
    <w:pPr>
      <w:ind w:left="720"/>
      <w:contextualSpacing/>
    </w:pPr>
  </w:style>
  <w:style w:type="paragraph" w:styleId="NormalWeb">
    <w:name w:val="Normal (Web)"/>
    <w:basedOn w:val="Normal"/>
    <w:pPr>
      <w:spacing w:before="100" w:beforeAutospacing="1" w:after="100" w:afterAutospacing="1"/>
    </w:pPr>
  </w:style>
  <w:style w:type="paragraph" w:customStyle="1" w:styleId="CharChar1RakstzRakstzCharChar">
    <w:name w:val="Char Char1 Rakstz. Rakstz. Char Char"/>
    <w:basedOn w:val="Normal"/>
    <w:rsid w:val="00DD4A76"/>
    <w:pPr>
      <w:spacing w:before="40"/>
    </w:pPr>
    <w:rPr>
      <w:lang w:val="pl-PL" w:eastAsia="pl-PL"/>
    </w:rPr>
  </w:style>
  <w:style w:type="character" w:styleId="FollowedHyperlink">
    <w:name w:val="FollowedHyperlink"/>
    <w:basedOn w:val="DefaultParagraphFont"/>
    <w:uiPriority w:val="99"/>
    <w:semiHidden/>
    <w:unhideWhenUsed/>
    <w:rsid w:val="00F242A5"/>
    <w:rPr>
      <w:color w:val="800080" w:themeColor="followedHyperlink"/>
      <w:u w:val="single"/>
    </w:rPr>
  </w:style>
  <w:style w:type="paragraph" w:styleId="BodyTextIndent">
    <w:name w:val="Body Text Indent"/>
    <w:basedOn w:val="Normal"/>
    <w:link w:val="BodyTextIndentChar"/>
    <w:rsid w:val="00DE0244"/>
    <w:pPr>
      <w:spacing w:before="240"/>
      <w:ind w:firstLine="720"/>
    </w:pPr>
    <w:rPr>
      <w:sz w:val="28"/>
      <w:szCs w:val="20"/>
      <w:lang w:eastAsia="en-US"/>
    </w:rPr>
  </w:style>
  <w:style w:type="character" w:customStyle="1" w:styleId="BodyTextIndentChar">
    <w:name w:val="Body Text Indent Char"/>
    <w:basedOn w:val="DefaultParagraphFont"/>
    <w:link w:val="BodyTextIndent"/>
    <w:rsid w:val="00DE0244"/>
    <w:rPr>
      <w:sz w:val="28"/>
      <w:szCs w:val="20"/>
      <w:lang w:val="lv-LV"/>
    </w:rPr>
  </w:style>
  <w:style w:type="paragraph" w:styleId="BodyTextIndent3">
    <w:name w:val="Body Text Indent 3"/>
    <w:basedOn w:val="Normal"/>
    <w:link w:val="BodyTextIndent3Char"/>
    <w:unhideWhenUsed/>
    <w:rsid w:val="00DE0244"/>
    <w:pPr>
      <w:spacing w:after="120" w:line="276" w:lineRule="auto"/>
      <w:ind w:left="283"/>
    </w:pPr>
    <w:rPr>
      <w:rFonts w:eastAsia="Calibri"/>
      <w:sz w:val="16"/>
      <w:szCs w:val="16"/>
      <w:lang w:eastAsia="en-US"/>
    </w:rPr>
  </w:style>
  <w:style w:type="character" w:customStyle="1" w:styleId="BodyTextIndent3Char">
    <w:name w:val="Body Text Indent 3 Char"/>
    <w:basedOn w:val="DefaultParagraphFont"/>
    <w:link w:val="BodyTextIndent3"/>
    <w:rsid w:val="00DE0244"/>
    <w:rPr>
      <w:rFonts w:eastAsia="Calibri"/>
      <w:sz w:val="16"/>
      <w:szCs w:val="16"/>
      <w:lang w:val="lv-LV"/>
    </w:rPr>
  </w:style>
  <w:style w:type="paragraph" w:styleId="NoSpacing">
    <w:name w:val="No Spacing"/>
    <w:uiPriority w:val="1"/>
    <w:qFormat/>
    <w:rsid w:val="009D5C4D"/>
    <w:rPr>
      <w:rFonts w:ascii="Calibri" w:eastAsia="Calibri" w:hAnsi="Calibri"/>
      <w:lang w:val="lv-LV"/>
    </w:rPr>
  </w:style>
  <w:style w:type="paragraph" w:customStyle="1" w:styleId="Normal1">
    <w:name w:val="Normal1"/>
    <w:basedOn w:val="Normal"/>
    <w:uiPriority w:val="99"/>
    <w:semiHidden/>
    <w:rsid w:val="00C62DD6"/>
    <w:rPr>
      <w:rFonts w:eastAsiaTheme="minorHAnsi"/>
    </w:rPr>
  </w:style>
  <w:style w:type="character" w:customStyle="1" w:styleId="normalchar">
    <w:name w:val="normal__char"/>
    <w:basedOn w:val="DefaultParagraphFont"/>
    <w:rsid w:val="00C62DD6"/>
  </w:style>
  <w:style w:type="paragraph" w:styleId="Revision">
    <w:name w:val="Revision"/>
    <w:hidden/>
    <w:uiPriority w:val="99"/>
    <w:semiHidden/>
    <w:rsid w:val="005A7D7D"/>
    <w:rPr>
      <w:sz w:val="24"/>
      <w:szCs w:val="24"/>
      <w:lang w:val="lv-LV" w:eastAsia="lv-LV"/>
    </w:rPr>
  </w:style>
  <w:style w:type="paragraph" w:styleId="BodyTextIndent2">
    <w:name w:val="Body Text Indent 2"/>
    <w:basedOn w:val="Normal"/>
    <w:link w:val="BodyTextIndent2Char"/>
    <w:uiPriority w:val="99"/>
    <w:semiHidden/>
    <w:unhideWhenUsed/>
    <w:rsid w:val="00D3121A"/>
    <w:pPr>
      <w:spacing w:after="120" w:line="480" w:lineRule="auto"/>
      <w:ind w:left="283"/>
    </w:pPr>
  </w:style>
  <w:style w:type="character" w:customStyle="1" w:styleId="BodyTextIndent2Char">
    <w:name w:val="Body Text Indent 2 Char"/>
    <w:basedOn w:val="DefaultParagraphFont"/>
    <w:link w:val="BodyTextIndent2"/>
    <w:uiPriority w:val="99"/>
    <w:semiHidden/>
    <w:rsid w:val="00D3121A"/>
    <w:rPr>
      <w:sz w:val="24"/>
      <w:szCs w:val="24"/>
      <w:lang w:val="lv-LV" w:eastAsia="lv-LV"/>
    </w:rPr>
  </w:style>
  <w:style w:type="paragraph" w:styleId="Subtitle">
    <w:name w:val="Subtitle"/>
    <w:basedOn w:val="Normal"/>
    <w:link w:val="SubtitleChar"/>
    <w:qFormat/>
    <w:locked/>
    <w:rsid w:val="00040321"/>
    <w:pPr>
      <w:ind w:left="851"/>
      <w:jc w:val="both"/>
    </w:pPr>
    <w:rPr>
      <w:sz w:val="28"/>
      <w:szCs w:val="20"/>
      <w:lang w:val="x-none"/>
    </w:rPr>
  </w:style>
  <w:style w:type="character" w:customStyle="1" w:styleId="SubtitleChar">
    <w:name w:val="Subtitle Char"/>
    <w:basedOn w:val="DefaultParagraphFont"/>
    <w:link w:val="Subtitle"/>
    <w:rsid w:val="00040321"/>
    <w:rPr>
      <w:sz w:val="28"/>
      <w:szCs w:val="20"/>
      <w:lang w:val="x-none" w:eastAsia="lv-LV"/>
    </w:rPr>
  </w:style>
  <w:style w:type="paragraph" w:customStyle="1" w:styleId="tv2132">
    <w:name w:val="tv2132"/>
    <w:basedOn w:val="Normal"/>
    <w:rsid w:val="00A76271"/>
    <w:pPr>
      <w:spacing w:line="360" w:lineRule="auto"/>
      <w:ind w:firstLine="300"/>
    </w:pPr>
    <w:rPr>
      <w:color w:val="414142"/>
      <w:sz w:val="20"/>
      <w:szCs w:val="20"/>
    </w:rPr>
  </w:style>
  <w:style w:type="character" w:customStyle="1" w:styleId="ListParagraphChar">
    <w:name w:val="List Paragraph Char"/>
    <w:link w:val="ListParagraph"/>
    <w:uiPriority w:val="34"/>
    <w:locked/>
    <w:rsid w:val="00E8311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0816">
      <w:bodyDiv w:val="1"/>
      <w:marLeft w:val="0"/>
      <w:marRight w:val="0"/>
      <w:marTop w:val="0"/>
      <w:marBottom w:val="0"/>
      <w:divBdr>
        <w:top w:val="none" w:sz="0" w:space="0" w:color="auto"/>
        <w:left w:val="none" w:sz="0" w:space="0" w:color="auto"/>
        <w:bottom w:val="none" w:sz="0" w:space="0" w:color="auto"/>
        <w:right w:val="none" w:sz="0" w:space="0" w:color="auto"/>
      </w:divBdr>
      <w:divsChild>
        <w:div w:id="455761512">
          <w:marLeft w:val="0"/>
          <w:marRight w:val="0"/>
          <w:marTop w:val="0"/>
          <w:marBottom w:val="0"/>
          <w:divBdr>
            <w:top w:val="none" w:sz="0" w:space="0" w:color="auto"/>
            <w:left w:val="none" w:sz="0" w:space="0" w:color="auto"/>
            <w:bottom w:val="none" w:sz="0" w:space="0" w:color="auto"/>
            <w:right w:val="none" w:sz="0" w:space="0" w:color="auto"/>
          </w:divBdr>
        </w:div>
        <w:div w:id="1469468055">
          <w:marLeft w:val="0"/>
          <w:marRight w:val="0"/>
          <w:marTop w:val="0"/>
          <w:marBottom w:val="0"/>
          <w:divBdr>
            <w:top w:val="none" w:sz="0" w:space="0" w:color="auto"/>
            <w:left w:val="none" w:sz="0" w:space="0" w:color="auto"/>
            <w:bottom w:val="none" w:sz="0" w:space="0" w:color="auto"/>
            <w:right w:val="none" w:sz="0" w:space="0" w:color="auto"/>
          </w:divBdr>
        </w:div>
        <w:div w:id="687411503">
          <w:marLeft w:val="0"/>
          <w:marRight w:val="0"/>
          <w:marTop w:val="0"/>
          <w:marBottom w:val="0"/>
          <w:divBdr>
            <w:top w:val="none" w:sz="0" w:space="0" w:color="auto"/>
            <w:left w:val="none" w:sz="0" w:space="0" w:color="auto"/>
            <w:bottom w:val="none" w:sz="0" w:space="0" w:color="auto"/>
            <w:right w:val="none" w:sz="0" w:space="0" w:color="auto"/>
          </w:divBdr>
        </w:div>
        <w:div w:id="1036392632">
          <w:marLeft w:val="0"/>
          <w:marRight w:val="0"/>
          <w:marTop w:val="0"/>
          <w:marBottom w:val="0"/>
          <w:divBdr>
            <w:top w:val="none" w:sz="0" w:space="0" w:color="auto"/>
            <w:left w:val="none" w:sz="0" w:space="0" w:color="auto"/>
            <w:bottom w:val="none" w:sz="0" w:space="0" w:color="auto"/>
            <w:right w:val="none" w:sz="0" w:space="0" w:color="auto"/>
          </w:divBdr>
        </w:div>
        <w:div w:id="1754744205">
          <w:marLeft w:val="0"/>
          <w:marRight w:val="0"/>
          <w:marTop w:val="0"/>
          <w:marBottom w:val="0"/>
          <w:divBdr>
            <w:top w:val="none" w:sz="0" w:space="0" w:color="auto"/>
            <w:left w:val="none" w:sz="0" w:space="0" w:color="auto"/>
            <w:bottom w:val="none" w:sz="0" w:space="0" w:color="auto"/>
            <w:right w:val="none" w:sz="0" w:space="0" w:color="auto"/>
          </w:divBdr>
        </w:div>
        <w:div w:id="1600597238">
          <w:marLeft w:val="0"/>
          <w:marRight w:val="0"/>
          <w:marTop w:val="0"/>
          <w:marBottom w:val="0"/>
          <w:divBdr>
            <w:top w:val="none" w:sz="0" w:space="0" w:color="auto"/>
            <w:left w:val="none" w:sz="0" w:space="0" w:color="auto"/>
            <w:bottom w:val="none" w:sz="0" w:space="0" w:color="auto"/>
            <w:right w:val="none" w:sz="0" w:space="0" w:color="auto"/>
          </w:divBdr>
        </w:div>
        <w:div w:id="1535995167">
          <w:marLeft w:val="0"/>
          <w:marRight w:val="0"/>
          <w:marTop w:val="0"/>
          <w:marBottom w:val="0"/>
          <w:divBdr>
            <w:top w:val="none" w:sz="0" w:space="0" w:color="auto"/>
            <w:left w:val="none" w:sz="0" w:space="0" w:color="auto"/>
            <w:bottom w:val="none" w:sz="0" w:space="0" w:color="auto"/>
            <w:right w:val="none" w:sz="0" w:space="0" w:color="auto"/>
          </w:divBdr>
        </w:div>
        <w:div w:id="1515195154">
          <w:marLeft w:val="0"/>
          <w:marRight w:val="0"/>
          <w:marTop w:val="0"/>
          <w:marBottom w:val="0"/>
          <w:divBdr>
            <w:top w:val="none" w:sz="0" w:space="0" w:color="auto"/>
            <w:left w:val="none" w:sz="0" w:space="0" w:color="auto"/>
            <w:bottom w:val="none" w:sz="0" w:space="0" w:color="auto"/>
            <w:right w:val="none" w:sz="0" w:space="0" w:color="auto"/>
          </w:divBdr>
        </w:div>
        <w:div w:id="1179346368">
          <w:marLeft w:val="0"/>
          <w:marRight w:val="0"/>
          <w:marTop w:val="0"/>
          <w:marBottom w:val="0"/>
          <w:divBdr>
            <w:top w:val="none" w:sz="0" w:space="0" w:color="auto"/>
            <w:left w:val="none" w:sz="0" w:space="0" w:color="auto"/>
            <w:bottom w:val="none" w:sz="0" w:space="0" w:color="auto"/>
            <w:right w:val="none" w:sz="0" w:space="0" w:color="auto"/>
          </w:divBdr>
        </w:div>
        <w:div w:id="702249603">
          <w:marLeft w:val="0"/>
          <w:marRight w:val="0"/>
          <w:marTop w:val="0"/>
          <w:marBottom w:val="0"/>
          <w:divBdr>
            <w:top w:val="none" w:sz="0" w:space="0" w:color="auto"/>
            <w:left w:val="none" w:sz="0" w:space="0" w:color="auto"/>
            <w:bottom w:val="none" w:sz="0" w:space="0" w:color="auto"/>
            <w:right w:val="none" w:sz="0" w:space="0" w:color="auto"/>
          </w:divBdr>
        </w:div>
      </w:divsChild>
    </w:div>
    <w:div w:id="664865653">
      <w:bodyDiv w:val="1"/>
      <w:marLeft w:val="0"/>
      <w:marRight w:val="0"/>
      <w:marTop w:val="0"/>
      <w:marBottom w:val="0"/>
      <w:divBdr>
        <w:top w:val="none" w:sz="0" w:space="0" w:color="auto"/>
        <w:left w:val="none" w:sz="0" w:space="0" w:color="auto"/>
        <w:bottom w:val="none" w:sz="0" w:space="0" w:color="auto"/>
        <w:right w:val="none" w:sz="0" w:space="0" w:color="auto"/>
      </w:divBdr>
      <w:divsChild>
        <w:div w:id="253636329">
          <w:marLeft w:val="0"/>
          <w:marRight w:val="0"/>
          <w:marTop w:val="0"/>
          <w:marBottom w:val="0"/>
          <w:divBdr>
            <w:top w:val="none" w:sz="0" w:space="0" w:color="auto"/>
            <w:left w:val="none" w:sz="0" w:space="0" w:color="auto"/>
            <w:bottom w:val="none" w:sz="0" w:space="0" w:color="auto"/>
            <w:right w:val="none" w:sz="0" w:space="0" w:color="auto"/>
          </w:divBdr>
          <w:divsChild>
            <w:div w:id="1972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4941">
      <w:bodyDiv w:val="1"/>
      <w:marLeft w:val="0"/>
      <w:marRight w:val="0"/>
      <w:marTop w:val="0"/>
      <w:marBottom w:val="0"/>
      <w:divBdr>
        <w:top w:val="none" w:sz="0" w:space="0" w:color="auto"/>
        <w:left w:val="none" w:sz="0" w:space="0" w:color="auto"/>
        <w:bottom w:val="none" w:sz="0" w:space="0" w:color="auto"/>
        <w:right w:val="none" w:sz="0" w:space="0" w:color="auto"/>
      </w:divBdr>
    </w:div>
    <w:div w:id="1330212284">
      <w:bodyDiv w:val="1"/>
      <w:marLeft w:val="0"/>
      <w:marRight w:val="0"/>
      <w:marTop w:val="0"/>
      <w:marBottom w:val="0"/>
      <w:divBdr>
        <w:top w:val="none" w:sz="0" w:space="0" w:color="auto"/>
        <w:left w:val="none" w:sz="0" w:space="0" w:color="auto"/>
        <w:bottom w:val="none" w:sz="0" w:space="0" w:color="auto"/>
        <w:right w:val="none" w:sz="0" w:space="0" w:color="auto"/>
      </w:divBdr>
    </w:div>
    <w:div w:id="1640302611">
      <w:bodyDiv w:val="1"/>
      <w:marLeft w:val="0"/>
      <w:marRight w:val="0"/>
      <w:marTop w:val="0"/>
      <w:marBottom w:val="0"/>
      <w:divBdr>
        <w:top w:val="none" w:sz="0" w:space="0" w:color="auto"/>
        <w:left w:val="none" w:sz="0" w:space="0" w:color="auto"/>
        <w:bottom w:val="none" w:sz="0" w:space="0" w:color="auto"/>
        <w:right w:val="none" w:sz="0" w:space="0" w:color="auto"/>
      </w:divBdr>
      <w:divsChild>
        <w:div w:id="256671488">
          <w:marLeft w:val="0"/>
          <w:marRight w:val="0"/>
          <w:marTop w:val="0"/>
          <w:marBottom w:val="0"/>
          <w:divBdr>
            <w:top w:val="none" w:sz="0" w:space="0" w:color="auto"/>
            <w:left w:val="none" w:sz="0" w:space="0" w:color="auto"/>
            <w:bottom w:val="none" w:sz="0" w:space="0" w:color="auto"/>
            <w:right w:val="none" w:sz="0" w:space="0" w:color="auto"/>
          </w:divBdr>
          <w:divsChild>
            <w:div w:id="68618755">
              <w:marLeft w:val="0"/>
              <w:marRight w:val="0"/>
              <w:marTop w:val="0"/>
              <w:marBottom w:val="0"/>
              <w:divBdr>
                <w:top w:val="none" w:sz="0" w:space="0" w:color="auto"/>
                <w:left w:val="none" w:sz="0" w:space="0" w:color="auto"/>
                <w:bottom w:val="none" w:sz="0" w:space="0" w:color="auto"/>
                <w:right w:val="none" w:sz="0" w:space="0" w:color="auto"/>
              </w:divBdr>
              <w:divsChild>
                <w:div w:id="2091343672">
                  <w:marLeft w:val="0"/>
                  <w:marRight w:val="0"/>
                  <w:marTop w:val="0"/>
                  <w:marBottom w:val="0"/>
                  <w:divBdr>
                    <w:top w:val="none" w:sz="0" w:space="0" w:color="auto"/>
                    <w:left w:val="none" w:sz="0" w:space="0" w:color="auto"/>
                    <w:bottom w:val="none" w:sz="0" w:space="0" w:color="auto"/>
                    <w:right w:val="none" w:sz="0" w:space="0" w:color="auto"/>
                  </w:divBdr>
                  <w:divsChild>
                    <w:div w:id="1054163015">
                      <w:marLeft w:val="0"/>
                      <w:marRight w:val="0"/>
                      <w:marTop w:val="0"/>
                      <w:marBottom w:val="0"/>
                      <w:divBdr>
                        <w:top w:val="none" w:sz="0" w:space="0" w:color="auto"/>
                        <w:left w:val="none" w:sz="0" w:space="0" w:color="auto"/>
                        <w:bottom w:val="none" w:sz="0" w:space="0" w:color="auto"/>
                        <w:right w:val="none" w:sz="0" w:space="0" w:color="auto"/>
                      </w:divBdr>
                      <w:divsChild>
                        <w:div w:id="1331325696">
                          <w:marLeft w:val="0"/>
                          <w:marRight w:val="0"/>
                          <w:marTop w:val="0"/>
                          <w:marBottom w:val="0"/>
                          <w:divBdr>
                            <w:top w:val="none" w:sz="0" w:space="0" w:color="auto"/>
                            <w:left w:val="none" w:sz="0" w:space="0" w:color="auto"/>
                            <w:bottom w:val="none" w:sz="0" w:space="0" w:color="auto"/>
                            <w:right w:val="none" w:sz="0" w:space="0" w:color="auto"/>
                          </w:divBdr>
                          <w:divsChild>
                            <w:div w:id="336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43167">
      <w:bodyDiv w:val="1"/>
      <w:marLeft w:val="0"/>
      <w:marRight w:val="0"/>
      <w:marTop w:val="0"/>
      <w:marBottom w:val="0"/>
      <w:divBdr>
        <w:top w:val="none" w:sz="0" w:space="0" w:color="auto"/>
        <w:left w:val="none" w:sz="0" w:space="0" w:color="auto"/>
        <w:bottom w:val="none" w:sz="0" w:space="0" w:color="auto"/>
        <w:right w:val="none" w:sz="0" w:space="0" w:color="auto"/>
      </w:divBdr>
    </w:div>
    <w:div w:id="2066491131">
      <w:marLeft w:val="0"/>
      <w:marRight w:val="0"/>
      <w:marTop w:val="0"/>
      <w:marBottom w:val="0"/>
      <w:divBdr>
        <w:top w:val="none" w:sz="0" w:space="0" w:color="auto"/>
        <w:left w:val="none" w:sz="0" w:space="0" w:color="auto"/>
        <w:bottom w:val="none" w:sz="0" w:space="0" w:color="auto"/>
        <w:right w:val="none" w:sz="0" w:space="0" w:color="auto"/>
      </w:divBdr>
    </w:div>
    <w:div w:id="2066491132">
      <w:marLeft w:val="0"/>
      <w:marRight w:val="0"/>
      <w:marTop w:val="0"/>
      <w:marBottom w:val="0"/>
      <w:divBdr>
        <w:top w:val="none" w:sz="0" w:space="0" w:color="auto"/>
        <w:left w:val="none" w:sz="0" w:space="0" w:color="auto"/>
        <w:bottom w:val="none" w:sz="0" w:space="0" w:color="auto"/>
        <w:right w:val="none" w:sz="0" w:space="0" w:color="auto"/>
      </w:divBdr>
    </w:div>
    <w:div w:id="2066491133">
      <w:marLeft w:val="0"/>
      <w:marRight w:val="0"/>
      <w:marTop w:val="0"/>
      <w:marBottom w:val="0"/>
      <w:divBdr>
        <w:top w:val="none" w:sz="0" w:space="0" w:color="auto"/>
        <w:left w:val="none" w:sz="0" w:space="0" w:color="auto"/>
        <w:bottom w:val="none" w:sz="0" w:space="0" w:color="auto"/>
        <w:right w:val="none" w:sz="0" w:space="0" w:color="auto"/>
      </w:divBdr>
    </w:div>
    <w:div w:id="2066491134">
      <w:marLeft w:val="0"/>
      <w:marRight w:val="0"/>
      <w:marTop w:val="0"/>
      <w:marBottom w:val="0"/>
      <w:divBdr>
        <w:top w:val="none" w:sz="0" w:space="0" w:color="auto"/>
        <w:left w:val="none" w:sz="0" w:space="0" w:color="auto"/>
        <w:bottom w:val="none" w:sz="0" w:space="0" w:color="auto"/>
        <w:right w:val="none" w:sz="0" w:space="0" w:color="auto"/>
      </w:divBdr>
    </w:div>
    <w:div w:id="2066491135">
      <w:marLeft w:val="0"/>
      <w:marRight w:val="0"/>
      <w:marTop w:val="0"/>
      <w:marBottom w:val="0"/>
      <w:divBdr>
        <w:top w:val="none" w:sz="0" w:space="0" w:color="auto"/>
        <w:left w:val="none" w:sz="0" w:space="0" w:color="auto"/>
        <w:bottom w:val="none" w:sz="0" w:space="0" w:color="auto"/>
        <w:right w:val="none" w:sz="0" w:space="0" w:color="auto"/>
      </w:divBdr>
    </w:div>
    <w:div w:id="2066491136">
      <w:marLeft w:val="0"/>
      <w:marRight w:val="0"/>
      <w:marTop w:val="0"/>
      <w:marBottom w:val="0"/>
      <w:divBdr>
        <w:top w:val="none" w:sz="0" w:space="0" w:color="auto"/>
        <w:left w:val="none" w:sz="0" w:space="0" w:color="auto"/>
        <w:bottom w:val="none" w:sz="0" w:space="0" w:color="auto"/>
        <w:right w:val="none" w:sz="0" w:space="0" w:color="auto"/>
      </w:divBdr>
    </w:div>
    <w:div w:id="2066491137">
      <w:marLeft w:val="0"/>
      <w:marRight w:val="0"/>
      <w:marTop w:val="0"/>
      <w:marBottom w:val="0"/>
      <w:divBdr>
        <w:top w:val="none" w:sz="0" w:space="0" w:color="auto"/>
        <w:left w:val="none" w:sz="0" w:space="0" w:color="auto"/>
        <w:bottom w:val="none" w:sz="0" w:space="0" w:color="auto"/>
        <w:right w:val="none" w:sz="0" w:space="0" w:color="auto"/>
      </w:divBdr>
    </w:div>
    <w:div w:id="2066491138">
      <w:marLeft w:val="0"/>
      <w:marRight w:val="0"/>
      <w:marTop w:val="0"/>
      <w:marBottom w:val="0"/>
      <w:divBdr>
        <w:top w:val="none" w:sz="0" w:space="0" w:color="auto"/>
        <w:left w:val="none" w:sz="0" w:space="0" w:color="auto"/>
        <w:bottom w:val="none" w:sz="0" w:space="0" w:color="auto"/>
        <w:right w:val="none" w:sz="0" w:space="0" w:color="auto"/>
      </w:divBdr>
    </w:div>
    <w:div w:id="2066491139">
      <w:marLeft w:val="0"/>
      <w:marRight w:val="0"/>
      <w:marTop w:val="0"/>
      <w:marBottom w:val="0"/>
      <w:divBdr>
        <w:top w:val="none" w:sz="0" w:space="0" w:color="auto"/>
        <w:left w:val="none" w:sz="0" w:space="0" w:color="auto"/>
        <w:bottom w:val="none" w:sz="0" w:space="0" w:color="auto"/>
        <w:right w:val="none" w:sz="0" w:space="0" w:color="auto"/>
      </w:divBdr>
    </w:div>
    <w:div w:id="2066491140">
      <w:marLeft w:val="0"/>
      <w:marRight w:val="0"/>
      <w:marTop w:val="0"/>
      <w:marBottom w:val="0"/>
      <w:divBdr>
        <w:top w:val="none" w:sz="0" w:space="0" w:color="auto"/>
        <w:left w:val="none" w:sz="0" w:space="0" w:color="auto"/>
        <w:bottom w:val="none" w:sz="0" w:space="0" w:color="auto"/>
        <w:right w:val="none" w:sz="0" w:space="0" w:color="auto"/>
      </w:divBdr>
    </w:div>
    <w:div w:id="2066491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duntava@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8EA7-2AD5-41A6-8354-647BC7B1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12</Pages>
  <Words>2821</Words>
  <Characters>21893</Characters>
  <Application>Microsoft Office Word</Application>
  <DocSecurity>0</DocSecurity>
  <Lines>754</Lines>
  <Paragraphs>398</Paragraphs>
  <ScaleCrop>false</ScaleCrop>
  <HeadingPairs>
    <vt:vector size="2" baseType="variant">
      <vt:variant>
        <vt:lpstr>Title</vt:lpstr>
      </vt:variant>
      <vt:variant>
        <vt:i4>1</vt:i4>
      </vt:variant>
    </vt:vector>
  </HeadingPairs>
  <TitlesOfParts>
    <vt:vector size="1" baseType="lpstr">
      <vt:lpstr>Ministru kabineta noteikumu projekta “Noteikumi par valsts nodevu par apvienošanās izvērtēšanu” sākotnējās ietekmes novērtējuma ziņojums (anotācija)</vt:lpstr>
    </vt:vector>
  </TitlesOfParts>
  <Company>Ekonomikas ministrija</Company>
  <LinksUpToDate>false</LinksUpToDate>
  <CharactersWithSpaces>24316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apvienošanās izvērtēšanu” sākotnējās ietekmes novērtējuma ziņojums (anotācija)</dc:title>
  <dc:creator>Ilze.Peipina@em.gov.lv</dc:creator>
  <dc:description>Intars Eglītis, 67013236, Intars.Eglitis@em.gov.lv</dc:description>
  <cp:lastModifiedBy>Linda Duntava</cp:lastModifiedBy>
  <cp:revision>12</cp:revision>
  <cp:lastPrinted>2016-07-12T05:30:00Z</cp:lastPrinted>
  <dcterms:created xsi:type="dcterms:W3CDTF">2016-08-08T14:23:00Z</dcterms:created>
  <dcterms:modified xsi:type="dcterms:W3CDTF">2016-10-09T17:50:00Z</dcterms:modified>
  <cp:contentStatus/>
</cp:coreProperties>
</file>