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28" w:rsidRPr="00C90FF2" w:rsidRDefault="00F32B28" w:rsidP="00B61A29">
      <w:pPr>
        <w:jc w:val="center"/>
        <w:rPr>
          <w:i/>
          <w:iCs/>
          <w:sz w:val="28"/>
          <w:szCs w:val="28"/>
        </w:rPr>
      </w:pPr>
      <w:r w:rsidRPr="007A593B">
        <w:rPr>
          <w:b/>
          <w:sz w:val="28"/>
          <w:szCs w:val="28"/>
        </w:rPr>
        <w:t xml:space="preserve">Ministru kabineta rīkojuma projekta „Par apropriācijas pārdali” sākotnējās ietekmes novērtējuma </w:t>
      </w:r>
      <w:smartTag w:uri="schemas-tilde-lv/tildestengine" w:element="veidnes">
        <w:smartTagPr>
          <w:attr w:name="id" w:val="-1"/>
          <w:attr w:name="baseform" w:val="ziņojums"/>
          <w:attr w:name="text" w:val="ziņojums"/>
        </w:smartTagPr>
        <w:r w:rsidRPr="007A593B">
          <w:rPr>
            <w:b/>
            <w:sz w:val="28"/>
            <w:szCs w:val="28"/>
          </w:rPr>
          <w:t>ziņojums</w:t>
        </w:r>
      </w:smartTag>
      <w:r w:rsidRPr="007A593B">
        <w:rPr>
          <w:b/>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9A7EE9" w:rsidRPr="006807F6" w:rsidTr="002C3DC9">
        <w:trPr>
          <w:trHeight w:val="419"/>
        </w:trPr>
        <w:tc>
          <w:tcPr>
            <w:tcW w:w="5000" w:type="pct"/>
            <w:gridSpan w:val="3"/>
            <w:vAlign w:val="center"/>
          </w:tcPr>
          <w:p w:rsidR="009A7EE9" w:rsidRPr="006807F6" w:rsidRDefault="009A7EE9" w:rsidP="009A7EE9">
            <w:pPr>
              <w:pStyle w:val="naisnod"/>
              <w:spacing w:before="0" w:beforeAutospacing="0" w:after="0" w:afterAutospacing="0"/>
              <w:ind w:left="57" w:right="57"/>
              <w:jc w:val="center"/>
              <w:rPr>
                <w:b/>
                <w:sz w:val="26"/>
                <w:szCs w:val="26"/>
              </w:rPr>
            </w:pPr>
            <w:r w:rsidRPr="006807F6">
              <w:rPr>
                <w:b/>
                <w:sz w:val="26"/>
                <w:szCs w:val="26"/>
              </w:rPr>
              <w:t>I. Tiesību akta projekta izstrādes nepieciešamība</w:t>
            </w:r>
          </w:p>
        </w:tc>
      </w:tr>
      <w:tr w:rsidR="009A7EE9" w:rsidRPr="006807F6" w:rsidTr="002C3DC9">
        <w:trPr>
          <w:trHeight w:val="400"/>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1.</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Pamatojums</w:t>
            </w:r>
          </w:p>
        </w:tc>
        <w:tc>
          <w:tcPr>
            <w:tcW w:w="3208" w:type="pct"/>
          </w:tcPr>
          <w:p w:rsidR="00CC1E07" w:rsidRPr="00CC1E07" w:rsidRDefault="00FE6AF4" w:rsidP="00261740">
            <w:pPr>
              <w:pStyle w:val="Heading3"/>
              <w:shd w:val="clear" w:color="auto" w:fill="FFFFFF"/>
              <w:spacing w:before="120" w:beforeAutospacing="0" w:after="120" w:afterAutospacing="0"/>
              <w:ind w:left="102" w:right="130"/>
              <w:jc w:val="both"/>
              <w:rPr>
                <w:b w:val="0"/>
                <w:sz w:val="26"/>
                <w:szCs w:val="26"/>
              </w:rPr>
            </w:pPr>
            <w:r>
              <w:rPr>
                <w:b w:val="0"/>
                <w:sz w:val="26"/>
                <w:szCs w:val="26"/>
              </w:rPr>
              <w:t xml:space="preserve">     </w:t>
            </w:r>
            <w:r w:rsidR="00156E18" w:rsidRPr="00CC1E07">
              <w:rPr>
                <w:b w:val="0"/>
                <w:sz w:val="26"/>
                <w:szCs w:val="26"/>
              </w:rPr>
              <w:t>L</w:t>
            </w:r>
            <w:r w:rsidR="002C3DC9">
              <w:rPr>
                <w:b w:val="0"/>
                <w:sz w:val="26"/>
                <w:szCs w:val="26"/>
              </w:rPr>
              <w:t>ikuma p</w:t>
            </w:r>
            <w:r w:rsidR="009A7EE9" w:rsidRPr="00CC1E07">
              <w:rPr>
                <w:b w:val="0"/>
                <w:sz w:val="26"/>
                <w:szCs w:val="26"/>
              </w:rPr>
              <w:t xml:space="preserve">ar budžetu </w:t>
            </w:r>
            <w:r w:rsidR="002C3DC9">
              <w:rPr>
                <w:b w:val="0"/>
                <w:sz w:val="26"/>
                <w:szCs w:val="26"/>
              </w:rPr>
              <w:t>un finanšu vadību</w:t>
            </w:r>
            <w:r w:rsidR="00CC1E07" w:rsidRPr="00CC1E07">
              <w:rPr>
                <w:b w:val="0"/>
                <w:sz w:val="26"/>
                <w:szCs w:val="26"/>
              </w:rPr>
              <w:t xml:space="preserve"> 9</w:t>
            </w:r>
            <w:r w:rsidR="002C3DC9">
              <w:rPr>
                <w:b w:val="0"/>
                <w:sz w:val="26"/>
                <w:szCs w:val="26"/>
              </w:rPr>
              <w:t>.</w:t>
            </w:r>
            <w:r w:rsidR="009A7EE9" w:rsidRPr="00CC1E07">
              <w:rPr>
                <w:b w:val="0"/>
                <w:sz w:val="26"/>
                <w:szCs w:val="26"/>
              </w:rPr>
              <w:t>pant</w:t>
            </w:r>
            <w:r w:rsidR="00CC1E07">
              <w:rPr>
                <w:b w:val="0"/>
                <w:sz w:val="26"/>
                <w:szCs w:val="26"/>
              </w:rPr>
              <w:t>a</w:t>
            </w:r>
            <w:r w:rsidR="00CC1E07" w:rsidRPr="00CC1E07">
              <w:rPr>
                <w:b w:val="0"/>
                <w:sz w:val="26"/>
                <w:szCs w:val="26"/>
              </w:rPr>
              <w:t xml:space="preserve"> </w:t>
            </w:r>
            <w:r w:rsidR="00B7663C">
              <w:rPr>
                <w:b w:val="0"/>
                <w:sz w:val="26"/>
                <w:szCs w:val="26"/>
              </w:rPr>
              <w:t xml:space="preserve">piecpadsmitā </w:t>
            </w:r>
            <w:r w:rsidR="00CC1E07" w:rsidRPr="00CC1E07">
              <w:rPr>
                <w:b w:val="0"/>
                <w:sz w:val="26"/>
                <w:szCs w:val="26"/>
              </w:rPr>
              <w:t>daļa</w:t>
            </w:r>
            <w:r w:rsidR="00B7663C">
              <w:rPr>
                <w:b w:val="0"/>
                <w:sz w:val="26"/>
                <w:szCs w:val="26"/>
              </w:rPr>
              <w:t xml:space="preserve">, </w:t>
            </w:r>
            <w:r w:rsidR="00B03683">
              <w:rPr>
                <w:b w:val="0"/>
                <w:sz w:val="26"/>
                <w:szCs w:val="26"/>
              </w:rPr>
              <w:t>kas paredz f</w:t>
            </w:r>
            <w:r w:rsidR="00156E18" w:rsidRPr="00CC1E07">
              <w:rPr>
                <w:b w:val="0"/>
                <w:sz w:val="26"/>
                <w:szCs w:val="26"/>
              </w:rPr>
              <w:t xml:space="preserve">inanšu ministram tiesības </w:t>
            </w:r>
            <w:r w:rsidR="00CC1E07" w:rsidRPr="00CC1E07">
              <w:rPr>
                <w:b w:val="0"/>
                <w:sz w:val="26"/>
                <w:szCs w:val="26"/>
              </w:rPr>
              <w:t>veikt apropriācijas pārdali starp ministrijām un citām centrālajām valsts iestādēm, tai skaitā funkciju pārdales vai strukturālo reformu gadījumos, ja ir pieņemts Ministru kabineta lēmums un Saeima ar at</w:t>
            </w:r>
            <w:r w:rsidR="00CC1E07">
              <w:rPr>
                <w:b w:val="0"/>
                <w:sz w:val="26"/>
                <w:szCs w:val="26"/>
              </w:rPr>
              <w:t>sevišķu lēmumu piekritusi šādai</w:t>
            </w:r>
            <w:r w:rsidR="00BD7B24">
              <w:rPr>
                <w:b w:val="0"/>
                <w:sz w:val="26"/>
                <w:szCs w:val="26"/>
              </w:rPr>
              <w:t xml:space="preserve"> pārdalei</w:t>
            </w:r>
            <w:r w:rsidR="00CC1E07">
              <w:rPr>
                <w:b w:val="0"/>
                <w:sz w:val="26"/>
                <w:szCs w:val="26"/>
              </w:rPr>
              <w:t>.</w:t>
            </w:r>
          </w:p>
        </w:tc>
      </w:tr>
      <w:tr w:rsidR="009A7EE9" w:rsidRPr="006807F6" w:rsidTr="002C3DC9">
        <w:trPr>
          <w:trHeight w:val="472"/>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2.</w:t>
            </w: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tc>
        <w:tc>
          <w:tcPr>
            <w:tcW w:w="1565" w:type="pct"/>
          </w:tcPr>
          <w:p w:rsidR="009A7EE9" w:rsidRPr="006807F6" w:rsidRDefault="009A7EE9" w:rsidP="009A7EE9">
            <w:pPr>
              <w:pStyle w:val="naiskr"/>
              <w:tabs>
                <w:tab w:val="left" w:pos="170"/>
              </w:tabs>
              <w:spacing w:before="0" w:beforeAutospacing="0" w:after="0" w:afterAutospacing="0"/>
              <w:ind w:left="57" w:right="57"/>
              <w:rPr>
                <w:sz w:val="26"/>
                <w:szCs w:val="26"/>
              </w:rPr>
            </w:pPr>
            <w:r w:rsidRPr="006807F6">
              <w:rPr>
                <w:sz w:val="26"/>
                <w:szCs w:val="26"/>
              </w:rPr>
              <w:t>Pašreizējā situācija un problēmas, kuru risināšanai tiesību akta projekts izstrādāts, tiesiskā regulējuma mērķis un būtība</w:t>
            </w:r>
          </w:p>
          <w:p w:rsidR="009A7EE9" w:rsidRPr="006807F6" w:rsidRDefault="009A7EE9" w:rsidP="009A7EE9">
            <w:pPr>
              <w:jc w:val="cente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tc>
        <w:tc>
          <w:tcPr>
            <w:tcW w:w="3208" w:type="pct"/>
          </w:tcPr>
          <w:p w:rsidR="00156E18" w:rsidRPr="00E218B9" w:rsidRDefault="00FE6AF4" w:rsidP="00261740">
            <w:pPr>
              <w:autoSpaceDE w:val="0"/>
              <w:autoSpaceDN w:val="0"/>
              <w:adjustRightInd w:val="0"/>
              <w:spacing w:before="120" w:after="120"/>
              <w:ind w:left="102" w:right="130"/>
              <w:jc w:val="both"/>
              <w:rPr>
                <w:rFonts w:eastAsiaTheme="minorHAnsi"/>
                <w:sz w:val="26"/>
                <w:szCs w:val="26"/>
                <w:lang w:eastAsia="en-US"/>
              </w:rPr>
            </w:pPr>
            <w:r w:rsidRPr="00C437F7">
              <w:rPr>
                <w:rFonts w:eastAsiaTheme="minorHAnsi"/>
                <w:sz w:val="26"/>
                <w:szCs w:val="26"/>
                <w:lang w:eastAsia="en-US"/>
              </w:rPr>
              <w:t xml:space="preserve">     Saskaņā ar</w:t>
            </w:r>
            <w:r w:rsidR="00C621A0" w:rsidRPr="00C437F7">
              <w:rPr>
                <w:rFonts w:eastAsiaTheme="minorHAnsi"/>
                <w:sz w:val="26"/>
                <w:szCs w:val="26"/>
                <w:lang w:eastAsia="en-US"/>
              </w:rPr>
              <w:t xml:space="preserve"> atsevišķu ministriju</w:t>
            </w:r>
            <w:r w:rsidR="00261740">
              <w:rPr>
                <w:rFonts w:eastAsiaTheme="minorHAnsi"/>
                <w:sz w:val="26"/>
                <w:szCs w:val="26"/>
                <w:lang w:eastAsia="en-US"/>
              </w:rPr>
              <w:t xml:space="preserve"> un citu centrālo valsts iestāžu (turpmāk – ministrijas)</w:t>
            </w:r>
            <w:r w:rsidR="00C621A0" w:rsidRPr="00C437F7">
              <w:rPr>
                <w:rFonts w:eastAsiaTheme="minorHAnsi"/>
                <w:sz w:val="26"/>
                <w:szCs w:val="26"/>
                <w:lang w:eastAsia="en-US"/>
              </w:rPr>
              <w:t xml:space="preserve"> elektroniski sniegto informāciju par </w:t>
            </w:r>
            <w:r w:rsidRPr="00C437F7">
              <w:rPr>
                <w:rFonts w:eastAsiaTheme="minorHAnsi"/>
                <w:sz w:val="26"/>
                <w:szCs w:val="26"/>
                <w:lang w:eastAsia="en-US"/>
              </w:rPr>
              <w:t>prognozēto</w:t>
            </w:r>
            <w:r w:rsidR="00C621A0" w:rsidRPr="00C437F7">
              <w:rPr>
                <w:rFonts w:eastAsiaTheme="minorHAnsi"/>
                <w:sz w:val="26"/>
                <w:szCs w:val="26"/>
                <w:lang w:eastAsia="en-US"/>
              </w:rPr>
              <w:t xml:space="preserve"> </w:t>
            </w:r>
            <w:r w:rsidR="000818D2" w:rsidRPr="00C437F7">
              <w:rPr>
                <w:rFonts w:eastAsiaTheme="minorHAnsi"/>
                <w:sz w:val="26"/>
                <w:szCs w:val="26"/>
                <w:lang w:eastAsia="en-US"/>
              </w:rPr>
              <w:t xml:space="preserve">valsts </w:t>
            </w:r>
            <w:r w:rsidR="00C621A0" w:rsidRPr="00C437F7">
              <w:rPr>
                <w:rFonts w:eastAsiaTheme="minorHAnsi"/>
                <w:sz w:val="26"/>
                <w:szCs w:val="26"/>
                <w:lang w:eastAsia="en-US"/>
              </w:rPr>
              <w:t xml:space="preserve">budžeta izdevumu izpildi līdz 2016.gada beigām </w:t>
            </w:r>
            <w:r w:rsidRPr="00C437F7">
              <w:rPr>
                <w:rFonts w:eastAsiaTheme="minorHAnsi"/>
                <w:sz w:val="26"/>
                <w:szCs w:val="26"/>
                <w:lang w:eastAsia="en-US"/>
              </w:rPr>
              <w:t>ir</w:t>
            </w:r>
            <w:r w:rsidR="00C621A0" w:rsidRPr="00C437F7">
              <w:rPr>
                <w:rFonts w:eastAsiaTheme="minorHAnsi"/>
                <w:sz w:val="26"/>
                <w:szCs w:val="26"/>
                <w:lang w:eastAsia="en-US"/>
              </w:rPr>
              <w:t xml:space="preserve"> </w:t>
            </w:r>
            <w:r w:rsidRPr="00C437F7">
              <w:rPr>
                <w:rFonts w:eastAsiaTheme="minorHAnsi"/>
                <w:sz w:val="26"/>
                <w:szCs w:val="26"/>
                <w:lang w:eastAsia="en-US"/>
              </w:rPr>
              <w:t>iespējama</w:t>
            </w:r>
            <w:r w:rsidR="00C621A0" w:rsidRPr="00C437F7">
              <w:rPr>
                <w:rFonts w:eastAsiaTheme="minorHAnsi"/>
                <w:sz w:val="26"/>
                <w:szCs w:val="26"/>
                <w:lang w:eastAsia="en-US"/>
              </w:rPr>
              <w:t xml:space="preserve"> līdzekļu ekonomija</w:t>
            </w:r>
            <w:r w:rsidR="00C437F7" w:rsidRPr="00C437F7">
              <w:rPr>
                <w:rFonts w:eastAsiaTheme="minorHAnsi"/>
                <w:sz w:val="26"/>
                <w:szCs w:val="26"/>
                <w:lang w:eastAsia="en-US"/>
              </w:rPr>
              <w:t xml:space="preserve"> </w:t>
            </w:r>
            <w:r w:rsidR="00C437F7" w:rsidRPr="00C44880">
              <w:rPr>
                <w:rFonts w:eastAsiaTheme="minorHAnsi"/>
                <w:sz w:val="26"/>
                <w:szCs w:val="26"/>
                <w:lang w:eastAsia="en-US"/>
              </w:rPr>
              <w:t xml:space="preserve">Valsts prezidenta kancelejas programmā 04.00.00 </w:t>
            </w:r>
            <w:r w:rsidR="00C437F7" w:rsidRPr="00C44880">
              <w:rPr>
                <w:sz w:val="26"/>
                <w:szCs w:val="26"/>
              </w:rPr>
              <w:t>“Valsts prezidenta darbības nodrošināšana”</w:t>
            </w:r>
            <w:r w:rsidR="00A11E5A" w:rsidRPr="00C44880">
              <w:rPr>
                <w:sz w:val="26"/>
                <w:szCs w:val="26"/>
              </w:rPr>
              <w:t xml:space="preserve"> </w:t>
            </w:r>
            <w:r w:rsidR="00C44880" w:rsidRPr="00C44880">
              <w:rPr>
                <w:sz w:val="26"/>
                <w:szCs w:val="26"/>
              </w:rPr>
              <w:t>1 500 000</w:t>
            </w:r>
            <w:r w:rsidR="00A11E5A" w:rsidRPr="00C44880">
              <w:rPr>
                <w:sz w:val="26"/>
                <w:szCs w:val="26"/>
              </w:rPr>
              <w:t xml:space="preserve"> </w:t>
            </w:r>
            <w:proofErr w:type="spellStart"/>
            <w:r w:rsidR="00A11E5A" w:rsidRPr="00C44880">
              <w:rPr>
                <w:i/>
                <w:sz w:val="26"/>
                <w:szCs w:val="26"/>
              </w:rPr>
              <w:t>euro</w:t>
            </w:r>
            <w:proofErr w:type="spellEnd"/>
            <w:r w:rsidR="00A11E5A" w:rsidRPr="00C44880">
              <w:rPr>
                <w:i/>
                <w:sz w:val="26"/>
                <w:szCs w:val="26"/>
              </w:rPr>
              <w:t xml:space="preserve"> </w:t>
            </w:r>
            <w:r w:rsidR="00A11E5A" w:rsidRPr="00C44880">
              <w:rPr>
                <w:sz w:val="26"/>
                <w:szCs w:val="26"/>
              </w:rPr>
              <w:t>apmērā</w:t>
            </w:r>
            <w:r w:rsidR="00C437F7" w:rsidRPr="00C44880">
              <w:rPr>
                <w:sz w:val="26"/>
                <w:szCs w:val="26"/>
              </w:rPr>
              <w:t xml:space="preserve">, </w:t>
            </w:r>
            <w:r w:rsidR="00C621A0" w:rsidRPr="00C44880">
              <w:rPr>
                <w:rFonts w:eastAsiaTheme="minorHAnsi"/>
                <w:sz w:val="26"/>
                <w:szCs w:val="26"/>
                <w:lang w:eastAsia="en-US"/>
              </w:rPr>
              <w:t xml:space="preserve">Ekonomikas ministrijas programmā </w:t>
            </w:r>
            <w:r w:rsidR="00C621A0" w:rsidRPr="00C44880">
              <w:rPr>
                <w:sz w:val="26"/>
                <w:szCs w:val="26"/>
              </w:rPr>
              <w:t xml:space="preserve">29.00.00 “Enerģētikas politikas ieviešana” </w:t>
            </w:r>
            <w:r w:rsidR="007733C9" w:rsidRPr="00C44880">
              <w:rPr>
                <w:sz w:val="26"/>
                <w:szCs w:val="26"/>
              </w:rPr>
              <w:t xml:space="preserve">500 000 </w:t>
            </w:r>
            <w:proofErr w:type="spellStart"/>
            <w:r w:rsidR="007733C9" w:rsidRPr="00C44880">
              <w:rPr>
                <w:i/>
                <w:sz w:val="26"/>
                <w:szCs w:val="26"/>
              </w:rPr>
              <w:t>euro</w:t>
            </w:r>
            <w:proofErr w:type="spellEnd"/>
            <w:r w:rsidR="007733C9" w:rsidRPr="00C44880">
              <w:rPr>
                <w:i/>
                <w:sz w:val="26"/>
                <w:szCs w:val="26"/>
              </w:rPr>
              <w:t xml:space="preserve"> </w:t>
            </w:r>
            <w:r w:rsidR="007733C9" w:rsidRPr="00C44880">
              <w:rPr>
                <w:sz w:val="26"/>
                <w:szCs w:val="26"/>
              </w:rPr>
              <w:t>apmērā</w:t>
            </w:r>
            <w:r w:rsidR="00C621A0" w:rsidRPr="00C44880">
              <w:rPr>
                <w:sz w:val="26"/>
                <w:szCs w:val="26"/>
              </w:rPr>
              <w:t>, Finanšu ministrijas programmā 33.00.00 “Valsts ieņēmumu un muitas politikas nodrošināšana”</w:t>
            </w:r>
            <w:r w:rsidR="007733C9" w:rsidRPr="00C44880">
              <w:rPr>
                <w:sz w:val="26"/>
                <w:szCs w:val="26"/>
              </w:rPr>
              <w:t xml:space="preserve"> 8</w:t>
            </w:r>
            <w:r w:rsidR="00C44880" w:rsidRPr="00C44880">
              <w:rPr>
                <w:sz w:val="26"/>
                <w:szCs w:val="26"/>
              </w:rPr>
              <w:t>52</w:t>
            </w:r>
            <w:r w:rsidR="007733C9" w:rsidRPr="00C44880">
              <w:rPr>
                <w:sz w:val="26"/>
                <w:szCs w:val="26"/>
              </w:rPr>
              <w:t> </w:t>
            </w:r>
            <w:r w:rsidR="00C44880" w:rsidRPr="00C44880">
              <w:rPr>
                <w:sz w:val="26"/>
                <w:szCs w:val="26"/>
              </w:rPr>
              <w:t>2</w:t>
            </w:r>
            <w:r w:rsidR="007733C9" w:rsidRPr="00C44880">
              <w:rPr>
                <w:sz w:val="26"/>
                <w:szCs w:val="26"/>
              </w:rPr>
              <w:t xml:space="preserve">52 </w:t>
            </w:r>
            <w:proofErr w:type="spellStart"/>
            <w:r w:rsidR="007733C9" w:rsidRPr="00C44880">
              <w:rPr>
                <w:i/>
                <w:sz w:val="26"/>
                <w:szCs w:val="26"/>
              </w:rPr>
              <w:t>euro</w:t>
            </w:r>
            <w:proofErr w:type="spellEnd"/>
            <w:r w:rsidR="007733C9" w:rsidRPr="00C44880">
              <w:rPr>
                <w:sz w:val="26"/>
                <w:szCs w:val="26"/>
              </w:rPr>
              <w:t xml:space="preserve"> apmērā</w:t>
            </w:r>
            <w:r w:rsidR="00C621A0" w:rsidRPr="00C44880">
              <w:rPr>
                <w:sz w:val="26"/>
                <w:szCs w:val="26"/>
              </w:rPr>
              <w:t>, apakšprogrammā 41.13.00 “Finansējums VAS “Valsts nekustamie īpašumi” īstenotajiem projektiem un pasākumiem”</w:t>
            </w:r>
            <w:r w:rsidR="007733C9" w:rsidRPr="00C44880">
              <w:rPr>
                <w:sz w:val="26"/>
                <w:szCs w:val="26"/>
              </w:rPr>
              <w:t xml:space="preserve"> 691 985 </w:t>
            </w:r>
            <w:proofErr w:type="spellStart"/>
            <w:r w:rsidR="007733C9" w:rsidRPr="00C44880">
              <w:rPr>
                <w:i/>
                <w:sz w:val="26"/>
                <w:szCs w:val="26"/>
              </w:rPr>
              <w:t>euro</w:t>
            </w:r>
            <w:proofErr w:type="spellEnd"/>
            <w:r w:rsidR="007733C9" w:rsidRPr="00C44880">
              <w:rPr>
                <w:sz w:val="26"/>
                <w:szCs w:val="26"/>
              </w:rPr>
              <w:t xml:space="preserve"> apmērā</w:t>
            </w:r>
            <w:r w:rsidR="00C621A0" w:rsidRPr="00C44880">
              <w:rPr>
                <w:sz w:val="26"/>
                <w:szCs w:val="26"/>
              </w:rPr>
              <w:t xml:space="preserve"> un apakšprogrammā 41.01.00 “Iemaksas Eiropas Kopienas budžetā”</w:t>
            </w:r>
            <w:r w:rsidR="007733C9" w:rsidRPr="00C44880">
              <w:rPr>
                <w:sz w:val="26"/>
                <w:szCs w:val="26"/>
              </w:rPr>
              <w:t xml:space="preserve"> 1 400 000 </w:t>
            </w:r>
            <w:proofErr w:type="spellStart"/>
            <w:r w:rsidR="007733C9" w:rsidRPr="00C44880">
              <w:rPr>
                <w:i/>
                <w:sz w:val="26"/>
                <w:szCs w:val="26"/>
              </w:rPr>
              <w:t>euro</w:t>
            </w:r>
            <w:proofErr w:type="spellEnd"/>
            <w:r w:rsidR="007733C9" w:rsidRPr="00C44880">
              <w:rPr>
                <w:sz w:val="26"/>
                <w:szCs w:val="26"/>
              </w:rPr>
              <w:t xml:space="preserve"> apmērā</w:t>
            </w:r>
            <w:r w:rsidR="00C621A0" w:rsidRPr="00C44880">
              <w:rPr>
                <w:sz w:val="26"/>
                <w:szCs w:val="26"/>
              </w:rPr>
              <w:t>,</w:t>
            </w:r>
            <w:r w:rsidR="00C621A0" w:rsidRPr="00E218B9">
              <w:rPr>
                <w:sz w:val="26"/>
                <w:szCs w:val="26"/>
              </w:rPr>
              <w:t xml:space="preserve"> Labklājības ministrijas apakšprogrammā 07.01.00 “Nodarbinātības valsts aģentūras darbības nodrošināšana”</w:t>
            </w:r>
            <w:r w:rsidR="007733C9" w:rsidRPr="00E218B9">
              <w:rPr>
                <w:sz w:val="26"/>
                <w:szCs w:val="26"/>
              </w:rPr>
              <w:t xml:space="preserve"> 51 000 </w:t>
            </w:r>
            <w:proofErr w:type="spellStart"/>
            <w:r w:rsidR="007733C9" w:rsidRPr="00E218B9">
              <w:rPr>
                <w:i/>
                <w:sz w:val="26"/>
                <w:szCs w:val="26"/>
              </w:rPr>
              <w:t>euro</w:t>
            </w:r>
            <w:proofErr w:type="spellEnd"/>
            <w:r w:rsidR="007733C9" w:rsidRPr="00E218B9">
              <w:rPr>
                <w:sz w:val="26"/>
                <w:szCs w:val="26"/>
              </w:rPr>
              <w:t xml:space="preserve"> apmērā</w:t>
            </w:r>
            <w:r w:rsidR="00C621A0" w:rsidRPr="00E218B9">
              <w:rPr>
                <w:sz w:val="26"/>
                <w:szCs w:val="26"/>
              </w:rPr>
              <w:t>, apakšprogramm</w:t>
            </w:r>
            <w:r w:rsidRPr="00E218B9">
              <w:rPr>
                <w:sz w:val="26"/>
                <w:szCs w:val="26"/>
              </w:rPr>
              <w:t>ā</w:t>
            </w:r>
            <w:r w:rsidR="00C621A0" w:rsidRPr="00E218B9">
              <w:rPr>
                <w:sz w:val="26"/>
                <w:szCs w:val="26"/>
              </w:rPr>
              <w:t xml:space="preserve"> 20.01.00 “Valsts sociālie pabalsti”</w:t>
            </w:r>
            <w:r w:rsidR="007733C9" w:rsidRPr="00E218B9">
              <w:rPr>
                <w:sz w:val="26"/>
                <w:szCs w:val="26"/>
              </w:rPr>
              <w:t xml:space="preserve"> 1 890 000 </w:t>
            </w:r>
            <w:proofErr w:type="spellStart"/>
            <w:r w:rsidR="007733C9" w:rsidRPr="00E218B9">
              <w:rPr>
                <w:i/>
                <w:sz w:val="26"/>
                <w:szCs w:val="26"/>
              </w:rPr>
              <w:t>euro</w:t>
            </w:r>
            <w:proofErr w:type="spellEnd"/>
            <w:r w:rsidR="007733C9" w:rsidRPr="00E218B9">
              <w:rPr>
                <w:sz w:val="26"/>
                <w:szCs w:val="26"/>
              </w:rPr>
              <w:t xml:space="preserve"> apmērā</w:t>
            </w:r>
            <w:r w:rsidR="00C621A0" w:rsidRPr="00E218B9">
              <w:rPr>
                <w:sz w:val="26"/>
                <w:szCs w:val="26"/>
              </w:rPr>
              <w:t xml:space="preserve"> un apakšprogramm</w:t>
            </w:r>
            <w:r w:rsidRPr="00E218B9">
              <w:rPr>
                <w:sz w:val="26"/>
                <w:szCs w:val="26"/>
              </w:rPr>
              <w:t>ā</w:t>
            </w:r>
            <w:r w:rsidR="00C621A0" w:rsidRPr="00E218B9">
              <w:rPr>
                <w:sz w:val="26"/>
                <w:szCs w:val="26"/>
              </w:rPr>
              <w:t xml:space="preserve"> 20.02.00 “Izdienas pensijas”</w:t>
            </w:r>
            <w:r w:rsidR="007733C9" w:rsidRPr="00E218B9">
              <w:rPr>
                <w:sz w:val="26"/>
                <w:szCs w:val="26"/>
              </w:rPr>
              <w:t xml:space="preserve"> 744 819 </w:t>
            </w:r>
            <w:proofErr w:type="spellStart"/>
            <w:r w:rsidR="007733C9" w:rsidRPr="00E218B9">
              <w:rPr>
                <w:i/>
                <w:sz w:val="26"/>
                <w:szCs w:val="26"/>
              </w:rPr>
              <w:t>euro</w:t>
            </w:r>
            <w:proofErr w:type="spellEnd"/>
            <w:r w:rsidR="007733C9" w:rsidRPr="00E218B9">
              <w:rPr>
                <w:sz w:val="26"/>
                <w:szCs w:val="26"/>
              </w:rPr>
              <w:t xml:space="preserve"> apmērā</w:t>
            </w:r>
            <w:r w:rsidR="00C621A0" w:rsidRPr="00E218B9">
              <w:rPr>
                <w:sz w:val="26"/>
                <w:szCs w:val="26"/>
              </w:rPr>
              <w:t>, Tieslietu ministrijas apakšprogramm</w:t>
            </w:r>
            <w:r w:rsidRPr="00E218B9">
              <w:rPr>
                <w:sz w:val="26"/>
                <w:szCs w:val="26"/>
              </w:rPr>
              <w:t>ā</w:t>
            </w:r>
            <w:r w:rsidR="00C621A0" w:rsidRPr="00E218B9">
              <w:rPr>
                <w:sz w:val="26"/>
                <w:szCs w:val="26"/>
              </w:rPr>
              <w:t xml:space="preserve"> 04.02.00 “Ieslodzījuma vietu būvniecība” </w:t>
            </w:r>
            <w:r w:rsidR="007733C9" w:rsidRPr="00E218B9">
              <w:rPr>
                <w:sz w:val="26"/>
                <w:szCs w:val="26"/>
              </w:rPr>
              <w:t xml:space="preserve">400 000 </w:t>
            </w:r>
            <w:proofErr w:type="spellStart"/>
            <w:r w:rsidR="007733C9" w:rsidRPr="00E218B9">
              <w:rPr>
                <w:i/>
                <w:sz w:val="26"/>
                <w:szCs w:val="26"/>
              </w:rPr>
              <w:t>euro</w:t>
            </w:r>
            <w:proofErr w:type="spellEnd"/>
            <w:r w:rsidR="007733C9" w:rsidRPr="00E218B9">
              <w:rPr>
                <w:sz w:val="26"/>
                <w:szCs w:val="26"/>
              </w:rPr>
              <w:t xml:space="preserve"> apmērā </w:t>
            </w:r>
            <w:r w:rsidR="00C621A0" w:rsidRPr="00E218B9">
              <w:rPr>
                <w:sz w:val="26"/>
                <w:szCs w:val="26"/>
              </w:rPr>
              <w:t>un programm</w:t>
            </w:r>
            <w:r w:rsidRPr="00E218B9">
              <w:rPr>
                <w:sz w:val="26"/>
                <w:szCs w:val="26"/>
              </w:rPr>
              <w:t>ā</w:t>
            </w:r>
            <w:r w:rsidR="00C621A0" w:rsidRPr="00E218B9">
              <w:rPr>
                <w:sz w:val="26"/>
                <w:szCs w:val="26"/>
              </w:rPr>
              <w:t xml:space="preserve"> 43.00.00  “Satversmes aizsardzība”</w:t>
            </w:r>
            <w:r w:rsidRPr="00E218B9">
              <w:rPr>
                <w:sz w:val="26"/>
                <w:szCs w:val="26"/>
              </w:rPr>
              <w:t xml:space="preserve"> </w:t>
            </w:r>
            <w:r w:rsidR="007733C9" w:rsidRPr="00E218B9">
              <w:rPr>
                <w:sz w:val="26"/>
                <w:szCs w:val="26"/>
              </w:rPr>
              <w:t xml:space="preserve">210 000 </w:t>
            </w:r>
            <w:proofErr w:type="spellStart"/>
            <w:r w:rsidR="007733C9" w:rsidRPr="00E218B9">
              <w:rPr>
                <w:i/>
                <w:sz w:val="26"/>
                <w:szCs w:val="26"/>
              </w:rPr>
              <w:t>euro</w:t>
            </w:r>
            <w:proofErr w:type="spellEnd"/>
            <w:r w:rsidR="007733C9" w:rsidRPr="00E218B9">
              <w:rPr>
                <w:sz w:val="26"/>
                <w:szCs w:val="26"/>
              </w:rPr>
              <w:t xml:space="preserve"> apmērā </w:t>
            </w:r>
            <w:r w:rsidRPr="00E218B9">
              <w:rPr>
                <w:sz w:val="26"/>
                <w:szCs w:val="26"/>
              </w:rPr>
              <w:t xml:space="preserve">- kopā </w:t>
            </w:r>
            <w:r w:rsidR="00C44880">
              <w:rPr>
                <w:sz w:val="26"/>
                <w:szCs w:val="26"/>
              </w:rPr>
              <w:t>8 240 0</w:t>
            </w:r>
            <w:r w:rsidRPr="00E218B9">
              <w:rPr>
                <w:sz w:val="26"/>
                <w:szCs w:val="26"/>
              </w:rPr>
              <w:t xml:space="preserve">56 </w:t>
            </w:r>
            <w:proofErr w:type="spellStart"/>
            <w:r w:rsidRPr="00E218B9">
              <w:rPr>
                <w:i/>
                <w:sz w:val="26"/>
                <w:szCs w:val="26"/>
              </w:rPr>
              <w:t>euro</w:t>
            </w:r>
            <w:proofErr w:type="spellEnd"/>
            <w:r w:rsidRPr="00E218B9">
              <w:rPr>
                <w:i/>
                <w:sz w:val="26"/>
                <w:szCs w:val="26"/>
              </w:rPr>
              <w:t xml:space="preserve"> </w:t>
            </w:r>
            <w:r w:rsidRPr="00E218B9">
              <w:rPr>
                <w:sz w:val="26"/>
                <w:szCs w:val="26"/>
              </w:rPr>
              <w:t xml:space="preserve">apmērā. </w:t>
            </w:r>
          </w:p>
          <w:p w:rsidR="003735E2" w:rsidRDefault="00FE6AF4" w:rsidP="00261740">
            <w:pPr>
              <w:autoSpaceDE w:val="0"/>
              <w:autoSpaceDN w:val="0"/>
              <w:adjustRightInd w:val="0"/>
              <w:spacing w:before="120" w:after="120"/>
              <w:ind w:left="102" w:right="130"/>
              <w:jc w:val="both"/>
              <w:rPr>
                <w:bCs/>
                <w:sz w:val="26"/>
                <w:szCs w:val="26"/>
              </w:rPr>
            </w:pPr>
            <w:r w:rsidRPr="00E218B9">
              <w:rPr>
                <w:rFonts w:eastAsiaTheme="minorHAnsi"/>
                <w:sz w:val="26"/>
                <w:szCs w:val="26"/>
                <w:lang w:eastAsia="en-US"/>
              </w:rPr>
              <w:t xml:space="preserve">     </w:t>
            </w:r>
            <w:r w:rsidR="00156E18" w:rsidRPr="00E218B9">
              <w:rPr>
                <w:rFonts w:eastAsiaTheme="minorHAnsi"/>
                <w:sz w:val="26"/>
                <w:szCs w:val="26"/>
                <w:lang w:eastAsia="en-US"/>
              </w:rPr>
              <w:t xml:space="preserve">Minētos līdzekļus paredzēts pārdalīt uz </w:t>
            </w:r>
            <w:r w:rsidR="00BD7B24" w:rsidRPr="00E218B9">
              <w:rPr>
                <w:sz w:val="26"/>
                <w:szCs w:val="26"/>
              </w:rPr>
              <w:t xml:space="preserve">budžeta resora </w:t>
            </w:r>
            <w:r w:rsidR="00156E18" w:rsidRPr="00E218B9">
              <w:rPr>
                <w:sz w:val="26"/>
                <w:szCs w:val="26"/>
              </w:rPr>
              <w:t>“</w:t>
            </w:r>
            <w:r w:rsidR="00BD7B24" w:rsidRPr="00E218B9">
              <w:rPr>
                <w:sz w:val="26"/>
                <w:szCs w:val="26"/>
              </w:rPr>
              <w:t>74.</w:t>
            </w:r>
            <w:r w:rsidR="00156E18" w:rsidRPr="00E218B9">
              <w:rPr>
                <w:sz w:val="26"/>
                <w:szCs w:val="26"/>
              </w:rPr>
              <w:t xml:space="preserve">Gadskārtējā valsts budžeta izpildes procesā pārdalāmais finansējums” programmu 02.00.00 “Līdzekļi neparedzētiem gadījumiem”, lai no tās </w:t>
            </w:r>
            <w:r w:rsidR="00335619" w:rsidRPr="00E218B9">
              <w:rPr>
                <w:sz w:val="26"/>
                <w:szCs w:val="26"/>
              </w:rPr>
              <w:t xml:space="preserve">nepieciešamības gadījumā </w:t>
            </w:r>
            <w:r w:rsidR="00156E18" w:rsidRPr="00E218B9">
              <w:rPr>
                <w:sz w:val="26"/>
                <w:szCs w:val="26"/>
              </w:rPr>
              <w:t>varētu piešķirt līdzekļus pasākumiem Ministru kabineta 2009.gada 22.decembra noteikumos Nr.1644 “</w:t>
            </w:r>
            <w:r w:rsidR="00156E18" w:rsidRPr="00E218B9">
              <w:rPr>
                <w:bCs/>
                <w:sz w:val="26"/>
                <w:szCs w:val="26"/>
              </w:rPr>
              <w:t>Kārtība, kādā pieprasa un izlieto budžeta programmas “Līdzekļi neparedzētiem gadījumiem” līdzekļus” noteiktajā kārtībā.</w:t>
            </w:r>
          </w:p>
          <w:p w:rsidR="00BD4180" w:rsidRPr="002D3E38" w:rsidRDefault="00BD4180" w:rsidP="00261740">
            <w:pPr>
              <w:autoSpaceDE w:val="0"/>
              <w:autoSpaceDN w:val="0"/>
              <w:adjustRightInd w:val="0"/>
              <w:spacing w:before="120" w:after="120"/>
              <w:ind w:left="102" w:right="130"/>
              <w:jc w:val="both"/>
              <w:rPr>
                <w:iCs/>
                <w:sz w:val="26"/>
                <w:szCs w:val="26"/>
                <w:lang w:eastAsia="en-US"/>
              </w:rPr>
            </w:pPr>
            <w:r>
              <w:rPr>
                <w:sz w:val="26"/>
                <w:szCs w:val="26"/>
                <w:lang w:eastAsia="en-US"/>
              </w:rPr>
              <w:lastRenderedPageBreak/>
              <w:t xml:space="preserve">     </w:t>
            </w:r>
            <w:r w:rsidRPr="002D3E38">
              <w:rPr>
                <w:sz w:val="26"/>
                <w:szCs w:val="26"/>
                <w:lang w:eastAsia="en-US"/>
              </w:rPr>
              <w:t xml:space="preserve">Likumā “Par valsts budžetu 2016.gadam” </w:t>
            </w:r>
            <w:r w:rsidR="00261740" w:rsidRPr="002D3E38">
              <w:rPr>
                <w:sz w:val="26"/>
                <w:szCs w:val="26"/>
                <w:lang w:eastAsia="en-US"/>
              </w:rPr>
              <w:t xml:space="preserve">valsts budžeta programmā 02.00.00 ”Līdzekļi neparedzētiem gadījumiem” </w:t>
            </w:r>
            <w:r w:rsidRPr="002D3E38">
              <w:rPr>
                <w:sz w:val="26"/>
                <w:szCs w:val="26"/>
                <w:lang w:eastAsia="en-US"/>
              </w:rPr>
              <w:t>apstiprināt</w:t>
            </w:r>
            <w:r w:rsidR="00261740" w:rsidRPr="002D3E38">
              <w:rPr>
                <w:sz w:val="26"/>
                <w:szCs w:val="26"/>
                <w:lang w:eastAsia="en-US"/>
              </w:rPr>
              <w:t>a</w:t>
            </w:r>
            <w:r w:rsidRPr="002D3E38">
              <w:rPr>
                <w:sz w:val="26"/>
                <w:szCs w:val="26"/>
                <w:lang w:eastAsia="en-US"/>
              </w:rPr>
              <w:t xml:space="preserve"> apropriācija 32 716 962 </w:t>
            </w:r>
            <w:proofErr w:type="spellStart"/>
            <w:r w:rsidRPr="002D3E38">
              <w:rPr>
                <w:i/>
                <w:iCs/>
                <w:sz w:val="26"/>
                <w:szCs w:val="26"/>
                <w:lang w:eastAsia="en-US"/>
              </w:rPr>
              <w:t>euro</w:t>
            </w:r>
            <w:proofErr w:type="spellEnd"/>
            <w:r w:rsidRPr="002D3E38">
              <w:rPr>
                <w:i/>
                <w:iCs/>
                <w:sz w:val="26"/>
                <w:szCs w:val="26"/>
                <w:lang w:eastAsia="en-US"/>
              </w:rPr>
              <w:t xml:space="preserve"> </w:t>
            </w:r>
            <w:r w:rsidRPr="002D3E38">
              <w:rPr>
                <w:iCs/>
                <w:sz w:val="26"/>
                <w:szCs w:val="26"/>
                <w:lang w:eastAsia="en-US"/>
              </w:rPr>
              <w:t xml:space="preserve">apmērā. </w:t>
            </w:r>
          </w:p>
          <w:p w:rsidR="00DB1865" w:rsidRPr="002D3E38" w:rsidRDefault="00BD4180" w:rsidP="00261740">
            <w:pPr>
              <w:autoSpaceDE w:val="0"/>
              <w:autoSpaceDN w:val="0"/>
              <w:adjustRightInd w:val="0"/>
              <w:spacing w:before="120" w:after="120"/>
              <w:ind w:left="102" w:right="130"/>
              <w:jc w:val="both"/>
              <w:rPr>
                <w:sz w:val="26"/>
                <w:szCs w:val="26"/>
              </w:rPr>
            </w:pPr>
            <w:r w:rsidRPr="002D3E38">
              <w:rPr>
                <w:iCs/>
                <w:sz w:val="26"/>
                <w:szCs w:val="26"/>
                <w:lang w:eastAsia="en-US"/>
              </w:rPr>
              <w:t xml:space="preserve">     Bez tam, ar </w:t>
            </w:r>
            <w:r w:rsidRPr="002D3E38">
              <w:rPr>
                <w:sz w:val="26"/>
                <w:szCs w:val="26"/>
              </w:rPr>
              <w:t xml:space="preserve">Saeimas Budžeta un finanšu (nodokļu) komisijas saskaņojumu palielināta apropriācija programmā 02.00.00 “Līdzekļi neparedzētiem gadījumiem” </w:t>
            </w:r>
            <w:r w:rsidRPr="002D3E38">
              <w:rPr>
                <w:bCs/>
                <w:sz w:val="26"/>
                <w:szCs w:val="26"/>
              </w:rPr>
              <w:t xml:space="preserve">4 596 682 </w:t>
            </w:r>
            <w:proofErr w:type="spellStart"/>
            <w:r w:rsidRPr="002D3E38">
              <w:rPr>
                <w:bCs/>
                <w:i/>
                <w:iCs/>
                <w:sz w:val="26"/>
                <w:szCs w:val="26"/>
              </w:rPr>
              <w:t>euro</w:t>
            </w:r>
            <w:proofErr w:type="spellEnd"/>
            <w:r w:rsidRPr="002D3E38">
              <w:rPr>
                <w:b/>
                <w:bCs/>
                <w:i/>
                <w:iCs/>
                <w:sz w:val="26"/>
                <w:szCs w:val="26"/>
              </w:rPr>
              <w:t xml:space="preserve"> </w:t>
            </w:r>
            <w:r w:rsidRPr="002D3E38">
              <w:rPr>
                <w:bCs/>
                <w:iCs/>
                <w:sz w:val="26"/>
                <w:szCs w:val="26"/>
              </w:rPr>
              <w:t xml:space="preserve">apmērā </w:t>
            </w:r>
            <w:r w:rsidRPr="002D3E38">
              <w:rPr>
                <w:sz w:val="26"/>
                <w:szCs w:val="26"/>
              </w:rPr>
              <w:t>saskaņā ar Kredītiestāžu likumu </w:t>
            </w:r>
            <w:r w:rsidR="00B2761E" w:rsidRPr="002D3E38">
              <w:rPr>
                <w:sz w:val="26"/>
                <w:szCs w:val="26"/>
              </w:rPr>
              <w:t xml:space="preserve">valsts budžeta ieņēmumos ieskaitītajām </w:t>
            </w:r>
            <w:r w:rsidRPr="002D3E38">
              <w:rPr>
                <w:sz w:val="26"/>
                <w:szCs w:val="26"/>
              </w:rPr>
              <w:t xml:space="preserve">no Finanšu kapitāla uzraudzības komisijas piemērotajām soda naudām, </w:t>
            </w:r>
            <w:r w:rsidR="003C6F6D" w:rsidRPr="002D3E38">
              <w:rPr>
                <w:sz w:val="26"/>
                <w:szCs w:val="26"/>
              </w:rPr>
              <w:t xml:space="preserve">tai skaitā </w:t>
            </w:r>
            <w:r w:rsidRPr="002D3E38">
              <w:rPr>
                <w:bCs/>
                <w:sz w:val="26"/>
                <w:szCs w:val="26"/>
              </w:rPr>
              <w:t xml:space="preserve">2 500 000 </w:t>
            </w:r>
            <w:proofErr w:type="spellStart"/>
            <w:r w:rsidRPr="002D3E38">
              <w:rPr>
                <w:bCs/>
                <w:i/>
                <w:sz w:val="26"/>
                <w:szCs w:val="26"/>
              </w:rPr>
              <w:t>euro</w:t>
            </w:r>
            <w:proofErr w:type="spellEnd"/>
            <w:r w:rsidRPr="002D3E38">
              <w:rPr>
                <w:i/>
                <w:sz w:val="26"/>
                <w:szCs w:val="26"/>
              </w:rPr>
              <w:t xml:space="preserve"> </w:t>
            </w:r>
            <w:r w:rsidR="003C6F6D" w:rsidRPr="002D3E38">
              <w:rPr>
                <w:sz w:val="26"/>
                <w:szCs w:val="26"/>
              </w:rPr>
              <w:t>novirzīšanai</w:t>
            </w:r>
            <w:r w:rsidRPr="002D3E38">
              <w:rPr>
                <w:sz w:val="26"/>
                <w:szCs w:val="26"/>
              </w:rPr>
              <w:t xml:space="preserve"> mājokļa atbalsta programmas darbības nodrošināšanai</w:t>
            </w:r>
            <w:r w:rsidR="00B2761E" w:rsidRPr="002D3E38">
              <w:rPr>
                <w:sz w:val="26"/>
                <w:szCs w:val="26"/>
              </w:rPr>
              <w:t xml:space="preserve"> un </w:t>
            </w:r>
            <w:r w:rsidRPr="002D3E38">
              <w:rPr>
                <w:bCs/>
                <w:sz w:val="26"/>
                <w:szCs w:val="26"/>
              </w:rPr>
              <w:t xml:space="preserve">2 096 682 </w:t>
            </w:r>
            <w:proofErr w:type="spellStart"/>
            <w:r w:rsidRPr="002D3E38">
              <w:rPr>
                <w:bCs/>
                <w:i/>
                <w:iCs/>
                <w:sz w:val="26"/>
                <w:szCs w:val="26"/>
              </w:rPr>
              <w:t>euro</w:t>
            </w:r>
            <w:proofErr w:type="spellEnd"/>
            <w:r w:rsidRPr="002D3E38">
              <w:rPr>
                <w:sz w:val="26"/>
                <w:szCs w:val="26"/>
              </w:rPr>
              <w:t xml:space="preserve"> </w:t>
            </w:r>
            <w:r w:rsidR="003C6F6D" w:rsidRPr="002D3E38">
              <w:rPr>
                <w:sz w:val="26"/>
                <w:szCs w:val="26"/>
              </w:rPr>
              <w:t xml:space="preserve">- </w:t>
            </w:r>
            <w:r w:rsidRPr="002D3E38">
              <w:rPr>
                <w:sz w:val="26"/>
                <w:szCs w:val="26"/>
              </w:rPr>
              <w:t>lai daļēji nodrošinātu līdzekļu pie</w:t>
            </w:r>
            <w:r w:rsidR="00DB1865" w:rsidRPr="002D3E38">
              <w:rPr>
                <w:sz w:val="26"/>
                <w:szCs w:val="26"/>
              </w:rPr>
              <w:t>šķiršanu Veselības ministrijai.</w:t>
            </w:r>
          </w:p>
          <w:p w:rsidR="00BD4180" w:rsidRPr="002D3E38" w:rsidRDefault="00DB1865" w:rsidP="00261740">
            <w:pPr>
              <w:autoSpaceDE w:val="0"/>
              <w:autoSpaceDN w:val="0"/>
              <w:adjustRightInd w:val="0"/>
              <w:spacing w:before="120" w:after="120"/>
              <w:ind w:left="102" w:right="130"/>
              <w:jc w:val="both"/>
              <w:rPr>
                <w:sz w:val="26"/>
                <w:szCs w:val="26"/>
              </w:rPr>
            </w:pPr>
            <w:r w:rsidRPr="002D3E38">
              <w:rPr>
                <w:sz w:val="26"/>
                <w:szCs w:val="26"/>
              </w:rPr>
              <w:t xml:space="preserve">     </w:t>
            </w:r>
            <w:r w:rsidR="00171A81" w:rsidRPr="002D3E38">
              <w:rPr>
                <w:sz w:val="26"/>
                <w:szCs w:val="26"/>
                <w:lang w:eastAsia="en-US"/>
              </w:rPr>
              <w:t>Līdz 201</w:t>
            </w:r>
            <w:r w:rsidR="003735E2" w:rsidRPr="002D3E38">
              <w:rPr>
                <w:sz w:val="26"/>
                <w:szCs w:val="26"/>
                <w:lang w:eastAsia="en-US"/>
              </w:rPr>
              <w:t>6</w:t>
            </w:r>
            <w:r w:rsidR="00171A81" w:rsidRPr="002D3E38">
              <w:rPr>
                <w:sz w:val="26"/>
                <w:szCs w:val="26"/>
                <w:lang w:eastAsia="en-US"/>
              </w:rPr>
              <w:t xml:space="preserve">.gada </w:t>
            </w:r>
            <w:r w:rsidR="003735E2" w:rsidRPr="002D3E38">
              <w:rPr>
                <w:sz w:val="26"/>
                <w:szCs w:val="26"/>
                <w:lang w:eastAsia="en-US"/>
              </w:rPr>
              <w:t>26.oktobrim</w:t>
            </w:r>
            <w:r w:rsidR="00171A81" w:rsidRPr="002D3E38">
              <w:rPr>
                <w:sz w:val="26"/>
                <w:szCs w:val="26"/>
                <w:lang w:eastAsia="en-US"/>
              </w:rPr>
              <w:t xml:space="preserve"> no </w:t>
            </w:r>
            <w:r w:rsidRPr="002D3E38">
              <w:rPr>
                <w:sz w:val="26"/>
                <w:szCs w:val="26"/>
                <w:lang w:eastAsia="en-US"/>
              </w:rPr>
              <w:t>valsts budžeta programmas</w:t>
            </w:r>
            <w:r w:rsidR="00171A81" w:rsidRPr="002D3E38">
              <w:rPr>
                <w:sz w:val="26"/>
                <w:szCs w:val="26"/>
                <w:lang w:eastAsia="en-US"/>
              </w:rPr>
              <w:t xml:space="preserve"> 02.00.00 “Līdzekļi </w:t>
            </w:r>
            <w:r w:rsidR="003735E2" w:rsidRPr="002D3E38">
              <w:rPr>
                <w:sz w:val="26"/>
                <w:szCs w:val="26"/>
                <w:lang w:eastAsia="en-US"/>
              </w:rPr>
              <w:t xml:space="preserve">neparedzētiem gadījumiem” </w:t>
            </w:r>
            <w:r w:rsidR="00171A81" w:rsidRPr="002D3E38">
              <w:rPr>
                <w:sz w:val="26"/>
                <w:szCs w:val="26"/>
                <w:lang w:eastAsia="en-US"/>
              </w:rPr>
              <w:t xml:space="preserve">ar </w:t>
            </w:r>
            <w:r w:rsidR="003735E2" w:rsidRPr="002D3E38">
              <w:rPr>
                <w:sz w:val="26"/>
                <w:szCs w:val="26"/>
                <w:lang w:eastAsia="en-US"/>
              </w:rPr>
              <w:t>Finanšu ministrijas</w:t>
            </w:r>
            <w:r w:rsidR="00171A81" w:rsidRPr="002D3E38">
              <w:rPr>
                <w:sz w:val="26"/>
                <w:szCs w:val="26"/>
                <w:lang w:eastAsia="en-US"/>
              </w:rPr>
              <w:t xml:space="preserve"> rīkojumiem uz ministriju programmām 99.00.</w:t>
            </w:r>
            <w:r w:rsidR="00AC7C0E" w:rsidRPr="002D3E38">
              <w:rPr>
                <w:sz w:val="26"/>
                <w:szCs w:val="26"/>
                <w:lang w:eastAsia="en-US"/>
              </w:rPr>
              <w:t xml:space="preserve">00 </w:t>
            </w:r>
            <w:r w:rsidR="00171A81" w:rsidRPr="002D3E38">
              <w:rPr>
                <w:sz w:val="26"/>
                <w:szCs w:val="26"/>
                <w:lang w:eastAsia="en-US"/>
              </w:rPr>
              <w:t xml:space="preserve">“Līdzekļu neparedzētiem gadījumiem izlietojums” </w:t>
            </w:r>
            <w:r w:rsidR="00AC7C0E" w:rsidRPr="002D3E38">
              <w:rPr>
                <w:sz w:val="26"/>
                <w:szCs w:val="26"/>
                <w:lang w:eastAsia="en-US"/>
              </w:rPr>
              <w:t xml:space="preserve">kopā </w:t>
            </w:r>
            <w:r w:rsidR="00171A81" w:rsidRPr="002D3E38">
              <w:rPr>
                <w:sz w:val="26"/>
                <w:szCs w:val="26"/>
                <w:lang w:eastAsia="en-US"/>
              </w:rPr>
              <w:t xml:space="preserve">ir pārdalīti </w:t>
            </w:r>
            <w:r w:rsidR="00AC7C0E" w:rsidRPr="002D3E38">
              <w:rPr>
                <w:sz w:val="26"/>
                <w:szCs w:val="26"/>
                <w:lang w:eastAsia="en-US"/>
              </w:rPr>
              <w:t>25 606 288</w:t>
            </w:r>
            <w:r w:rsidR="00171A81" w:rsidRPr="002D3E38">
              <w:rPr>
                <w:sz w:val="26"/>
                <w:szCs w:val="26"/>
                <w:lang w:eastAsia="en-US"/>
              </w:rPr>
              <w:t xml:space="preserve"> </w:t>
            </w:r>
            <w:proofErr w:type="spellStart"/>
            <w:r w:rsidR="00AC7C0E" w:rsidRPr="002D3E38">
              <w:rPr>
                <w:i/>
                <w:iCs/>
                <w:sz w:val="26"/>
                <w:szCs w:val="26"/>
                <w:lang w:eastAsia="en-US"/>
              </w:rPr>
              <w:t>euro</w:t>
            </w:r>
            <w:proofErr w:type="spellEnd"/>
            <w:r w:rsidR="003735E2" w:rsidRPr="002D3E38">
              <w:rPr>
                <w:iCs/>
                <w:sz w:val="26"/>
                <w:szCs w:val="26"/>
                <w:lang w:eastAsia="en-US"/>
              </w:rPr>
              <w:t>, kā arī Ministru kabinetā</w:t>
            </w:r>
            <w:r w:rsidR="00171A81" w:rsidRPr="002D3E38">
              <w:rPr>
                <w:iCs/>
                <w:sz w:val="26"/>
                <w:szCs w:val="26"/>
                <w:lang w:eastAsia="en-US"/>
              </w:rPr>
              <w:t xml:space="preserve"> ir akceptēta p</w:t>
            </w:r>
            <w:r w:rsidR="00171A81" w:rsidRPr="002D3E38">
              <w:rPr>
                <w:sz w:val="26"/>
                <w:szCs w:val="26"/>
                <w:lang w:eastAsia="en-US"/>
              </w:rPr>
              <w:t xml:space="preserve">ārdale </w:t>
            </w:r>
            <w:r w:rsidR="00FA0AC6">
              <w:rPr>
                <w:sz w:val="26"/>
                <w:szCs w:val="26"/>
                <w:lang w:eastAsia="en-US"/>
              </w:rPr>
              <w:t>940 004</w:t>
            </w:r>
            <w:r w:rsidR="00171A81" w:rsidRPr="002D3E38">
              <w:rPr>
                <w:sz w:val="26"/>
                <w:szCs w:val="26"/>
                <w:lang w:eastAsia="en-US"/>
              </w:rPr>
              <w:t xml:space="preserve"> </w:t>
            </w:r>
            <w:proofErr w:type="spellStart"/>
            <w:r w:rsidR="00AC7C0E" w:rsidRPr="002D3E38">
              <w:rPr>
                <w:i/>
                <w:iCs/>
                <w:sz w:val="26"/>
                <w:szCs w:val="26"/>
                <w:lang w:eastAsia="en-US"/>
              </w:rPr>
              <w:t>euro</w:t>
            </w:r>
            <w:proofErr w:type="spellEnd"/>
            <w:r w:rsidR="00171A81" w:rsidRPr="002D3E38">
              <w:rPr>
                <w:iCs/>
                <w:sz w:val="26"/>
                <w:szCs w:val="26"/>
                <w:lang w:eastAsia="en-US"/>
              </w:rPr>
              <w:t xml:space="preserve"> </w:t>
            </w:r>
            <w:r w:rsidR="00171A81" w:rsidRPr="002D3E38">
              <w:rPr>
                <w:sz w:val="26"/>
                <w:szCs w:val="26"/>
                <w:lang w:eastAsia="en-US"/>
              </w:rPr>
              <w:t xml:space="preserve">apmērā. </w:t>
            </w:r>
          </w:p>
          <w:p w:rsidR="00AC7C0E" w:rsidRPr="002D3E38" w:rsidRDefault="003735E2" w:rsidP="00261740">
            <w:pPr>
              <w:autoSpaceDE w:val="0"/>
              <w:autoSpaceDN w:val="0"/>
              <w:adjustRightInd w:val="0"/>
              <w:spacing w:before="120" w:after="120"/>
              <w:ind w:left="102" w:right="130"/>
              <w:jc w:val="both"/>
              <w:rPr>
                <w:sz w:val="26"/>
                <w:szCs w:val="26"/>
                <w:lang w:eastAsia="en-US"/>
              </w:rPr>
            </w:pPr>
            <w:r w:rsidRPr="002D3E38">
              <w:rPr>
                <w:bCs/>
                <w:sz w:val="26"/>
                <w:szCs w:val="26"/>
              </w:rPr>
              <w:t xml:space="preserve">     </w:t>
            </w:r>
            <w:r w:rsidR="00AC7C0E" w:rsidRPr="002D3E38">
              <w:rPr>
                <w:sz w:val="26"/>
                <w:szCs w:val="26"/>
                <w:lang w:eastAsia="en-US"/>
              </w:rPr>
              <w:t xml:space="preserve">Bez tam, ir iesniegti jauni pieprasījumi no līdzekļiem neparedzētiem gadījumiem (atrodas dažādās saskaņošanas stadijās) </w:t>
            </w:r>
            <w:r w:rsidR="00FA0AC6">
              <w:rPr>
                <w:sz w:val="26"/>
                <w:szCs w:val="26"/>
                <w:lang w:eastAsia="en-US"/>
              </w:rPr>
              <w:t>8 7</w:t>
            </w:r>
            <w:bookmarkStart w:id="0" w:name="_GoBack"/>
            <w:bookmarkEnd w:id="0"/>
            <w:r w:rsidR="00FA0AC6">
              <w:rPr>
                <w:sz w:val="26"/>
                <w:szCs w:val="26"/>
                <w:lang w:eastAsia="en-US"/>
              </w:rPr>
              <w:t>63 863</w:t>
            </w:r>
            <w:r w:rsidR="00AC7C0E" w:rsidRPr="002D3E38">
              <w:rPr>
                <w:sz w:val="26"/>
                <w:szCs w:val="26"/>
                <w:lang w:eastAsia="en-US"/>
              </w:rPr>
              <w:t xml:space="preserve"> </w:t>
            </w:r>
            <w:proofErr w:type="spellStart"/>
            <w:r w:rsidR="00AC7C0E" w:rsidRPr="002D3E38">
              <w:rPr>
                <w:i/>
                <w:sz w:val="26"/>
                <w:szCs w:val="26"/>
                <w:lang w:eastAsia="en-US"/>
              </w:rPr>
              <w:t>euro</w:t>
            </w:r>
            <w:proofErr w:type="spellEnd"/>
            <w:r w:rsidR="00AC7C0E" w:rsidRPr="002D3E38">
              <w:rPr>
                <w:sz w:val="26"/>
                <w:szCs w:val="26"/>
                <w:lang w:eastAsia="en-US"/>
              </w:rPr>
              <w:t xml:space="preserve"> apmērā.       </w:t>
            </w:r>
          </w:p>
          <w:p w:rsidR="00261740" w:rsidRPr="00156E18" w:rsidRDefault="00AC7C0E" w:rsidP="00FA0AC6">
            <w:pPr>
              <w:autoSpaceDE w:val="0"/>
              <w:autoSpaceDN w:val="0"/>
              <w:adjustRightInd w:val="0"/>
              <w:spacing w:before="120" w:after="120"/>
              <w:ind w:left="102" w:right="130"/>
              <w:jc w:val="both"/>
              <w:rPr>
                <w:bCs/>
                <w:sz w:val="26"/>
                <w:szCs w:val="26"/>
              </w:rPr>
            </w:pPr>
            <w:r w:rsidRPr="002D3E38">
              <w:rPr>
                <w:sz w:val="26"/>
                <w:szCs w:val="26"/>
                <w:lang w:eastAsia="en-US"/>
              </w:rPr>
              <w:t xml:space="preserve">     Ņ</w:t>
            </w:r>
            <w:r w:rsidR="00171A81" w:rsidRPr="002D3E38">
              <w:rPr>
                <w:sz w:val="26"/>
                <w:szCs w:val="26"/>
                <w:lang w:eastAsia="en-US"/>
              </w:rPr>
              <w:t xml:space="preserve">emot vērā </w:t>
            </w:r>
            <w:r w:rsidRPr="002D3E38">
              <w:rPr>
                <w:sz w:val="26"/>
                <w:szCs w:val="26"/>
                <w:lang w:eastAsia="en-US"/>
              </w:rPr>
              <w:t>jau</w:t>
            </w:r>
            <w:r w:rsidR="00171A81" w:rsidRPr="002D3E38">
              <w:rPr>
                <w:sz w:val="26"/>
                <w:szCs w:val="26"/>
                <w:lang w:eastAsia="en-US"/>
              </w:rPr>
              <w:t xml:space="preserve"> pārdalīto </w:t>
            </w:r>
            <w:r w:rsidRPr="002D3E38">
              <w:rPr>
                <w:sz w:val="26"/>
                <w:szCs w:val="26"/>
                <w:lang w:eastAsia="en-US"/>
              </w:rPr>
              <w:t xml:space="preserve">finansējumu </w:t>
            </w:r>
            <w:r w:rsidR="00171A81" w:rsidRPr="002D3E38">
              <w:rPr>
                <w:sz w:val="26"/>
                <w:szCs w:val="26"/>
                <w:lang w:eastAsia="en-US"/>
              </w:rPr>
              <w:t xml:space="preserve">un </w:t>
            </w:r>
            <w:r w:rsidRPr="002D3E38">
              <w:rPr>
                <w:sz w:val="26"/>
                <w:szCs w:val="26"/>
                <w:lang w:eastAsia="en-US"/>
              </w:rPr>
              <w:t>saskaņošanā esošos projektus</w:t>
            </w:r>
            <w:r w:rsidR="00171A81" w:rsidRPr="002D3E38">
              <w:rPr>
                <w:sz w:val="26"/>
                <w:szCs w:val="26"/>
                <w:lang w:eastAsia="en-US"/>
              </w:rPr>
              <w:t xml:space="preserve">, līdzekļu atlikums </w:t>
            </w:r>
            <w:r w:rsidR="00261740" w:rsidRPr="002D3E38">
              <w:rPr>
                <w:sz w:val="26"/>
                <w:szCs w:val="26"/>
                <w:lang w:eastAsia="en-US"/>
              </w:rPr>
              <w:t xml:space="preserve"> programmā 02.00.00 “Līdzekļi neparedzētiem gadījumiem” </w:t>
            </w:r>
            <w:r w:rsidR="00171A81" w:rsidRPr="002D3E38">
              <w:rPr>
                <w:sz w:val="26"/>
                <w:szCs w:val="26"/>
                <w:lang w:eastAsia="en-US"/>
              </w:rPr>
              <w:t xml:space="preserve">ir </w:t>
            </w:r>
            <w:r w:rsidR="00FA0AC6">
              <w:rPr>
                <w:sz w:val="26"/>
                <w:szCs w:val="26"/>
                <w:lang w:eastAsia="en-US"/>
              </w:rPr>
              <w:t>2 003 489</w:t>
            </w:r>
            <w:r w:rsidR="00261740" w:rsidRPr="002D3E38">
              <w:rPr>
                <w:sz w:val="26"/>
                <w:szCs w:val="26"/>
                <w:lang w:eastAsia="en-US"/>
              </w:rPr>
              <w:t xml:space="preserve"> </w:t>
            </w:r>
            <w:proofErr w:type="spellStart"/>
            <w:r w:rsidR="00261740" w:rsidRPr="002D3E38">
              <w:rPr>
                <w:i/>
                <w:iCs/>
                <w:sz w:val="26"/>
                <w:szCs w:val="26"/>
                <w:lang w:eastAsia="en-US"/>
              </w:rPr>
              <w:t>euro</w:t>
            </w:r>
            <w:proofErr w:type="spellEnd"/>
            <w:r w:rsidR="00171A81" w:rsidRPr="002D3E38">
              <w:rPr>
                <w:sz w:val="26"/>
                <w:szCs w:val="26"/>
                <w:lang w:eastAsia="en-US"/>
              </w:rPr>
              <w:t>.</w:t>
            </w:r>
          </w:p>
        </w:tc>
      </w:tr>
      <w:tr w:rsidR="009A7EE9" w:rsidRPr="006807F6" w:rsidTr="002C3DC9">
        <w:trPr>
          <w:trHeight w:val="476"/>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lastRenderedPageBreak/>
              <w:t>3.</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Projekta izstrādē iesaistītās institūcijas</w:t>
            </w:r>
          </w:p>
        </w:tc>
        <w:tc>
          <w:tcPr>
            <w:tcW w:w="3208" w:type="pct"/>
          </w:tcPr>
          <w:p w:rsidR="009A7EE9" w:rsidRPr="006807F6" w:rsidRDefault="000818D2" w:rsidP="009A7EE9">
            <w:pPr>
              <w:ind w:left="57" w:right="57"/>
              <w:rPr>
                <w:b/>
                <w:sz w:val="26"/>
                <w:szCs w:val="26"/>
              </w:rPr>
            </w:pPr>
            <w:r>
              <w:rPr>
                <w:sz w:val="26"/>
                <w:szCs w:val="26"/>
              </w:rPr>
              <w:t>Nav</w:t>
            </w:r>
          </w:p>
        </w:tc>
      </w:tr>
      <w:tr w:rsidR="009A7EE9" w:rsidRPr="006807F6" w:rsidTr="002C3DC9">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4.</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Cita informācija</w:t>
            </w:r>
          </w:p>
        </w:tc>
        <w:tc>
          <w:tcPr>
            <w:tcW w:w="3208" w:type="pct"/>
          </w:tcPr>
          <w:p w:rsidR="009A7EE9" w:rsidRPr="006807F6" w:rsidRDefault="000818D2" w:rsidP="009A7EE9">
            <w:pPr>
              <w:pStyle w:val="naiskr"/>
              <w:spacing w:before="0" w:beforeAutospacing="0" w:after="0" w:afterAutospacing="0"/>
              <w:ind w:left="57" w:right="57"/>
              <w:rPr>
                <w:sz w:val="26"/>
                <w:szCs w:val="26"/>
              </w:rPr>
            </w:pPr>
            <w:r>
              <w:rPr>
                <w:sz w:val="26"/>
                <w:szCs w:val="26"/>
              </w:rPr>
              <w:t>Nav</w:t>
            </w:r>
          </w:p>
        </w:tc>
      </w:tr>
    </w:tbl>
    <w:p w:rsidR="009A7EE9" w:rsidRDefault="009A7EE9" w:rsidP="009A7EE9">
      <w:pPr>
        <w:rPr>
          <w:sz w:val="26"/>
          <w:szCs w:val="26"/>
        </w:rPr>
      </w:pPr>
    </w:p>
    <w:p w:rsidR="009A7EE9" w:rsidRPr="006807F6" w:rsidRDefault="009A7EE9" w:rsidP="009A7EE9">
      <w:pPr>
        <w:rPr>
          <w:sz w:val="26"/>
          <w:szCs w:val="26"/>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275"/>
        <w:gridCol w:w="1276"/>
        <w:gridCol w:w="1134"/>
        <w:gridCol w:w="1182"/>
      </w:tblGrid>
      <w:tr w:rsidR="009A7EE9" w:rsidRPr="006807F6" w:rsidTr="00CB2E04">
        <w:trPr>
          <w:trHeight w:val="361"/>
          <w:jc w:val="center"/>
        </w:trPr>
        <w:tc>
          <w:tcPr>
            <w:tcW w:w="9257" w:type="dxa"/>
            <w:gridSpan w:val="6"/>
            <w:vAlign w:val="center"/>
          </w:tcPr>
          <w:p w:rsidR="002C3DC9" w:rsidRPr="006807F6" w:rsidRDefault="009A7EE9" w:rsidP="002C3DC9">
            <w:pPr>
              <w:pStyle w:val="naisnod"/>
              <w:spacing w:before="0" w:beforeAutospacing="0" w:after="0" w:afterAutospacing="0"/>
              <w:jc w:val="center"/>
              <w:rPr>
                <w:b/>
                <w:i/>
                <w:sz w:val="26"/>
                <w:szCs w:val="26"/>
              </w:rPr>
            </w:pPr>
            <w:r w:rsidRPr="006807F6">
              <w:rPr>
                <w:sz w:val="26"/>
                <w:szCs w:val="26"/>
              </w:rPr>
              <w:br w:type="page"/>
            </w:r>
            <w:r w:rsidRPr="006807F6">
              <w:rPr>
                <w:b/>
                <w:sz w:val="26"/>
                <w:szCs w:val="26"/>
              </w:rPr>
              <w:t>III. Tiesību akta projekta ietekme uz valsts budžetu un pašvaldību budžetiem</w:t>
            </w:r>
          </w:p>
        </w:tc>
      </w:tr>
      <w:tr w:rsidR="009A7EE9" w:rsidRPr="006807F6" w:rsidTr="00583D19">
        <w:trPr>
          <w:jc w:val="center"/>
        </w:trPr>
        <w:tc>
          <w:tcPr>
            <w:tcW w:w="2830" w:type="dxa"/>
            <w:vMerge w:val="restart"/>
            <w:vAlign w:val="center"/>
          </w:tcPr>
          <w:p w:rsidR="009A7EE9" w:rsidRPr="006807F6" w:rsidRDefault="009A7EE9" w:rsidP="009A7EE9">
            <w:pPr>
              <w:pStyle w:val="naisf"/>
              <w:spacing w:before="0" w:beforeAutospacing="0" w:after="0" w:afterAutospacing="0"/>
              <w:jc w:val="center"/>
              <w:rPr>
                <w:b/>
                <w:sz w:val="26"/>
                <w:szCs w:val="26"/>
              </w:rPr>
            </w:pPr>
            <w:r w:rsidRPr="006807F6">
              <w:rPr>
                <w:b/>
                <w:sz w:val="26"/>
                <w:szCs w:val="26"/>
              </w:rPr>
              <w:t>Rādītāji</w:t>
            </w:r>
          </w:p>
        </w:tc>
        <w:tc>
          <w:tcPr>
            <w:tcW w:w="2835" w:type="dxa"/>
            <w:gridSpan w:val="2"/>
            <w:vMerge w:val="restart"/>
            <w:vAlign w:val="center"/>
          </w:tcPr>
          <w:p w:rsidR="009A7EE9" w:rsidRPr="006807F6" w:rsidRDefault="00BD7B24" w:rsidP="00D97850">
            <w:pPr>
              <w:pStyle w:val="naisf"/>
              <w:spacing w:before="0" w:beforeAutospacing="0" w:after="0" w:afterAutospacing="0"/>
              <w:jc w:val="center"/>
              <w:rPr>
                <w:b/>
                <w:sz w:val="26"/>
                <w:szCs w:val="26"/>
              </w:rPr>
            </w:pPr>
            <w:r>
              <w:rPr>
                <w:b/>
                <w:sz w:val="26"/>
                <w:szCs w:val="26"/>
              </w:rPr>
              <w:t>201</w:t>
            </w:r>
            <w:r w:rsidR="00D97850">
              <w:rPr>
                <w:b/>
                <w:sz w:val="26"/>
                <w:szCs w:val="26"/>
              </w:rPr>
              <w:t>6</w:t>
            </w:r>
          </w:p>
        </w:tc>
        <w:tc>
          <w:tcPr>
            <w:tcW w:w="3592" w:type="dxa"/>
            <w:gridSpan w:val="3"/>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Turpmākie trīs gadi (</w:t>
            </w:r>
            <w:proofErr w:type="spellStart"/>
            <w:r w:rsidRPr="006807F6">
              <w:rPr>
                <w:i/>
                <w:sz w:val="26"/>
                <w:szCs w:val="26"/>
              </w:rPr>
              <w:t>euro</w:t>
            </w:r>
            <w:proofErr w:type="spellEnd"/>
            <w:r w:rsidRPr="006807F6">
              <w:rPr>
                <w:sz w:val="26"/>
                <w:szCs w:val="26"/>
              </w:rPr>
              <w:t>)</w:t>
            </w:r>
          </w:p>
        </w:tc>
      </w:tr>
      <w:tr w:rsidR="009A7EE9" w:rsidRPr="006807F6" w:rsidTr="00583D19">
        <w:trPr>
          <w:jc w:val="center"/>
        </w:trPr>
        <w:tc>
          <w:tcPr>
            <w:tcW w:w="2830" w:type="dxa"/>
            <w:vMerge/>
            <w:vAlign w:val="center"/>
          </w:tcPr>
          <w:p w:rsidR="009A7EE9" w:rsidRPr="006807F6" w:rsidRDefault="009A7EE9" w:rsidP="009A7EE9">
            <w:pPr>
              <w:pStyle w:val="naisf"/>
              <w:spacing w:before="0" w:beforeAutospacing="0" w:after="0" w:afterAutospacing="0"/>
              <w:jc w:val="center"/>
              <w:rPr>
                <w:b/>
                <w:i/>
                <w:sz w:val="26"/>
                <w:szCs w:val="26"/>
              </w:rPr>
            </w:pPr>
          </w:p>
        </w:tc>
        <w:tc>
          <w:tcPr>
            <w:tcW w:w="2835" w:type="dxa"/>
            <w:gridSpan w:val="2"/>
            <w:vMerge/>
            <w:vAlign w:val="center"/>
          </w:tcPr>
          <w:p w:rsidR="009A7EE9" w:rsidRPr="006807F6" w:rsidRDefault="009A7EE9" w:rsidP="009A7EE9">
            <w:pPr>
              <w:pStyle w:val="naisf"/>
              <w:spacing w:before="0" w:beforeAutospacing="0" w:after="0" w:afterAutospacing="0"/>
              <w:jc w:val="center"/>
              <w:rPr>
                <w:b/>
                <w:i/>
                <w:sz w:val="26"/>
                <w:szCs w:val="26"/>
              </w:rPr>
            </w:pPr>
          </w:p>
        </w:tc>
        <w:tc>
          <w:tcPr>
            <w:tcW w:w="1276" w:type="dxa"/>
            <w:vAlign w:val="center"/>
          </w:tcPr>
          <w:p w:rsidR="009A7EE9" w:rsidRPr="006807F6" w:rsidRDefault="009A7EE9" w:rsidP="00D97850">
            <w:pPr>
              <w:pStyle w:val="naisf"/>
              <w:spacing w:before="0" w:beforeAutospacing="0" w:after="0" w:afterAutospacing="0"/>
              <w:jc w:val="center"/>
              <w:rPr>
                <w:b/>
                <w:i/>
                <w:sz w:val="26"/>
                <w:szCs w:val="26"/>
              </w:rPr>
            </w:pPr>
            <w:r w:rsidRPr="006807F6">
              <w:rPr>
                <w:b/>
                <w:bCs/>
                <w:sz w:val="26"/>
                <w:szCs w:val="26"/>
              </w:rPr>
              <w:t>201</w:t>
            </w:r>
            <w:r w:rsidR="00D97850">
              <w:rPr>
                <w:b/>
                <w:bCs/>
                <w:sz w:val="26"/>
                <w:szCs w:val="26"/>
              </w:rPr>
              <w:t>7</w:t>
            </w:r>
          </w:p>
        </w:tc>
        <w:tc>
          <w:tcPr>
            <w:tcW w:w="1134" w:type="dxa"/>
            <w:vAlign w:val="center"/>
          </w:tcPr>
          <w:p w:rsidR="009A7EE9" w:rsidRPr="006807F6" w:rsidRDefault="009A7EE9" w:rsidP="00D97850">
            <w:pPr>
              <w:pStyle w:val="naisf"/>
              <w:spacing w:before="0" w:beforeAutospacing="0" w:after="0" w:afterAutospacing="0"/>
              <w:jc w:val="center"/>
              <w:rPr>
                <w:b/>
                <w:i/>
                <w:sz w:val="26"/>
                <w:szCs w:val="26"/>
              </w:rPr>
            </w:pPr>
            <w:r w:rsidRPr="006807F6">
              <w:rPr>
                <w:b/>
                <w:bCs/>
                <w:sz w:val="26"/>
                <w:szCs w:val="26"/>
              </w:rPr>
              <w:t>201</w:t>
            </w:r>
            <w:r w:rsidR="00D97850">
              <w:rPr>
                <w:b/>
                <w:bCs/>
                <w:sz w:val="26"/>
                <w:szCs w:val="26"/>
              </w:rPr>
              <w:t>8</w:t>
            </w:r>
          </w:p>
        </w:tc>
        <w:tc>
          <w:tcPr>
            <w:tcW w:w="1182" w:type="dxa"/>
            <w:vAlign w:val="center"/>
          </w:tcPr>
          <w:p w:rsidR="009A7EE9" w:rsidRPr="006807F6" w:rsidRDefault="009A7EE9" w:rsidP="00D97850">
            <w:pPr>
              <w:pStyle w:val="naisf"/>
              <w:spacing w:before="0" w:beforeAutospacing="0" w:after="0" w:afterAutospacing="0"/>
              <w:jc w:val="center"/>
              <w:rPr>
                <w:b/>
                <w:i/>
                <w:sz w:val="26"/>
                <w:szCs w:val="26"/>
              </w:rPr>
            </w:pPr>
            <w:r w:rsidRPr="006807F6">
              <w:rPr>
                <w:b/>
                <w:bCs/>
                <w:sz w:val="26"/>
                <w:szCs w:val="26"/>
              </w:rPr>
              <w:t>201</w:t>
            </w:r>
            <w:r w:rsidR="00D97850">
              <w:rPr>
                <w:b/>
                <w:bCs/>
                <w:sz w:val="26"/>
                <w:szCs w:val="26"/>
              </w:rPr>
              <w:t>9</w:t>
            </w:r>
          </w:p>
        </w:tc>
      </w:tr>
      <w:tr w:rsidR="009A7EE9" w:rsidRPr="006807F6" w:rsidTr="00583D19">
        <w:trPr>
          <w:jc w:val="center"/>
        </w:trPr>
        <w:tc>
          <w:tcPr>
            <w:tcW w:w="2830" w:type="dxa"/>
            <w:vMerge/>
            <w:vAlign w:val="center"/>
          </w:tcPr>
          <w:p w:rsidR="009A7EE9" w:rsidRPr="006807F6" w:rsidRDefault="009A7EE9" w:rsidP="009A7EE9">
            <w:pPr>
              <w:pStyle w:val="naisf"/>
              <w:spacing w:before="0" w:beforeAutospacing="0" w:after="0" w:afterAutospacing="0"/>
              <w:jc w:val="center"/>
              <w:rPr>
                <w:b/>
                <w:i/>
                <w:sz w:val="26"/>
                <w:szCs w:val="26"/>
              </w:rPr>
            </w:pPr>
          </w:p>
        </w:tc>
        <w:tc>
          <w:tcPr>
            <w:tcW w:w="1560" w:type="dxa"/>
            <w:vAlign w:val="center"/>
          </w:tcPr>
          <w:p w:rsidR="009A7EE9" w:rsidRPr="00751999" w:rsidRDefault="009A7EE9" w:rsidP="00583D19">
            <w:pPr>
              <w:pStyle w:val="naisf"/>
              <w:spacing w:before="0" w:beforeAutospacing="0" w:after="0" w:afterAutospacing="0"/>
              <w:jc w:val="center"/>
              <w:rPr>
                <w:b/>
                <w:i/>
                <w:sz w:val="22"/>
                <w:szCs w:val="22"/>
              </w:rPr>
            </w:pPr>
            <w:r w:rsidRPr="00751999">
              <w:rPr>
                <w:sz w:val="22"/>
                <w:szCs w:val="22"/>
              </w:rPr>
              <w:t>saskaņā ar valsts budžetu kārtējam gadam</w:t>
            </w:r>
          </w:p>
        </w:tc>
        <w:tc>
          <w:tcPr>
            <w:tcW w:w="1275" w:type="dxa"/>
            <w:vAlign w:val="center"/>
          </w:tcPr>
          <w:p w:rsidR="009A7EE9" w:rsidRPr="00751999" w:rsidRDefault="009A7EE9" w:rsidP="009A7EE9">
            <w:pPr>
              <w:pStyle w:val="naisf"/>
              <w:spacing w:before="0" w:beforeAutospacing="0" w:after="0" w:afterAutospacing="0"/>
              <w:jc w:val="center"/>
              <w:rPr>
                <w:b/>
                <w:i/>
                <w:sz w:val="22"/>
                <w:szCs w:val="22"/>
              </w:rPr>
            </w:pPr>
            <w:r w:rsidRPr="00751999">
              <w:rPr>
                <w:sz w:val="22"/>
                <w:szCs w:val="22"/>
              </w:rPr>
              <w:t>izmaiņas kārtējā gadā, salīdzinot ar budžetu kārtējam gadam</w:t>
            </w:r>
          </w:p>
        </w:tc>
        <w:tc>
          <w:tcPr>
            <w:tcW w:w="1276" w:type="dxa"/>
            <w:vAlign w:val="center"/>
          </w:tcPr>
          <w:p w:rsidR="009A7EE9" w:rsidRPr="00751999" w:rsidRDefault="009A7EE9" w:rsidP="002C3DC9">
            <w:pPr>
              <w:pStyle w:val="naisf"/>
              <w:spacing w:before="0" w:beforeAutospacing="0" w:after="0" w:afterAutospacing="0"/>
              <w:rPr>
                <w:b/>
                <w:i/>
                <w:sz w:val="22"/>
                <w:szCs w:val="22"/>
              </w:rPr>
            </w:pPr>
            <w:r w:rsidRPr="00751999">
              <w:rPr>
                <w:sz w:val="22"/>
                <w:szCs w:val="22"/>
              </w:rPr>
              <w:t>izmaiņas, salīdzinot ar kārtējo (n) gadu</w:t>
            </w:r>
          </w:p>
        </w:tc>
        <w:tc>
          <w:tcPr>
            <w:tcW w:w="1134" w:type="dxa"/>
            <w:vAlign w:val="center"/>
          </w:tcPr>
          <w:p w:rsidR="009A7EE9" w:rsidRPr="00751999" w:rsidRDefault="009A7EE9" w:rsidP="009A7EE9">
            <w:pPr>
              <w:pStyle w:val="naisf"/>
              <w:spacing w:before="0" w:beforeAutospacing="0" w:after="0" w:afterAutospacing="0"/>
              <w:jc w:val="center"/>
              <w:rPr>
                <w:b/>
                <w:i/>
                <w:sz w:val="22"/>
                <w:szCs w:val="22"/>
              </w:rPr>
            </w:pPr>
            <w:r w:rsidRPr="00751999">
              <w:rPr>
                <w:sz w:val="22"/>
                <w:szCs w:val="22"/>
              </w:rPr>
              <w:t>izmaiņas, salīdzinot ar kārtējo (n) gadu</w:t>
            </w:r>
          </w:p>
        </w:tc>
        <w:tc>
          <w:tcPr>
            <w:tcW w:w="1182" w:type="dxa"/>
            <w:vAlign w:val="center"/>
          </w:tcPr>
          <w:p w:rsidR="009A7EE9" w:rsidRPr="00751999" w:rsidRDefault="009A7EE9" w:rsidP="009A7EE9">
            <w:pPr>
              <w:pStyle w:val="naisf"/>
              <w:spacing w:before="0" w:beforeAutospacing="0" w:after="0" w:afterAutospacing="0"/>
              <w:jc w:val="center"/>
              <w:rPr>
                <w:b/>
                <w:i/>
                <w:sz w:val="22"/>
                <w:szCs w:val="22"/>
              </w:rPr>
            </w:pPr>
            <w:r w:rsidRPr="00751999">
              <w:rPr>
                <w:sz w:val="22"/>
                <w:szCs w:val="22"/>
              </w:rPr>
              <w:t>izmaiņas, salīdzinot ar kārtējo (n) gadu</w:t>
            </w:r>
          </w:p>
        </w:tc>
      </w:tr>
      <w:tr w:rsidR="009A7EE9" w:rsidRPr="006807F6" w:rsidTr="00583D19">
        <w:trPr>
          <w:jc w:val="center"/>
        </w:trPr>
        <w:tc>
          <w:tcPr>
            <w:tcW w:w="2830"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1</w:t>
            </w:r>
          </w:p>
        </w:tc>
        <w:tc>
          <w:tcPr>
            <w:tcW w:w="1560"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2</w:t>
            </w:r>
          </w:p>
        </w:tc>
        <w:tc>
          <w:tcPr>
            <w:tcW w:w="1275"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3</w:t>
            </w:r>
          </w:p>
        </w:tc>
        <w:tc>
          <w:tcPr>
            <w:tcW w:w="1276"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4</w:t>
            </w:r>
          </w:p>
        </w:tc>
        <w:tc>
          <w:tcPr>
            <w:tcW w:w="1134"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5</w:t>
            </w:r>
          </w:p>
        </w:tc>
        <w:tc>
          <w:tcPr>
            <w:tcW w:w="1182"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6</w:t>
            </w:r>
          </w:p>
        </w:tc>
      </w:tr>
      <w:tr w:rsidR="009A7EE9" w:rsidRPr="006807F6" w:rsidTr="00583D19">
        <w:trPr>
          <w:jc w:val="center"/>
        </w:trPr>
        <w:tc>
          <w:tcPr>
            <w:tcW w:w="2830" w:type="dxa"/>
          </w:tcPr>
          <w:p w:rsidR="009A7EE9" w:rsidRPr="006807F6" w:rsidRDefault="009A7EE9" w:rsidP="009A7EE9">
            <w:pPr>
              <w:pStyle w:val="naisf"/>
              <w:spacing w:before="0" w:beforeAutospacing="0" w:after="0" w:afterAutospacing="0"/>
              <w:rPr>
                <w:i/>
                <w:sz w:val="26"/>
                <w:szCs w:val="26"/>
              </w:rPr>
            </w:pPr>
            <w:r w:rsidRPr="006807F6">
              <w:rPr>
                <w:sz w:val="26"/>
                <w:szCs w:val="26"/>
              </w:rPr>
              <w:t>1. Budžeta ieņēmumi:</w:t>
            </w:r>
          </w:p>
        </w:tc>
        <w:tc>
          <w:tcPr>
            <w:tcW w:w="1560" w:type="dxa"/>
          </w:tcPr>
          <w:p w:rsidR="009A7EE9" w:rsidRPr="004170B3" w:rsidRDefault="00CB2E04" w:rsidP="009A7EE9">
            <w:pPr>
              <w:pStyle w:val="naisf"/>
              <w:spacing w:before="0" w:beforeAutospacing="0" w:after="0" w:afterAutospacing="0"/>
              <w:jc w:val="center"/>
              <w:rPr>
                <w:sz w:val="22"/>
                <w:szCs w:val="22"/>
              </w:rPr>
            </w:pPr>
            <w:r w:rsidRPr="004170B3">
              <w:rPr>
                <w:sz w:val="22"/>
                <w:szCs w:val="22"/>
              </w:rPr>
              <w:t>7 402 028 383</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pStyle w:val="naisf"/>
              <w:spacing w:before="0" w:beforeAutospacing="0" w:after="0" w:afterAutospacing="0"/>
              <w:rPr>
                <w:i/>
                <w:sz w:val="26"/>
                <w:szCs w:val="26"/>
              </w:rPr>
            </w:pPr>
            <w:r w:rsidRPr="006807F6">
              <w:rPr>
                <w:sz w:val="26"/>
                <w:szCs w:val="26"/>
              </w:rPr>
              <w:t xml:space="preserve">1.1. valsts pamatbudžets, tai skaitā ieņēmumi no </w:t>
            </w:r>
            <w:r w:rsidRPr="006807F6">
              <w:rPr>
                <w:sz w:val="26"/>
                <w:szCs w:val="26"/>
              </w:rPr>
              <w:lastRenderedPageBreak/>
              <w:t>maksas pakalpojumiem un citi pašu ieņēmumi</w:t>
            </w:r>
          </w:p>
        </w:tc>
        <w:tc>
          <w:tcPr>
            <w:tcW w:w="1560" w:type="dxa"/>
          </w:tcPr>
          <w:p w:rsidR="009A7EE9" w:rsidRPr="004170B3" w:rsidRDefault="00CB2E04" w:rsidP="009A7EE9">
            <w:pPr>
              <w:pStyle w:val="naisf"/>
              <w:spacing w:before="0" w:beforeAutospacing="0" w:after="0" w:afterAutospacing="0"/>
              <w:jc w:val="center"/>
              <w:rPr>
                <w:sz w:val="22"/>
                <w:szCs w:val="22"/>
              </w:rPr>
            </w:pPr>
            <w:r w:rsidRPr="004170B3">
              <w:rPr>
                <w:sz w:val="22"/>
                <w:szCs w:val="22"/>
              </w:rPr>
              <w:lastRenderedPageBreak/>
              <w:t>5 247 660 312</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pStyle w:val="naisf"/>
              <w:spacing w:before="0" w:beforeAutospacing="0" w:after="0" w:afterAutospacing="0"/>
              <w:rPr>
                <w:i/>
                <w:sz w:val="26"/>
                <w:szCs w:val="26"/>
              </w:rPr>
            </w:pPr>
            <w:r w:rsidRPr="006807F6">
              <w:rPr>
                <w:sz w:val="26"/>
                <w:szCs w:val="26"/>
              </w:rPr>
              <w:t>1.2. valsts speciālais budžets</w:t>
            </w:r>
          </w:p>
        </w:tc>
        <w:tc>
          <w:tcPr>
            <w:tcW w:w="1560" w:type="dxa"/>
          </w:tcPr>
          <w:p w:rsidR="009A7EE9" w:rsidRPr="004170B3" w:rsidRDefault="004170B3" w:rsidP="009A7EE9">
            <w:pPr>
              <w:pStyle w:val="naisf"/>
              <w:spacing w:before="0" w:beforeAutospacing="0" w:after="0" w:afterAutospacing="0"/>
              <w:jc w:val="center"/>
              <w:rPr>
                <w:sz w:val="22"/>
                <w:szCs w:val="22"/>
              </w:rPr>
            </w:pPr>
            <w:r w:rsidRPr="004170B3">
              <w:rPr>
                <w:sz w:val="22"/>
                <w:szCs w:val="22"/>
              </w:rPr>
              <w:t>2 347 184 247</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pStyle w:val="naisf"/>
              <w:spacing w:before="0" w:beforeAutospacing="0" w:after="0" w:afterAutospacing="0"/>
              <w:rPr>
                <w:i/>
                <w:sz w:val="26"/>
                <w:szCs w:val="26"/>
              </w:rPr>
            </w:pPr>
            <w:r w:rsidRPr="006807F6">
              <w:rPr>
                <w:sz w:val="26"/>
                <w:szCs w:val="26"/>
              </w:rPr>
              <w:t>1.3. pašvaldību budžets</w:t>
            </w:r>
          </w:p>
        </w:tc>
        <w:tc>
          <w:tcPr>
            <w:tcW w:w="1560"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2. Budžeta izdevumi:</w:t>
            </w:r>
          </w:p>
        </w:tc>
        <w:tc>
          <w:tcPr>
            <w:tcW w:w="1560" w:type="dxa"/>
          </w:tcPr>
          <w:p w:rsidR="009A7EE9" w:rsidRPr="004170B3" w:rsidRDefault="004170B3" w:rsidP="009A7EE9">
            <w:pPr>
              <w:pStyle w:val="naisf"/>
              <w:spacing w:before="0" w:beforeAutospacing="0" w:after="0" w:afterAutospacing="0"/>
              <w:jc w:val="center"/>
              <w:rPr>
                <w:sz w:val="22"/>
                <w:szCs w:val="22"/>
              </w:rPr>
            </w:pPr>
            <w:r w:rsidRPr="004170B3">
              <w:rPr>
                <w:sz w:val="22"/>
                <w:szCs w:val="22"/>
              </w:rPr>
              <w:t>7 686 225 438</w:t>
            </w:r>
          </w:p>
        </w:tc>
        <w:tc>
          <w:tcPr>
            <w:tcW w:w="1275" w:type="dxa"/>
          </w:tcPr>
          <w:p w:rsidR="009A7EE9" w:rsidRPr="004170B3" w:rsidRDefault="005437C3"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p>
        </w:tc>
        <w:tc>
          <w:tcPr>
            <w:tcW w:w="1134" w:type="dxa"/>
          </w:tcPr>
          <w:p w:rsidR="009A7EE9" w:rsidRPr="004170B3" w:rsidRDefault="009A7EE9" w:rsidP="009A7EE9">
            <w:pPr>
              <w:pStyle w:val="naisf"/>
              <w:spacing w:before="0" w:beforeAutospacing="0" w:after="0" w:afterAutospacing="0"/>
              <w:jc w:val="center"/>
              <w:rPr>
                <w:sz w:val="22"/>
                <w:szCs w:val="22"/>
              </w:rPr>
            </w:pPr>
          </w:p>
        </w:tc>
        <w:tc>
          <w:tcPr>
            <w:tcW w:w="1182" w:type="dxa"/>
          </w:tcPr>
          <w:p w:rsidR="009A7EE9" w:rsidRPr="004170B3" w:rsidRDefault="009A7EE9" w:rsidP="009A7EE9">
            <w:pPr>
              <w:pStyle w:val="naisf"/>
              <w:spacing w:before="0" w:beforeAutospacing="0" w:after="0" w:afterAutospacing="0"/>
              <w:jc w:val="center"/>
              <w:rPr>
                <w:sz w:val="22"/>
                <w:szCs w:val="22"/>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2.1. valsts pamatbudžets</w:t>
            </w:r>
          </w:p>
        </w:tc>
        <w:tc>
          <w:tcPr>
            <w:tcW w:w="1560" w:type="dxa"/>
          </w:tcPr>
          <w:p w:rsidR="009A7EE9" w:rsidRPr="004170B3" w:rsidRDefault="004170B3" w:rsidP="009A7EE9">
            <w:pPr>
              <w:pStyle w:val="naisf"/>
              <w:spacing w:before="0" w:beforeAutospacing="0" w:after="0" w:afterAutospacing="0"/>
              <w:jc w:val="center"/>
              <w:rPr>
                <w:sz w:val="22"/>
                <w:szCs w:val="22"/>
              </w:rPr>
            </w:pPr>
            <w:r w:rsidRPr="004170B3">
              <w:rPr>
                <w:sz w:val="22"/>
                <w:szCs w:val="22"/>
              </w:rPr>
              <w:t>5 636 414 986</w:t>
            </w:r>
          </w:p>
        </w:tc>
        <w:tc>
          <w:tcPr>
            <w:tcW w:w="1275" w:type="dxa"/>
          </w:tcPr>
          <w:p w:rsidR="009A7EE9" w:rsidRPr="004170B3" w:rsidRDefault="005437C3"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p>
        </w:tc>
        <w:tc>
          <w:tcPr>
            <w:tcW w:w="1134" w:type="dxa"/>
          </w:tcPr>
          <w:p w:rsidR="009A7EE9" w:rsidRPr="004170B3" w:rsidRDefault="009A7EE9" w:rsidP="009A7EE9">
            <w:pPr>
              <w:pStyle w:val="naisf"/>
              <w:spacing w:before="0" w:beforeAutospacing="0" w:after="0" w:afterAutospacing="0"/>
              <w:jc w:val="center"/>
              <w:rPr>
                <w:sz w:val="22"/>
                <w:szCs w:val="22"/>
              </w:rPr>
            </w:pPr>
          </w:p>
        </w:tc>
        <w:tc>
          <w:tcPr>
            <w:tcW w:w="1182" w:type="dxa"/>
          </w:tcPr>
          <w:p w:rsidR="009A7EE9" w:rsidRPr="004170B3" w:rsidRDefault="009A7EE9" w:rsidP="009A7EE9">
            <w:pPr>
              <w:pStyle w:val="naisf"/>
              <w:spacing w:before="0" w:beforeAutospacing="0" w:after="0" w:afterAutospacing="0"/>
              <w:jc w:val="center"/>
              <w:rPr>
                <w:sz w:val="22"/>
                <w:szCs w:val="22"/>
              </w:rPr>
            </w:pPr>
          </w:p>
        </w:tc>
      </w:tr>
      <w:tr w:rsidR="004170B3" w:rsidRPr="006807F6" w:rsidTr="00583D19">
        <w:trPr>
          <w:jc w:val="center"/>
        </w:trPr>
        <w:tc>
          <w:tcPr>
            <w:tcW w:w="2830" w:type="dxa"/>
          </w:tcPr>
          <w:p w:rsidR="004170B3" w:rsidRPr="004170B3" w:rsidRDefault="004170B3" w:rsidP="004170B3">
            <w:pPr>
              <w:jc w:val="center"/>
              <w:rPr>
                <w:i/>
                <w:sz w:val="22"/>
                <w:szCs w:val="22"/>
                <w:highlight w:val="yellow"/>
              </w:rPr>
            </w:pPr>
            <w:r w:rsidRPr="00171A81">
              <w:rPr>
                <w:i/>
                <w:sz w:val="22"/>
                <w:szCs w:val="22"/>
              </w:rPr>
              <w:t>tajā skaitā</w:t>
            </w:r>
          </w:p>
        </w:tc>
        <w:tc>
          <w:tcPr>
            <w:tcW w:w="1560" w:type="dxa"/>
          </w:tcPr>
          <w:p w:rsidR="004170B3" w:rsidRPr="004170B3" w:rsidRDefault="004170B3" w:rsidP="00A85919">
            <w:pPr>
              <w:pStyle w:val="naisf"/>
              <w:spacing w:before="0" w:beforeAutospacing="0" w:after="0" w:afterAutospacing="0"/>
              <w:ind w:left="-124" w:right="-116"/>
              <w:jc w:val="center"/>
              <w:rPr>
                <w:sz w:val="22"/>
                <w:szCs w:val="22"/>
                <w:highlight w:val="yellow"/>
              </w:rPr>
            </w:pPr>
          </w:p>
        </w:tc>
        <w:tc>
          <w:tcPr>
            <w:tcW w:w="1275" w:type="dxa"/>
          </w:tcPr>
          <w:p w:rsidR="004170B3" w:rsidRPr="004170B3" w:rsidRDefault="004170B3" w:rsidP="002B19A5">
            <w:pPr>
              <w:pStyle w:val="naisf"/>
              <w:spacing w:before="0" w:beforeAutospacing="0" w:after="0" w:afterAutospacing="0"/>
              <w:jc w:val="right"/>
              <w:rPr>
                <w:sz w:val="22"/>
                <w:szCs w:val="22"/>
                <w:highlight w:val="yellow"/>
              </w:rPr>
            </w:pPr>
          </w:p>
        </w:tc>
        <w:tc>
          <w:tcPr>
            <w:tcW w:w="1276" w:type="dxa"/>
          </w:tcPr>
          <w:p w:rsidR="004170B3" w:rsidRPr="004170B3" w:rsidRDefault="004170B3" w:rsidP="009A7EE9">
            <w:pPr>
              <w:pStyle w:val="naisf"/>
              <w:spacing w:before="0" w:beforeAutospacing="0" w:after="0" w:afterAutospacing="0"/>
              <w:jc w:val="center"/>
              <w:rPr>
                <w:sz w:val="22"/>
                <w:szCs w:val="22"/>
              </w:rPr>
            </w:pPr>
          </w:p>
        </w:tc>
        <w:tc>
          <w:tcPr>
            <w:tcW w:w="1134" w:type="dxa"/>
          </w:tcPr>
          <w:p w:rsidR="004170B3" w:rsidRPr="004170B3" w:rsidRDefault="004170B3" w:rsidP="009A7EE9">
            <w:pPr>
              <w:pStyle w:val="naisf"/>
              <w:spacing w:before="0" w:beforeAutospacing="0" w:after="0" w:afterAutospacing="0"/>
              <w:jc w:val="center"/>
              <w:rPr>
                <w:sz w:val="22"/>
                <w:szCs w:val="22"/>
              </w:rPr>
            </w:pPr>
          </w:p>
        </w:tc>
        <w:tc>
          <w:tcPr>
            <w:tcW w:w="1182" w:type="dxa"/>
          </w:tcPr>
          <w:p w:rsidR="004170B3" w:rsidRPr="004170B3" w:rsidRDefault="004170B3" w:rsidP="009A7EE9">
            <w:pPr>
              <w:pStyle w:val="naisf"/>
              <w:spacing w:before="0" w:beforeAutospacing="0" w:after="0" w:afterAutospacing="0"/>
              <w:jc w:val="center"/>
              <w:rPr>
                <w:sz w:val="22"/>
                <w:szCs w:val="22"/>
              </w:rPr>
            </w:pPr>
          </w:p>
        </w:tc>
      </w:tr>
      <w:tr w:rsidR="000818D2" w:rsidRPr="006807F6" w:rsidTr="00583D19">
        <w:trPr>
          <w:jc w:val="center"/>
        </w:trPr>
        <w:tc>
          <w:tcPr>
            <w:tcW w:w="2830" w:type="dxa"/>
          </w:tcPr>
          <w:p w:rsidR="000818D2" w:rsidRPr="00C44880" w:rsidRDefault="000818D2" w:rsidP="009A7EE9">
            <w:pPr>
              <w:rPr>
                <w:i/>
                <w:sz w:val="22"/>
                <w:szCs w:val="22"/>
              </w:rPr>
            </w:pPr>
            <w:r w:rsidRPr="00C44880">
              <w:rPr>
                <w:i/>
                <w:sz w:val="22"/>
                <w:szCs w:val="22"/>
              </w:rPr>
              <w:t>Valsts prezidenta kanceleja</w:t>
            </w:r>
          </w:p>
        </w:tc>
        <w:tc>
          <w:tcPr>
            <w:tcW w:w="1560" w:type="dxa"/>
          </w:tcPr>
          <w:p w:rsidR="000818D2" w:rsidRPr="00C44880" w:rsidRDefault="004170B3" w:rsidP="00A85919">
            <w:pPr>
              <w:pStyle w:val="naisf"/>
              <w:spacing w:before="0" w:beforeAutospacing="0" w:after="0" w:afterAutospacing="0"/>
              <w:ind w:left="-124" w:right="-116"/>
              <w:jc w:val="center"/>
              <w:rPr>
                <w:sz w:val="22"/>
                <w:szCs w:val="22"/>
              </w:rPr>
            </w:pPr>
            <w:r w:rsidRPr="00C44880">
              <w:rPr>
                <w:sz w:val="22"/>
                <w:szCs w:val="22"/>
              </w:rPr>
              <w:t>6 896 627</w:t>
            </w:r>
          </w:p>
        </w:tc>
        <w:tc>
          <w:tcPr>
            <w:tcW w:w="1275" w:type="dxa"/>
          </w:tcPr>
          <w:p w:rsidR="000818D2" w:rsidRPr="00C44880" w:rsidRDefault="00C44880" w:rsidP="004170B3">
            <w:pPr>
              <w:pStyle w:val="naisf"/>
              <w:spacing w:before="0" w:beforeAutospacing="0" w:after="0" w:afterAutospacing="0"/>
              <w:jc w:val="right"/>
              <w:rPr>
                <w:sz w:val="22"/>
                <w:szCs w:val="22"/>
              </w:rPr>
            </w:pPr>
            <w:r w:rsidRPr="00C44880">
              <w:rPr>
                <w:sz w:val="22"/>
                <w:szCs w:val="22"/>
              </w:rPr>
              <w:t>-1 500 000</w:t>
            </w:r>
          </w:p>
        </w:tc>
        <w:tc>
          <w:tcPr>
            <w:tcW w:w="1276" w:type="dxa"/>
          </w:tcPr>
          <w:p w:rsidR="000818D2" w:rsidRPr="00C44880" w:rsidRDefault="000818D2" w:rsidP="009A7EE9">
            <w:pPr>
              <w:pStyle w:val="naisf"/>
              <w:spacing w:before="0" w:beforeAutospacing="0" w:after="0" w:afterAutospacing="0"/>
              <w:jc w:val="center"/>
              <w:rPr>
                <w:sz w:val="22"/>
                <w:szCs w:val="22"/>
              </w:rPr>
            </w:pPr>
          </w:p>
        </w:tc>
        <w:tc>
          <w:tcPr>
            <w:tcW w:w="1134" w:type="dxa"/>
          </w:tcPr>
          <w:p w:rsidR="000818D2" w:rsidRPr="004170B3" w:rsidRDefault="000818D2" w:rsidP="009A7EE9">
            <w:pPr>
              <w:pStyle w:val="naisf"/>
              <w:spacing w:before="0" w:beforeAutospacing="0" w:after="0" w:afterAutospacing="0"/>
              <w:jc w:val="center"/>
              <w:rPr>
                <w:sz w:val="22"/>
                <w:szCs w:val="22"/>
              </w:rPr>
            </w:pPr>
          </w:p>
        </w:tc>
        <w:tc>
          <w:tcPr>
            <w:tcW w:w="1182" w:type="dxa"/>
          </w:tcPr>
          <w:p w:rsidR="000818D2" w:rsidRPr="004170B3" w:rsidRDefault="000818D2" w:rsidP="009A7EE9">
            <w:pPr>
              <w:pStyle w:val="naisf"/>
              <w:spacing w:before="0" w:beforeAutospacing="0" w:after="0" w:afterAutospacing="0"/>
              <w:jc w:val="center"/>
              <w:rPr>
                <w:sz w:val="22"/>
                <w:szCs w:val="22"/>
              </w:rPr>
            </w:pPr>
          </w:p>
        </w:tc>
      </w:tr>
      <w:tr w:rsidR="005B0615" w:rsidRPr="006807F6" w:rsidTr="00583D19">
        <w:trPr>
          <w:jc w:val="center"/>
        </w:trPr>
        <w:tc>
          <w:tcPr>
            <w:tcW w:w="2830" w:type="dxa"/>
          </w:tcPr>
          <w:p w:rsidR="005B0615" w:rsidRPr="00C44880" w:rsidRDefault="00A37ADF" w:rsidP="009A7EE9">
            <w:pPr>
              <w:rPr>
                <w:i/>
                <w:sz w:val="22"/>
                <w:szCs w:val="22"/>
              </w:rPr>
            </w:pPr>
            <w:r w:rsidRPr="00C44880">
              <w:rPr>
                <w:i/>
                <w:sz w:val="22"/>
                <w:szCs w:val="22"/>
              </w:rPr>
              <w:t>Ekonomikas ministrija</w:t>
            </w:r>
          </w:p>
        </w:tc>
        <w:tc>
          <w:tcPr>
            <w:tcW w:w="1560" w:type="dxa"/>
          </w:tcPr>
          <w:p w:rsidR="005B0615" w:rsidRPr="00C44880" w:rsidRDefault="002B19A5" w:rsidP="00A85919">
            <w:pPr>
              <w:pStyle w:val="naisf"/>
              <w:spacing w:before="0" w:beforeAutospacing="0" w:after="0" w:afterAutospacing="0"/>
              <w:ind w:left="-124" w:right="-116"/>
              <w:jc w:val="center"/>
              <w:rPr>
                <w:sz w:val="22"/>
                <w:szCs w:val="22"/>
              </w:rPr>
            </w:pPr>
            <w:r w:rsidRPr="00C44880">
              <w:rPr>
                <w:sz w:val="22"/>
                <w:szCs w:val="22"/>
              </w:rPr>
              <w:t>202 046 812</w:t>
            </w:r>
          </w:p>
        </w:tc>
        <w:tc>
          <w:tcPr>
            <w:tcW w:w="1275" w:type="dxa"/>
          </w:tcPr>
          <w:p w:rsidR="005B0615" w:rsidRPr="00C44880" w:rsidRDefault="00285775" w:rsidP="002B19A5">
            <w:pPr>
              <w:pStyle w:val="naisf"/>
              <w:spacing w:before="0" w:beforeAutospacing="0" w:after="0" w:afterAutospacing="0"/>
              <w:jc w:val="right"/>
              <w:rPr>
                <w:sz w:val="22"/>
                <w:szCs w:val="22"/>
              </w:rPr>
            </w:pPr>
            <w:r w:rsidRPr="00C44880">
              <w:rPr>
                <w:sz w:val="22"/>
                <w:szCs w:val="22"/>
              </w:rPr>
              <w:t>-500 000</w:t>
            </w:r>
          </w:p>
        </w:tc>
        <w:tc>
          <w:tcPr>
            <w:tcW w:w="1276" w:type="dxa"/>
          </w:tcPr>
          <w:p w:rsidR="005B0615" w:rsidRPr="00C44880" w:rsidRDefault="005B0615" w:rsidP="009A7EE9">
            <w:pPr>
              <w:pStyle w:val="naisf"/>
              <w:spacing w:before="0" w:beforeAutospacing="0" w:after="0" w:afterAutospacing="0"/>
              <w:jc w:val="center"/>
              <w:rPr>
                <w:sz w:val="22"/>
                <w:szCs w:val="22"/>
              </w:rPr>
            </w:pPr>
          </w:p>
        </w:tc>
        <w:tc>
          <w:tcPr>
            <w:tcW w:w="1134" w:type="dxa"/>
          </w:tcPr>
          <w:p w:rsidR="005B0615" w:rsidRPr="004170B3" w:rsidRDefault="005B0615" w:rsidP="009A7EE9">
            <w:pPr>
              <w:pStyle w:val="naisf"/>
              <w:spacing w:before="0" w:beforeAutospacing="0" w:after="0" w:afterAutospacing="0"/>
              <w:jc w:val="center"/>
              <w:rPr>
                <w:sz w:val="22"/>
                <w:szCs w:val="22"/>
              </w:rPr>
            </w:pPr>
          </w:p>
        </w:tc>
        <w:tc>
          <w:tcPr>
            <w:tcW w:w="1182" w:type="dxa"/>
          </w:tcPr>
          <w:p w:rsidR="005B0615" w:rsidRPr="004170B3" w:rsidRDefault="005B0615" w:rsidP="009A7EE9">
            <w:pPr>
              <w:pStyle w:val="naisf"/>
              <w:spacing w:before="0" w:beforeAutospacing="0" w:after="0" w:afterAutospacing="0"/>
              <w:jc w:val="center"/>
              <w:rPr>
                <w:sz w:val="22"/>
                <w:szCs w:val="22"/>
              </w:rPr>
            </w:pPr>
          </w:p>
        </w:tc>
      </w:tr>
      <w:tr w:rsidR="005B0615" w:rsidRPr="006807F6" w:rsidTr="00583D19">
        <w:trPr>
          <w:jc w:val="center"/>
        </w:trPr>
        <w:tc>
          <w:tcPr>
            <w:tcW w:w="2830" w:type="dxa"/>
          </w:tcPr>
          <w:p w:rsidR="005B0615" w:rsidRPr="00C44880" w:rsidRDefault="00A37ADF" w:rsidP="009A7EE9">
            <w:pPr>
              <w:rPr>
                <w:i/>
                <w:sz w:val="22"/>
                <w:szCs w:val="22"/>
              </w:rPr>
            </w:pPr>
            <w:r w:rsidRPr="00C44880">
              <w:rPr>
                <w:i/>
                <w:sz w:val="22"/>
                <w:szCs w:val="22"/>
              </w:rPr>
              <w:t>Finanšu ministrija</w:t>
            </w:r>
          </w:p>
        </w:tc>
        <w:tc>
          <w:tcPr>
            <w:tcW w:w="1560" w:type="dxa"/>
          </w:tcPr>
          <w:p w:rsidR="005B0615" w:rsidRPr="00C44880" w:rsidRDefault="002B19A5" w:rsidP="00A85919">
            <w:pPr>
              <w:pStyle w:val="naisf"/>
              <w:spacing w:before="0" w:beforeAutospacing="0" w:after="0" w:afterAutospacing="0"/>
              <w:ind w:left="-124" w:right="-116"/>
              <w:jc w:val="center"/>
              <w:rPr>
                <w:sz w:val="22"/>
                <w:szCs w:val="22"/>
              </w:rPr>
            </w:pPr>
            <w:r w:rsidRPr="00C44880">
              <w:rPr>
                <w:sz w:val="22"/>
                <w:szCs w:val="22"/>
              </w:rPr>
              <w:t>793 068 569</w:t>
            </w:r>
          </w:p>
        </w:tc>
        <w:tc>
          <w:tcPr>
            <w:tcW w:w="1275" w:type="dxa"/>
          </w:tcPr>
          <w:p w:rsidR="005B0615" w:rsidRPr="00C44880" w:rsidRDefault="00285775" w:rsidP="00C44880">
            <w:pPr>
              <w:pStyle w:val="naisf"/>
              <w:spacing w:before="0" w:beforeAutospacing="0" w:after="0" w:afterAutospacing="0"/>
              <w:ind w:left="-100" w:right="-56"/>
              <w:jc w:val="right"/>
              <w:rPr>
                <w:sz w:val="22"/>
                <w:szCs w:val="22"/>
              </w:rPr>
            </w:pPr>
            <w:r w:rsidRPr="00C44880">
              <w:rPr>
                <w:sz w:val="22"/>
                <w:szCs w:val="22"/>
              </w:rPr>
              <w:t>-2 9</w:t>
            </w:r>
            <w:r w:rsidR="00C44880" w:rsidRPr="00C44880">
              <w:rPr>
                <w:sz w:val="22"/>
                <w:szCs w:val="22"/>
              </w:rPr>
              <w:t>44</w:t>
            </w:r>
            <w:r w:rsidRPr="00C44880">
              <w:rPr>
                <w:sz w:val="22"/>
                <w:szCs w:val="22"/>
              </w:rPr>
              <w:t> </w:t>
            </w:r>
            <w:r w:rsidR="00C44880" w:rsidRPr="00C44880">
              <w:rPr>
                <w:sz w:val="22"/>
                <w:szCs w:val="22"/>
              </w:rPr>
              <w:t>2</w:t>
            </w:r>
            <w:r w:rsidRPr="00C44880">
              <w:rPr>
                <w:sz w:val="22"/>
                <w:szCs w:val="22"/>
              </w:rPr>
              <w:t>37</w:t>
            </w:r>
          </w:p>
        </w:tc>
        <w:tc>
          <w:tcPr>
            <w:tcW w:w="1276" w:type="dxa"/>
          </w:tcPr>
          <w:p w:rsidR="005B0615" w:rsidRPr="00C44880" w:rsidRDefault="005B0615" w:rsidP="009A7EE9">
            <w:pPr>
              <w:pStyle w:val="naisf"/>
              <w:spacing w:before="0" w:beforeAutospacing="0" w:after="0" w:afterAutospacing="0"/>
              <w:jc w:val="center"/>
              <w:rPr>
                <w:sz w:val="22"/>
                <w:szCs w:val="22"/>
              </w:rPr>
            </w:pPr>
          </w:p>
        </w:tc>
        <w:tc>
          <w:tcPr>
            <w:tcW w:w="1134" w:type="dxa"/>
          </w:tcPr>
          <w:p w:rsidR="005B0615" w:rsidRPr="004170B3" w:rsidRDefault="005B0615" w:rsidP="009A7EE9">
            <w:pPr>
              <w:pStyle w:val="naisf"/>
              <w:spacing w:before="0" w:beforeAutospacing="0" w:after="0" w:afterAutospacing="0"/>
              <w:jc w:val="center"/>
              <w:rPr>
                <w:sz w:val="22"/>
                <w:szCs w:val="22"/>
              </w:rPr>
            </w:pPr>
          </w:p>
        </w:tc>
        <w:tc>
          <w:tcPr>
            <w:tcW w:w="1182" w:type="dxa"/>
          </w:tcPr>
          <w:p w:rsidR="005B0615" w:rsidRPr="004170B3" w:rsidRDefault="005B0615" w:rsidP="009A7EE9">
            <w:pPr>
              <w:pStyle w:val="naisf"/>
              <w:spacing w:before="0" w:beforeAutospacing="0" w:after="0" w:afterAutospacing="0"/>
              <w:jc w:val="center"/>
              <w:rPr>
                <w:sz w:val="22"/>
                <w:szCs w:val="22"/>
              </w:rPr>
            </w:pPr>
          </w:p>
        </w:tc>
      </w:tr>
      <w:tr w:rsidR="005B0615" w:rsidRPr="006807F6" w:rsidTr="00583D19">
        <w:trPr>
          <w:jc w:val="center"/>
        </w:trPr>
        <w:tc>
          <w:tcPr>
            <w:tcW w:w="2830" w:type="dxa"/>
          </w:tcPr>
          <w:p w:rsidR="005B0615" w:rsidRPr="004170B3" w:rsidRDefault="00A37ADF" w:rsidP="009A7EE9">
            <w:pPr>
              <w:rPr>
                <w:i/>
                <w:sz w:val="22"/>
                <w:szCs w:val="22"/>
              </w:rPr>
            </w:pPr>
            <w:r w:rsidRPr="004170B3">
              <w:rPr>
                <w:i/>
                <w:sz w:val="22"/>
                <w:szCs w:val="22"/>
              </w:rPr>
              <w:t>Labklājības ministrija</w:t>
            </w:r>
          </w:p>
        </w:tc>
        <w:tc>
          <w:tcPr>
            <w:tcW w:w="1560" w:type="dxa"/>
          </w:tcPr>
          <w:p w:rsidR="005B0615" w:rsidRPr="004170B3" w:rsidRDefault="002B19A5" w:rsidP="00A85919">
            <w:pPr>
              <w:pStyle w:val="naisf"/>
              <w:spacing w:before="0" w:beforeAutospacing="0" w:after="0" w:afterAutospacing="0"/>
              <w:ind w:left="-124" w:right="-116"/>
              <w:jc w:val="center"/>
              <w:rPr>
                <w:sz w:val="22"/>
                <w:szCs w:val="22"/>
              </w:rPr>
            </w:pPr>
            <w:r w:rsidRPr="004170B3">
              <w:rPr>
                <w:sz w:val="22"/>
                <w:szCs w:val="22"/>
              </w:rPr>
              <w:t>586 431 322</w:t>
            </w:r>
          </w:p>
        </w:tc>
        <w:tc>
          <w:tcPr>
            <w:tcW w:w="1275" w:type="dxa"/>
          </w:tcPr>
          <w:p w:rsidR="005B0615" w:rsidRPr="004170B3" w:rsidRDefault="00285775" w:rsidP="002B19A5">
            <w:pPr>
              <w:pStyle w:val="naisf"/>
              <w:spacing w:before="0" w:beforeAutospacing="0" w:after="0" w:afterAutospacing="0"/>
              <w:ind w:left="-100" w:right="-56"/>
              <w:jc w:val="right"/>
              <w:rPr>
                <w:sz w:val="22"/>
                <w:szCs w:val="22"/>
              </w:rPr>
            </w:pPr>
            <w:r w:rsidRPr="004170B3">
              <w:rPr>
                <w:sz w:val="22"/>
                <w:szCs w:val="22"/>
              </w:rPr>
              <w:t>-2 685 819</w:t>
            </w:r>
          </w:p>
        </w:tc>
        <w:tc>
          <w:tcPr>
            <w:tcW w:w="1276" w:type="dxa"/>
          </w:tcPr>
          <w:p w:rsidR="005B0615" w:rsidRPr="004170B3" w:rsidRDefault="005B0615" w:rsidP="009A7EE9">
            <w:pPr>
              <w:pStyle w:val="naisf"/>
              <w:spacing w:before="0" w:beforeAutospacing="0" w:after="0" w:afterAutospacing="0"/>
              <w:jc w:val="center"/>
              <w:rPr>
                <w:sz w:val="22"/>
                <w:szCs w:val="22"/>
              </w:rPr>
            </w:pPr>
          </w:p>
        </w:tc>
        <w:tc>
          <w:tcPr>
            <w:tcW w:w="1134" w:type="dxa"/>
          </w:tcPr>
          <w:p w:rsidR="005B0615" w:rsidRPr="004170B3" w:rsidRDefault="005B0615" w:rsidP="009A7EE9">
            <w:pPr>
              <w:pStyle w:val="naisf"/>
              <w:spacing w:before="0" w:beforeAutospacing="0" w:after="0" w:afterAutospacing="0"/>
              <w:jc w:val="center"/>
              <w:rPr>
                <w:sz w:val="22"/>
                <w:szCs w:val="22"/>
              </w:rPr>
            </w:pPr>
          </w:p>
        </w:tc>
        <w:tc>
          <w:tcPr>
            <w:tcW w:w="1182" w:type="dxa"/>
          </w:tcPr>
          <w:p w:rsidR="005B0615" w:rsidRPr="004170B3" w:rsidRDefault="005B0615" w:rsidP="009A7EE9">
            <w:pPr>
              <w:pStyle w:val="naisf"/>
              <w:spacing w:before="0" w:beforeAutospacing="0" w:after="0" w:afterAutospacing="0"/>
              <w:jc w:val="center"/>
              <w:rPr>
                <w:sz w:val="22"/>
                <w:szCs w:val="22"/>
              </w:rPr>
            </w:pPr>
          </w:p>
        </w:tc>
      </w:tr>
      <w:tr w:rsidR="005B0615" w:rsidRPr="006807F6" w:rsidTr="00583D19">
        <w:trPr>
          <w:jc w:val="center"/>
        </w:trPr>
        <w:tc>
          <w:tcPr>
            <w:tcW w:w="2830" w:type="dxa"/>
          </w:tcPr>
          <w:p w:rsidR="005B0615" w:rsidRPr="004170B3" w:rsidRDefault="00A37ADF" w:rsidP="009A7EE9">
            <w:pPr>
              <w:rPr>
                <w:i/>
                <w:sz w:val="22"/>
                <w:szCs w:val="22"/>
              </w:rPr>
            </w:pPr>
            <w:r w:rsidRPr="004170B3">
              <w:rPr>
                <w:i/>
                <w:sz w:val="22"/>
                <w:szCs w:val="22"/>
              </w:rPr>
              <w:t>Tieslietu ministrija</w:t>
            </w:r>
          </w:p>
        </w:tc>
        <w:tc>
          <w:tcPr>
            <w:tcW w:w="1560" w:type="dxa"/>
          </w:tcPr>
          <w:p w:rsidR="005B0615" w:rsidRPr="004170B3" w:rsidRDefault="002B19A5" w:rsidP="00A85919">
            <w:pPr>
              <w:pStyle w:val="naisf"/>
              <w:spacing w:before="0" w:beforeAutospacing="0" w:after="0" w:afterAutospacing="0"/>
              <w:ind w:left="-124" w:right="-116"/>
              <w:jc w:val="center"/>
              <w:rPr>
                <w:sz w:val="22"/>
                <w:szCs w:val="22"/>
              </w:rPr>
            </w:pPr>
            <w:r w:rsidRPr="004170B3">
              <w:rPr>
                <w:sz w:val="22"/>
                <w:szCs w:val="22"/>
              </w:rPr>
              <w:t>186 939 153</w:t>
            </w:r>
          </w:p>
        </w:tc>
        <w:tc>
          <w:tcPr>
            <w:tcW w:w="1275" w:type="dxa"/>
          </w:tcPr>
          <w:p w:rsidR="005B0615" w:rsidRPr="004170B3" w:rsidRDefault="00285775" w:rsidP="002B19A5">
            <w:pPr>
              <w:pStyle w:val="naisf"/>
              <w:spacing w:before="0" w:beforeAutospacing="0" w:after="0" w:afterAutospacing="0"/>
              <w:jc w:val="right"/>
              <w:rPr>
                <w:sz w:val="22"/>
                <w:szCs w:val="22"/>
              </w:rPr>
            </w:pPr>
            <w:r w:rsidRPr="004170B3">
              <w:rPr>
                <w:sz w:val="22"/>
                <w:szCs w:val="22"/>
              </w:rPr>
              <w:t>-610 000</w:t>
            </w:r>
          </w:p>
        </w:tc>
        <w:tc>
          <w:tcPr>
            <w:tcW w:w="1276" w:type="dxa"/>
          </w:tcPr>
          <w:p w:rsidR="005B0615" w:rsidRPr="004170B3" w:rsidRDefault="005B0615" w:rsidP="009A7EE9">
            <w:pPr>
              <w:pStyle w:val="naisf"/>
              <w:spacing w:before="0" w:beforeAutospacing="0" w:after="0" w:afterAutospacing="0"/>
              <w:jc w:val="center"/>
              <w:rPr>
                <w:sz w:val="22"/>
                <w:szCs w:val="22"/>
              </w:rPr>
            </w:pPr>
          </w:p>
        </w:tc>
        <w:tc>
          <w:tcPr>
            <w:tcW w:w="1134" w:type="dxa"/>
          </w:tcPr>
          <w:p w:rsidR="005B0615" w:rsidRPr="004170B3" w:rsidRDefault="005B0615" w:rsidP="009A7EE9">
            <w:pPr>
              <w:pStyle w:val="naisf"/>
              <w:spacing w:before="0" w:beforeAutospacing="0" w:after="0" w:afterAutospacing="0"/>
              <w:jc w:val="center"/>
              <w:rPr>
                <w:sz w:val="22"/>
                <w:szCs w:val="22"/>
              </w:rPr>
            </w:pPr>
          </w:p>
        </w:tc>
        <w:tc>
          <w:tcPr>
            <w:tcW w:w="1182" w:type="dxa"/>
          </w:tcPr>
          <w:p w:rsidR="005B0615" w:rsidRPr="004170B3" w:rsidRDefault="005B0615" w:rsidP="009A7EE9">
            <w:pPr>
              <w:pStyle w:val="naisf"/>
              <w:spacing w:before="0" w:beforeAutospacing="0" w:after="0" w:afterAutospacing="0"/>
              <w:jc w:val="center"/>
              <w:rPr>
                <w:sz w:val="22"/>
                <w:szCs w:val="22"/>
              </w:rPr>
            </w:pPr>
          </w:p>
        </w:tc>
      </w:tr>
      <w:tr w:rsidR="00B64477" w:rsidRPr="006807F6" w:rsidTr="00583D19">
        <w:trPr>
          <w:jc w:val="center"/>
        </w:trPr>
        <w:tc>
          <w:tcPr>
            <w:tcW w:w="2830" w:type="dxa"/>
          </w:tcPr>
          <w:p w:rsidR="00B64477" w:rsidRPr="004170B3" w:rsidRDefault="000818D2" w:rsidP="009A7EE9">
            <w:pPr>
              <w:rPr>
                <w:i/>
                <w:sz w:val="22"/>
                <w:szCs w:val="22"/>
              </w:rPr>
            </w:pPr>
            <w:r w:rsidRPr="004170B3">
              <w:rPr>
                <w:i/>
                <w:sz w:val="22"/>
                <w:szCs w:val="22"/>
              </w:rPr>
              <w:t>Budžeta resors “74.</w:t>
            </w:r>
            <w:r w:rsidR="00B64477" w:rsidRPr="004170B3">
              <w:rPr>
                <w:i/>
                <w:sz w:val="22"/>
                <w:szCs w:val="22"/>
              </w:rPr>
              <w:t>Gadskārtējā valsts budžeta izpildes procesā pārdalāmais finansējums</w:t>
            </w:r>
            <w:r w:rsidRPr="004170B3">
              <w:rPr>
                <w:i/>
                <w:sz w:val="22"/>
                <w:szCs w:val="22"/>
              </w:rPr>
              <w:t>”</w:t>
            </w:r>
          </w:p>
        </w:tc>
        <w:tc>
          <w:tcPr>
            <w:tcW w:w="1560" w:type="dxa"/>
          </w:tcPr>
          <w:p w:rsidR="00B64477" w:rsidRPr="004170B3" w:rsidRDefault="002B19A5" w:rsidP="00A85919">
            <w:pPr>
              <w:pStyle w:val="naisf"/>
              <w:spacing w:before="0" w:beforeAutospacing="0" w:after="0" w:afterAutospacing="0"/>
              <w:ind w:left="-124" w:right="-116"/>
              <w:jc w:val="center"/>
              <w:rPr>
                <w:sz w:val="22"/>
                <w:szCs w:val="22"/>
              </w:rPr>
            </w:pPr>
            <w:r w:rsidRPr="004170B3">
              <w:rPr>
                <w:sz w:val="22"/>
                <w:szCs w:val="22"/>
              </w:rPr>
              <w:t>484 679 325</w:t>
            </w:r>
          </w:p>
        </w:tc>
        <w:tc>
          <w:tcPr>
            <w:tcW w:w="1275" w:type="dxa"/>
          </w:tcPr>
          <w:p w:rsidR="00B64477" w:rsidRPr="004170B3" w:rsidRDefault="00C44880" w:rsidP="002B19A5">
            <w:pPr>
              <w:pStyle w:val="naisf"/>
              <w:spacing w:before="0" w:beforeAutospacing="0" w:after="0" w:afterAutospacing="0"/>
              <w:jc w:val="right"/>
              <w:rPr>
                <w:sz w:val="22"/>
                <w:szCs w:val="22"/>
              </w:rPr>
            </w:pPr>
            <w:r>
              <w:rPr>
                <w:bCs/>
                <w:sz w:val="22"/>
                <w:szCs w:val="22"/>
              </w:rPr>
              <w:t>8 240 056</w:t>
            </w:r>
          </w:p>
        </w:tc>
        <w:tc>
          <w:tcPr>
            <w:tcW w:w="1276" w:type="dxa"/>
          </w:tcPr>
          <w:p w:rsidR="00B64477" w:rsidRPr="004170B3" w:rsidRDefault="00B64477" w:rsidP="009A7EE9">
            <w:pPr>
              <w:pStyle w:val="naisf"/>
              <w:spacing w:before="0" w:beforeAutospacing="0" w:after="0" w:afterAutospacing="0"/>
              <w:jc w:val="center"/>
              <w:rPr>
                <w:sz w:val="22"/>
                <w:szCs w:val="22"/>
              </w:rPr>
            </w:pPr>
          </w:p>
        </w:tc>
        <w:tc>
          <w:tcPr>
            <w:tcW w:w="1134" w:type="dxa"/>
          </w:tcPr>
          <w:p w:rsidR="00B64477" w:rsidRPr="004170B3" w:rsidRDefault="00B64477" w:rsidP="009A7EE9">
            <w:pPr>
              <w:pStyle w:val="naisf"/>
              <w:spacing w:before="0" w:beforeAutospacing="0" w:after="0" w:afterAutospacing="0"/>
              <w:jc w:val="center"/>
              <w:rPr>
                <w:sz w:val="22"/>
                <w:szCs w:val="22"/>
              </w:rPr>
            </w:pPr>
          </w:p>
        </w:tc>
        <w:tc>
          <w:tcPr>
            <w:tcW w:w="1182" w:type="dxa"/>
          </w:tcPr>
          <w:p w:rsidR="00B64477" w:rsidRPr="004170B3" w:rsidRDefault="00B64477" w:rsidP="009A7EE9">
            <w:pPr>
              <w:pStyle w:val="naisf"/>
              <w:spacing w:before="0" w:beforeAutospacing="0" w:after="0" w:afterAutospacing="0"/>
              <w:jc w:val="center"/>
              <w:rPr>
                <w:sz w:val="22"/>
                <w:szCs w:val="22"/>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2.2. valsts speciālais budžets</w:t>
            </w:r>
          </w:p>
        </w:tc>
        <w:tc>
          <w:tcPr>
            <w:tcW w:w="1560" w:type="dxa"/>
          </w:tcPr>
          <w:p w:rsidR="009A7EE9" w:rsidRPr="004170B3" w:rsidRDefault="004170B3" w:rsidP="009A7EE9">
            <w:pPr>
              <w:pStyle w:val="naisf"/>
              <w:spacing w:before="0" w:beforeAutospacing="0" w:after="0" w:afterAutospacing="0"/>
              <w:jc w:val="center"/>
              <w:rPr>
                <w:sz w:val="22"/>
                <w:szCs w:val="22"/>
              </w:rPr>
            </w:pPr>
            <w:r w:rsidRPr="004170B3">
              <w:rPr>
                <w:sz w:val="22"/>
                <w:szCs w:val="22"/>
              </w:rPr>
              <w:t>2 242 626 628</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 xml:space="preserve">2.3. pašvaldību budžets </w:t>
            </w:r>
          </w:p>
        </w:tc>
        <w:tc>
          <w:tcPr>
            <w:tcW w:w="1560"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3. Finansiālā ietekme:</w:t>
            </w:r>
          </w:p>
        </w:tc>
        <w:tc>
          <w:tcPr>
            <w:tcW w:w="1560" w:type="dxa"/>
            <w:shd w:val="clear" w:color="auto" w:fill="auto"/>
            <w:vAlign w:val="center"/>
          </w:tcPr>
          <w:p w:rsidR="009A7EE9" w:rsidRPr="004170B3" w:rsidRDefault="004170B3" w:rsidP="009A7EE9">
            <w:pPr>
              <w:pStyle w:val="naisf"/>
              <w:spacing w:before="0" w:beforeAutospacing="0" w:after="0" w:afterAutospacing="0"/>
              <w:jc w:val="center"/>
              <w:rPr>
                <w:sz w:val="22"/>
                <w:szCs w:val="22"/>
              </w:rPr>
            </w:pPr>
            <w:r w:rsidRPr="004170B3">
              <w:rPr>
                <w:sz w:val="22"/>
                <w:szCs w:val="22"/>
              </w:rPr>
              <w:t>-284 197 055</w:t>
            </w:r>
          </w:p>
        </w:tc>
        <w:tc>
          <w:tcPr>
            <w:tcW w:w="1275" w:type="dxa"/>
          </w:tcPr>
          <w:p w:rsidR="009A7EE9" w:rsidRPr="004170B3" w:rsidRDefault="005437C3"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rPr>
                <w:sz w:val="22"/>
                <w:szCs w:val="22"/>
              </w:rPr>
            </w:pPr>
          </w:p>
        </w:tc>
        <w:tc>
          <w:tcPr>
            <w:tcW w:w="1134" w:type="dxa"/>
          </w:tcPr>
          <w:p w:rsidR="009A7EE9" w:rsidRPr="004170B3" w:rsidRDefault="009A7EE9" w:rsidP="009A7EE9">
            <w:pPr>
              <w:rPr>
                <w:sz w:val="22"/>
                <w:szCs w:val="22"/>
              </w:rPr>
            </w:pPr>
          </w:p>
        </w:tc>
        <w:tc>
          <w:tcPr>
            <w:tcW w:w="1182" w:type="dxa"/>
          </w:tcPr>
          <w:p w:rsidR="009A7EE9" w:rsidRPr="004170B3" w:rsidRDefault="009A7EE9" w:rsidP="009A7EE9">
            <w:pPr>
              <w:rPr>
                <w:sz w:val="22"/>
                <w:szCs w:val="22"/>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3.1. valsts pamatbudžets</w:t>
            </w:r>
          </w:p>
        </w:tc>
        <w:tc>
          <w:tcPr>
            <w:tcW w:w="1560" w:type="dxa"/>
            <w:shd w:val="clear" w:color="auto" w:fill="auto"/>
          </w:tcPr>
          <w:p w:rsidR="009A7EE9" w:rsidRPr="004170B3" w:rsidRDefault="004170B3" w:rsidP="009A7EE9">
            <w:pPr>
              <w:pStyle w:val="naisf"/>
              <w:spacing w:before="0" w:beforeAutospacing="0" w:after="0" w:afterAutospacing="0"/>
              <w:jc w:val="center"/>
              <w:rPr>
                <w:sz w:val="22"/>
                <w:szCs w:val="22"/>
              </w:rPr>
            </w:pPr>
            <w:r w:rsidRPr="004170B3">
              <w:rPr>
                <w:sz w:val="22"/>
                <w:szCs w:val="22"/>
              </w:rPr>
              <w:t>-388 754 674</w:t>
            </w:r>
          </w:p>
        </w:tc>
        <w:tc>
          <w:tcPr>
            <w:tcW w:w="1275" w:type="dxa"/>
          </w:tcPr>
          <w:p w:rsidR="009A7EE9" w:rsidRPr="004170B3" w:rsidRDefault="005437C3"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rPr>
                <w:sz w:val="22"/>
                <w:szCs w:val="22"/>
              </w:rPr>
            </w:pPr>
          </w:p>
        </w:tc>
        <w:tc>
          <w:tcPr>
            <w:tcW w:w="1134" w:type="dxa"/>
          </w:tcPr>
          <w:p w:rsidR="009A7EE9" w:rsidRPr="004170B3" w:rsidRDefault="009A7EE9" w:rsidP="009A7EE9">
            <w:pPr>
              <w:rPr>
                <w:sz w:val="22"/>
                <w:szCs w:val="22"/>
              </w:rPr>
            </w:pPr>
          </w:p>
        </w:tc>
        <w:tc>
          <w:tcPr>
            <w:tcW w:w="1182" w:type="dxa"/>
          </w:tcPr>
          <w:p w:rsidR="009A7EE9" w:rsidRPr="004170B3" w:rsidRDefault="009A7EE9" w:rsidP="009A7EE9">
            <w:pPr>
              <w:rPr>
                <w:sz w:val="22"/>
                <w:szCs w:val="22"/>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3.2. speciālais budžets</w:t>
            </w:r>
          </w:p>
        </w:tc>
        <w:tc>
          <w:tcPr>
            <w:tcW w:w="1560" w:type="dxa"/>
            <w:shd w:val="clear" w:color="auto" w:fill="auto"/>
          </w:tcPr>
          <w:p w:rsidR="009A7EE9" w:rsidRPr="004170B3" w:rsidRDefault="004170B3" w:rsidP="009A7EE9">
            <w:pPr>
              <w:pStyle w:val="naisf"/>
              <w:spacing w:before="0" w:beforeAutospacing="0" w:after="0" w:afterAutospacing="0"/>
              <w:jc w:val="center"/>
              <w:rPr>
                <w:sz w:val="22"/>
                <w:szCs w:val="22"/>
              </w:rPr>
            </w:pPr>
            <w:r w:rsidRPr="004170B3">
              <w:rPr>
                <w:sz w:val="22"/>
                <w:szCs w:val="22"/>
              </w:rPr>
              <w:t>104 557 619</w:t>
            </w:r>
          </w:p>
        </w:tc>
        <w:tc>
          <w:tcPr>
            <w:tcW w:w="1275"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276"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34"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c>
          <w:tcPr>
            <w:tcW w:w="1182" w:type="dxa"/>
          </w:tcPr>
          <w:p w:rsidR="009A7EE9" w:rsidRPr="004170B3" w:rsidRDefault="009A7EE9" w:rsidP="009A7EE9">
            <w:pPr>
              <w:pStyle w:val="naisf"/>
              <w:spacing w:before="0" w:beforeAutospacing="0" w:after="0" w:afterAutospacing="0"/>
              <w:jc w:val="center"/>
              <w:rPr>
                <w:sz w:val="22"/>
                <w:szCs w:val="22"/>
              </w:rPr>
            </w:pPr>
            <w:r w:rsidRPr="004170B3">
              <w:rPr>
                <w:sz w:val="22"/>
                <w:szCs w:val="22"/>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 xml:space="preserve">3.3. pašvaldību budžets </w:t>
            </w:r>
          </w:p>
        </w:tc>
        <w:tc>
          <w:tcPr>
            <w:tcW w:w="1560" w:type="dxa"/>
            <w:shd w:val="clear" w:color="auto" w:fill="auto"/>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275"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276"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34"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82"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r>
      <w:tr w:rsidR="009A7EE9" w:rsidRPr="006807F6" w:rsidTr="00583D19">
        <w:trPr>
          <w:jc w:val="center"/>
        </w:trPr>
        <w:tc>
          <w:tcPr>
            <w:tcW w:w="2830" w:type="dxa"/>
            <w:vMerge w:val="restart"/>
          </w:tcPr>
          <w:p w:rsidR="009A7EE9" w:rsidRPr="006807F6" w:rsidRDefault="009A7EE9" w:rsidP="009A7EE9">
            <w:pPr>
              <w:rPr>
                <w:sz w:val="26"/>
                <w:szCs w:val="26"/>
              </w:rPr>
            </w:pPr>
            <w:r w:rsidRPr="006807F6">
              <w:rPr>
                <w:sz w:val="26"/>
                <w:szCs w:val="26"/>
              </w:rPr>
              <w:t>4. Finanšu līdzekļi papildu izdevumu finansēšanai (kompensējošu izdevumu samazinājumu norāda ar "+" zīmi)</w:t>
            </w:r>
          </w:p>
        </w:tc>
        <w:tc>
          <w:tcPr>
            <w:tcW w:w="1560" w:type="dxa"/>
            <w:vMerge w:val="restart"/>
          </w:tcPr>
          <w:p w:rsidR="009A7EE9" w:rsidRPr="00CB2E04" w:rsidRDefault="009A7EE9" w:rsidP="009A7EE9">
            <w:pPr>
              <w:pStyle w:val="naisf"/>
              <w:spacing w:before="0" w:beforeAutospacing="0" w:after="0" w:afterAutospacing="0"/>
              <w:jc w:val="center"/>
              <w:rPr>
                <w:i/>
                <w:sz w:val="20"/>
                <w:szCs w:val="20"/>
              </w:rPr>
            </w:pPr>
            <w:r w:rsidRPr="00CB2E04">
              <w:rPr>
                <w:sz w:val="20"/>
                <w:szCs w:val="20"/>
              </w:rPr>
              <w:t>X</w:t>
            </w:r>
          </w:p>
        </w:tc>
        <w:tc>
          <w:tcPr>
            <w:tcW w:w="1275" w:type="dxa"/>
          </w:tcPr>
          <w:p w:rsidR="009A7EE9" w:rsidRPr="00CB2E04" w:rsidRDefault="009A7EE9" w:rsidP="009A7EE9">
            <w:pPr>
              <w:pStyle w:val="naisf"/>
              <w:spacing w:before="0" w:beforeAutospacing="0" w:after="0" w:afterAutospacing="0"/>
              <w:jc w:val="center"/>
              <w:rPr>
                <w:sz w:val="20"/>
                <w:szCs w:val="20"/>
              </w:rPr>
            </w:pPr>
          </w:p>
        </w:tc>
        <w:tc>
          <w:tcPr>
            <w:tcW w:w="1276"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34"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82"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r>
      <w:tr w:rsidR="009A7EE9" w:rsidRPr="006807F6" w:rsidTr="00583D19">
        <w:trPr>
          <w:jc w:val="center"/>
        </w:trPr>
        <w:tc>
          <w:tcPr>
            <w:tcW w:w="2830" w:type="dxa"/>
            <w:vMerge/>
          </w:tcPr>
          <w:p w:rsidR="009A7EE9" w:rsidRPr="006807F6" w:rsidRDefault="009A7EE9" w:rsidP="009A7EE9">
            <w:pPr>
              <w:rPr>
                <w:sz w:val="26"/>
                <w:szCs w:val="26"/>
              </w:rPr>
            </w:pPr>
          </w:p>
        </w:tc>
        <w:tc>
          <w:tcPr>
            <w:tcW w:w="1560" w:type="dxa"/>
            <w:vMerge/>
          </w:tcPr>
          <w:p w:rsidR="009A7EE9" w:rsidRPr="00CB2E04" w:rsidRDefault="009A7EE9" w:rsidP="009A7EE9">
            <w:pPr>
              <w:pStyle w:val="naisf"/>
              <w:spacing w:before="0" w:beforeAutospacing="0" w:after="0" w:afterAutospacing="0"/>
              <w:jc w:val="center"/>
              <w:rPr>
                <w:i/>
                <w:sz w:val="20"/>
                <w:szCs w:val="20"/>
              </w:rPr>
            </w:pPr>
          </w:p>
        </w:tc>
        <w:tc>
          <w:tcPr>
            <w:tcW w:w="1275" w:type="dxa"/>
          </w:tcPr>
          <w:p w:rsidR="009A7EE9" w:rsidRPr="00CB2E04" w:rsidRDefault="009A7EE9" w:rsidP="009A7EE9">
            <w:pPr>
              <w:pStyle w:val="naisf"/>
              <w:spacing w:before="0" w:beforeAutospacing="0" w:after="0" w:afterAutospacing="0"/>
              <w:jc w:val="center"/>
              <w:rPr>
                <w:sz w:val="20"/>
                <w:szCs w:val="20"/>
              </w:rPr>
            </w:pPr>
          </w:p>
        </w:tc>
        <w:tc>
          <w:tcPr>
            <w:tcW w:w="1276"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34"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82"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r>
      <w:tr w:rsidR="009A7EE9" w:rsidRPr="006807F6" w:rsidTr="00583D19">
        <w:trPr>
          <w:jc w:val="center"/>
        </w:trPr>
        <w:tc>
          <w:tcPr>
            <w:tcW w:w="2830" w:type="dxa"/>
            <w:vMerge/>
          </w:tcPr>
          <w:p w:rsidR="009A7EE9" w:rsidRPr="006807F6" w:rsidRDefault="009A7EE9" w:rsidP="009A7EE9">
            <w:pPr>
              <w:rPr>
                <w:sz w:val="26"/>
                <w:szCs w:val="26"/>
              </w:rPr>
            </w:pPr>
          </w:p>
        </w:tc>
        <w:tc>
          <w:tcPr>
            <w:tcW w:w="1560" w:type="dxa"/>
            <w:vMerge/>
          </w:tcPr>
          <w:p w:rsidR="009A7EE9" w:rsidRPr="00CB2E04" w:rsidRDefault="009A7EE9" w:rsidP="009A7EE9">
            <w:pPr>
              <w:pStyle w:val="naisf"/>
              <w:spacing w:before="0" w:beforeAutospacing="0" w:after="0" w:afterAutospacing="0"/>
              <w:jc w:val="center"/>
              <w:rPr>
                <w:i/>
                <w:sz w:val="20"/>
                <w:szCs w:val="20"/>
              </w:rPr>
            </w:pPr>
          </w:p>
        </w:tc>
        <w:tc>
          <w:tcPr>
            <w:tcW w:w="1275" w:type="dxa"/>
          </w:tcPr>
          <w:p w:rsidR="009A7EE9" w:rsidRPr="00CB2E04" w:rsidRDefault="005437C3" w:rsidP="009A7EE9">
            <w:pPr>
              <w:pStyle w:val="naisf"/>
              <w:spacing w:before="0" w:beforeAutospacing="0" w:after="0" w:afterAutospacing="0"/>
              <w:jc w:val="center"/>
              <w:rPr>
                <w:sz w:val="20"/>
                <w:szCs w:val="20"/>
              </w:rPr>
            </w:pPr>
            <w:r w:rsidRPr="00CB2E04">
              <w:rPr>
                <w:sz w:val="20"/>
                <w:szCs w:val="20"/>
              </w:rPr>
              <w:t>0</w:t>
            </w:r>
          </w:p>
        </w:tc>
        <w:tc>
          <w:tcPr>
            <w:tcW w:w="1276"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34"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182"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5. Precizēta finansiālā ietekme:</w:t>
            </w:r>
          </w:p>
        </w:tc>
        <w:tc>
          <w:tcPr>
            <w:tcW w:w="1560" w:type="dxa"/>
            <w:vMerge w:val="restart"/>
          </w:tcPr>
          <w:p w:rsidR="009A7EE9" w:rsidRPr="00CB2E04" w:rsidRDefault="009A7EE9" w:rsidP="009A7EE9">
            <w:pPr>
              <w:pStyle w:val="naisf"/>
              <w:spacing w:before="0" w:beforeAutospacing="0" w:after="0" w:afterAutospacing="0"/>
              <w:jc w:val="center"/>
              <w:rPr>
                <w:i/>
                <w:sz w:val="20"/>
                <w:szCs w:val="20"/>
              </w:rPr>
            </w:pPr>
            <w:r w:rsidRPr="00CB2E04">
              <w:rPr>
                <w:sz w:val="20"/>
                <w:szCs w:val="20"/>
              </w:rPr>
              <w:t>X</w:t>
            </w:r>
          </w:p>
        </w:tc>
        <w:tc>
          <w:tcPr>
            <w:tcW w:w="1275" w:type="dxa"/>
          </w:tcPr>
          <w:p w:rsidR="009A7EE9" w:rsidRPr="00CB2E04" w:rsidRDefault="009A7EE9" w:rsidP="009A7EE9">
            <w:pPr>
              <w:pStyle w:val="naisf"/>
              <w:spacing w:before="0" w:beforeAutospacing="0" w:after="0" w:afterAutospacing="0"/>
              <w:jc w:val="center"/>
              <w:rPr>
                <w:sz w:val="20"/>
                <w:szCs w:val="20"/>
              </w:rPr>
            </w:pPr>
            <w:r w:rsidRPr="00CB2E04">
              <w:rPr>
                <w:sz w:val="20"/>
                <w:szCs w:val="20"/>
              </w:rPr>
              <w:t>0</w:t>
            </w:r>
          </w:p>
        </w:tc>
        <w:tc>
          <w:tcPr>
            <w:tcW w:w="1276" w:type="dxa"/>
          </w:tcPr>
          <w:p w:rsidR="009A7EE9" w:rsidRPr="00CB2E04" w:rsidRDefault="009A7EE9" w:rsidP="009A7EE9">
            <w:pPr>
              <w:pStyle w:val="naisf"/>
              <w:spacing w:before="0" w:beforeAutospacing="0" w:after="0" w:afterAutospacing="0"/>
              <w:jc w:val="center"/>
              <w:rPr>
                <w:sz w:val="20"/>
                <w:szCs w:val="20"/>
              </w:rPr>
            </w:pPr>
          </w:p>
        </w:tc>
        <w:tc>
          <w:tcPr>
            <w:tcW w:w="1134" w:type="dxa"/>
          </w:tcPr>
          <w:p w:rsidR="009A7EE9" w:rsidRPr="00CB2E04" w:rsidRDefault="009A7EE9" w:rsidP="009A7EE9">
            <w:pPr>
              <w:pStyle w:val="naisf"/>
              <w:spacing w:before="0" w:beforeAutospacing="0" w:after="0" w:afterAutospacing="0"/>
              <w:jc w:val="center"/>
              <w:rPr>
                <w:sz w:val="20"/>
                <w:szCs w:val="20"/>
              </w:rPr>
            </w:pPr>
          </w:p>
        </w:tc>
        <w:tc>
          <w:tcPr>
            <w:tcW w:w="1182" w:type="dxa"/>
          </w:tcPr>
          <w:p w:rsidR="009A7EE9" w:rsidRPr="00CB2E04" w:rsidRDefault="009A7EE9" w:rsidP="009A7EE9">
            <w:pPr>
              <w:pStyle w:val="naisf"/>
              <w:spacing w:before="0" w:beforeAutospacing="0" w:after="0" w:afterAutospacing="0"/>
              <w:jc w:val="center"/>
              <w:rPr>
                <w:sz w:val="20"/>
                <w:szCs w:val="20"/>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5.1. valsts pamatbudžets</w:t>
            </w:r>
          </w:p>
        </w:tc>
        <w:tc>
          <w:tcPr>
            <w:tcW w:w="1560"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7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34"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82"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5.2. speciālais budžets</w:t>
            </w:r>
          </w:p>
        </w:tc>
        <w:tc>
          <w:tcPr>
            <w:tcW w:w="1560"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7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34"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82"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 xml:space="preserve">5.3. pašvaldību budžets </w:t>
            </w:r>
          </w:p>
        </w:tc>
        <w:tc>
          <w:tcPr>
            <w:tcW w:w="1560"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7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34"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82"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583D19">
        <w:trPr>
          <w:trHeight w:val="1571"/>
          <w:jc w:val="center"/>
        </w:trPr>
        <w:tc>
          <w:tcPr>
            <w:tcW w:w="2830" w:type="dxa"/>
          </w:tcPr>
          <w:p w:rsidR="009A7EE9" w:rsidRPr="006807F6" w:rsidRDefault="009A7EE9" w:rsidP="009A7EE9">
            <w:pPr>
              <w:rPr>
                <w:sz w:val="26"/>
                <w:szCs w:val="26"/>
              </w:rPr>
            </w:pPr>
            <w:r w:rsidRPr="006807F6">
              <w:rPr>
                <w:sz w:val="26"/>
                <w:szCs w:val="26"/>
              </w:rPr>
              <w:t>6. Detalizēts ieņēmumu un izdevumu aprēķins (ja nepie</w:t>
            </w:r>
            <w:r w:rsidRPr="006807F6">
              <w:rPr>
                <w:sz w:val="26"/>
                <w:szCs w:val="26"/>
              </w:rPr>
              <w:softHyphen/>
              <w:t>ciešams, detalizētu ieņēmumu un izdevumu aprēķinu var pie</w:t>
            </w:r>
            <w:r w:rsidRPr="006807F6">
              <w:rPr>
                <w:sz w:val="26"/>
                <w:szCs w:val="26"/>
              </w:rPr>
              <w:softHyphen/>
              <w:t>vienot anotācijas pielikumā):</w:t>
            </w:r>
          </w:p>
        </w:tc>
        <w:tc>
          <w:tcPr>
            <w:tcW w:w="6427" w:type="dxa"/>
            <w:gridSpan w:val="5"/>
            <w:vMerge w:val="restart"/>
            <w:vAlign w:val="center"/>
          </w:tcPr>
          <w:p w:rsidR="009A7EE9" w:rsidRPr="006807F6" w:rsidRDefault="009A7EE9" w:rsidP="009A7EE9">
            <w:pPr>
              <w:jc w:val="both"/>
              <w:rPr>
                <w:color w:val="000000"/>
                <w:sz w:val="26"/>
                <w:szCs w:val="26"/>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6.1. detalizēts ieņēmumu aprēķins</w:t>
            </w:r>
          </w:p>
        </w:tc>
        <w:tc>
          <w:tcPr>
            <w:tcW w:w="6427" w:type="dxa"/>
            <w:gridSpan w:val="5"/>
            <w:vMerge/>
          </w:tcPr>
          <w:p w:rsidR="009A7EE9" w:rsidRPr="006807F6" w:rsidRDefault="009A7EE9" w:rsidP="009A7EE9">
            <w:pPr>
              <w:pStyle w:val="naisf"/>
              <w:spacing w:before="0" w:beforeAutospacing="0" w:after="0" w:afterAutospacing="0"/>
              <w:rPr>
                <w:b/>
                <w:i/>
                <w:sz w:val="26"/>
                <w:szCs w:val="26"/>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6.2. detalizēts izdevumu aprēķins</w:t>
            </w:r>
          </w:p>
        </w:tc>
        <w:tc>
          <w:tcPr>
            <w:tcW w:w="6427" w:type="dxa"/>
            <w:gridSpan w:val="5"/>
            <w:vMerge/>
          </w:tcPr>
          <w:p w:rsidR="009A7EE9" w:rsidRPr="006807F6" w:rsidRDefault="009A7EE9" w:rsidP="009A7EE9">
            <w:pPr>
              <w:pStyle w:val="naisf"/>
              <w:spacing w:before="0" w:beforeAutospacing="0" w:after="0" w:afterAutospacing="0"/>
              <w:rPr>
                <w:b/>
                <w:i/>
                <w:sz w:val="26"/>
                <w:szCs w:val="26"/>
              </w:rPr>
            </w:pPr>
          </w:p>
        </w:tc>
      </w:tr>
      <w:tr w:rsidR="009A7EE9" w:rsidRPr="006807F6" w:rsidTr="00583D19">
        <w:trPr>
          <w:jc w:val="center"/>
        </w:trPr>
        <w:tc>
          <w:tcPr>
            <w:tcW w:w="2830" w:type="dxa"/>
          </w:tcPr>
          <w:p w:rsidR="009A7EE9" w:rsidRPr="006807F6" w:rsidRDefault="009A7EE9" w:rsidP="009A7EE9">
            <w:pPr>
              <w:rPr>
                <w:sz w:val="26"/>
                <w:szCs w:val="26"/>
              </w:rPr>
            </w:pPr>
            <w:r w:rsidRPr="006807F6">
              <w:rPr>
                <w:sz w:val="26"/>
                <w:szCs w:val="26"/>
              </w:rPr>
              <w:t>7. Cita informācija</w:t>
            </w:r>
          </w:p>
        </w:tc>
        <w:tc>
          <w:tcPr>
            <w:tcW w:w="6427" w:type="dxa"/>
            <w:gridSpan w:val="5"/>
          </w:tcPr>
          <w:p w:rsidR="00FE6AF4" w:rsidRPr="00D97850" w:rsidRDefault="005437C3" w:rsidP="002D3E38">
            <w:pPr>
              <w:pStyle w:val="naisf"/>
              <w:spacing w:before="120" w:beforeAutospacing="0" w:after="120" w:afterAutospacing="0"/>
              <w:jc w:val="both"/>
              <w:rPr>
                <w:sz w:val="26"/>
                <w:szCs w:val="26"/>
              </w:rPr>
            </w:pPr>
            <w:r w:rsidRPr="002D3E38">
              <w:rPr>
                <w:sz w:val="26"/>
                <w:szCs w:val="26"/>
              </w:rPr>
              <w:t xml:space="preserve">Finansējums tiks pārdalīts </w:t>
            </w:r>
            <w:r w:rsidR="00156E18" w:rsidRPr="002D3E38">
              <w:rPr>
                <w:sz w:val="26"/>
                <w:szCs w:val="26"/>
              </w:rPr>
              <w:t xml:space="preserve">no </w:t>
            </w:r>
            <w:r w:rsidR="000818D2" w:rsidRPr="002D3E38">
              <w:rPr>
                <w:sz w:val="26"/>
                <w:szCs w:val="26"/>
              </w:rPr>
              <w:t xml:space="preserve">Valsts prezidenta kancelejas programmas 04.00.00 “Valsts prezidenta darbības nodrošināšana”, </w:t>
            </w:r>
            <w:r w:rsidR="0091691A" w:rsidRPr="002D3E38">
              <w:rPr>
                <w:rFonts w:eastAsiaTheme="minorHAnsi"/>
                <w:sz w:val="26"/>
                <w:szCs w:val="26"/>
                <w:lang w:eastAsia="en-US"/>
              </w:rPr>
              <w:t xml:space="preserve">Ekonomikas ministrijas programmas </w:t>
            </w:r>
            <w:r w:rsidR="0091691A" w:rsidRPr="002D3E38">
              <w:rPr>
                <w:sz w:val="26"/>
                <w:szCs w:val="26"/>
              </w:rPr>
              <w:lastRenderedPageBreak/>
              <w:t>29.00.00 “Enerģētikas politikas ieviešana”, Finanšu ministrijas programmas 33.00.00 “Valsts ieņēmumu un muitas politikas nodrošināšana”, apakšprogrammas 41.13.00 “Finansējums VAS “Valsts nekustamie īpašumi”</w:t>
            </w:r>
            <w:r w:rsidR="00D97850" w:rsidRPr="002D3E38">
              <w:rPr>
                <w:sz w:val="26"/>
                <w:szCs w:val="26"/>
              </w:rPr>
              <w:t xml:space="preserve"> īstenotajiem projektiem un pasākumiem”</w:t>
            </w:r>
            <w:r w:rsidR="0091691A" w:rsidRPr="002D3E38">
              <w:rPr>
                <w:sz w:val="26"/>
                <w:szCs w:val="26"/>
              </w:rPr>
              <w:t xml:space="preserve"> un apakšprogrammas 41.01.00 “Iemaksas Eiropas Kopienas budžetā”, Labklājības ministrijas apakšprogrammas 07.01.00 “Nodarbinātības valsts aģentūras darbības nodrošināšana”, apakšprogrammas 20.01.00 “Valsts sociālie pabalsti” un apakšprogrammas 20.02.00 “Izdienas pensijas”, Tieslietu ministrijas apakšprogrammas 04.02.00 “Ieslodzījuma vietu būvniecība” un programmas 43.00.00  “Satversmes aizsardzība” </w:t>
            </w:r>
            <w:r w:rsidR="00156E18" w:rsidRPr="002D3E38">
              <w:rPr>
                <w:sz w:val="26"/>
                <w:szCs w:val="26"/>
              </w:rPr>
              <w:t xml:space="preserve">uz </w:t>
            </w:r>
            <w:r w:rsidR="00BD7B24" w:rsidRPr="002D3E38">
              <w:rPr>
                <w:sz w:val="26"/>
                <w:szCs w:val="26"/>
              </w:rPr>
              <w:t xml:space="preserve">budžeta </w:t>
            </w:r>
            <w:r w:rsidR="00156E18" w:rsidRPr="002D3E38">
              <w:rPr>
                <w:sz w:val="26"/>
                <w:szCs w:val="26"/>
              </w:rPr>
              <w:t>resora “</w:t>
            </w:r>
            <w:r w:rsidR="00BD7B24" w:rsidRPr="002D3E38">
              <w:rPr>
                <w:sz w:val="26"/>
                <w:szCs w:val="26"/>
              </w:rPr>
              <w:t>74.</w:t>
            </w:r>
            <w:r w:rsidR="00156E18" w:rsidRPr="002D3E38">
              <w:rPr>
                <w:sz w:val="26"/>
                <w:szCs w:val="26"/>
              </w:rPr>
              <w:t>Gadskārtējā valsts budžeta izpildes procesā pārdalāmais finansējums” programmu 02.00.00 “Līdzekļi neparedzētiem gadījumiem”.</w:t>
            </w:r>
          </w:p>
        </w:tc>
      </w:tr>
    </w:tbl>
    <w:p w:rsidR="009A7EE9" w:rsidRPr="006807F6" w:rsidRDefault="009A7EE9" w:rsidP="009A7EE9">
      <w:pPr>
        <w:pStyle w:val="naisf"/>
        <w:spacing w:before="0" w:beforeAutospacing="0" w:after="0" w:afterAutospacing="0"/>
        <w:rPr>
          <w:sz w:val="26"/>
          <w:szCs w:val="26"/>
        </w:rPr>
      </w:pPr>
    </w:p>
    <w:p w:rsidR="009A7EE9" w:rsidRPr="006807F6" w:rsidRDefault="009A7EE9" w:rsidP="009A7EE9">
      <w:pPr>
        <w:pStyle w:val="naisf"/>
        <w:spacing w:before="0" w:beforeAutospacing="0" w:after="0" w:afterAutospacing="0"/>
        <w:rPr>
          <w:sz w:val="26"/>
          <w:szCs w:val="26"/>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9A7EE9" w:rsidRPr="006807F6" w:rsidTr="00A54AB7">
        <w:trPr>
          <w:trHeight w:val="381"/>
          <w:jc w:val="center"/>
        </w:trPr>
        <w:tc>
          <w:tcPr>
            <w:tcW w:w="9296" w:type="dxa"/>
            <w:gridSpan w:val="3"/>
            <w:vAlign w:val="center"/>
          </w:tcPr>
          <w:p w:rsidR="009A7EE9" w:rsidRPr="006807F6" w:rsidRDefault="009A7EE9" w:rsidP="009A7EE9">
            <w:pPr>
              <w:pStyle w:val="naisnod"/>
              <w:spacing w:before="0" w:beforeAutospacing="0" w:after="0" w:afterAutospacing="0"/>
              <w:ind w:left="57" w:right="57"/>
              <w:jc w:val="center"/>
              <w:rPr>
                <w:sz w:val="26"/>
                <w:szCs w:val="26"/>
              </w:rPr>
            </w:pPr>
            <w:r w:rsidRPr="006807F6">
              <w:rPr>
                <w:b/>
                <w:sz w:val="26"/>
                <w:szCs w:val="26"/>
              </w:rPr>
              <w:t>VII. Tiesību akta projekta izpildes nodrošināšana un tās ietekme uz institūcijām</w:t>
            </w:r>
          </w:p>
        </w:tc>
      </w:tr>
      <w:tr w:rsidR="009A7EE9" w:rsidRPr="006807F6" w:rsidTr="00A54AB7">
        <w:trPr>
          <w:trHeight w:val="427"/>
          <w:jc w:val="center"/>
        </w:trPr>
        <w:tc>
          <w:tcPr>
            <w:tcW w:w="437" w:type="dxa"/>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1.</w:t>
            </w:r>
          </w:p>
        </w:tc>
        <w:tc>
          <w:tcPr>
            <w:tcW w:w="3615" w:type="dxa"/>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Projekta izpildē iesaistītās institūcijas</w:t>
            </w:r>
          </w:p>
        </w:tc>
        <w:tc>
          <w:tcPr>
            <w:tcW w:w="5244" w:type="dxa"/>
          </w:tcPr>
          <w:p w:rsidR="00FE6AF4" w:rsidRPr="006807F6" w:rsidRDefault="000818D2" w:rsidP="002D3E38">
            <w:pPr>
              <w:shd w:val="clear" w:color="auto" w:fill="FFFFFF"/>
              <w:spacing w:before="120" w:after="120"/>
              <w:jc w:val="both"/>
              <w:rPr>
                <w:sz w:val="26"/>
                <w:szCs w:val="26"/>
              </w:rPr>
            </w:pPr>
            <w:r w:rsidRPr="002D3E38">
              <w:rPr>
                <w:bCs/>
                <w:color w:val="000000"/>
                <w:sz w:val="26"/>
                <w:szCs w:val="26"/>
              </w:rPr>
              <w:t xml:space="preserve">Valsts prezidenta kanceleja, </w:t>
            </w:r>
            <w:r w:rsidR="009A7EE9" w:rsidRPr="002D3E38">
              <w:rPr>
                <w:bCs/>
                <w:color w:val="000000"/>
                <w:sz w:val="26"/>
                <w:szCs w:val="26"/>
              </w:rPr>
              <w:t>Finanšu ministrija</w:t>
            </w:r>
            <w:r w:rsidR="00D444BA" w:rsidRPr="002D3E38">
              <w:rPr>
                <w:bCs/>
                <w:color w:val="000000"/>
                <w:sz w:val="26"/>
                <w:szCs w:val="26"/>
              </w:rPr>
              <w:t>, Ekonomikas ministrija, Labklājības</w:t>
            </w:r>
            <w:r w:rsidR="00D444BA">
              <w:rPr>
                <w:bCs/>
                <w:color w:val="000000"/>
                <w:sz w:val="26"/>
                <w:szCs w:val="26"/>
              </w:rPr>
              <w:t xml:space="preserve"> ministrija, Tieslietu ministrija</w:t>
            </w:r>
            <w:r w:rsidR="009A7EE9" w:rsidRPr="006807F6">
              <w:rPr>
                <w:bCs/>
                <w:color w:val="000000"/>
                <w:sz w:val="26"/>
                <w:szCs w:val="26"/>
              </w:rPr>
              <w:t>.</w:t>
            </w:r>
          </w:p>
        </w:tc>
      </w:tr>
      <w:tr w:rsidR="009A7EE9" w:rsidRPr="006807F6" w:rsidTr="00A54AB7">
        <w:trPr>
          <w:trHeight w:val="463"/>
          <w:jc w:val="center"/>
        </w:trPr>
        <w:tc>
          <w:tcPr>
            <w:tcW w:w="437" w:type="dxa"/>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2.</w:t>
            </w:r>
          </w:p>
        </w:tc>
        <w:tc>
          <w:tcPr>
            <w:tcW w:w="3615" w:type="dxa"/>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Projekta izpildes ietekme uz pār</w:t>
            </w:r>
            <w:r w:rsidRPr="006807F6">
              <w:rPr>
                <w:sz w:val="26"/>
                <w:szCs w:val="26"/>
              </w:rPr>
              <w:softHyphen/>
              <w:t>valdes funkcijām un institucionālo struktūru.</w:t>
            </w:r>
          </w:p>
          <w:p w:rsidR="009A7EE9" w:rsidRPr="006807F6" w:rsidRDefault="009A7EE9" w:rsidP="009A7EE9">
            <w:pPr>
              <w:pStyle w:val="naisf"/>
              <w:spacing w:before="0" w:beforeAutospacing="0" w:after="0" w:afterAutospacing="0"/>
              <w:ind w:left="57" w:right="57"/>
              <w:rPr>
                <w:sz w:val="26"/>
                <w:szCs w:val="26"/>
              </w:rPr>
            </w:pPr>
            <w:r w:rsidRPr="006807F6">
              <w:rPr>
                <w:sz w:val="26"/>
                <w:szCs w:val="26"/>
              </w:rPr>
              <w:t>Jaunu institūciju izveide, esošu institūciju likvidācija vai reorga</w:t>
            </w:r>
            <w:r w:rsidRPr="006807F6">
              <w:rPr>
                <w:sz w:val="26"/>
                <w:szCs w:val="26"/>
              </w:rPr>
              <w:softHyphen/>
              <w:t>nizācija, to ietekme uz institūcijas cilvēkresursiem.</w:t>
            </w:r>
          </w:p>
        </w:tc>
        <w:tc>
          <w:tcPr>
            <w:tcW w:w="5244" w:type="dxa"/>
          </w:tcPr>
          <w:p w:rsidR="009A7EE9" w:rsidRPr="006807F6" w:rsidRDefault="009A7EE9" w:rsidP="002D3E38">
            <w:pPr>
              <w:shd w:val="clear" w:color="auto" w:fill="FFFFFF"/>
              <w:spacing w:before="120" w:after="120"/>
              <w:jc w:val="both"/>
              <w:rPr>
                <w:sz w:val="26"/>
                <w:szCs w:val="26"/>
              </w:rPr>
            </w:pPr>
            <w:r w:rsidRPr="006807F6">
              <w:rPr>
                <w:sz w:val="26"/>
                <w:szCs w:val="26"/>
              </w:rPr>
              <w:t>Projekts šo jomu neskar.</w:t>
            </w:r>
          </w:p>
          <w:p w:rsidR="009A7EE9" w:rsidRPr="006807F6" w:rsidRDefault="009A7EE9" w:rsidP="009A7EE9">
            <w:pPr>
              <w:shd w:val="clear" w:color="auto" w:fill="FFFFFF"/>
              <w:jc w:val="both"/>
              <w:rPr>
                <w:sz w:val="26"/>
                <w:szCs w:val="26"/>
              </w:rPr>
            </w:pPr>
          </w:p>
        </w:tc>
      </w:tr>
      <w:tr w:rsidR="009A7EE9" w:rsidRPr="006807F6" w:rsidTr="00A54AB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Cita informācija</w:t>
            </w:r>
          </w:p>
        </w:tc>
        <w:tc>
          <w:tcPr>
            <w:tcW w:w="5244"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ind w:left="57" w:right="57"/>
              <w:jc w:val="both"/>
              <w:rPr>
                <w:sz w:val="26"/>
                <w:szCs w:val="26"/>
              </w:rPr>
            </w:pPr>
            <w:r w:rsidRPr="006807F6">
              <w:rPr>
                <w:sz w:val="26"/>
                <w:szCs w:val="26"/>
              </w:rPr>
              <w:t>Nav.</w:t>
            </w:r>
          </w:p>
        </w:tc>
      </w:tr>
    </w:tbl>
    <w:p w:rsidR="009A7EE9" w:rsidRPr="00584E72" w:rsidRDefault="009A7EE9" w:rsidP="009A7EE9">
      <w:pPr>
        <w:pStyle w:val="naisf"/>
        <w:spacing w:before="0" w:beforeAutospacing="0" w:after="0" w:afterAutospacing="0"/>
        <w:rPr>
          <w:i/>
          <w:sz w:val="26"/>
          <w:szCs w:val="26"/>
        </w:rPr>
      </w:pPr>
      <w:r w:rsidRPr="00584E72">
        <w:rPr>
          <w:i/>
          <w:sz w:val="26"/>
          <w:szCs w:val="26"/>
        </w:rPr>
        <w:t xml:space="preserve">Anotācijas II, IV, V, </w:t>
      </w:r>
      <w:r w:rsidRPr="00584E72">
        <w:rPr>
          <w:bCs/>
          <w:i/>
          <w:sz w:val="26"/>
          <w:szCs w:val="26"/>
        </w:rPr>
        <w:t xml:space="preserve">VI </w:t>
      </w:r>
      <w:r w:rsidRPr="00584E72">
        <w:rPr>
          <w:i/>
          <w:sz w:val="26"/>
          <w:szCs w:val="26"/>
        </w:rPr>
        <w:t>sadaļa – projekts šīs jomas neskar.</w:t>
      </w:r>
    </w:p>
    <w:p w:rsidR="009A7EE9" w:rsidRPr="006807F6" w:rsidRDefault="009A7EE9" w:rsidP="009A7EE9">
      <w:pPr>
        <w:ind w:left="283" w:firstLine="437"/>
        <w:rPr>
          <w:sz w:val="26"/>
          <w:szCs w:val="26"/>
        </w:rPr>
      </w:pPr>
    </w:p>
    <w:p w:rsidR="00171A81" w:rsidRPr="006807F6" w:rsidRDefault="00171A81" w:rsidP="009A7EE9">
      <w:pPr>
        <w:ind w:left="283" w:firstLine="437"/>
        <w:rPr>
          <w:sz w:val="26"/>
          <w:szCs w:val="26"/>
        </w:rPr>
      </w:pPr>
    </w:p>
    <w:p w:rsidR="00D444BA" w:rsidRDefault="0091691A" w:rsidP="00E218B9">
      <w:pPr>
        <w:pStyle w:val="BodyText"/>
        <w:jc w:val="both"/>
        <w:rPr>
          <w:sz w:val="26"/>
          <w:szCs w:val="26"/>
        </w:rPr>
      </w:pPr>
      <w:r w:rsidRPr="0091691A">
        <w:rPr>
          <w:sz w:val="26"/>
          <w:szCs w:val="26"/>
        </w:rPr>
        <w:t xml:space="preserve">Finanšu ministre                             </w:t>
      </w:r>
      <w:r>
        <w:rPr>
          <w:sz w:val="26"/>
          <w:szCs w:val="26"/>
        </w:rPr>
        <w:t xml:space="preserve">                        </w:t>
      </w:r>
      <w:r w:rsidRPr="0091691A">
        <w:rPr>
          <w:sz w:val="26"/>
          <w:szCs w:val="26"/>
        </w:rPr>
        <w:t xml:space="preserve">        </w:t>
      </w:r>
      <w:r w:rsidRPr="0091691A">
        <w:rPr>
          <w:sz w:val="26"/>
          <w:szCs w:val="26"/>
        </w:rPr>
        <w:tab/>
      </w:r>
      <w:r w:rsidRPr="0091691A">
        <w:rPr>
          <w:sz w:val="26"/>
          <w:szCs w:val="26"/>
        </w:rPr>
        <w:tab/>
      </w:r>
      <w:r>
        <w:rPr>
          <w:sz w:val="26"/>
          <w:szCs w:val="26"/>
        </w:rPr>
        <w:t xml:space="preserve">      </w:t>
      </w:r>
      <w:r w:rsidRPr="0091691A">
        <w:rPr>
          <w:sz w:val="26"/>
          <w:szCs w:val="26"/>
        </w:rPr>
        <w:t xml:space="preserve">  D.</w:t>
      </w:r>
      <w:r>
        <w:rPr>
          <w:sz w:val="26"/>
          <w:szCs w:val="26"/>
        </w:rPr>
        <w:t xml:space="preserve"> </w:t>
      </w:r>
      <w:r w:rsidRPr="0091691A">
        <w:rPr>
          <w:sz w:val="26"/>
          <w:szCs w:val="26"/>
        </w:rPr>
        <w:t>Reizniece-Ozola</w:t>
      </w:r>
      <w:r w:rsidRPr="0091691A">
        <w:rPr>
          <w:sz w:val="26"/>
          <w:szCs w:val="26"/>
        </w:rPr>
        <w:tab/>
      </w:r>
    </w:p>
    <w:p w:rsidR="00E218B9" w:rsidRDefault="00E218B9" w:rsidP="00E218B9">
      <w:pPr>
        <w:pStyle w:val="BodyText"/>
        <w:jc w:val="both"/>
        <w:rPr>
          <w:sz w:val="20"/>
          <w:szCs w:val="20"/>
        </w:rPr>
      </w:pPr>
    </w:p>
    <w:p w:rsidR="00171A81" w:rsidRDefault="00171A81" w:rsidP="00E218B9">
      <w:pPr>
        <w:pStyle w:val="BodyText"/>
        <w:jc w:val="both"/>
        <w:rPr>
          <w:sz w:val="20"/>
          <w:szCs w:val="20"/>
        </w:rPr>
      </w:pPr>
    </w:p>
    <w:p w:rsidR="000C703D" w:rsidRPr="00BC3FCD" w:rsidRDefault="000C703D" w:rsidP="000C703D">
      <w:pPr>
        <w:pStyle w:val="BodyText"/>
        <w:jc w:val="left"/>
        <w:rPr>
          <w:sz w:val="20"/>
          <w:szCs w:val="20"/>
        </w:rPr>
      </w:pPr>
    </w:p>
    <w:p w:rsidR="000C703D" w:rsidRPr="00BC3FCD" w:rsidRDefault="0091691A" w:rsidP="000C703D">
      <w:pPr>
        <w:pStyle w:val="BodyText"/>
        <w:jc w:val="left"/>
        <w:rPr>
          <w:sz w:val="20"/>
          <w:szCs w:val="20"/>
        </w:rPr>
      </w:pPr>
      <w:r>
        <w:rPr>
          <w:sz w:val="20"/>
          <w:szCs w:val="20"/>
        </w:rPr>
        <w:t>Gross</w:t>
      </w:r>
      <w:r w:rsidR="00BF7635">
        <w:rPr>
          <w:sz w:val="20"/>
          <w:szCs w:val="20"/>
        </w:rPr>
        <w:t>,</w:t>
      </w:r>
      <w:r w:rsidR="000C703D" w:rsidRPr="00BC3FCD">
        <w:rPr>
          <w:sz w:val="20"/>
          <w:szCs w:val="20"/>
        </w:rPr>
        <w:t xml:space="preserve"> </w:t>
      </w:r>
      <w:r w:rsidR="00BF7635">
        <w:rPr>
          <w:sz w:val="20"/>
          <w:szCs w:val="20"/>
        </w:rPr>
        <w:t>6</w:t>
      </w:r>
      <w:r w:rsidR="00BF7635" w:rsidRPr="00BC3FCD">
        <w:rPr>
          <w:sz w:val="20"/>
          <w:szCs w:val="20"/>
        </w:rPr>
        <w:t>7083</w:t>
      </w:r>
      <w:r w:rsidR="00BF7635">
        <w:rPr>
          <w:sz w:val="20"/>
          <w:szCs w:val="20"/>
        </w:rPr>
        <w:t>996</w:t>
      </w:r>
    </w:p>
    <w:p w:rsidR="000C703D" w:rsidRPr="00626BC3" w:rsidRDefault="00FA0AC6" w:rsidP="000C703D">
      <w:pPr>
        <w:pStyle w:val="BodyText"/>
        <w:jc w:val="left"/>
        <w:rPr>
          <w:sz w:val="20"/>
          <w:szCs w:val="20"/>
        </w:rPr>
      </w:pPr>
      <w:hyperlink r:id="rId7" w:history="1">
        <w:r w:rsidR="0091691A" w:rsidRPr="001D3752">
          <w:rPr>
            <w:rStyle w:val="Hyperlink"/>
            <w:sz w:val="20"/>
            <w:szCs w:val="20"/>
          </w:rPr>
          <w:t>Eduards.Gross@fm.gov.lv</w:t>
        </w:r>
      </w:hyperlink>
    </w:p>
    <w:p w:rsidR="002204E8" w:rsidRDefault="002204E8" w:rsidP="000C703D">
      <w:pPr>
        <w:pStyle w:val="BodyText"/>
        <w:jc w:val="left"/>
      </w:pPr>
    </w:p>
    <w:sectPr w:rsidR="002204E8" w:rsidSect="002D3E38">
      <w:headerReference w:type="default" r:id="rId8"/>
      <w:footerReference w:type="default" r:id="rId9"/>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E7" w:rsidRDefault="002B5EE7" w:rsidP="009A7EE9">
      <w:r>
        <w:separator/>
      </w:r>
    </w:p>
  </w:endnote>
  <w:endnote w:type="continuationSeparator" w:id="0">
    <w:p w:rsidR="002B5EE7" w:rsidRDefault="002B5EE7"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4D" w:rsidRPr="002A4B44" w:rsidRDefault="0091691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21AC1">
      <w:rPr>
        <w:noProof/>
        <w:sz w:val="20"/>
        <w:szCs w:val="20"/>
      </w:rPr>
      <w:t>FMAnot_011116.docx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E7" w:rsidRDefault="002B5EE7" w:rsidP="009A7EE9">
      <w:r>
        <w:separator/>
      </w:r>
    </w:p>
  </w:footnote>
  <w:footnote w:type="continuationSeparator" w:id="0">
    <w:p w:rsidR="002B5EE7" w:rsidRDefault="002B5EE7" w:rsidP="009A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12465"/>
      <w:docPartObj>
        <w:docPartGallery w:val="Page Numbers (Top of Page)"/>
        <w:docPartUnique/>
      </w:docPartObj>
    </w:sdtPr>
    <w:sdtEndPr>
      <w:rPr>
        <w:noProof/>
      </w:rPr>
    </w:sdtEndPr>
    <w:sdtContent>
      <w:p w:rsidR="002D3E38" w:rsidRDefault="002D3E38">
        <w:pPr>
          <w:pStyle w:val="Header"/>
          <w:jc w:val="center"/>
        </w:pPr>
        <w:r>
          <w:fldChar w:fldCharType="begin"/>
        </w:r>
        <w:r>
          <w:instrText xml:space="preserve"> PAGE   \* MERGEFORMAT </w:instrText>
        </w:r>
        <w:r>
          <w:fldChar w:fldCharType="separate"/>
        </w:r>
        <w:r w:rsidR="00FA0AC6">
          <w:rPr>
            <w:noProof/>
          </w:rPr>
          <w:t>2</w:t>
        </w:r>
        <w:r>
          <w:rPr>
            <w:noProof/>
          </w:rPr>
          <w:fldChar w:fldCharType="end"/>
        </w:r>
      </w:p>
    </w:sdtContent>
  </w:sdt>
  <w:p w:rsidR="002D3E38" w:rsidRDefault="002D3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3"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5038A"/>
    <w:rsid w:val="000818D2"/>
    <w:rsid w:val="000B2CA0"/>
    <w:rsid w:val="000C703D"/>
    <w:rsid w:val="00156E18"/>
    <w:rsid w:val="00171A81"/>
    <w:rsid w:val="002204E8"/>
    <w:rsid w:val="00261740"/>
    <w:rsid w:val="00285775"/>
    <w:rsid w:val="002B19A5"/>
    <w:rsid w:val="002B3D2F"/>
    <w:rsid w:val="002B5EE7"/>
    <w:rsid w:val="002C3DC9"/>
    <w:rsid w:val="002D3E38"/>
    <w:rsid w:val="0032120D"/>
    <w:rsid w:val="00335619"/>
    <w:rsid w:val="003735E2"/>
    <w:rsid w:val="003C6F6D"/>
    <w:rsid w:val="004170B3"/>
    <w:rsid w:val="00474ED8"/>
    <w:rsid w:val="00482307"/>
    <w:rsid w:val="004A7D0E"/>
    <w:rsid w:val="005437C3"/>
    <w:rsid w:val="005802FC"/>
    <w:rsid w:val="00583D19"/>
    <w:rsid w:val="005B0615"/>
    <w:rsid w:val="00603455"/>
    <w:rsid w:val="00611862"/>
    <w:rsid w:val="00641D60"/>
    <w:rsid w:val="00751999"/>
    <w:rsid w:val="00763F04"/>
    <w:rsid w:val="007733C9"/>
    <w:rsid w:val="007C300C"/>
    <w:rsid w:val="007D693E"/>
    <w:rsid w:val="0086037C"/>
    <w:rsid w:val="008C0091"/>
    <w:rsid w:val="0091691A"/>
    <w:rsid w:val="0099499C"/>
    <w:rsid w:val="009A7EE9"/>
    <w:rsid w:val="00A11E5A"/>
    <w:rsid w:val="00A310DC"/>
    <w:rsid w:val="00A37ADF"/>
    <w:rsid w:val="00A85919"/>
    <w:rsid w:val="00AA1528"/>
    <w:rsid w:val="00AB7DDF"/>
    <w:rsid w:val="00AC7C0E"/>
    <w:rsid w:val="00AD6E8B"/>
    <w:rsid w:val="00B03683"/>
    <w:rsid w:val="00B14C2E"/>
    <w:rsid w:val="00B17BAC"/>
    <w:rsid w:val="00B2761E"/>
    <w:rsid w:val="00B61A29"/>
    <w:rsid w:val="00B64477"/>
    <w:rsid w:val="00B7663C"/>
    <w:rsid w:val="00B87AF4"/>
    <w:rsid w:val="00BD4180"/>
    <w:rsid w:val="00BD7B24"/>
    <w:rsid w:val="00BF7635"/>
    <w:rsid w:val="00C437F7"/>
    <w:rsid w:val="00C44880"/>
    <w:rsid w:val="00C621A0"/>
    <w:rsid w:val="00CB2E04"/>
    <w:rsid w:val="00CC1E07"/>
    <w:rsid w:val="00CF2F7B"/>
    <w:rsid w:val="00D444BA"/>
    <w:rsid w:val="00D97850"/>
    <w:rsid w:val="00DB1865"/>
    <w:rsid w:val="00E218B9"/>
    <w:rsid w:val="00F21AC1"/>
    <w:rsid w:val="00F32B28"/>
    <w:rsid w:val="00F95876"/>
    <w:rsid w:val="00FA0AC6"/>
    <w:rsid w:val="00FC73BD"/>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ards.Gross@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4653</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eduards.gross@fm.gov.lv</dc:creator>
  <cp:keywords/>
  <dc:description>Eduards.Gross@fm.gov.lv; 67083996</dc:description>
  <cp:lastModifiedBy>Eduards Gross</cp:lastModifiedBy>
  <cp:revision>40</cp:revision>
  <cp:lastPrinted>2015-11-09T06:44:00Z</cp:lastPrinted>
  <dcterms:created xsi:type="dcterms:W3CDTF">2016-10-25T12:20:00Z</dcterms:created>
  <dcterms:modified xsi:type="dcterms:W3CDTF">2016-11-02T07:13:00Z</dcterms:modified>
</cp:coreProperties>
</file>