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A1" w:rsidRPr="00631023" w:rsidRDefault="009919A1" w:rsidP="007721DD">
      <w:pPr>
        <w:jc w:val="center"/>
        <w:rPr>
          <w:b/>
          <w:bCs/>
        </w:rPr>
      </w:pPr>
      <w:bookmarkStart w:id="0" w:name="_GoBack"/>
      <w:bookmarkEnd w:id="0"/>
      <w:r w:rsidRPr="00631023">
        <w:rPr>
          <w:b/>
          <w:bCs/>
        </w:rPr>
        <w:t>Ministru kabineta noteikumu projekta „Grozījumi Ministru kabineta 2003. gada 29. aprīļa noteikumos Nr. 239 „Finanšu ministrijas nolikums”” sākotnējās ietekmes novērtējuma ziņojums (anotācija)</w:t>
      </w:r>
    </w:p>
    <w:p w:rsidR="009E4D89" w:rsidRPr="00631023" w:rsidRDefault="009E4D89" w:rsidP="009E4D89">
      <w:pPr>
        <w:jc w:val="both"/>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1DB6" w:rsidRPr="00631023" w:rsidTr="000F793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7937" w:rsidRPr="00631023" w:rsidRDefault="000F7937" w:rsidP="000F7937">
            <w:pPr>
              <w:rPr>
                <w:b/>
                <w:bCs/>
              </w:rPr>
            </w:pPr>
            <w:r w:rsidRPr="00631023">
              <w:rPr>
                <w:b/>
                <w:bCs/>
              </w:rPr>
              <w:t>I. Tiesību akta projekta izstrādes nepieciešamība</w:t>
            </w:r>
          </w:p>
        </w:tc>
      </w:tr>
      <w:tr w:rsidR="00D01DB6" w:rsidRPr="00631023" w:rsidTr="000F793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1.</w:t>
            </w:r>
          </w:p>
        </w:tc>
        <w:tc>
          <w:tcPr>
            <w:tcW w:w="15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C6209" w:rsidRPr="00631023" w:rsidRDefault="00401270" w:rsidP="00E32B83">
            <w:pPr>
              <w:ind w:left="6" w:hanging="6"/>
              <w:jc w:val="both"/>
            </w:pPr>
            <w:r w:rsidRPr="00631023">
              <w:rPr>
                <w:rFonts w:eastAsia="Times New Roman" w:cs="Times New Roman"/>
                <w:szCs w:val="24"/>
                <w:lang w:eastAsia="lv-LV"/>
              </w:rPr>
              <w:t>Valsts pārvaldes iekārtas likuma 16.panta pirmā daļa.</w:t>
            </w:r>
          </w:p>
        </w:tc>
      </w:tr>
      <w:tr w:rsidR="00D01DB6" w:rsidRPr="00631023" w:rsidTr="000F79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2.</w:t>
            </w:r>
          </w:p>
        </w:tc>
        <w:tc>
          <w:tcPr>
            <w:tcW w:w="15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8317F" w:rsidRDefault="006819A2" w:rsidP="0088317F">
            <w:pPr>
              <w:jc w:val="both"/>
            </w:pPr>
            <w:r>
              <w:t xml:space="preserve">Saskaņā ar </w:t>
            </w:r>
            <w:r w:rsidR="0088317F" w:rsidRPr="0088317F">
              <w:t xml:space="preserve">Ministru kabineta 2014.gada 16.septembra sēdes </w:t>
            </w:r>
            <w:proofErr w:type="spellStart"/>
            <w:r w:rsidR="0088317F" w:rsidRPr="0088317F">
              <w:t>protokollēmuma</w:t>
            </w:r>
            <w:proofErr w:type="spellEnd"/>
            <w:r w:rsidR="0088317F" w:rsidRPr="0088317F">
              <w:t xml:space="preserve"> (prot. Nr.49 64.§) „Informatīvais ziņojums "Par priekšlikumiem noziedzīgi iegūtu līdzekļu legalizācijas un terorisma finansēšanas risku novērtēšanas institucionālajam modelim””</w:t>
            </w:r>
            <w:r w:rsidR="003D7F47">
              <w:t xml:space="preserve"> </w:t>
            </w:r>
            <w:r w:rsidR="0088317F">
              <w:t>6.punkt</w:t>
            </w:r>
            <w:r>
              <w:t>u</w:t>
            </w:r>
            <w:r w:rsidRPr="006819A2">
              <w:rPr>
                <w:rFonts w:ascii="Tahoma" w:hAnsi="Tahoma" w:cs="Tahoma"/>
                <w:color w:val="2A2A2A"/>
                <w:sz w:val="15"/>
                <w:szCs w:val="15"/>
              </w:rPr>
              <w:t xml:space="preserve"> </w:t>
            </w:r>
            <w:r w:rsidRPr="006819A2">
              <w:t>pi</w:t>
            </w:r>
            <w:r w:rsidRPr="006819A2">
              <w:rPr>
                <w:szCs w:val="24"/>
              </w:rPr>
              <w:t>e</w:t>
            </w:r>
            <w:r w:rsidRPr="006819A2">
              <w:t>ņemt</w:t>
            </w:r>
            <w:r>
              <w:t>s</w:t>
            </w:r>
            <w:r w:rsidRPr="006819A2">
              <w:t xml:space="preserve"> zināšanai, ka Finanšu ministrija un Tieslietu ministrija atbilstoši informatīvā ziņojuma 3.sadaļā norādītajām kompetences jomām ir noziedzīgi iegūtu līdzekļu legalizācijas un terorisma finansēšanas risku novēršanas politiku veidojošās institūcijas</w:t>
            </w:r>
            <w:r>
              <w:t xml:space="preserve">. </w:t>
            </w:r>
            <w:r w:rsidR="0088317F" w:rsidRPr="003D7F47">
              <w:t>Finanšu ministrija ir vadošā valsts pārvaldes iestāde noziedzīgi iegūtu līdzekļu legalizācijas un terorisma finansēšanas risku novēršanas politikas veidošanā.</w:t>
            </w:r>
            <w:r w:rsidR="0088317F" w:rsidRPr="0088317F">
              <w:t xml:space="preserve"> Ministru kabinets ir atbildīgs par politikas, tostarp noziedzīgi iegūtu līdzekļu legalizācijas un terorisma finansēšanas novēršanas  politikas veidošanu valstī, un tādējādi politiku veidojošās iestādes kā izpildvaras īstenotājas atrodas Ministru kabineta padotībā. Atbilstoši noziedzīgi iegūtu līdzekļu legalizācijas un terorisma finansēšanas novēršanas  politikas veidošanas jomu kompetences sadalījumam uz Tieslietu ministrijas kompetenci tiesību normu veidošanas jomā kā uz tieslietu jomas politikas veidotāju attiecina </w:t>
            </w:r>
            <w:proofErr w:type="spellStart"/>
            <w:r w:rsidR="0088317F" w:rsidRPr="0088317F">
              <w:t>nefinanšu</w:t>
            </w:r>
            <w:proofErr w:type="spellEnd"/>
            <w:r w:rsidR="0088317F" w:rsidRPr="0088317F">
              <w:t xml:space="preserve"> sektora noziedzīgi iegūtu līdzekļu legalizācijas un terorisma finansēšanas novēršanas  politikas veidošanu valstī, kā arī </w:t>
            </w:r>
            <w:proofErr w:type="spellStart"/>
            <w:r w:rsidR="0088317F" w:rsidRPr="0088317F">
              <w:t>pirmstiesas</w:t>
            </w:r>
            <w:proofErr w:type="spellEnd"/>
            <w:r w:rsidR="0088317F" w:rsidRPr="0088317F">
              <w:t xml:space="preserve"> izmeklēšanas iestāžu, prokuratūras, tiesu, tiesu izpildītāju un Kontroles dienesta nozares politikas (strikti ievērojot to, ka šis dienests ir Latvijas Republikas Ģenerālprokuratūras pārr</w:t>
            </w:r>
            <w:r>
              <w:t>audzībā esoša iestāde) veidošanu</w:t>
            </w:r>
            <w:r w:rsidR="0088317F" w:rsidRPr="0088317F">
              <w:t xml:space="preserve">, savukārt </w:t>
            </w:r>
            <w:r w:rsidR="0088317F" w:rsidRPr="0088317F">
              <w:rPr>
                <w:u w:val="single"/>
              </w:rPr>
              <w:t>uz Finanšu ministriju ir attiecināma finanšu sektora noziedzīgi iegūtu līdzekļu legalizācijas un terorisma finansēšanas novēršanas  politikas veidošana valstī</w:t>
            </w:r>
            <w:r w:rsidR="0088317F" w:rsidRPr="0088317F">
              <w:t>.</w:t>
            </w:r>
          </w:p>
          <w:p w:rsidR="006819A2" w:rsidRDefault="006819A2" w:rsidP="0088317F">
            <w:pPr>
              <w:jc w:val="both"/>
            </w:pPr>
          </w:p>
          <w:p w:rsidR="006819A2" w:rsidRPr="0088317F" w:rsidRDefault="006819A2" w:rsidP="0088317F">
            <w:pPr>
              <w:jc w:val="both"/>
            </w:pPr>
            <w:r w:rsidRPr="006819A2">
              <w:t xml:space="preserve">Saeima 2013.gada 19.decembrī pieņēma grozījumus Civilprocesa likumā un papildināja Civilprocesa likuma  82.pantu ar septīto daļu, nosakot, ka juridisko personu lietas kasācijas instances tiesā </w:t>
            </w:r>
            <w:r w:rsidRPr="006819A2">
              <w:rPr>
                <w:u w:val="single"/>
              </w:rPr>
              <w:t>ved to amatpersonas</w:t>
            </w:r>
            <w:r w:rsidRPr="006819A2">
              <w:t xml:space="preserve">, kas darbojas likumā, statūtos vai nolikumā piešķirto pilnvaru ietvaros, vai arī tās tiek vestas ar advokāta starpniecību. Tā kā ministriju kasācijas instances tiesā pārstāv ne tikai ministrijas amatpersonas, bet atbilstoši kompetencei arī padotības iestāžu amatpersonas un kapitālsabiedrību, kurās ministrija ir valsts kapitāla daļu turētāja, darbinieki, tad nolikumu nepieciešams papildināt, iekļaujot tajā regulējumu </w:t>
            </w:r>
            <w:r w:rsidRPr="006819A2">
              <w:lastRenderedPageBreak/>
              <w:t>ministrijas pārstāvības nodrošināšanai kasācijas instances tiesā civilprocesā.</w:t>
            </w:r>
          </w:p>
          <w:p w:rsidR="000F7937" w:rsidRPr="00631023" w:rsidRDefault="00372215" w:rsidP="00C151E4">
            <w:pPr>
              <w:spacing w:before="120" w:after="120"/>
              <w:jc w:val="both"/>
            </w:pPr>
            <w:r w:rsidRPr="00631023">
              <w:rPr>
                <w:bCs/>
              </w:rPr>
              <w:t>M</w:t>
            </w:r>
            <w:r w:rsidR="000B270C" w:rsidRPr="00631023">
              <w:rPr>
                <w:bCs/>
              </w:rPr>
              <w:t>inistru kabineta noteikumu projekt</w:t>
            </w:r>
            <w:r w:rsidRPr="00631023">
              <w:rPr>
                <w:bCs/>
              </w:rPr>
              <w:t>s</w:t>
            </w:r>
            <w:r w:rsidR="000B270C" w:rsidRPr="00631023">
              <w:rPr>
                <w:bCs/>
              </w:rPr>
              <w:t xml:space="preserve"> „Grozījumi Ministru kabineta 2003. gada 29. aprīļa noteikumos Nr.239 „Finanšu ministrijas nolikums”” (turpmāk </w:t>
            </w:r>
            <w:r w:rsidR="009623E2" w:rsidRPr="00631023">
              <w:rPr>
                <w:bCs/>
              </w:rPr>
              <w:t>–</w:t>
            </w:r>
            <w:r w:rsidR="000B270C" w:rsidRPr="00631023">
              <w:rPr>
                <w:bCs/>
              </w:rPr>
              <w:t xml:space="preserve"> p</w:t>
            </w:r>
            <w:r w:rsidR="000B270C" w:rsidRPr="00631023">
              <w:t>rojekts</w:t>
            </w:r>
            <w:r w:rsidR="009623E2" w:rsidRPr="00631023">
              <w:t>)</w:t>
            </w:r>
            <w:r w:rsidRPr="00631023">
              <w:t xml:space="preserve"> paredz:</w:t>
            </w:r>
          </w:p>
          <w:p w:rsidR="000B270C" w:rsidRPr="00631023" w:rsidRDefault="004D7CD5" w:rsidP="004D7CD5">
            <w:pPr>
              <w:pStyle w:val="ListParagraph"/>
              <w:numPr>
                <w:ilvl w:val="0"/>
                <w:numId w:val="1"/>
              </w:numPr>
              <w:spacing w:before="120" w:after="120"/>
              <w:jc w:val="both"/>
            </w:pPr>
            <w:r>
              <w:t>papildināt noteikumus ar jaunu 5.18¹ apakšpunktu, nosakot Finanšu ministrijas kompetenci veidot politiku noziedzīgi iegūtu līdzekļu legalizācijas un terorisma finansēšanas novēršanas jomā;</w:t>
            </w:r>
          </w:p>
          <w:p w:rsidR="004D7CD5" w:rsidRDefault="004D7CD5" w:rsidP="004D7CD5">
            <w:pPr>
              <w:pStyle w:val="ListParagraph"/>
              <w:numPr>
                <w:ilvl w:val="0"/>
                <w:numId w:val="1"/>
              </w:numPr>
              <w:jc w:val="both"/>
            </w:pPr>
            <w:r>
              <w:t>izteikt V. no</w:t>
            </w:r>
            <w:r w:rsidR="005C5611">
              <w:t>daļas nosaukumu jaunā redakcijā;</w:t>
            </w:r>
          </w:p>
          <w:p w:rsidR="004D7CD5" w:rsidRDefault="004D7CD5" w:rsidP="004D7CD5">
            <w:pPr>
              <w:pStyle w:val="ListParagraph"/>
              <w:numPr>
                <w:ilvl w:val="0"/>
                <w:numId w:val="1"/>
              </w:numPr>
              <w:jc w:val="both"/>
            </w:pPr>
            <w:r>
              <w:t xml:space="preserve">papildināt </w:t>
            </w:r>
            <w:r w:rsidRPr="004D7CD5">
              <w:t>noteikumus</w:t>
            </w:r>
            <w:r>
              <w:t xml:space="preserve"> ar jaunu 26. punktu, tādējādi nosakot, ka atbilstoši Civilprocesa likuma 82.panta septītajai daļai nekustamo īpašumu jomā Finanšu ministriju kasācijas instances tiesā pārstāv valsts akciju sabiedrības „Valsts </w:t>
            </w:r>
            <w:r w:rsidR="005C5611">
              <w:t>nekustamie īpašumi” darbinieki;</w:t>
            </w:r>
          </w:p>
          <w:p w:rsidR="004D7CD5" w:rsidRDefault="004D7CD5" w:rsidP="004D7CD5">
            <w:pPr>
              <w:pStyle w:val="ListParagraph"/>
              <w:numPr>
                <w:ilvl w:val="0"/>
                <w:numId w:val="1"/>
              </w:numPr>
              <w:jc w:val="both"/>
            </w:pPr>
            <w:r>
              <w:t xml:space="preserve">papildināt </w:t>
            </w:r>
            <w:r w:rsidRPr="004D7CD5">
              <w:t>noteikumus</w:t>
            </w:r>
            <w:r>
              <w:t xml:space="preserve"> ar 1.pielikumu, kurš satur Valsts akciju sabiedrības „Valsts nekustamie īpašumi” darb</w:t>
            </w:r>
            <w:r w:rsidR="00C77D37">
              <w:t>inieku, kuri tiesīgi pārstāvēt m</w:t>
            </w:r>
            <w:r>
              <w:t>inistriju kasācijas instances tiesā nekustamo īpašumu pārvaldīšanas jomā, amatu sarakstu.</w:t>
            </w:r>
          </w:p>
          <w:p w:rsidR="008D5730" w:rsidRPr="00631023" w:rsidRDefault="003A3559" w:rsidP="00E32B83">
            <w:pPr>
              <w:pStyle w:val="ListParagraph"/>
              <w:jc w:val="both"/>
            </w:pPr>
            <w:r w:rsidRPr="00631023">
              <w:t xml:space="preserve">     </w:t>
            </w:r>
          </w:p>
        </w:tc>
      </w:tr>
      <w:tr w:rsidR="00D01DB6" w:rsidRPr="00631023" w:rsidTr="000F79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F7937" w:rsidRPr="00631023" w:rsidRDefault="00423CA4" w:rsidP="000F7937">
            <w:r w:rsidRPr="00631023">
              <w:t>Finanšu ministrija.</w:t>
            </w:r>
          </w:p>
          <w:p w:rsidR="00E32B83" w:rsidRPr="00631023" w:rsidRDefault="00E32B83" w:rsidP="000F7937"/>
        </w:tc>
      </w:tr>
      <w:tr w:rsidR="000F7937" w:rsidRPr="00631023" w:rsidTr="000F7937">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4.</w:t>
            </w:r>
          </w:p>
        </w:tc>
        <w:tc>
          <w:tcPr>
            <w:tcW w:w="15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F126CC">
            <w:pPr>
              <w:jc w:val="both"/>
            </w:pPr>
            <w:r w:rsidRPr="0063102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32B83" w:rsidRPr="00631023" w:rsidRDefault="003A4F62" w:rsidP="007A194F">
            <w:pPr>
              <w:jc w:val="both"/>
            </w:pPr>
            <w:r w:rsidRPr="00631023">
              <w:t>Nav</w:t>
            </w:r>
          </w:p>
        </w:tc>
      </w:tr>
    </w:tbl>
    <w:p w:rsidR="00C151E4" w:rsidRPr="00631023" w:rsidRDefault="00C151E4" w:rsidP="000F7937"/>
    <w:p w:rsidR="00E32B83" w:rsidRPr="00631023" w:rsidRDefault="00E32B83" w:rsidP="000F7937">
      <w:pPr>
        <w:rPr>
          <w:vanish/>
        </w:rPr>
      </w:pPr>
    </w:p>
    <w:p w:rsidR="000F7937" w:rsidRPr="00631023" w:rsidRDefault="000F7937" w:rsidP="000F793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1C6209" w:rsidRPr="00631023" w:rsidTr="00FF1590">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C6209" w:rsidRPr="00631023" w:rsidRDefault="001C6209" w:rsidP="001C6209">
            <w:pPr>
              <w:rPr>
                <w:b/>
                <w:bCs/>
              </w:rPr>
            </w:pPr>
            <w:r w:rsidRPr="00631023">
              <w:rPr>
                <w:b/>
                <w:bCs/>
              </w:rPr>
              <w:t>II. Tiesību akta projekta ietekme uz sabiedrību, tautsaimniecības attīstību un administratīvo slogu</w:t>
            </w:r>
          </w:p>
        </w:tc>
      </w:tr>
      <w:tr w:rsidR="001C6209" w:rsidRPr="00631023" w:rsidTr="00FF159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1.</w:t>
            </w:r>
          </w:p>
        </w:tc>
        <w:tc>
          <w:tcPr>
            <w:tcW w:w="15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 xml:space="preserve">Sabiedrības </w:t>
            </w:r>
            <w:proofErr w:type="spellStart"/>
            <w:r w:rsidRPr="00631023">
              <w:t>mērķgrupas</w:t>
            </w:r>
            <w:proofErr w:type="spellEnd"/>
            <w:r w:rsidRPr="00631023">
              <w:t>, kuras tiesiskais regulējums ietekmē vai varētu ietekmēt</w:t>
            </w:r>
          </w:p>
        </w:tc>
        <w:tc>
          <w:tcPr>
            <w:tcW w:w="3200" w:type="pct"/>
            <w:hideMark/>
          </w:tcPr>
          <w:p w:rsidR="001C6209" w:rsidRPr="00631023" w:rsidRDefault="001C6209" w:rsidP="001C6209">
            <w:r w:rsidRPr="00631023">
              <w:t>Finanšu ministrija, kapitālsabiedrības, kurās tā ir kapitāla daļu turētāja.</w:t>
            </w:r>
          </w:p>
        </w:tc>
      </w:tr>
      <w:tr w:rsidR="001C6209" w:rsidRPr="00631023" w:rsidTr="00FF159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2.</w:t>
            </w:r>
          </w:p>
        </w:tc>
        <w:tc>
          <w:tcPr>
            <w:tcW w:w="15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Projekts šo jomu neskar.</w:t>
            </w:r>
          </w:p>
        </w:tc>
      </w:tr>
      <w:tr w:rsidR="001C6209" w:rsidRPr="00631023" w:rsidTr="00FF159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3.</w:t>
            </w:r>
          </w:p>
        </w:tc>
        <w:tc>
          <w:tcPr>
            <w:tcW w:w="15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Projekts šo jomu neskar.</w:t>
            </w:r>
          </w:p>
        </w:tc>
      </w:tr>
      <w:tr w:rsidR="001C6209" w:rsidRPr="00631023" w:rsidTr="00FF159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4.</w:t>
            </w:r>
          </w:p>
        </w:tc>
        <w:tc>
          <w:tcPr>
            <w:tcW w:w="15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Nav</w:t>
            </w:r>
          </w:p>
        </w:tc>
      </w:tr>
    </w:tbl>
    <w:p w:rsidR="001C6209" w:rsidRPr="00631023" w:rsidRDefault="001C6209" w:rsidP="000F7937"/>
    <w:p w:rsidR="00E32B83" w:rsidRPr="00631023" w:rsidRDefault="00E32B83" w:rsidP="000F7937">
      <w:pPr>
        <w:rPr>
          <w:vanish/>
        </w:rPr>
      </w:pPr>
    </w:p>
    <w:p w:rsidR="000F7937" w:rsidRPr="00631023" w:rsidRDefault="000F7937" w:rsidP="000F793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D01DB6" w:rsidRPr="00631023" w:rsidTr="000F793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7937" w:rsidRPr="00631023" w:rsidRDefault="000F7937" w:rsidP="000F7937">
            <w:pPr>
              <w:rPr>
                <w:b/>
                <w:bCs/>
              </w:rPr>
            </w:pPr>
            <w:r w:rsidRPr="00631023">
              <w:rPr>
                <w:b/>
                <w:bCs/>
              </w:rPr>
              <w:t>IV. Tiesību akta projekta ietekme uz spēkā esošo tiesību normu sistēmu</w:t>
            </w:r>
          </w:p>
        </w:tc>
      </w:tr>
      <w:tr w:rsidR="00D01DB6" w:rsidRPr="00631023" w:rsidTr="000F7937">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1.</w:t>
            </w:r>
          </w:p>
        </w:tc>
        <w:tc>
          <w:tcPr>
            <w:tcW w:w="14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F7937" w:rsidRPr="00631023" w:rsidRDefault="004D7CD5" w:rsidP="005E2A3D">
            <w:pPr>
              <w:jc w:val="both"/>
            </w:pPr>
            <w:r>
              <w:t>Nav</w:t>
            </w:r>
            <w:r w:rsidR="003E391C" w:rsidRPr="00631023">
              <w:t xml:space="preserve"> </w:t>
            </w:r>
          </w:p>
        </w:tc>
      </w:tr>
      <w:tr w:rsidR="00D01DB6" w:rsidRPr="00631023" w:rsidTr="000F7937">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2.</w:t>
            </w:r>
          </w:p>
        </w:tc>
        <w:tc>
          <w:tcPr>
            <w:tcW w:w="14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151E4" w:rsidRPr="00631023" w:rsidRDefault="004D7CD5" w:rsidP="00C151E4">
            <w:r>
              <w:t>Projekts šo jomu neskar.</w:t>
            </w:r>
          </w:p>
        </w:tc>
      </w:tr>
      <w:tr w:rsidR="00D01DB6" w:rsidRPr="00631023" w:rsidTr="000F7937">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3.</w:t>
            </w:r>
          </w:p>
        </w:tc>
        <w:tc>
          <w:tcPr>
            <w:tcW w:w="14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64E19" w:rsidRPr="00631023" w:rsidRDefault="004D7CD5" w:rsidP="00D74C94">
            <w:pPr>
              <w:jc w:val="both"/>
            </w:pPr>
            <w:r>
              <w:t>Nav</w:t>
            </w:r>
          </w:p>
        </w:tc>
      </w:tr>
    </w:tbl>
    <w:p w:rsidR="00E32B83" w:rsidRPr="00631023" w:rsidRDefault="00E32B83" w:rsidP="000F7937">
      <w:pPr>
        <w:rPr>
          <w:vanish/>
        </w:rPr>
      </w:pPr>
    </w:p>
    <w:p w:rsidR="000F7937" w:rsidRPr="00631023" w:rsidRDefault="000F7937" w:rsidP="000F793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D01DB6" w:rsidRPr="00631023" w:rsidTr="000F793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7937" w:rsidRPr="00631023" w:rsidRDefault="000F7937" w:rsidP="000F7937">
            <w:pPr>
              <w:rPr>
                <w:b/>
                <w:bCs/>
              </w:rPr>
            </w:pPr>
            <w:r w:rsidRPr="00631023">
              <w:rPr>
                <w:b/>
                <w:bCs/>
              </w:rPr>
              <w:t>VI. Sabiedrības līdzdalība un komunikācijas aktivitātes</w:t>
            </w:r>
          </w:p>
        </w:tc>
      </w:tr>
      <w:tr w:rsidR="00D01DB6" w:rsidRPr="00631023" w:rsidTr="000F793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1.</w:t>
            </w:r>
          </w:p>
        </w:tc>
        <w:tc>
          <w:tcPr>
            <w:tcW w:w="150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F7937" w:rsidRPr="00631023" w:rsidRDefault="004F0824" w:rsidP="004F0824">
            <w:pPr>
              <w:jc w:val="both"/>
            </w:pPr>
            <w:r w:rsidRPr="00631023">
              <w:t xml:space="preserve">Projekts regulē publiskās pārvaldes tiesiskās attiecības un attiecībā pret privāto sektoru izmaiņas neparedz, tāpēc sabiedrības līdzdalība projekta izstrādē nav plānota. Sabiedrība var izteikt savus priekšlikumus pēc projekta izsludināšanas Valsts sekretāru sanāksmē. </w:t>
            </w:r>
          </w:p>
        </w:tc>
      </w:tr>
      <w:tr w:rsidR="00D01DB6" w:rsidRPr="00631023" w:rsidTr="000F793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2.</w:t>
            </w:r>
          </w:p>
        </w:tc>
        <w:tc>
          <w:tcPr>
            <w:tcW w:w="150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F7937" w:rsidRPr="00631023" w:rsidRDefault="000F1B8C" w:rsidP="009B591E">
            <w:pPr>
              <w:jc w:val="both"/>
            </w:pPr>
            <w:r w:rsidRPr="00631023">
              <w:t>Projekts šo jomu neskar</w:t>
            </w:r>
            <w:r w:rsidR="009D712D" w:rsidRPr="00631023">
              <w:t>.</w:t>
            </w:r>
          </w:p>
        </w:tc>
      </w:tr>
      <w:tr w:rsidR="00D01DB6" w:rsidRPr="00631023" w:rsidTr="000F79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3.</w:t>
            </w:r>
          </w:p>
        </w:tc>
        <w:tc>
          <w:tcPr>
            <w:tcW w:w="150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F7937" w:rsidRPr="00631023" w:rsidRDefault="000F1B8C" w:rsidP="000F7937">
            <w:r w:rsidRPr="00631023">
              <w:t>Projekts šo jomu neskar.</w:t>
            </w:r>
          </w:p>
        </w:tc>
      </w:tr>
      <w:tr w:rsidR="000F7937" w:rsidRPr="00631023" w:rsidTr="00E32B83">
        <w:trPr>
          <w:trHeight w:val="319"/>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4.</w:t>
            </w:r>
          </w:p>
        </w:tc>
        <w:tc>
          <w:tcPr>
            <w:tcW w:w="150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F7937" w:rsidRPr="00631023" w:rsidRDefault="006744B1" w:rsidP="00E32B83">
            <w:r w:rsidRPr="00631023">
              <w:t>Nav</w:t>
            </w:r>
          </w:p>
        </w:tc>
      </w:tr>
    </w:tbl>
    <w:p w:rsidR="007A0C39" w:rsidRPr="00631023" w:rsidRDefault="007A0C39" w:rsidP="007A0C39"/>
    <w:p w:rsidR="00E32B83" w:rsidRPr="00631023" w:rsidRDefault="00E32B83" w:rsidP="007A0C3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E32B83" w:rsidRPr="00631023" w:rsidTr="00FF159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32B83" w:rsidRPr="00631023" w:rsidRDefault="00E32B83" w:rsidP="00E32B83">
            <w:pPr>
              <w:rPr>
                <w:b/>
                <w:bCs/>
              </w:rPr>
            </w:pPr>
            <w:r w:rsidRPr="00631023">
              <w:rPr>
                <w:b/>
                <w:bCs/>
              </w:rPr>
              <w:t>VII. Tiesību akta projekta izpildes nodrošināšana un tās ietekme uz institūcijām</w:t>
            </w:r>
          </w:p>
        </w:tc>
      </w:tr>
      <w:tr w:rsidR="00E32B83" w:rsidRPr="00631023" w:rsidTr="00FF159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1.</w:t>
            </w:r>
          </w:p>
        </w:tc>
        <w:tc>
          <w:tcPr>
            <w:tcW w:w="190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Finanšu ministrija un kapitālsabiedrības, kurās tā ir kapitāla daļu turētāja.</w:t>
            </w:r>
          </w:p>
        </w:tc>
      </w:tr>
      <w:tr w:rsidR="00E32B83" w:rsidRPr="00631023" w:rsidTr="00FF159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2.</w:t>
            </w:r>
          </w:p>
        </w:tc>
        <w:tc>
          <w:tcPr>
            <w:tcW w:w="190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 xml:space="preserve">Projekta izpildes ietekme uz pārvaldes funkcijām un institucionālo struktūru. </w:t>
            </w:r>
          </w:p>
          <w:p w:rsidR="00E32B83" w:rsidRPr="00631023" w:rsidRDefault="00E32B83" w:rsidP="00E32B83">
            <w:r w:rsidRPr="00631023">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9478CF">
            <w:pPr>
              <w:jc w:val="both"/>
            </w:pPr>
            <w:r w:rsidRPr="00631023">
              <w:t>Institucionālā struktūra netiek mainīta, tiek precizētas pārvaldes funkcijas.</w:t>
            </w:r>
          </w:p>
        </w:tc>
      </w:tr>
      <w:tr w:rsidR="00E32B83" w:rsidRPr="00631023" w:rsidTr="00FF159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3.</w:t>
            </w:r>
          </w:p>
        </w:tc>
        <w:tc>
          <w:tcPr>
            <w:tcW w:w="190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Nav</w:t>
            </w:r>
          </w:p>
        </w:tc>
      </w:tr>
    </w:tbl>
    <w:p w:rsidR="00E32B83" w:rsidRPr="00631023" w:rsidRDefault="00E32B83" w:rsidP="007A0C39"/>
    <w:p w:rsidR="007A0C39" w:rsidRPr="00631023" w:rsidRDefault="007A0C39" w:rsidP="007A0C39">
      <w:r w:rsidRPr="00631023">
        <w:t>Anotācijas III un V sadaļa –</w:t>
      </w:r>
      <w:r w:rsidR="00072763" w:rsidRPr="00631023">
        <w:t xml:space="preserve"> </w:t>
      </w:r>
      <w:r w:rsidRPr="00631023">
        <w:t>projekts šo jomu neskar.</w:t>
      </w:r>
    </w:p>
    <w:p w:rsidR="00862C04" w:rsidRPr="00631023" w:rsidRDefault="00862C04"/>
    <w:p w:rsidR="00E32B83" w:rsidRPr="00631023" w:rsidRDefault="00E32B83" w:rsidP="00CA517C"/>
    <w:p w:rsidR="005E78F5" w:rsidRPr="00631023" w:rsidRDefault="004D7CD5" w:rsidP="00CA517C">
      <w:r>
        <w:t>Finanšu ministre</w:t>
      </w:r>
      <w:r w:rsidR="005507BE" w:rsidRPr="00631023">
        <w:tab/>
      </w:r>
      <w:r w:rsidR="005507BE" w:rsidRPr="00631023">
        <w:tab/>
      </w:r>
      <w:r w:rsidR="005507BE" w:rsidRPr="00631023">
        <w:tab/>
      </w:r>
      <w:r w:rsidR="005507BE" w:rsidRPr="00631023">
        <w:tab/>
      </w:r>
      <w:r w:rsidR="005507BE" w:rsidRPr="00631023">
        <w:tab/>
      </w:r>
      <w:r w:rsidR="005507BE" w:rsidRPr="00631023">
        <w:tab/>
      </w:r>
      <w:r>
        <w:t>D. Reizniece - Ozola</w:t>
      </w:r>
    </w:p>
    <w:p w:rsidR="005507BE" w:rsidRPr="00631023" w:rsidRDefault="005507BE" w:rsidP="00CA517C"/>
    <w:p w:rsidR="00CA517C" w:rsidRPr="00631023" w:rsidRDefault="00CA517C" w:rsidP="00CA517C">
      <w:r w:rsidRPr="00631023">
        <w:t>Vīza:</w:t>
      </w:r>
    </w:p>
    <w:p w:rsidR="006D68DE" w:rsidRPr="00631023" w:rsidRDefault="006D68DE" w:rsidP="00CA517C"/>
    <w:p w:rsidR="00CA517C" w:rsidRPr="00631023" w:rsidRDefault="00CA517C" w:rsidP="00CA517C">
      <w:r w:rsidRPr="00631023">
        <w:t xml:space="preserve">Valsts sekretāre </w:t>
      </w:r>
      <w:r w:rsidRPr="00631023">
        <w:tab/>
        <w:t xml:space="preserve">   </w:t>
      </w:r>
      <w:r w:rsidRPr="00631023">
        <w:tab/>
      </w:r>
      <w:r w:rsidRPr="00631023">
        <w:tab/>
      </w:r>
      <w:r w:rsidRPr="00631023">
        <w:tab/>
      </w:r>
      <w:r w:rsidRPr="00631023">
        <w:tab/>
      </w:r>
      <w:r w:rsidRPr="00631023">
        <w:tab/>
        <w:t>B. Bāne</w:t>
      </w:r>
    </w:p>
    <w:p w:rsidR="00CA517C" w:rsidRPr="00631023" w:rsidRDefault="00CA517C" w:rsidP="00CA517C"/>
    <w:p w:rsidR="00E32B83" w:rsidRPr="00631023" w:rsidRDefault="00E32B83" w:rsidP="00CA517C"/>
    <w:p w:rsidR="00E32B83" w:rsidRPr="00631023" w:rsidRDefault="00E32B83" w:rsidP="00CA517C"/>
    <w:p w:rsidR="00E32B83" w:rsidRPr="00631023" w:rsidRDefault="00E32B83" w:rsidP="00CA517C"/>
    <w:p w:rsidR="00E32B83" w:rsidRPr="00631023" w:rsidRDefault="00E32B83" w:rsidP="003707DB">
      <w:pPr>
        <w:jc w:val="center"/>
      </w:pPr>
    </w:p>
    <w:p w:rsidR="00E32B83" w:rsidRPr="00631023" w:rsidRDefault="00E32B83" w:rsidP="00CA517C"/>
    <w:p w:rsidR="00E32B83" w:rsidRPr="00631023" w:rsidRDefault="00E32B83" w:rsidP="00CA517C"/>
    <w:p w:rsidR="00CA517C" w:rsidRPr="00631023" w:rsidRDefault="00CA517C" w:rsidP="00CA517C">
      <w:pPr>
        <w:rPr>
          <w:sz w:val="20"/>
          <w:szCs w:val="20"/>
        </w:rPr>
      </w:pPr>
      <w:r w:rsidRPr="00631023">
        <w:rPr>
          <w:sz w:val="20"/>
          <w:szCs w:val="20"/>
        </w:rPr>
        <w:fldChar w:fldCharType="begin"/>
      </w:r>
      <w:r w:rsidRPr="00631023">
        <w:rPr>
          <w:sz w:val="20"/>
          <w:szCs w:val="20"/>
        </w:rPr>
        <w:instrText xml:space="preserve"> TIME \@ "dd.MM.yyyy H:mm" </w:instrText>
      </w:r>
      <w:r w:rsidRPr="00631023">
        <w:rPr>
          <w:sz w:val="20"/>
          <w:szCs w:val="20"/>
        </w:rPr>
        <w:fldChar w:fldCharType="separate"/>
      </w:r>
      <w:r w:rsidR="00D52E0C">
        <w:rPr>
          <w:noProof/>
          <w:sz w:val="20"/>
          <w:szCs w:val="20"/>
        </w:rPr>
        <w:t>20.10.2016 15:21</w:t>
      </w:r>
      <w:r w:rsidRPr="00631023">
        <w:rPr>
          <w:sz w:val="20"/>
          <w:szCs w:val="20"/>
        </w:rPr>
        <w:fldChar w:fldCharType="end"/>
      </w:r>
    </w:p>
    <w:p w:rsidR="00CA517C" w:rsidRPr="00631023" w:rsidRDefault="003D7F47" w:rsidP="00CA517C">
      <w:pPr>
        <w:rPr>
          <w:sz w:val="20"/>
          <w:szCs w:val="20"/>
        </w:rPr>
      </w:pPr>
      <w:r>
        <w:rPr>
          <w:sz w:val="20"/>
          <w:szCs w:val="20"/>
        </w:rPr>
        <w:t>689</w:t>
      </w:r>
    </w:p>
    <w:p w:rsidR="00CA517C" w:rsidRPr="00631023" w:rsidRDefault="00CA517C" w:rsidP="00CA517C">
      <w:pPr>
        <w:rPr>
          <w:sz w:val="20"/>
          <w:szCs w:val="20"/>
        </w:rPr>
      </w:pPr>
      <w:proofErr w:type="spellStart"/>
      <w:r w:rsidRPr="00631023">
        <w:rPr>
          <w:sz w:val="20"/>
          <w:szCs w:val="20"/>
        </w:rPr>
        <w:t>A.Valtere</w:t>
      </w:r>
      <w:proofErr w:type="spellEnd"/>
      <w:r w:rsidRPr="00631023">
        <w:rPr>
          <w:sz w:val="20"/>
          <w:szCs w:val="20"/>
        </w:rPr>
        <w:t>, 67095484</w:t>
      </w:r>
    </w:p>
    <w:p w:rsidR="00CA517C" w:rsidRPr="00D01DB6" w:rsidRDefault="00CA517C">
      <w:pPr>
        <w:rPr>
          <w:sz w:val="20"/>
          <w:szCs w:val="20"/>
        </w:rPr>
      </w:pPr>
      <w:r w:rsidRPr="00631023">
        <w:rPr>
          <w:sz w:val="20"/>
          <w:szCs w:val="20"/>
        </w:rPr>
        <w:t>astra.valtere@fm.gov.lv</w:t>
      </w:r>
    </w:p>
    <w:sectPr w:rsidR="00CA517C" w:rsidRPr="00D01DB6" w:rsidSect="0001765F">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D3" w:rsidRDefault="00925DD3" w:rsidP="00E07D75">
      <w:r>
        <w:separator/>
      </w:r>
    </w:p>
  </w:endnote>
  <w:endnote w:type="continuationSeparator" w:id="0">
    <w:p w:rsidR="00925DD3" w:rsidRDefault="00925DD3" w:rsidP="00E0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C4" w:rsidRPr="005D76C4" w:rsidRDefault="005D76C4" w:rsidP="005D76C4">
    <w:pPr>
      <w:pStyle w:val="Footer"/>
      <w:jc w:val="both"/>
      <w:rPr>
        <w:sz w:val="20"/>
        <w:szCs w:val="20"/>
      </w:rPr>
    </w:pPr>
    <w:r w:rsidRPr="005D76C4">
      <w:rPr>
        <w:sz w:val="20"/>
        <w:szCs w:val="20"/>
      </w:rPr>
      <w:t>FMAnot_</w:t>
    </w:r>
    <w:r w:rsidR="00E17DBE">
      <w:rPr>
        <w:sz w:val="20"/>
        <w:szCs w:val="20"/>
      </w:rPr>
      <w:t>1</w:t>
    </w:r>
    <w:r w:rsidR="00A611C6">
      <w:rPr>
        <w:sz w:val="20"/>
        <w:szCs w:val="20"/>
      </w:rPr>
      <w:t>010</w:t>
    </w:r>
    <w:r w:rsidR="00E17DBE">
      <w:rPr>
        <w:sz w:val="20"/>
        <w:szCs w:val="20"/>
      </w:rPr>
      <w:t>16</w:t>
    </w:r>
    <w:r w:rsidRPr="005D76C4">
      <w:rPr>
        <w:sz w:val="20"/>
        <w:szCs w:val="20"/>
      </w:rPr>
      <w:t>_nolikums</w:t>
    </w:r>
    <w:r w:rsidR="00FB4090">
      <w:rPr>
        <w:sz w:val="20"/>
        <w:szCs w:val="20"/>
      </w:rPr>
      <w:t>.docx</w:t>
    </w:r>
    <w:r w:rsidRPr="005D76C4">
      <w:rPr>
        <w:sz w:val="20"/>
        <w:szCs w:val="20"/>
      </w:rPr>
      <w:t>; Ministru kabineta noteikumu projekta “Grozījumi Ministru kabineta 2003.gada 29.aprīļa noteikumos Nr.239 “Finanšu ministrijas nolikums”</w:t>
    </w:r>
    <w:r w:rsidR="0006582E">
      <w:rPr>
        <w:sz w:val="20"/>
        <w:szCs w:val="20"/>
      </w:rPr>
      <w:t xml:space="preserve"> sākotnējās ietekmes novērtējuma ziņojums (anotācija)</w:t>
    </w:r>
  </w:p>
  <w:p w:rsidR="00334BA7" w:rsidRPr="00270EFB" w:rsidRDefault="00334BA7" w:rsidP="003900FC">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BA7" w:rsidRDefault="00334BA7" w:rsidP="00270EFB">
    <w:pPr>
      <w:pStyle w:val="Footer"/>
      <w:jc w:val="both"/>
    </w:pPr>
    <w:r w:rsidRPr="00270EFB">
      <w:rPr>
        <w:sz w:val="20"/>
        <w:szCs w:val="20"/>
      </w:rPr>
      <w:fldChar w:fldCharType="begin"/>
    </w:r>
    <w:r w:rsidRPr="00270EFB">
      <w:rPr>
        <w:sz w:val="20"/>
        <w:szCs w:val="20"/>
      </w:rPr>
      <w:instrText xml:space="preserve"> FILENAME   \* MERGEFORMAT </w:instrText>
    </w:r>
    <w:r w:rsidRPr="00270EFB">
      <w:rPr>
        <w:sz w:val="20"/>
        <w:szCs w:val="20"/>
      </w:rPr>
      <w:fldChar w:fldCharType="separate"/>
    </w:r>
    <w:r w:rsidR="00A611C6">
      <w:rPr>
        <w:noProof/>
        <w:sz w:val="20"/>
        <w:szCs w:val="20"/>
      </w:rPr>
      <w:t>FMAnot_1010</w:t>
    </w:r>
    <w:r w:rsidR="005C5611">
      <w:rPr>
        <w:noProof/>
        <w:sz w:val="20"/>
        <w:szCs w:val="20"/>
      </w:rPr>
      <w:t>16_nolikums.docx</w:t>
    </w:r>
    <w:r w:rsidRPr="00270EFB">
      <w:rPr>
        <w:sz w:val="20"/>
        <w:szCs w:val="20"/>
      </w:rPr>
      <w:fldChar w:fldCharType="end"/>
    </w:r>
    <w:r w:rsidRPr="00270EFB">
      <w:rPr>
        <w:sz w:val="20"/>
        <w:szCs w:val="20"/>
      </w:rPr>
      <w:t xml:space="preserve">; Ministru kabineta noteikumu projekta „Grozījumi Ministru kabineta 2003.gada 29.aprīļa noteikumos Nr. 239 „Finanšu ministrijas nolikums”” </w:t>
    </w:r>
    <w:r w:rsidR="0006582E">
      <w:rPr>
        <w:sz w:val="20"/>
        <w:szCs w:val="20"/>
      </w:rPr>
      <w:t>sākotnējās ietekmes novērtējuma ziņojums (anotācija)</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D3" w:rsidRDefault="00925DD3" w:rsidP="00E07D75">
      <w:r>
        <w:separator/>
      </w:r>
    </w:p>
  </w:footnote>
  <w:footnote w:type="continuationSeparator" w:id="0">
    <w:p w:rsidR="00925DD3" w:rsidRDefault="00925DD3" w:rsidP="00E0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924916"/>
      <w:docPartObj>
        <w:docPartGallery w:val="Page Numbers (Top of Page)"/>
        <w:docPartUnique/>
      </w:docPartObj>
    </w:sdtPr>
    <w:sdtEndPr>
      <w:rPr>
        <w:noProof/>
      </w:rPr>
    </w:sdtEndPr>
    <w:sdtContent>
      <w:p w:rsidR="00E07D75" w:rsidRDefault="00E07D75">
        <w:pPr>
          <w:pStyle w:val="Header"/>
          <w:jc w:val="center"/>
        </w:pPr>
        <w:r>
          <w:fldChar w:fldCharType="begin"/>
        </w:r>
        <w:r>
          <w:instrText xml:space="preserve"> PAGE   \* MERGEFORMAT </w:instrText>
        </w:r>
        <w:r>
          <w:fldChar w:fldCharType="separate"/>
        </w:r>
        <w:r w:rsidR="00D52E0C">
          <w:rPr>
            <w:noProof/>
          </w:rPr>
          <w:t>2</w:t>
        </w:r>
        <w:r>
          <w:rPr>
            <w:noProof/>
          </w:rPr>
          <w:fldChar w:fldCharType="end"/>
        </w:r>
      </w:p>
    </w:sdtContent>
  </w:sdt>
  <w:p w:rsidR="00E07D75" w:rsidRDefault="00E07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F0302"/>
    <w:multiLevelType w:val="hybridMultilevel"/>
    <w:tmpl w:val="7408D402"/>
    <w:lvl w:ilvl="0" w:tplc="0E42410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F577289"/>
    <w:multiLevelType w:val="hybridMultilevel"/>
    <w:tmpl w:val="2F540410"/>
    <w:lvl w:ilvl="0" w:tplc="984C06B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DC16F79"/>
    <w:multiLevelType w:val="hybridMultilevel"/>
    <w:tmpl w:val="F9C493B2"/>
    <w:lvl w:ilvl="0" w:tplc="84927EDA">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E"/>
    <w:rsid w:val="00004388"/>
    <w:rsid w:val="00004EC4"/>
    <w:rsid w:val="000143BD"/>
    <w:rsid w:val="00016DF6"/>
    <w:rsid w:val="0001765F"/>
    <w:rsid w:val="00020602"/>
    <w:rsid w:val="000410A1"/>
    <w:rsid w:val="00045491"/>
    <w:rsid w:val="00046319"/>
    <w:rsid w:val="00051A57"/>
    <w:rsid w:val="0006582E"/>
    <w:rsid w:val="00065891"/>
    <w:rsid w:val="00065CB5"/>
    <w:rsid w:val="00072763"/>
    <w:rsid w:val="00097ED7"/>
    <w:rsid w:val="000B270C"/>
    <w:rsid w:val="000B37CA"/>
    <w:rsid w:val="000D317D"/>
    <w:rsid w:val="000D6465"/>
    <w:rsid w:val="000E4BFC"/>
    <w:rsid w:val="000F1B8C"/>
    <w:rsid w:val="000F7937"/>
    <w:rsid w:val="00116CE4"/>
    <w:rsid w:val="0011755E"/>
    <w:rsid w:val="001178A2"/>
    <w:rsid w:val="001241C4"/>
    <w:rsid w:val="00133B3F"/>
    <w:rsid w:val="00136A56"/>
    <w:rsid w:val="00145756"/>
    <w:rsid w:val="00145B4F"/>
    <w:rsid w:val="00146360"/>
    <w:rsid w:val="00157C94"/>
    <w:rsid w:val="00163725"/>
    <w:rsid w:val="001651F4"/>
    <w:rsid w:val="00175C43"/>
    <w:rsid w:val="0019239C"/>
    <w:rsid w:val="001950E9"/>
    <w:rsid w:val="0019682E"/>
    <w:rsid w:val="00197765"/>
    <w:rsid w:val="001A297D"/>
    <w:rsid w:val="001B32A6"/>
    <w:rsid w:val="001B5400"/>
    <w:rsid w:val="001C19DA"/>
    <w:rsid w:val="001C4CF4"/>
    <w:rsid w:val="001C6209"/>
    <w:rsid w:val="001D4B95"/>
    <w:rsid w:val="001E387E"/>
    <w:rsid w:val="001E57C0"/>
    <w:rsid w:val="001E790A"/>
    <w:rsid w:val="00202140"/>
    <w:rsid w:val="00203273"/>
    <w:rsid w:val="00204B89"/>
    <w:rsid w:val="002243E4"/>
    <w:rsid w:val="00237403"/>
    <w:rsid w:val="002452F7"/>
    <w:rsid w:val="0025015A"/>
    <w:rsid w:val="00251EAC"/>
    <w:rsid w:val="00270EFB"/>
    <w:rsid w:val="002712F0"/>
    <w:rsid w:val="00277B48"/>
    <w:rsid w:val="00281423"/>
    <w:rsid w:val="002838CF"/>
    <w:rsid w:val="00284538"/>
    <w:rsid w:val="002A5362"/>
    <w:rsid w:val="002B0C3F"/>
    <w:rsid w:val="002C0D88"/>
    <w:rsid w:val="002D4564"/>
    <w:rsid w:val="003201EA"/>
    <w:rsid w:val="00326DC0"/>
    <w:rsid w:val="00330959"/>
    <w:rsid w:val="00334BA7"/>
    <w:rsid w:val="00341240"/>
    <w:rsid w:val="0034612E"/>
    <w:rsid w:val="00356E0D"/>
    <w:rsid w:val="00363638"/>
    <w:rsid w:val="003707DB"/>
    <w:rsid w:val="00372215"/>
    <w:rsid w:val="003900FC"/>
    <w:rsid w:val="003A3559"/>
    <w:rsid w:val="003A4F62"/>
    <w:rsid w:val="003B6B79"/>
    <w:rsid w:val="003D7F47"/>
    <w:rsid w:val="003E391C"/>
    <w:rsid w:val="003E79F6"/>
    <w:rsid w:val="003F3E8D"/>
    <w:rsid w:val="00401270"/>
    <w:rsid w:val="004015E4"/>
    <w:rsid w:val="004032C9"/>
    <w:rsid w:val="00413551"/>
    <w:rsid w:val="00413D37"/>
    <w:rsid w:val="004160CE"/>
    <w:rsid w:val="004170EB"/>
    <w:rsid w:val="00423CA4"/>
    <w:rsid w:val="004349F8"/>
    <w:rsid w:val="00435184"/>
    <w:rsid w:val="00444A86"/>
    <w:rsid w:val="00444BC4"/>
    <w:rsid w:val="004878BE"/>
    <w:rsid w:val="0049196D"/>
    <w:rsid w:val="00494C74"/>
    <w:rsid w:val="004B151D"/>
    <w:rsid w:val="004B6241"/>
    <w:rsid w:val="004C5EBA"/>
    <w:rsid w:val="004D369C"/>
    <w:rsid w:val="004D7CD5"/>
    <w:rsid w:val="004E0B83"/>
    <w:rsid w:val="004F0824"/>
    <w:rsid w:val="004F11E2"/>
    <w:rsid w:val="004F1260"/>
    <w:rsid w:val="00507245"/>
    <w:rsid w:val="00510B62"/>
    <w:rsid w:val="005361CF"/>
    <w:rsid w:val="005362BF"/>
    <w:rsid w:val="0054350A"/>
    <w:rsid w:val="005507BE"/>
    <w:rsid w:val="00551138"/>
    <w:rsid w:val="00564E19"/>
    <w:rsid w:val="005676C6"/>
    <w:rsid w:val="00570DD0"/>
    <w:rsid w:val="00573F2B"/>
    <w:rsid w:val="0058051B"/>
    <w:rsid w:val="00587048"/>
    <w:rsid w:val="00590309"/>
    <w:rsid w:val="005B3ED6"/>
    <w:rsid w:val="005C3CC0"/>
    <w:rsid w:val="005C5611"/>
    <w:rsid w:val="005D3F65"/>
    <w:rsid w:val="005D75F4"/>
    <w:rsid w:val="005D76C4"/>
    <w:rsid w:val="005E2A3D"/>
    <w:rsid w:val="005E78F5"/>
    <w:rsid w:val="005F5BEC"/>
    <w:rsid w:val="006103CD"/>
    <w:rsid w:val="00617CB4"/>
    <w:rsid w:val="00631023"/>
    <w:rsid w:val="0065148A"/>
    <w:rsid w:val="00653483"/>
    <w:rsid w:val="00663151"/>
    <w:rsid w:val="00664F4B"/>
    <w:rsid w:val="0066578B"/>
    <w:rsid w:val="00666439"/>
    <w:rsid w:val="006741F6"/>
    <w:rsid w:val="006744B1"/>
    <w:rsid w:val="006819A2"/>
    <w:rsid w:val="006901F5"/>
    <w:rsid w:val="006B0DA8"/>
    <w:rsid w:val="006B7957"/>
    <w:rsid w:val="006D68DE"/>
    <w:rsid w:val="006E5223"/>
    <w:rsid w:val="006F3D17"/>
    <w:rsid w:val="006F6BB6"/>
    <w:rsid w:val="007026D3"/>
    <w:rsid w:val="00707DC1"/>
    <w:rsid w:val="00715335"/>
    <w:rsid w:val="007166CF"/>
    <w:rsid w:val="007208A3"/>
    <w:rsid w:val="00723523"/>
    <w:rsid w:val="0072431E"/>
    <w:rsid w:val="00736590"/>
    <w:rsid w:val="00742651"/>
    <w:rsid w:val="0074780C"/>
    <w:rsid w:val="00750B7B"/>
    <w:rsid w:val="0077098F"/>
    <w:rsid w:val="00770DAF"/>
    <w:rsid w:val="007721DD"/>
    <w:rsid w:val="00774CC0"/>
    <w:rsid w:val="00775808"/>
    <w:rsid w:val="007828AA"/>
    <w:rsid w:val="00784EFF"/>
    <w:rsid w:val="00787ACA"/>
    <w:rsid w:val="007A0C39"/>
    <w:rsid w:val="007A194F"/>
    <w:rsid w:val="007B0EDF"/>
    <w:rsid w:val="00802137"/>
    <w:rsid w:val="0082550B"/>
    <w:rsid w:val="00830BD7"/>
    <w:rsid w:val="00833758"/>
    <w:rsid w:val="008425AE"/>
    <w:rsid w:val="0084660D"/>
    <w:rsid w:val="008516E9"/>
    <w:rsid w:val="00852D6D"/>
    <w:rsid w:val="008572E9"/>
    <w:rsid w:val="00862C04"/>
    <w:rsid w:val="00867171"/>
    <w:rsid w:val="00872F97"/>
    <w:rsid w:val="00880937"/>
    <w:rsid w:val="0088317F"/>
    <w:rsid w:val="00891D1B"/>
    <w:rsid w:val="008B5653"/>
    <w:rsid w:val="008B56BC"/>
    <w:rsid w:val="008C0778"/>
    <w:rsid w:val="008C7978"/>
    <w:rsid w:val="008D4856"/>
    <w:rsid w:val="008D5730"/>
    <w:rsid w:val="008E451D"/>
    <w:rsid w:val="008E6784"/>
    <w:rsid w:val="008E7096"/>
    <w:rsid w:val="008F2E55"/>
    <w:rsid w:val="008F7474"/>
    <w:rsid w:val="00901D59"/>
    <w:rsid w:val="00903AA7"/>
    <w:rsid w:val="00914CD5"/>
    <w:rsid w:val="00925DD3"/>
    <w:rsid w:val="00930A61"/>
    <w:rsid w:val="009445B4"/>
    <w:rsid w:val="00945FF1"/>
    <w:rsid w:val="009478CF"/>
    <w:rsid w:val="009527C7"/>
    <w:rsid w:val="009623E2"/>
    <w:rsid w:val="00967CF2"/>
    <w:rsid w:val="00970A37"/>
    <w:rsid w:val="00981A89"/>
    <w:rsid w:val="00990A3A"/>
    <w:rsid w:val="009919A1"/>
    <w:rsid w:val="00997DF8"/>
    <w:rsid w:val="009B1C93"/>
    <w:rsid w:val="009B45E1"/>
    <w:rsid w:val="009B4EE2"/>
    <w:rsid w:val="009B591E"/>
    <w:rsid w:val="009C7C94"/>
    <w:rsid w:val="009D2175"/>
    <w:rsid w:val="009D2219"/>
    <w:rsid w:val="009D712D"/>
    <w:rsid w:val="009E4D89"/>
    <w:rsid w:val="009F63AD"/>
    <w:rsid w:val="00A031CB"/>
    <w:rsid w:val="00A20197"/>
    <w:rsid w:val="00A220D1"/>
    <w:rsid w:val="00A2257C"/>
    <w:rsid w:val="00A22D91"/>
    <w:rsid w:val="00A611C6"/>
    <w:rsid w:val="00A752C5"/>
    <w:rsid w:val="00A906A1"/>
    <w:rsid w:val="00A91DF2"/>
    <w:rsid w:val="00AA29DD"/>
    <w:rsid w:val="00AA747C"/>
    <w:rsid w:val="00AE3DA7"/>
    <w:rsid w:val="00AE77AE"/>
    <w:rsid w:val="00AF37BC"/>
    <w:rsid w:val="00B00F21"/>
    <w:rsid w:val="00B1371F"/>
    <w:rsid w:val="00B167CF"/>
    <w:rsid w:val="00B21C55"/>
    <w:rsid w:val="00B2621B"/>
    <w:rsid w:val="00B316EE"/>
    <w:rsid w:val="00B351BF"/>
    <w:rsid w:val="00B37E76"/>
    <w:rsid w:val="00B57178"/>
    <w:rsid w:val="00B57B55"/>
    <w:rsid w:val="00B605AF"/>
    <w:rsid w:val="00B64045"/>
    <w:rsid w:val="00B768B4"/>
    <w:rsid w:val="00BA0264"/>
    <w:rsid w:val="00BA5FCF"/>
    <w:rsid w:val="00BC411B"/>
    <w:rsid w:val="00BD5166"/>
    <w:rsid w:val="00BE7618"/>
    <w:rsid w:val="00BF5D12"/>
    <w:rsid w:val="00BF70A5"/>
    <w:rsid w:val="00BF75FB"/>
    <w:rsid w:val="00C02F1E"/>
    <w:rsid w:val="00C151E4"/>
    <w:rsid w:val="00C165B5"/>
    <w:rsid w:val="00C20EED"/>
    <w:rsid w:val="00C279BC"/>
    <w:rsid w:val="00C41D97"/>
    <w:rsid w:val="00C455A0"/>
    <w:rsid w:val="00C46C12"/>
    <w:rsid w:val="00C64BD3"/>
    <w:rsid w:val="00C7027C"/>
    <w:rsid w:val="00C751E8"/>
    <w:rsid w:val="00C75572"/>
    <w:rsid w:val="00C77D37"/>
    <w:rsid w:val="00C90474"/>
    <w:rsid w:val="00C90CAD"/>
    <w:rsid w:val="00C94543"/>
    <w:rsid w:val="00CA517C"/>
    <w:rsid w:val="00CA5354"/>
    <w:rsid w:val="00CB2C90"/>
    <w:rsid w:val="00CB30A1"/>
    <w:rsid w:val="00CB5ABB"/>
    <w:rsid w:val="00CB7FE9"/>
    <w:rsid w:val="00CC75FA"/>
    <w:rsid w:val="00CD18DA"/>
    <w:rsid w:val="00CD4A55"/>
    <w:rsid w:val="00CE5DC9"/>
    <w:rsid w:val="00CF22BE"/>
    <w:rsid w:val="00D01DB6"/>
    <w:rsid w:val="00D146BD"/>
    <w:rsid w:val="00D234FE"/>
    <w:rsid w:val="00D2557C"/>
    <w:rsid w:val="00D34CDE"/>
    <w:rsid w:val="00D37E79"/>
    <w:rsid w:val="00D44AEA"/>
    <w:rsid w:val="00D452C5"/>
    <w:rsid w:val="00D45EB6"/>
    <w:rsid w:val="00D52E0C"/>
    <w:rsid w:val="00D535BD"/>
    <w:rsid w:val="00D57CE2"/>
    <w:rsid w:val="00D63D74"/>
    <w:rsid w:val="00D674BB"/>
    <w:rsid w:val="00D72C90"/>
    <w:rsid w:val="00D74672"/>
    <w:rsid w:val="00D74C94"/>
    <w:rsid w:val="00D756E6"/>
    <w:rsid w:val="00D82591"/>
    <w:rsid w:val="00DA1A99"/>
    <w:rsid w:val="00DA26A7"/>
    <w:rsid w:val="00DA5808"/>
    <w:rsid w:val="00DB24D6"/>
    <w:rsid w:val="00DB296C"/>
    <w:rsid w:val="00DC55C8"/>
    <w:rsid w:val="00DD13BC"/>
    <w:rsid w:val="00DD1CF9"/>
    <w:rsid w:val="00DD32C8"/>
    <w:rsid w:val="00DE7683"/>
    <w:rsid w:val="00E01BAE"/>
    <w:rsid w:val="00E07D75"/>
    <w:rsid w:val="00E17DBE"/>
    <w:rsid w:val="00E24259"/>
    <w:rsid w:val="00E3042D"/>
    <w:rsid w:val="00E32B83"/>
    <w:rsid w:val="00E4132B"/>
    <w:rsid w:val="00E4220F"/>
    <w:rsid w:val="00E60517"/>
    <w:rsid w:val="00E774DB"/>
    <w:rsid w:val="00E84F72"/>
    <w:rsid w:val="00E85751"/>
    <w:rsid w:val="00EB5D1A"/>
    <w:rsid w:val="00EE5F79"/>
    <w:rsid w:val="00EE7FFE"/>
    <w:rsid w:val="00F10624"/>
    <w:rsid w:val="00F126CC"/>
    <w:rsid w:val="00F13044"/>
    <w:rsid w:val="00F14525"/>
    <w:rsid w:val="00F35435"/>
    <w:rsid w:val="00F45309"/>
    <w:rsid w:val="00F628E2"/>
    <w:rsid w:val="00F86A33"/>
    <w:rsid w:val="00F90851"/>
    <w:rsid w:val="00F95B5A"/>
    <w:rsid w:val="00FA11C3"/>
    <w:rsid w:val="00FA3311"/>
    <w:rsid w:val="00FB16FB"/>
    <w:rsid w:val="00FB2433"/>
    <w:rsid w:val="00FB4090"/>
    <w:rsid w:val="00FB510B"/>
    <w:rsid w:val="00FB6CB8"/>
    <w:rsid w:val="00FC484C"/>
    <w:rsid w:val="00FC704F"/>
    <w:rsid w:val="00FD2083"/>
    <w:rsid w:val="00FD2D84"/>
    <w:rsid w:val="00FE0FE7"/>
    <w:rsid w:val="00FE5BB5"/>
    <w:rsid w:val="00FF4879"/>
    <w:rsid w:val="00FF7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F788BF1-5838-4CA2-A760-06C29D67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0C"/>
    <w:pPr>
      <w:ind w:left="720"/>
      <w:contextualSpacing/>
    </w:pPr>
  </w:style>
  <w:style w:type="paragraph" w:styleId="PlainText">
    <w:name w:val="Plain Text"/>
    <w:basedOn w:val="Normal"/>
    <w:link w:val="PlainTextChar"/>
    <w:uiPriority w:val="99"/>
    <w:unhideWhenUsed/>
    <w:rsid w:val="003A355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A3559"/>
    <w:rPr>
      <w:rFonts w:ascii="Consolas" w:eastAsia="Calibri" w:hAnsi="Consolas" w:cs="Times New Roman"/>
      <w:sz w:val="21"/>
      <w:szCs w:val="21"/>
    </w:rPr>
  </w:style>
  <w:style w:type="paragraph" w:styleId="Header">
    <w:name w:val="header"/>
    <w:basedOn w:val="Normal"/>
    <w:link w:val="HeaderChar"/>
    <w:uiPriority w:val="99"/>
    <w:unhideWhenUsed/>
    <w:rsid w:val="00E07D75"/>
    <w:pPr>
      <w:tabs>
        <w:tab w:val="center" w:pos="4153"/>
        <w:tab w:val="right" w:pos="8306"/>
      </w:tabs>
    </w:pPr>
  </w:style>
  <w:style w:type="character" w:customStyle="1" w:styleId="HeaderChar">
    <w:name w:val="Header Char"/>
    <w:basedOn w:val="DefaultParagraphFont"/>
    <w:link w:val="Header"/>
    <w:uiPriority w:val="99"/>
    <w:rsid w:val="00E07D75"/>
  </w:style>
  <w:style w:type="paragraph" w:styleId="Footer">
    <w:name w:val="footer"/>
    <w:basedOn w:val="Normal"/>
    <w:link w:val="FooterChar"/>
    <w:uiPriority w:val="99"/>
    <w:unhideWhenUsed/>
    <w:rsid w:val="00E07D75"/>
    <w:pPr>
      <w:tabs>
        <w:tab w:val="center" w:pos="4153"/>
        <w:tab w:val="right" w:pos="8306"/>
      </w:tabs>
    </w:pPr>
  </w:style>
  <w:style w:type="character" w:customStyle="1" w:styleId="FooterChar">
    <w:name w:val="Footer Char"/>
    <w:basedOn w:val="DefaultParagraphFont"/>
    <w:link w:val="Footer"/>
    <w:uiPriority w:val="99"/>
    <w:rsid w:val="00E07D75"/>
  </w:style>
  <w:style w:type="paragraph" w:styleId="BalloonText">
    <w:name w:val="Balloon Text"/>
    <w:basedOn w:val="Normal"/>
    <w:link w:val="BalloonTextChar"/>
    <w:uiPriority w:val="99"/>
    <w:semiHidden/>
    <w:unhideWhenUsed/>
    <w:rsid w:val="00E01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AE"/>
    <w:rPr>
      <w:rFonts w:ascii="Segoe UI" w:hAnsi="Segoe UI" w:cs="Segoe UI"/>
      <w:sz w:val="18"/>
      <w:szCs w:val="18"/>
    </w:rPr>
  </w:style>
  <w:style w:type="character" w:styleId="Hyperlink">
    <w:name w:val="Hyperlink"/>
    <w:basedOn w:val="DefaultParagraphFont"/>
    <w:uiPriority w:val="99"/>
    <w:unhideWhenUsed/>
    <w:rsid w:val="00666439"/>
    <w:rPr>
      <w:color w:val="0563C1" w:themeColor="hyperlink"/>
      <w:u w:val="single"/>
    </w:rPr>
  </w:style>
  <w:style w:type="paragraph" w:styleId="FootnoteText">
    <w:name w:val="footnote text"/>
    <w:basedOn w:val="Normal"/>
    <w:link w:val="FootnoteTextChar"/>
    <w:uiPriority w:val="99"/>
    <w:semiHidden/>
    <w:unhideWhenUsed/>
    <w:rsid w:val="00444A86"/>
    <w:rPr>
      <w:sz w:val="20"/>
      <w:szCs w:val="20"/>
    </w:rPr>
  </w:style>
  <w:style w:type="character" w:customStyle="1" w:styleId="FootnoteTextChar">
    <w:name w:val="Footnote Text Char"/>
    <w:basedOn w:val="DefaultParagraphFont"/>
    <w:link w:val="FootnoteText"/>
    <w:uiPriority w:val="99"/>
    <w:semiHidden/>
    <w:rsid w:val="00444A86"/>
    <w:rPr>
      <w:sz w:val="20"/>
      <w:szCs w:val="20"/>
    </w:rPr>
  </w:style>
  <w:style w:type="character" w:styleId="FootnoteReference">
    <w:name w:val="footnote reference"/>
    <w:basedOn w:val="DefaultParagraphFont"/>
    <w:uiPriority w:val="99"/>
    <w:semiHidden/>
    <w:unhideWhenUsed/>
    <w:rsid w:val="00444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73">
      <w:bodyDiv w:val="1"/>
      <w:marLeft w:val="0"/>
      <w:marRight w:val="0"/>
      <w:marTop w:val="0"/>
      <w:marBottom w:val="0"/>
      <w:divBdr>
        <w:top w:val="none" w:sz="0" w:space="0" w:color="auto"/>
        <w:left w:val="none" w:sz="0" w:space="0" w:color="auto"/>
        <w:bottom w:val="none" w:sz="0" w:space="0" w:color="auto"/>
        <w:right w:val="none" w:sz="0" w:space="0" w:color="auto"/>
      </w:divBdr>
    </w:div>
    <w:div w:id="309674510">
      <w:bodyDiv w:val="1"/>
      <w:marLeft w:val="0"/>
      <w:marRight w:val="0"/>
      <w:marTop w:val="0"/>
      <w:marBottom w:val="0"/>
      <w:divBdr>
        <w:top w:val="none" w:sz="0" w:space="0" w:color="auto"/>
        <w:left w:val="none" w:sz="0" w:space="0" w:color="auto"/>
        <w:bottom w:val="none" w:sz="0" w:space="0" w:color="auto"/>
        <w:right w:val="none" w:sz="0" w:space="0" w:color="auto"/>
      </w:divBdr>
    </w:div>
    <w:div w:id="826244274">
      <w:bodyDiv w:val="1"/>
      <w:marLeft w:val="0"/>
      <w:marRight w:val="0"/>
      <w:marTop w:val="0"/>
      <w:marBottom w:val="0"/>
      <w:divBdr>
        <w:top w:val="none" w:sz="0" w:space="0" w:color="auto"/>
        <w:left w:val="none" w:sz="0" w:space="0" w:color="auto"/>
        <w:bottom w:val="none" w:sz="0" w:space="0" w:color="auto"/>
        <w:right w:val="none" w:sz="0" w:space="0" w:color="auto"/>
      </w:divBdr>
      <w:divsChild>
        <w:div w:id="828642637">
          <w:marLeft w:val="0"/>
          <w:marRight w:val="0"/>
          <w:marTop w:val="0"/>
          <w:marBottom w:val="0"/>
          <w:divBdr>
            <w:top w:val="none" w:sz="0" w:space="0" w:color="auto"/>
            <w:left w:val="none" w:sz="0" w:space="0" w:color="auto"/>
            <w:bottom w:val="none" w:sz="0" w:space="0" w:color="auto"/>
            <w:right w:val="none" w:sz="0" w:space="0" w:color="auto"/>
          </w:divBdr>
          <w:divsChild>
            <w:div w:id="1651015183">
              <w:marLeft w:val="0"/>
              <w:marRight w:val="0"/>
              <w:marTop w:val="0"/>
              <w:marBottom w:val="0"/>
              <w:divBdr>
                <w:top w:val="none" w:sz="0" w:space="0" w:color="auto"/>
                <w:left w:val="none" w:sz="0" w:space="0" w:color="auto"/>
                <w:bottom w:val="none" w:sz="0" w:space="0" w:color="auto"/>
                <w:right w:val="none" w:sz="0" w:space="0" w:color="auto"/>
              </w:divBdr>
              <w:divsChild>
                <w:div w:id="1054816126">
                  <w:marLeft w:val="0"/>
                  <w:marRight w:val="0"/>
                  <w:marTop w:val="0"/>
                  <w:marBottom w:val="0"/>
                  <w:divBdr>
                    <w:top w:val="none" w:sz="0" w:space="0" w:color="auto"/>
                    <w:left w:val="none" w:sz="0" w:space="0" w:color="auto"/>
                    <w:bottom w:val="none" w:sz="0" w:space="0" w:color="auto"/>
                    <w:right w:val="none" w:sz="0" w:space="0" w:color="auto"/>
                  </w:divBdr>
                  <w:divsChild>
                    <w:div w:id="241454430">
                      <w:marLeft w:val="0"/>
                      <w:marRight w:val="0"/>
                      <w:marTop w:val="0"/>
                      <w:marBottom w:val="0"/>
                      <w:divBdr>
                        <w:top w:val="none" w:sz="0" w:space="0" w:color="auto"/>
                        <w:left w:val="none" w:sz="0" w:space="0" w:color="auto"/>
                        <w:bottom w:val="none" w:sz="0" w:space="0" w:color="auto"/>
                        <w:right w:val="none" w:sz="0" w:space="0" w:color="auto"/>
                      </w:divBdr>
                      <w:divsChild>
                        <w:div w:id="905215514">
                          <w:marLeft w:val="0"/>
                          <w:marRight w:val="0"/>
                          <w:marTop w:val="0"/>
                          <w:marBottom w:val="0"/>
                          <w:divBdr>
                            <w:top w:val="none" w:sz="0" w:space="0" w:color="auto"/>
                            <w:left w:val="none" w:sz="0" w:space="0" w:color="auto"/>
                            <w:bottom w:val="none" w:sz="0" w:space="0" w:color="auto"/>
                            <w:right w:val="none" w:sz="0" w:space="0" w:color="auto"/>
                          </w:divBdr>
                          <w:divsChild>
                            <w:div w:id="9141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462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132">
          <w:marLeft w:val="0"/>
          <w:marRight w:val="0"/>
          <w:marTop w:val="0"/>
          <w:marBottom w:val="0"/>
          <w:divBdr>
            <w:top w:val="none" w:sz="0" w:space="0" w:color="auto"/>
            <w:left w:val="none" w:sz="0" w:space="0" w:color="auto"/>
            <w:bottom w:val="none" w:sz="0" w:space="0" w:color="auto"/>
            <w:right w:val="none" w:sz="0" w:space="0" w:color="auto"/>
          </w:divBdr>
          <w:divsChild>
            <w:div w:id="1022558611">
              <w:marLeft w:val="0"/>
              <w:marRight w:val="0"/>
              <w:marTop w:val="0"/>
              <w:marBottom w:val="0"/>
              <w:divBdr>
                <w:top w:val="none" w:sz="0" w:space="0" w:color="auto"/>
                <w:left w:val="none" w:sz="0" w:space="0" w:color="auto"/>
                <w:bottom w:val="none" w:sz="0" w:space="0" w:color="auto"/>
                <w:right w:val="none" w:sz="0" w:space="0" w:color="auto"/>
              </w:divBdr>
              <w:divsChild>
                <w:div w:id="1628390213">
                  <w:marLeft w:val="0"/>
                  <w:marRight w:val="0"/>
                  <w:marTop w:val="0"/>
                  <w:marBottom w:val="0"/>
                  <w:divBdr>
                    <w:top w:val="none" w:sz="0" w:space="0" w:color="auto"/>
                    <w:left w:val="none" w:sz="0" w:space="0" w:color="auto"/>
                    <w:bottom w:val="none" w:sz="0" w:space="0" w:color="auto"/>
                    <w:right w:val="none" w:sz="0" w:space="0" w:color="auto"/>
                  </w:divBdr>
                  <w:divsChild>
                    <w:div w:id="519320208">
                      <w:marLeft w:val="0"/>
                      <w:marRight w:val="0"/>
                      <w:marTop w:val="0"/>
                      <w:marBottom w:val="0"/>
                      <w:divBdr>
                        <w:top w:val="none" w:sz="0" w:space="0" w:color="auto"/>
                        <w:left w:val="none" w:sz="0" w:space="0" w:color="auto"/>
                        <w:bottom w:val="none" w:sz="0" w:space="0" w:color="auto"/>
                        <w:right w:val="none" w:sz="0" w:space="0" w:color="auto"/>
                      </w:divBdr>
                      <w:divsChild>
                        <w:div w:id="48118791">
                          <w:marLeft w:val="0"/>
                          <w:marRight w:val="0"/>
                          <w:marTop w:val="0"/>
                          <w:marBottom w:val="0"/>
                          <w:divBdr>
                            <w:top w:val="none" w:sz="0" w:space="0" w:color="auto"/>
                            <w:left w:val="none" w:sz="0" w:space="0" w:color="auto"/>
                            <w:bottom w:val="none" w:sz="0" w:space="0" w:color="auto"/>
                            <w:right w:val="none" w:sz="0" w:space="0" w:color="auto"/>
                          </w:divBdr>
                          <w:divsChild>
                            <w:div w:id="1913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010919">
      <w:bodyDiv w:val="1"/>
      <w:marLeft w:val="0"/>
      <w:marRight w:val="0"/>
      <w:marTop w:val="0"/>
      <w:marBottom w:val="0"/>
      <w:divBdr>
        <w:top w:val="none" w:sz="0" w:space="0" w:color="auto"/>
        <w:left w:val="none" w:sz="0" w:space="0" w:color="auto"/>
        <w:bottom w:val="none" w:sz="0" w:space="0" w:color="auto"/>
        <w:right w:val="none" w:sz="0" w:space="0" w:color="auto"/>
      </w:divBdr>
      <w:divsChild>
        <w:div w:id="536965586">
          <w:marLeft w:val="0"/>
          <w:marRight w:val="0"/>
          <w:marTop w:val="0"/>
          <w:marBottom w:val="0"/>
          <w:divBdr>
            <w:top w:val="none" w:sz="0" w:space="0" w:color="auto"/>
            <w:left w:val="none" w:sz="0" w:space="0" w:color="auto"/>
            <w:bottom w:val="none" w:sz="0" w:space="0" w:color="auto"/>
            <w:right w:val="none" w:sz="0" w:space="0" w:color="auto"/>
          </w:divBdr>
          <w:divsChild>
            <w:div w:id="2025856330">
              <w:marLeft w:val="0"/>
              <w:marRight w:val="0"/>
              <w:marTop w:val="0"/>
              <w:marBottom w:val="0"/>
              <w:divBdr>
                <w:top w:val="none" w:sz="0" w:space="0" w:color="auto"/>
                <w:left w:val="none" w:sz="0" w:space="0" w:color="auto"/>
                <w:bottom w:val="none" w:sz="0" w:space="0" w:color="auto"/>
                <w:right w:val="none" w:sz="0" w:space="0" w:color="auto"/>
              </w:divBdr>
              <w:divsChild>
                <w:div w:id="679813002">
                  <w:marLeft w:val="0"/>
                  <w:marRight w:val="0"/>
                  <w:marTop w:val="0"/>
                  <w:marBottom w:val="0"/>
                  <w:divBdr>
                    <w:top w:val="none" w:sz="0" w:space="0" w:color="auto"/>
                    <w:left w:val="none" w:sz="0" w:space="0" w:color="auto"/>
                    <w:bottom w:val="none" w:sz="0" w:space="0" w:color="auto"/>
                    <w:right w:val="none" w:sz="0" w:space="0" w:color="auto"/>
                  </w:divBdr>
                  <w:divsChild>
                    <w:div w:id="1037897907">
                      <w:marLeft w:val="0"/>
                      <w:marRight w:val="0"/>
                      <w:marTop w:val="0"/>
                      <w:marBottom w:val="0"/>
                      <w:divBdr>
                        <w:top w:val="none" w:sz="0" w:space="0" w:color="auto"/>
                        <w:left w:val="none" w:sz="0" w:space="0" w:color="auto"/>
                        <w:bottom w:val="none" w:sz="0" w:space="0" w:color="auto"/>
                        <w:right w:val="none" w:sz="0" w:space="0" w:color="auto"/>
                      </w:divBdr>
                      <w:divsChild>
                        <w:div w:id="1542746230">
                          <w:marLeft w:val="0"/>
                          <w:marRight w:val="0"/>
                          <w:marTop w:val="0"/>
                          <w:marBottom w:val="0"/>
                          <w:divBdr>
                            <w:top w:val="none" w:sz="0" w:space="0" w:color="auto"/>
                            <w:left w:val="none" w:sz="0" w:space="0" w:color="auto"/>
                            <w:bottom w:val="none" w:sz="0" w:space="0" w:color="auto"/>
                            <w:right w:val="none" w:sz="0" w:space="0" w:color="auto"/>
                          </w:divBdr>
                          <w:divsChild>
                            <w:div w:id="1493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14333">
      <w:bodyDiv w:val="1"/>
      <w:marLeft w:val="0"/>
      <w:marRight w:val="0"/>
      <w:marTop w:val="0"/>
      <w:marBottom w:val="0"/>
      <w:divBdr>
        <w:top w:val="none" w:sz="0" w:space="0" w:color="auto"/>
        <w:left w:val="none" w:sz="0" w:space="0" w:color="auto"/>
        <w:bottom w:val="none" w:sz="0" w:space="0" w:color="auto"/>
        <w:right w:val="none" w:sz="0" w:space="0" w:color="auto"/>
      </w:divBdr>
      <w:divsChild>
        <w:div w:id="1378821706">
          <w:marLeft w:val="0"/>
          <w:marRight w:val="0"/>
          <w:marTop w:val="0"/>
          <w:marBottom w:val="0"/>
          <w:divBdr>
            <w:top w:val="none" w:sz="0" w:space="0" w:color="auto"/>
            <w:left w:val="none" w:sz="0" w:space="0" w:color="auto"/>
            <w:bottom w:val="none" w:sz="0" w:space="0" w:color="auto"/>
            <w:right w:val="none" w:sz="0" w:space="0" w:color="auto"/>
          </w:divBdr>
          <w:divsChild>
            <w:div w:id="1794977300">
              <w:marLeft w:val="0"/>
              <w:marRight w:val="0"/>
              <w:marTop w:val="0"/>
              <w:marBottom w:val="0"/>
              <w:divBdr>
                <w:top w:val="none" w:sz="0" w:space="0" w:color="auto"/>
                <w:left w:val="none" w:sz="0" w:space="0" w:color="auto"/>
                <w:bottom w:val="none" w:sz="0" w:space="0" w:color="auto"/>
                <w:right w:val="none" w:sz="0" w:space="0" w:color="auto"/>
              </w:divBdr>
              <w:divsChild>
                <w:div w:id="1046297664">
                  <w:marLeft w:val="0"/>
                  <w:marRight w:val="0"/>
                  <w:marTop w:val="0"/>
                  <w:marBottom w:val="0"/>
                  <w:divBdr>
                    <w:top w:val="none" w:sz="0" w:space="0" w:color="auto"/>
                    <w:left w:val="none" w:sz="0" w:space="0" w:color="auto"/>
                    <w:bottom w:val="none" w:sz="0" w:space="0" w:color="auto"/>
                    <w:right w:val="none" w:sz="0" w:space="0" w:color="auto"/>
                  </w:divBdr>
                  <w:divsChild>
                    <w:div w:id="1464082856">
                      <w:marLeft w:val="0"/>
                      <w:marRight w:val="0"/>
                      <w:marTop w:val="0"/>
                      <w:marBottom w:val="0"/>
                      <w:divBdr>
                        <w:top w:val="none" w:sz="0" w:space="0" w:color="auto"/>
                        <w:left w:val="none" w:sz="0" w:space="0" w:color="auto"/>
                        <w:bottom w:val="none" w:sz="0" w:space="0" w:color="auto"/>
                        <w:right w:val="none" w:sz="0" w:space="0" w:color="auto"/>
                      </w:divBdr>
                      <w:divsChild>
                        <w:div w:id="1605117794">
                          <w:marLeft w:val="0"/>
                          <w:marRight w:val="0"/>
                          <w:marTop w:val="0"/>
                          <w:marBottom w:val="0"/>
                          <w:divBdr>
                            <w:top w:val="none" w:sz="0" w:space="0" w:color="auto"/>
                            <w:left w:val="none" w:sz="0" w:space="0" w:color="auto"/>
                            <w:bottom w:val="none" w:sz="0" w:space="0" w:color="auto"/>
                            <w:right w:val="none" w:sz="0" w:space="0" w:color="auto"/>
                          </w:divBdr>
                          <w:divsChild>
                            <w:div w:id="4694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810907">
      <w:bodyDiv w:val="1"/>
      <w:marLeft w:val="0"/>
      <w:marRight w:val="0"/>
      <w:marTop w:val="0"/>
      <w:marBottom w:val="0"/>
      <w:divBdr>
        <w:top w:val="none" w:sz="0" w:space="0" w:color="auto"/>
        <w:left w:val="none" w:sz="0" w:space="0" w:color="auto"/>
        <w:bottom w:val="none" w:sz="0" w:space="0" w:color="auto"/>
        <w:right w:val="none" w:sz="0" w:space="0" w:color="auto"/>
      </w:divBdr>
      <w:divsChild>
        <w:div w:id="2020690228">
          <w:marLeft w:val="0"/>
          <w:marRight w:val="0"/>
          <w:marTop w:val="0"/>
          <w:marBottom w:val="0"/>
          <w:divBdr>
            <w:top w:val="none" w:sz="0" w:space="0" w:color="auto"/>
            <w:left w:val="none" w:sz="0" w:space="0" w:color="auto"/>
            <w:bottom w:val="none" w:sz="0" w:space="0" w:color="auto"/>
            <w:right w:val="none" w:sz="0" w:space="0" w:color="auto"/>
          </w:divBdr>
          <w:divsChild>
            <w:div w:id="1976987188">
              <w:marLeft w:val="0"/>
              <w:marRight w:val="0"/>
              <w:marTop w:val="0"/>
              <w:marBottom w:val="0"/>
              <w:divBdr>
                <w:top w:val="none" w:sz="0" w:space="0" w:color="auto"/>
                <w:left w:val="none" w:sz="0" w:space="0" w:color="auto"/>
                <w:bottom w:val="none" w:sz="0" w:space="0" w:color="auto"/>
                <w:right w:val="none" w:sz="0" w:space="0" w:color="auto"/>
              </w:divBdr>
              <w:divsChild>
                <w:div w:id="1108429102">
                  <w:marLeft w:val="0"/>
                  <w:marRight w:val="0"/>
                  <w:marTop w:val="0"/>
                  <w:marBottom w:val="0"/>
                  <w:divBdr>
                    <w:top w:val="none" w:sz="0" w:space="0" w:color="auto"/>
                    <w:left w:val="none" w:sz="0" w:space="0" w:color="auto"/>
                    <w:bottom w:val="none" w:sz="0" w:space="0" w:color="auto"/>
                    <w:right w:val="none" w:sz="0" w:space="0" w:color="auto"/>
                  </w:divBdr>
                  <w:divsChild>
                    <w:div w:id="299505407">
                      <w:marLeft w:val="0"/>
                      <w:marRight w:val="0"/>
                      <w:marTop w:val="0"/>
                      <w:marBottom w:val="0"/>
                      <w:divBdr>
                        <w:top w:val="none" w:sz="0" w:space="0" w:color="auto"/>
                        <w:left w:val="none" w:sz="0" w:space="0" w:color="auto"/>
                        <w:bottom w:val="none" w:sz="0" w:space="0" w:color="auto"/>
                        <w:right w:val="none" w:sz="0" w:space="0" w:color="auto"/>
                      </w:divBdr>
                      <w:divsChild>
                        <w:div w:id="1730617902">
                          <w:marLeft w:val="0"/>
                          <w:marRight w:val="0"/>
                          <w:marTop w:val="0"/>
                          <w:marBottom w:val="0"/>
                          <w:divBdr>
                            <w:top w:val="none" w:sz="0" w:space="0" w:color="auto"/>
                            <w:left w:val="none" w:sz="0" w:space="0" w:color="auto"/>
                            <w:bottom w:val="none" w:sz="0" w:space="0" w:color="auto"/>
                            <w:right w:val="none" w:sz="0" w:space="0" w:color="auto"/>
                          </w:divBdr>
                          <w:divsChild>
                            <w:div w:id="15674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147</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D764-2A44-470C-9284-3779E5CFE41C}">
  <ds:schemaRefs>
    <ds:schemaRef ds:uri="http://schemas.microsoft.com/sharepoint/v3/contenttype/forms"/>
  </ds:schemaRefs>
</ds:datastoreItem>
</file>

<file path=customXml/itemProps2.xml><?xml version="1.0" encoding="utf-8"?>
<ds:datastoreItem xmlns:ds="http://schemas.openxmlformats.org/officeDocument/2006/customXml" ds:itemID="{F1829BDC-94BA-4130-AD86-BACD4AE03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3BB977-1FB2-4477-A407-D6F6FAB295B3}">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96748AF1-337D-403A-BAB8-B5CFE858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3743</Words>
  <Characters>2135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2003.gada 29.aprīļa noteikumos Nr.239 "Finanšu ministrijas nolikums"</vt:lpstr>
    </vt:vector>
  </TitlesOfParts>
  <Company>Finanšu ministrija</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29.aprīļa noteikumos Nr.239 "Finanšu ministrijas nolikums"</dc:title>
  <dc:subject>Noteikumu projekts</dc:subject>
  <dc:creator>Astra Valtere</dc:creator>
  <cp:keywords/>
  <dc:description>67095484, astra.valtere@fm.gov.lv</dc:description>
  <cp:lastModifiedBy>Astra Valtere</cp:lastModifiedBy>
  <cp:revision>6</cp:revision>
  <cp:lastPrinted>2016-09-16T08:03:00Z</cp:lastPrinted>
  <dcterms:created xsi:type="dcterms:W3CDTF">2016-09-16T11:23:00Z</dcterms:created>
  <dcterms:modified xsi:type="dcterms:W3CDTF">2016-10-20T12:24:00Z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