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59" w:rsidRPr="00FF6E59" w:rsidRDefault="00FF6E59" w:rsidP="00FF6E59">
      <w:pPr>
        <w:tabs>
          <w:tab w:val="center" w:pos="4153"/>
          <w:tab w:val="right" w:pos="8306"/>
        </w:tabs>
        <w:jc w:val="center"/>
        <w:rPr>
          <w:rFonts w:eastAsia="Times New Roman" w:cs="Times New Roman"/>
          <w:b/>
          <w:sz w:val="26"/>
          <w:szCs w:val="26"/>
          <w:lang w:eastAsia="lv-LV"/>
        </w:rPr>
      </w:pPr>
      <w:r w:rsidRPr="00C376DB">
        <w:rPr>
          <w:rFonts w:eastAsia="Times New Roman" w:cs="Times New Roman"/>
          <w:bCs/>
          <w:sz w:val="26"/>
          <w:szCs w:val="26"/>
          <w:lang w:eastAsia="lv-LV"/>
        </w:rPr>
        <w:t>Ministru kabineta noteikumu projekta</w:t>
      </w:r>
      <w:r w:rsidRPr="00FF6E59">
        <w:rPr>
          <w:rFonts w:eastAsia="Times New Roman" w:cs="Times New Roman"/>
          <w:b/>
          <w:bCs/>
          <w:sz w:val="26"/>
          <w:szCs w:val="26"/>
          <w:lang w:eastAsia="lv-LV"/>
        </w:rPr>
        <w:t xml:space="preserve"> „</w:t>
      </w:r>
      <w:r w:rsidRPr="00FF6E59">
        <w:rPr>
          <w:rFonts w:eastAsia="Times New Roman" w:cs="Times New Roman"/>
          <w:b/>
          <w:sz w:val="26"/>
          <w:szCs w:val="26"/>
          <w:lang w:eastAsia="lv-LV"/>
        </w:rPr>
        <w:t>Grozījumi Ministru kabineta 2010.gada 18.maija noteikumos Nr.464 „</w:t>
      </w:r>
      <w:r w:rsidRPr="00FF6E59">
        <w:rPr>
          <w:rFonts w:eastAsia="Times New Roman" w:cs="Times New Roman"/>
          <w:b/>
          <w:bCs/>
          <w:sz w:val="26"/>
          <w:szCs w:val="26"/>
          <w:lang w:eastAsia="lv-LV"/>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FF6E59">
        <w:rPr>
          <w:rFonts w:eastAsia="Times New Roman" w:cs="Times New Roman"/>
          <w:b/>
          <w:sz w:val="26"/>
          <w:szCs w:val="26"/>
          <w:lang w:eastAsia="lv-LV"/>
        </w:rPr>
        <w:t xml:space="preserve"> </w:t>
      </w:r>
      <w:r w:rsidRPr="00C376DB">
        <w:rPr>
          <w:rFonts w:eastAsia="Times New Roman" w:cs="Times New Roman"/>
          <w:sz w:val="26"/>
          <w:szCs w:val="26"/>
          <w:lang w:eastAsia="lv-LV"/>
        </w:rPr>
        <w:t>sākotnējās ietekmes novērtējuma ziņojums</w:t>
      </w:r>
      <w:r w:rsidRPr="00FF6E59">
        <w:rPr>
          <w:rFonts w:eastAsia="Times New Roman" w:cs="Times New Roman"/>
          <w:b/>
          <w:sz w:val="26"/>
          <w:szCs w:val="26"/>
          <w:lang w:eastAsia="lv-LV"/>
        </w:rPr>
        <w:t xml:space="preserve"> (anotācija)</w:t>
      </w:r>
    </w:p>
    <w:p w:rsidR="00FF6E59" w:rsidRPr="00C376DB" w:rsidRDefault="00FF6E59" w:rsidP="00A05A0C">
      <w:pPr>
        <w:outlineLvl w:val="3"/>
        <w:rPr>
          <w:rFonts w:eastAsia="Times New Roman" w:cs="Times New Roman"/>
          <w:b/>
          <w:bCs/>
          <w:szCs w:val="24"/>
          <w:lang w:eastAsia="lv-LV"/>
        </w:rPr>
      </w:pPr>
      <w:r w:rsidRPr="00C376DB">
        <w:rPr>
          <w:rFonts w:eastAsia="Times New Roman" w:cs="Times New Roman"/>
          <w:b/>
          <w:bCs/>
          <w:szCs w:val="24"/>
          <w:lang w:eastAsia="lv-LV"/>
        </w:rPr>
        <w:tab/>
      </w: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6"/>
        <w:gridCol w:w="1671"/>
        <w:gridCol w:w="7167"/>
      </w:tblGrid>
      <w:tr w:rsidR="00FF6E59" w:rsidRPr="00C376DB" w:rsidTr="00F95238">
        <w:tc>
          <w:tcPr>
            <w:tcW w:w="5000" w:type="pct"/>
            <w:gridSpan w:val="3"/>
            <w:tcBorders>
              <w:top w:val="single" w:sz="6" w:space="0" w:color="auto"/>
              <w:left w:val="single" w:sz="6" w:space="0" w:color="auto"/>
              <w:bottom w:val="outset" w:sz="6" w:space="0" w:color="000000"/>
              <w:right w:val="single" w:sz="6" w:space="0" w:color="auto"/>
            </w:tcBorders>
            <w:vAlign w:val="center"/>
          </w:tcPr>
          <w:p w:rsidR="00FF6E59" w:rsidRPr="00C376DB" w:rsidRDefault="00FF6E59" w:rsidP="00FF6E59">
            <w:pPr>
              <w:jc w:val="center"/>
              <w:rPr>
                <w:rFonts w:eastAsia="Times New Roman" w:cs="Times New Roman"/>
                <w:b/>
                <w:bCs/>
                <w:szCs w:val="24"/>
                <w:lang w:eastAsia="lv-LV"/>
              </w:rPr>
            </w:pPr>
            <w:r w:rsidRPr="00C376DB">
              <w:rPr>
                <w:rFonts w:eastAsia="Times New Roman" w:cs="Times New Roman"/>
                <w:b/>
                <w:bCs/>
                <w:szCs w:val="24"/>
                <w:lang w:eastAsia="lv-LV"/>
              </w:rPr>
              <w:t>I. Tiesību akta projekta izstrādes nepieciešamība</w:t>
            </w:r>
          </w:p>
        </w:tc>
      </w:tr>
      <w:tr w:rsidR="00FF6E59" w:rsidRPr="00C376DB" w:rsidTr="00F95238">
        <w:trPr>
          <w:trHeight w:val="1166"/>
        </w:trPr>
        <w:tc>
          <w:tcPr>
            <w:tcW w:w="23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1.</w:t>
            </w:r>
          </w:p>
        </w:tc>
        <w:tc>
          <w:tcPr>
            <w:tcW w:w="901"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Pamatojums</w:t>
            </w:r>
          </w:p>
          <w:p w:rsidR="00FF6E59" w:rsidRPr="00C376DB" w:rsidRDefault="00FF6E59" w:rsidP="00FF6E59">
            <w:pPr>
              <w:rPr>
                <w:rFonts w:eastAsia="Times New Roman" w:cs="Times New Roman"/>
                <w:color w:val="C00000"/>
                <w:szCs w:val="24"/>
                <w:lang w:eastAsia="lv-LV"/>
              </w:rPr>
            </w:pPr>
          </w:p>
          <w:p w:rsidR="00FF6E59" w:rsidRPr="00C376DB" w:rsidRDefault="00FF6E59" w:rsidP="00FF6E59">
            <w:pPr>
              <w:rPr>
                <w:rFonts w:eastAsia="Times New Roman" w:cs="Times New Roman"/>
                <w:szCs w:val="24"/>
                <w:lang w:eastAsia="lv-LV"/>
              </w:rPr>
            </w:pPr>
          </w:p>
          <w:p w:rsidR="00FF6E59" w:rsidRPr="00C376DB" w:rsidRDefault="00FF6E59" w:rsidP="00FF6E59">
            <w:pPr>
              <w:rPr>
                <w:rFonts w:eastAsia="Times New Roman" w:cs="Times New Roman"/>
                <w:szCs w:val="24"/>
                <w:lang w:eastAsia="lv-LV"/>
              </w:rPr>
            </w:pPr>
          </w:p>
        </w:tc>
        <w:tc>
          <w:tcPr>
            <w:tcW w:w="3864" w:type="pct"/>
            <w:tcBorders>
              <w:top w:val="outset" w:sz="6" w:space="0" w:color="000000"/>
              <w:left w:val="outset" w:sz="6" w:space="0" w:color="000000"/>
              <w:bottom w:val="outset" w:sz="6" w:space="0" w:color="000000"/>
              <w:right w:val="outset" w:sz="6" w:space="0" w:color="000000"/>
            </w:tcBorders>
          </w:tcPr>
          <w:p w:rsidR="00FF6E59" w:rsidRPr="00C376DB" w:rsidRDefault="00DE2616" w:rsidP="00570198">
            <w:pPr>
              <w:ind w:left="55" w:right="141"/>
              <w:jc w:val="both"/>
              <w:rPr>
                <w:rFonts w:cs="Times New Roman"/>
                <w:szCs w:val="24"/>
              </w:rPr>
            </w:pPr>
            <w:r w:rsidRPr="00C376DB">
              <w:rPr>
                <w:rFonts w:cs="Times New Roman"/>
                <w:bCs/>
                <w:szCs w:val="24"/>
              </w:rPr>
              <w:t>Ministru kabineta noteikumu projekts „</w:t>
            </w:r>
            <w:r w:rsidRPr="00C376DB">
              <w:rPr>
                <w:rFonts w:cs="Times New Roman"/>
                <w:szCs w:val="24"/>
              </w:rPr>
              <w:t>Grozījumi Ministru kabineta 2010.gada 18.maija noteikumos Nr.464 „</w:t>
            </w:r>
            <w:r w:rsidRPr="00C376DB">
              <w:rPr>
                <w:rStyle w:val="Strong"/>
                <w:rFonts w:cs="Times New Roman"/>
                <w:b w:val="0"/>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(turpmāk -  noteikumu projekts)</w:t>
            </w:r>
            <w:r w:rsidRPr="00C376DB">
              <w:rPr>
                <w:rFonts w:cs="Times New Roman"/>
                <w:bCs/>
                <w:szCs w:val="24"/>
              </w:rPr>
              <w:t xml:space="preserve"> ir izstrādāts pamatojoties uz</w:t>
            </w:r>
            <w:r w:rsidR="00D0575F" w:rsidRPr="00C376DB">
              <w:rPr>
                <w:rFonts w:cs="Times New Roman"/>
                <w:bCs/>
                <w:szCs w:val="24"/>
              </w:rPr>
              <w:t xml:space="preserve"> </w:t>
            </w:r>
            <w:r w:rsidR="00D0575F" w:rsidRPr="00C376DB">
              <w:rPr>
                <w:rStyle w:val="st1"/>
                <w:rFonts w:cs="Times New Roman"/>
                <w:szCs w:val="24"/>
              </w:rPr>
              <w:t xml:space="preserve">Ministru kabineta 2016.gada 9.augusta </w:t>
            </w:r>
            <w:r w:rsidR="00D0575F" w:rsidRPr="00C376DB">
              <w:rPr>
                <w:rStyle w:val="Emphasis"/>
                <w:rFonts w:cs="Times New Roman"/>
                <w:b w:val="0"/>
                <w:bCs w:val="0"/>
                <w:szCs w:val="24"/>
              </w:rPr>
              <w:t>sēdes protokola</w:t>
            </w:r>
            <w:r w:rsidR="00D0575F" w:rsidRPr="00C376DB">
              <w:rPr>
                <w:rStyle w:val="st1"/>
                <w:rFonts w:cs="Times New Roman"/>
                <w:szCs w:val="24"/>
              </w:rPr>
              <w:t xml:space="preserve"> Nr.39, 45.§, 6.punktu, kas nosaka</w:t>
            </w:r>
            <w:r w:rsidR="008D4DAB" w:rsidRPr="00C376DB">
              <w:rPr>
                <w:rStyle w:val="st1"/>
                <w:rFonts w:cs="Times New Roman"/>
                <w:szCs w:val="24"/>
              </w:rPr>
              <w:t xml:space="preserve"> </w:t>
            </w:r>
            <w:r w:rsidR="00D0575F" w:rsidRPr="00C376DB">
              <w:rPr>
                <w:rStyle w:val="st1"/>
                <w:rFonts w:cs="Times New Roman"/>
                <w:szCs w:val="24"/>
              </w:rPr>
              <w:t xml:space="preserve"> Finanšu ministrijai, lai nodrošinātu finansējuma piešķiršanu </w:t>
            </w:r>
            <w:r w:rsidR="000F71DE" w:rsidRPr="00C376DB">
              <w:rPr>
                <w:rStyle w:val="st1"/>
                <w:rFonts w:cs="Times New Roman"/>
                <w:szCs w:val="24"/>
              </w:rPr>
              <w:t xml:space="preserve">pirms </w:t>
            </w:r>
            <w:r w:rsidR="00D0575F" w:rsidRPr="00C376DB">
              <w:rPr>
                <w:rStyle w:val="st1"/>
                <w:rFonts w:cs="Times New Roman"/>
                <w:szCs w:val="24"/>
              </w:rPr>
              <w:t xml:space="preserve"> projekta</w:t>
            </w:r>
            <w:r w:rsidR="000F71DE" w:rsidRPr="00C376DB">
              <w:rPr>
                <w:rStyle w:val="st1"/>
                <w:rFonts w:cs="Times New Roman"/>
                <w:szCs w:val="24"/>
              </w:rPr>
              <w:t xml:space="preserve"> apstiprināšanas</w:t>
            </w:r>
            <w:r w:rsidR="00D0575F" w:rsidRPr="00C376DB">
              <w:rPr>
                <w:rStyle w:val="st1"/>
                <w:rFonts w:cs="Times New Roman"/>
                <w:szCs w:val="24"/>
              </w:rPr>
              <w:t xml:space="preserve"> par</w:t>
            </w:r>
            <w:r w:rsidR="008D4DAB" w:rsidRPr="00C376DB">
              <w:rPr>
                <w:rStyle w:val="st1"/>
                <w:rFonts w:cs="Times New Roman"/>
                <w:szCs w:val="24"/>
              </w:rPr>
              <w:t xml:space="preserve"> </w:t>
            </w:r>
            <w:r w:rsidR="008D4DAB" w:rsidRPr="00C376DB">
              <w:rPr>
                <w:rFonts w:cs="Times New Roman"/>
                <w:szCs w:val="24"/>
              </w:rPr>
              <w:t xml:space="preserve">VSIA “Paula Stradiņa klīniskā universitātes slimnīca” A korpusa otrās kārtas </w:t>
            </w:r>
            <w:r w:rsidR="001D2DB7" w:rsidRPr="00C376DB">
              <w:rPr>
                <w:rStyle w:val="st1"/>
                <w:rFonts w:cs="Times New Roman"/>
                <w:szCs w:val="24"/>
              </w:rPr>
              <w:t>izveidi</w:t>
            </w:r>
            <w:r w:rsidR="00D0575F" w:rsidRPr="00C376DB">
              <w:rPr>
                <w:rStyle w:val="st1"/>
                <w:rFonts w:cs="Times New Roman"/>
                <w:szCs w:val="24"/>
              </w:rPr>
              <w:t xml:space="preserve">, sagatavot un iesniegt Ministru kabinetā grozījumus </w:t>
            </w:r>
            <w:r w:rsidR="00D0575F" w:rsidRPr="00C376DB">
              <w:rPr>
                <w:rFonts w:cs="Times New Roman"/>
                <w:szCs w:val="24"/>
              </w:rPr>
              <w:t>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w:t>
            </w:r>
            <w:r w:rsidR="00C376DB">
              <w:rPr>
                <w:rFonts w:cs="Times New Roman"/>
                <w:szCs w:val="24"/>
              </w:rPr>
              <w:t xml:space="preserve">ojektu un pasākumu īstenošanai” </w:t>
            </w:r>
            <w:r w:rsidR="00C376DB" w:rsidRPr="00C376DB">
              <w:rPr>
                <w:rFonts w:cs="Times New Roman"/>
                <w:szCs w:val="24"/>
              </w:rPr>
              <w:t>(</w:t>
            </w:r>
            <w:r w:rsidR="00C376DB" w:rsidRPr="00C376DB">
              <w:rPr>
                <w:szCs w:val="24"/>
              </w:rPr>
              <w:t xml:space="preserve">uzdevums </w:t>
            </w:r>
            <w:r w:rsidR="00C376DB">
              <w:rPr>
                <w:szCs w:val="24"/>
              </w:rPr>
              <w:t>Nr.</w:t>
            </w:r>
            <w:r w:rsidR="00C376DB" w:rsidRPr="00C376DB">
              <w:rPr>
                <w:szCs w:val="24"/>
              </w:rPr>
              <w:t>2016-UZD-2057 ar izpildes termiņu 2016.gada 10.oktobris</w:t>
            </w:r>
            <w:r w:rsidR="00C376DB">
              <w:rPr>
                <w:szCs w:val="24"/>
              </w:rPr>
              <w:t>).</w:t>
            </w:r>
          </w:p>
        </w:tc>
      </w:tr>
      <w:tr w:rsidR="00FF6E59" w:rsidRPr="00C376DB" w:rsidTr="00F95238">
        <w:trPr>
          <w:trHeight w:val="381"/>
        </w:trPr>
        <w:tc>
          <w:tcPr>
            <w:tcW w:w="23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2.</w:t>
            </w:r>
          </w:p>
        </w:tc>
        <w:tc>
          <w:tcPr>
            <w:tcW w:w="901"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Pašreizējā situācija un problēmas, kuru risināšanai tiesību akta projekts izstrādāts, tiesiskā regulējuma mērķis un būtība</w:t>
            </w:r>
          </w:p>
        </w:tc>
        <w:tc>
          <w:tcPr>
            <w:tcW w:w="3864" w:type="pct"/>
            <w:tcBorders>
              <w:top w:val="outset" w:sz="6" w:space="0" w:color="000000"/>
              <w:left w:val="outset" w:sz="6" w:space="0" w:color="000000"/>
              <w:bottom w:val="outset" w:sz="6" w:space="0" w:color="000000"/>
              <w:right w:val="outset" w:sz="6" w:space="0" w:color="000000"/>
            </w:tcBorders>
          </w:tcPr>
          <w:p w:rsidR="00DC2D8E" w:rsidRPr="00C376DB" w:rsidRDefault="00324830" w:rsidP="0003667F">
            <w:pPr>
              <w:pStyle w:val="PlainText"/>
              <w:shd w:val="clear" w:color="auto" w:fill="FFFFFF"/>
              <w:ind w:left="55" w:right="141"/>
              <w:jc w:val="both"/>
              <w:rPr>
                <w:rFonts w:ascii="Times New Roman" w:hAnsi="Times New Roman"/>
                <w:sz w:val="24"/>
                <w:szCs w:val="24"/>
              </w:rPr>
            </w:pPr>
            <w:r w:rsidRPr="00C376DB">
              <w:rPr>
                <w:rFonts w:ascii="Times New Roman" w:hAnsi="Times New Roman"/>
                <w:sz w:val="24"/>
                <w:szCs w:val="24"/>
              </w:rPr>
              <w:t>Ministru kabineta 2010.gada 18.maija noteikumu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(turpmāk – MK noteikumi Nr.464) 16.punkts nosaka, ka valsts budžeta līdzekļu pieprasījumu Eiropas Savienības politiku instrumentu un pārējās ārvalstu finanšu palīdzības projektu īstenošanai vai līdzekļu atmaksai sagatavo, ievērojot prasības, kas noteiktas normatīvajos aktos par attiecīgo Eiropas Savienības politiku instrumentu un pārējās ār</w:t>
            </w:r>
            <w:r w:rsidR="00A07726" w:rsidRPr="00C376DB">
              <w:rPr>
                <w:rFonts w:ascii="Times New Roman" w:hAnsi="Times New Roman"/>
                <w:sz w:val="24"/>
                <w:szCs w:val="24"/>
              </w:rPr>
              <w:t>valstu finanšu palīdzības veidu. S</w:t>
            </w:r>
            <w:r w:rsidRPr="00C376DB">
              <w:rPr>
                <w:rFonts w:ascii="Times New Roman" w:hAnsi="Times New Roman"/>
                <w:sz w:val="24"/>
                <w:szCs w:val="24"/>
              </w:rPr>
              <w:t xml:space="preserve">avukārt 8.punkts nosaka, ka līdzekļu pieprasījumu iesniedz pēc tam, kad ir apstiprināts projekta iesniegums. Atsevišķo specifiskā atbalsta mērķu atbalstāmo projektu īstenošanai, kuriem jānodrošina sabiedrībai sniegto pakalpojumu nepārtrauktība, ir nepieciešams nodrošināt iespējas pārdalīt līdzekļus no 74.resora </w:t>
            </w:r>
            <w:r w:rsidRPr="00C376DB">
              <w:rPr>
                <w:rFonts w:ascii="Times New Roman" w:hAnsi="Times New Roman"/>
                <w:bCs/>
                <w:sz w:val="24"/>
                <w:szCs w:val="24"/>
              </w:rPr>
              <w:t>„</w:t>
            </w:r>
            <w:r w:rsidRPr="00C376DB">
              <w:rPr>
                <w:rFonts w:ascii="Times New Roman" w:hAnsi="Times New Roman"/>
                <w:sz w:val="24"/>
                <w:szCs w:val="24"/>
              </w:rPr>
              <w:t xml:space="preserve">Gadskārtējā valsts budžeta izpildes procesā pārdalāmais finansējums” 80.00.00. programmas </w:t>
            </w:r>
            <w:r w:rsidRPr="00C376DB">
              <w:rPr>
                <w:rFonts w:ascii="Times New Roman" w:hAnsi="Times New Roman"/>
                <w:bCs/>
                <w:sz w:val="24"/>
                <w:szCs w:val="24"/>
              </w:rPr>
              <w:t>„</w:t>
            </w:r>
            <w:r w:rsidRPr="00C376DB">
              <w:rPr>
                <w:rFonts w:ascii="Times New Roman" w:hAnsi="Times New Roman"/>
                <w:sz w:val="24"/>
                <w:szCs w:val="24"/>
              </w:rPr>
              <w:t>Nesadalītais finansējums Eiropas Savienības politiku instrumentu un pārējās ārvalstu finanšu palīdzības līdzfinansēto projektu un pasākumu īstenošana” (turpmāk  -  80.00.00 programma)</w:t>
            </w:r>
            <w:r w:rsidR="001D2DB7" w:rsidRPr="00C376DB">
              <w:rPr>
                <w:rFonts w:ascii="Times New Roman" w:hAnsi="Times New Roman"/>
                <w:sz w:val="24"/>
                <w:szCs w:val="24"/>
              </w:rPr>
              <w:t xml:space="preserve"> pirms projekta iesnieguma apstiprināšanas</w:t>
            </w:r>
            <w:r w:rsidR="00F700C2" w:rsidRPr="00C376DB">
              <w:rPr>
                <w:rFonts w:ascii="Times New Roman" w:hAnsi="Times New Roman"/>
                <w:sz w:val="24"/>
                <w:szCs w:val="24"/>
              </w:rPr>
              <w:t xml:space="preserve">. </w:t>
            </w:r>
            <w:r w:rsidRPr="00C376DB">
              <w:rPr>
                <w:rFonts w:ascii="Times New Roman" w:hAnsi="Times New Roman"/>
                <w:sz w:val="24"/>
                <w:szCs w:val="24"/>
              </w:rPr>
              <w:t>Ir apzināta situācija, ka līdzekļu pārdal</w:t>
            </w:r>
            <w:r w:rsidR="001D2DB7" w:rsidRPr="00C376DB">
              <w:rPr>
                <w:rFonts w:ascii="Times New Roman" w:hAnsi="Times New Roman"/>
                <w:sz w:val="24"/>
                <w:szCs w:val="24"/>
              </w:rPr>
              <w:t>e</w:t>
            </w:r>
            <w:r w:rsidRPr="00C376DB">
              <w:rPr>
                <w:rFonts w:ascii="Times New Roman" w:hAnsi="Times New Roman"/>
                <w:sz w:val="24"/>
                <w:szCs w:val="24"/>
              </w:rPr>
              <w:t xml:space="preserve"> no 80.00.00 programmas 2017</w:t>
            </w:r>
            <w:r w:rsidR="0083569C" w:rsidRPr="00C376DB">
              <w:rPr>
                <w:rFonts w:ascii="Times New Roman" w:hAnsi="Times New Roman"/>
                <w:sz w:val="24"/>
                <w:szCs w:val="24"/>
              </w:rPr>
              <w:t>.gadā pirms projekta</w:t>
            </w:r>
            <w:r w:rsidR="008312F2" w:rsidRPr="00C376DB">
              <w:rPr>
                <w:rFonts w:ascii="Times New Roman" w:hAnsi="Times New Roman"/>
                <w:sz w:val="24"/>
                <w:szCs w:val="24"/>
              </w:rPr>
              <w:t xml:space="preserve"> iesnieguma</w:t>
            </w:r>
            <w:r w:rsidRPr="00C376DB">
              <w:rPr>
                <w:rFonts w:ascii="Times New Roman" w:hAnsi="Times New Roman"/>
                <w:sz w:val="24"/>
                <w:szCs w:val="24"/>
              </w:rPr>
              <w:t xml:space="preserve"> apstiprināšanas </w:t>
            </w:r>
            <w:r w:rsidR="001D2DB7" w:rsidRPr="00C376DB">
              <w:rPr>
                <w:rFonts w:ascii="Times New Roman" w:hAnsi="Times New Roman"/>
                <w:sz w:val="24"/>
                <w:szCs w:val="24"/>
              </w:rPr>
              <w:t xml:space="preserve">būs nepieciešama </w:t>
            </w:r>
            <w:r w:rsidR="000A3F3C" w:rsidRPr="00C376DB">
              <w:rPr>
                <w:rFonts w:ascii="Times New Roman" w:hAnsi="Times New Roman"/>
                <w:sz w:val="24"/>
                <w:szCs w:val="24"/>
              </w:rPr>
              <w:t>Veselības ministrija</w:t>
            </w:r>
            <w:r w:rsidR="001D2DB7" w:rsidRPr="00C376DB">
              <w:rPr>
                <w:rFonts w:ascii="Times New Roman" w:hAnsi="Times New Roman"/>
                <w:sz w:val="24"/>
                <w:szCs w:val="24"/>
              </w:rPr>
              <w:t>i</w:t>
            </w:r>
            <w:r w:rsidR="000A3F3C" w:rsidRPr="00C376DB">
              <w:rPr>
                <w:rFonts w:ascii="Times New Roman" w:hAnsi="Times New Roman"/>
                <w:sz w:val="24"/>
                <w:szCs w:val="24"/>
              </w:rPr>
              <w:t xml:space="preserve"> 9</w:t>
            </w:r>
            <w:r w:rsidR="008C5773" w:rsidRPr="00C376DB">
              <w:rPr>
                <w:rFonts w:ascii="Times New Roman" w:hAnsi="Times New Roman"/>
                <w:sz w:val="24"/>
                <w:szCs w:val="24"/>
              </w:rPr>
              <w:t>.3.2. specifisk</w:t>
            </w:r>
            <w:r w:rsidR="001D2DB7" w:rsidRPr="00C376DB">
              <w:rPr>
                <w:rFonts w:ascii="Times New Roman" w:hAnsi="Times New Roman"/>
                <w:sz w:val="24"/>
                <w:szCs w:val="24"/>
              </w:rPr>
              <w:t>ajam</w:t>
            </w:r>
            <w:r w:rsidR="008C5773" w:rsidRPr="00C376DB">
              <w:rPr>
                <w:rFonts w:ascii="Times New Roman" w:hAnsi="Times New Roman"/>
                <w:sz w:val="24"/>
                <w:szCs w:val="24"/>
              </w:rPr>
              <w:t xml:space="preserve"> atbalsta mērķ</w:t>
            </w:r>
            <w:r w:rsidR="001D2DB7" w:rsidRPr="00C376DB">
              <w:rPr>
                <w:rFonts w:ascii="Times New Roman" w:hAnsi="Times New Roman"/>
                <w:sz w:val="24"/>
                <w:szCs w:val="24"/>
              </w:rPr>
              <w:t>im</w:t>
            </w:r>
            <w:r w:rsidR="000A3F3C" w:rsidRPr="00C376DB">
              <w:rPr>
                <w:rFonts w:ascii="Times New Roman" w:hAnsi="Times New Roman"/>
                <w:sz w:val="24"/>
                <w:szCs w:val="24"/>
              </w:rPr>
              <w:t xml:space="preserve"> „Uzlabot kvalitatīvu veselības aprūpes pakalpojumu pieejamību, jo īpaši sociālās, </w:t>
            </w:r>
            <w:r w:rsidR="000A3F3C" w:rsidRPr="00C376DB">
              <w:rPr>
                <w:rFonts w:ascii="Times New Roman" w:hAnsi="Times New Roman"/>
                <w:sz w:val="24"/>
                <w:szCs w:val="24"/>
              </w:rPr>
              <w:lastRenderedPageBreak/>
              <w:t>teritoriālās atstumtības un nabadzības riskam pakļautajiem iedzīvotājiem, attīstot ve</w:t>
            </w:r>
            <w:r w:rsidR="00A43541" w:rsidRPr="00C376DB">
              <w:rPr>
                <w:rFonts w:ascii="Times New Roman" w:hAnsi="Times New Roman"/>
                <w:sz w:val="24"/>
                <w:szCs w:val="24"/>
              </w:rPr>
              <w:t xml:space="preserve">selības aprūpes infrastruktūru”, kura ietvaros tiek </w:t>
            </w:r>
            <w:r w:rsidR="00F10425" w:rsidRPr="00C376DB">
              <w:rPr>
                <w:rFonts w:ascii="Times New Roman" w:hAnsi="Times New Roman"/>
                <w:sz w:val="24"/>
                <w:szCs w:val="24"/>
              </w:rPr>
              <w:t xml:space="preserve">veikta </w:t>
            </w:r>
            <w:r w:rsidR="00B76753" w:rsidRPr="00C376DB">
              <w:rPr>
                <w:rFonts w:ascii="Times New Roman" w:hAnsi="Times New Roman"/>
                <w:sz w:val="24"/>
                <w:szCs w:val="24"/>
              </w:rPr>
              <w:t xml:space="preserve">VSIA “Paula Stradiņa klīniskā universitātes slimnīca” A korpusa otrās kārtas būvniecības projekta izstrāde. Informatīvajā ziņojumā “Par VSIA “Paula Stradiņa klīniskā universitātes slimnīca” A korpusa otrās kārtas attīstību” </w:t>
            </w:r>
            <w:r w:rsidR="001D2DB7" w:rsidRPr="00C376DB">
              <w:rPr>
                <w:rFonts w:ascii="Times New Roman" w:hAnsi="Times New Roman"/>
                <w:sz w:val="24"/>
                <w:szCs w:val="24"/>
              </w:rPr>
              <w:t>(apstiprināts</w:t>
            </w:r>
            <w:r w:rsidR="0066045C" w:rsidRPr="00C376DB">
              <w:rPr>
                <w:rFonts w:ascii="Times New Roman" w:hAnsi="Times New Roman"/>
                <w:sz w:val="24"/>
                <w:szCs w:val="24"/>
              </w:rPr>
              <w:t xml:space="preserve"> Ministru kabinetā 2016.gada 9.augustā, sēdes protokola Nr.39</w:t>
            </w:r>
            <w:r w:rsidR="0066045C" w:rsidRPr="00C376DB">
              <w:rPr>
                <w:rStyle w:val="st1"/>
                <w:rFonts w:ascii="Times New Roman" w:hAnsi="Times New Roman"/>
                <w:sz w:val="24"/>
                <w:szCs w:val="24"/>
              </w:rPr>
              <w:t>, 45.§.)</w:t>
            </w:r>
            <w:r w:rsidR="0066045C" w:rsidRPr="00C376DB">
              <w:rPr>
                <w:rFonts w:ascii="Times New Roman" w:hAnsi="Times New Roman"/>
                <w:sz w:val="24"/>
                <w:szCs w:val="24"/>
              </w:rPr>
              <w:t xml:space="preserve"> </w:t>
            </w:r>
            <w:r w:rsidR="001D2DB7" w:rsidRPr="00C376DB">
              <w:rPr>
                <w:rFonts w:ascii="Times New Roman" w:hAnsi="Times New Roman"/>
                <w:sz w:val="24"/>
                <w:szCs w:val="24"/>
              </w:rPr>
              <w:t xml:space="preserve"> </w:t>
            </w:r>
            <w:r w:rsidR="00B76753" w:rsidRPr="00C376DB">
              <w:rPr>
                <w:rFonts w:ascii="Times New Roman" w:hAnsi="Times New Roman"/>
                <w:sz w:val="24"/>
                <w:szCs w:val="24"/>
              </w:rPr>
              <w:t>ir noteikts, ka Veselības ministrija nodrošin</w:t>
            </w:r>
            <w:r w:rsidR="001D2DB7" w:rsidRPr="00C376DB">
              <w:rPr>
                <w:rFonts w:ascii="Times New Roman" w:hAnsi="Times New Roman"/>
                <w:sz w:val="24"/>
                <w:szCs w:val="24"/>
              </w:rPr>
              <w:t>ās</w:t>
            </w:r>
            <w:r w:rsidR="00B76753" w:rsidRPr="00C376DB">
              <w:rPr>
                <w:rFonts w:ascii="Times New Roman" w:hAnsi="Times New Roman"/>
                <w:sz w:val="24"/>
                <w:szCs w:val="24"/>
              </w:rPr>
              <w:t xml:space="preserve"> 9.3.2. specifiskā atbalsta mērķa „Uzlabot kvalitatīvu veselības aprūpes pakalpojumu pieejamību, jo īpaši sociālās, teritoriālās atstumtības un nabadzības riskam pakļautajiem iedzīvotājiem, attīstot veselības aprūpes infrastruktūru” </w:t>
            </w:r>
            <w:r w:rsidR="00F56CD9" w:rsidRPr="00C376DB">
              <w:rPr>
                <w:rFonts w:ascii="Times New Roman" w:hAnsi="Times New Roman"/>
                <w:sz w:val="24"/>
                <w:szCs w:val="24"/>
              </w:rPr>
              <w:t xml:space="preserve"> VSIA “Paula Stradiņa klīniskā universitātes slimnīca” A korpusa otrās kārtas</w:t>
            </w:r>
            <w:r w:rsidR="00F56CD9" w:rsidRPr="00C376DB" w:rsidDel="00F56CD9">
              <w:rPr>
                <w:rFonts w:ascii="Times New Roman" w:hAnsi="Times New Roman"/>
                <w:sz w:val="24"/>
                <w:szCs w:val="24"/>
              </w:rPr>
              <w:t xml:space="preserve"> </w:t>
            </w:r>
            <w:r w:rsidR="00F56CD9">
              <w:rPr>
                <w:rFonts w:ascii="Times New Roman" w:hAnsi="Times New Roman"/>
                <w:sz w:val="24"/>
                <w:szCs w:val="24"/>
              </w:rPr>
              <w:t xml:space="preserve">attīstības projekta </w:t>
            </w:r>
            <w:r w:rsidR="00B76753" w:rsidRPr="00C376DB">
              <w:rPr>
                <w:rFonts w:ascii="Times New Roman" w:hAnsi="Times New Roman"/>
                <w:sz w:val="24"/>
                <w:szCs w:val="24"/>
              </w:rPr>
              <w:t xml:space="preserve"> apstiprināšanu līdz </w:t>
            </w:r>
            <w:r w:rsidR="00F56CD9" w:rsidRPr="00C376DB">
              <w:rPr>
                <w:rFonts w:ascii="Times New Roman" w:hAnsi="Times New Roman"/>
                <w:sz w:val="24"/>
                <w:szCs w:val="24"/>
              </w:rPr>
              <w:t>201</w:t>
            </w:r>
            <w:r w:rsidR="00F56CD9">
              <w:rPr>
                <w:rFonts w:ascii="Times New Roman" w:hAnsi="Times New Roman"/>
                <w:sz w:val="24"/>
                <w:szCs w:val="24"/>
              </w:rPr>
              <w:t>8</w:t>
            </w:r>
            <w:r w:rsidR="00B76753" w:rsidRPr="00C376DB">
              <w:rPr>
                <w:rFonts w:ascii="Times New Roman" w:hAnsi="Times New Roman"/>
                <w:sz w:val="24"/>
                <w:szCs w:val="24"/>
              </w:rPr>
              <w:t xml:space="preserve">.gada </w:t>
            </w:r>
            <w:r w:rsidR="00F56CD9">
              <w:rPr>
                <w:rFonts w:ascii="Times New Roman" w:hAnsi="Times New Roman"/>
                <w:sz w:val="24"/>
                <w:szCs w:val="24"/>
              </w:rPr>
              <w:t>29.janvārim</w:t>
            </w:r>
            <w:r w:rsidR="00B76753" w:rsidRPr="00C376DB">
              <w:rPr>
                <w:rFonts w:ascii="Times New Roman" w:hAnsi="Times New Roman"/>
                <w:sz w:val="24"/>
                <w:szCs w:val="24"/>
              </w:rPr>
              <w:t>.</w:t>
            </w:r>
            <w:r w:rsidR="0003667F">
              <w:rPr>
                <w:rFonts w:ascii="Times New Roman" w:hAnsi="Times New Roman"/>
                <w:sz w:val="24"/>
                <w:szCs w:val="24"/>
              </w:rPr>
              <w:t xml:space="preserve"> </w:t>
            </w:r>
            <w:r w:rsidR="00C376DB" w:rsidRPr="00C376DB">
              <w:rPr>
                <w:rFonts w:ascii="Times New Roman" w:hAnsi="Times New Roman"/>
                <w:sz w:val="24"/>
                <w:szCs w:val="24"/>
              </w:rPr>
              <w:t>L</w:t>
            </w:r>
            <w:r w:rsidR="00C376DB" w:rsidRPr="00C376DB">
              <w:rPr>
                <w:rFonts w:ascii="Times New Roman" w:eastAsiaTheme="minorHAnsi" w:hAnsi="Times New Roman" w:cstheme="minorBidi"/>
                <w:sz w:val="24"/>
                <w:szCs w:val="24"/>
              </w:rPr>
              <w:t>ai nodrošinātu Ministru kabineta 2016.gada 9.augusta sēdes protokola Nr.39, 45.§, 5.punktā atbalstīto finansējumu A korpusa otrās kārtas būvniecības projekta izstrādei no valsts budžeta 2017.gadā</w:t>
            </w:r>
            <w:r w:rsidR="00C376DB">
              <w:rPr>
                <w:rFonts w:ascii="Times New Roman" w:eastAsiaTheme="minorHAnsi" w:hAnsi="Times New Roman" w:cstheme="minorBidi"/>
                <w:sz w:val="24"/>
                <w:szCs w:val="24"/>
              </w:rPr>
              <w:t xml:space="preserve"> ne vairāk kā 3 423 635 EUR pirms projekta iesnieguma apstiprināšanas, nepieciešams papildināt noteikumu  Nr.464 noslēguma jautājumus ar jaunu </w:t>
            </w:r>
            <w:r w:rsidR="00BA17B8" w:rsidRPr="00C376DB">
              <w:rPr>
                <w:rFonts w:ascii="Times New Roman" w:hAnsi="Times New Roman"/>
                <w:sz w:val="24"/>
                <w:szCs w:val="24"/>
              </w:rPr>
              <w:t>39.</w:t>
            </w:r>
            <w:r w:rsidR="00BA17B8" w:rsidRPr="00C376DB">
              <w:rPr>
                <w:rFonts w:ascii="Times New Roman" w:hAnsi="Times New Roman"/>
                <w:sz w:val="24"/>
                <w:szCs w:val="24"/>
                <w:vertAlign w:val="superscript"/>
              </w:rPr>
              <w:t>2</w:t>
            </w:r>
            <w:r w:rsidR="00BA17B8" w:rsidRPr="00C376DB">
              <w:rPr>
                <w:rFonts w:ascii="Times New Roman" w:hAnsi="Times New Roman"/>
                <w:bCs/>
                <w:sz w:val="24"/>
                <w:szCs w:val="24"/>
              </w:rPr>
              <w:t xml:space="preserve"> punktu, nosakot, ka </w:t>
            </w:r>
            <w:r w:rsidR="00BA17CB" w:rsidRPr="00C376DB">
              <w:rPr>
                <w:rFonts w:ascii="Times New Roman" w:hAnsi="Times New Roman"/>
                <w:bCs/>
                <w:sz w:val="24"/>
                <w:szCs w:val="24"/>
              </w:rPr>
              <w:t xml:space="preserve"> </w:t>
            </w:r>
            <w:r w:rsidR="00F10425" w:rsidRPr="00C376DB">
              <w:rPr>
                <w:rFonts w:ascii="Times New Roman" w:hAnsi="Times New Roman"/>
                <w:bCs/>
                <w:sz w:val="24"/>
                <w:szCs w:val="24"/>
              </w:rPr>
              <w:t>f</w:t>
            </w:r>
            <w:r w:rsidR="00BA17CB" w:rsidRPr="00C376DB">
              <w:rPr>
                <w:rFonts w:ascii="Times New Roman" w:hAnsi="Times New Roman"/>
                <w:bCs/>
                <w:sz w:val="24"/>
                <w:szCs w:val="24"/>
              </w:rPr>
              <w:t xml:space="preserve">inansējumu no 80.00.00 programmas līdzekļiem 2017.gadam pirms projekta </w:t>
            </w:r>
            <w:r w:rsidR="008B4B23" w:rsidRPr="00C376DB">
              <w:rPr>
                <w:rFonts w:ascii="Times New Roman" w:hAnsi="Times New Roman"/>
                <w:bCs/>
                <w:sz w:val="24"/>
                <w:szCs w:val="24"/>
              </w:rPr>
              <w:t xml:space="preserve">iesnieguma </w:t>
            </w:r>
            <w:r w:rsidR="00BA17CB" w:rsidRPr="00C376DB">
              <w:rPr>
                <w:rFonts w:ascii="Times New Roman" w:hAnsi="Times New Roman"/>
                <w:bCs/>
                <w:sz w:val="24"/>
                <w:szCs w:val="24"/>
              </w:rPr>
              <w:t xml:space="preserve">apstiprināšanas var pārdalīt uz atbildīgās ministrijas Eiropas Savienības politiku instrumentu un pārējās ārvalstu finanšu palīdzības līdzfinansēto projektu un pasākumu īstenošanas budžeta programmām (apakšprogrammām) Eiropas Savienības struktūrfondu un Kohēzijas fonda 2014. – 2020.gada plānošanas periodā  </w:t>
            </w:r>
            <w:r w:rsidR="00BA17CB" w:rsidRPr="00C376DB">
              <w:rPr>
                <w:rFonts w:ascii="Times New Roman" w:hAnsi="Times New Roman"/>
                <w:sz w:val="24"/>
                <w:szCs w:val="24"/>
              </w:rPr>
              <w:t xml:space="preserve">9.3.2. specifiskā atbalsta mērķa „Uzlabot kvalitatīvu veselības aprūpes pakalpojumu pieejamību, jo īpaši sociālās, teritoriālās atstumtības un nabadzības riskam pakļautajiem iedzīvotājiem, attīstot veselības aprūpes infrastruktūru” </w:t>
            </w:r>
            <w:r w:rsidR="006B6AB1" w:rsidRPr="00C376DB">
              <w:rPr>
                <w:rFonts w:ascii="Times New Roman" w:hAnsi="Times New Roman"/>
                <w:sz w:val="24"/>
                <w:szCs w:val="24"/>
              </w:rPr>
              <w:t xml:space="preserve">ietvaros īstenojamai </w:t>
            </w:r>
            <w:r w:rsidR="00BA17CB" w:rsidRPr="00C376DB">
              <w:rPr>
                <w:rFonts w:ascii="Times New Roman" w:hAnsi="Times New Roman"/>
                <w:sz w:val="24"/>
                <w:szCs w:val="24"/>
              </w:rPr>
              <w:t>VSIA “Paula Stradiņa klīniskā universitātes slimnīca” A korpusa otrās kārtas būvniecības projekta izstrāde</w:t>
            </w:r>
            <w:r w:rsidR="006B6AB1" w:rsidRPr="00C376DB">
              <w:rPr>
                <w:rFonts w:ascii="Times New Roman" w:hAnsi="Times New Roman"/>
                <w:sz w:val="24"/>
                <w:szCs w:val="24"/>
              </w:rPr>
              <w:t>i</w:t>
            </w:r>
            <w:r w:rsidR="00BA17CB" w:rsidRPr="00C376DB">
              <w:rPr>
                <w:rFonts w:ascii="Times New Roman" w:hAnsi="Times New Roman"/>
                <w:sz w:val="24"/>
                <w:szCs w:val="24"/>
              </w:rPr>
              <w:t>.</w:t>
            </w:r>
            <w:r w:rsidR="00BA17CB" w:rsidRPr="00C376DB">
              <w:rPr>
                <w:rFonts w:ascii="Times New Roman" w:hAnsi="Times New Roman"/>
                <w:bCs/>
                <w:sz w:val="24"/>
                <w:szCs w:val="24"/>
              </w:rPr>
              <w:t xml:space="preserve"> </w:t>
            </w:r>
          </w:p>
          <w:p w:rsidR="0003667F" w:rsidRDefault="0003667F" w:rsidP="00C376DB">
            <w:pPr>
              <w:pStyle w:val="PlainText"/>
              <w:shd w:val="clear" w:color="auto" w:fill="FFFFFF"/>
              <w:ind w:left="55" w:right="141"/>
              <w:jc w:val="both"/>
              <w:rPr>
                <w:rFonts w:ascii="Times New Roman" w:hAnsi="Times New Roman"/>
                <w:sz w:val="24"/>
                <w:szCs w:val="24"/>
              </w:rPr>
            </w:pPr>
            <w:r w:rsidRPr="00C376DB">
              <w:rPr>
                <w:rFonts w:ascii="Times New Roman" w:hAnsi="Times New Roman"/>
                <w:sz w:val="24"/>
                <w:szCs w:val="24"/>
              </w:rPr>
              <w:t xml:space="preserve">Lai nodrošinātu ES fondu investīciju reālu uzsākšanu pēc iespējas ātrāk gadījumos, kad projekta īstenotājs ir valsts budžeta iestāde vai  centrālās valdības pieklasificēts komersants un šim projekta īstenotājam nav savu līdzekļu projektu ātrākai uzsākšanai pirms </w:t>
            </w:r>
            <w:r w:rsidRPr="00C376DB">
              <w:rPr>
                <w:rFonts w:ascii="Times New Roman" w:hAnsi="Times New Roman"/>
                <w:color w:val="000000"/>
                <w:sz w:val="24"/>
                <w:szCs w:val="24"/>
              </w:rPr>
              <w:t xml:space="preserve">ES fondu projekta iesnieguma </w:t>
            </w:r>
            <w:r w:rsidRPr="00C376DB">
              <w:rPr>
                <w:rFonts w:ascii="Times New Roman" w:hAnsi="Times New Roman"/>
                <w:sz w:val="24"/>
                <w:szCs w:val="24"/>
              </w:rPr>
              <w:t xml:space="preserve"> formālas apstiprināšanas </w:t>
            </w:r>
            <w:r w:rsidRPr="00C376DB">
              <w:rPr>
                <w:rFonts w:ascii="Times New Roman" w:hAnsi="Times New Roman"/>
                <w:color w:val="000000"/>
                <w:sz w:val="24"/>
                <w:szCs w:val="24"/>
              </w:rPr>
              <w:t xml:space="preserve">sadarbības iestādē un gadījumā, kad risku analīzes secinājumi norāda uz minimālu risku papildus neplānotai negatīvai ietekmei uz valsts budžetu potenciālas projekta neapstiprināšanas vai konkrēto izdevumu neatbilstības dēļ, noteikumu projektā tiek piedāvāts situācijas risinājums. </w:t>
            </w:r>
            <w:r w:rsidRPr="00C376DB">
              <w:rPr>
                <w:rFonts w:ascii="Times New Roman" w:hAnsi="Times New Roman"/>
                <w:sz w:val="24"/>
                <w:szCs w:val="24"/>
              </w:rPr>
              <w:t xml:space="preserve">Vairākos Eiropas Reģionālā attīstības fonda un Eiropas Sociālā fonda gadījumos, piemēram, 8.5.3. specifiskā atbalsta mērķa "Nodrošināt profesionālās izglītības iestāžu efektīvu pārvaldību un iesaistītā personāla profesionālās kompetences pilnveidi ",  8.4.1.specifiskā atbalsta mērķa "Pilnveidot nodarbināto personu profesionālo kompetenci" u.c. pašreiz šis jautājums, kad finansējuma saņēmējs ir valsts budžeta iestāde un ir nepieciešamas projekta sagatavošanas izmaksas vai citas konkrētas objektīvas izmaksas, kurām nav finansējuma nevienā budžeta apakšprogrammā, tiek risināts, līdz projekta apstiprināšanai, veicot  valsts budžeta izdevumus no kādas no ministrijas apakšprogrammām, savukārt pēc projekta apstiprināšanas un attiecīgas finansējuma </w:t>
            </w:r>
            <w:r w:rsidRPr="00C376DB">
              <w:rPr>
                <w:rFonts w:ascii="Times New Roman" w:hAnsi="Times New Roman"/>
                <w:sz w:val="24"/>
                <w:szCs w:val="24"/>
              </w:rPr>
              <w:lastRenderedPageBreak/>
              <w:t>pārdales no 80.00.00. programmas, attiecīgi pārgrāmato izdevumus uz attiecīgo ministrijas apakšprogrammu, kurā tiek plānots finansējums projekta īstenošanai. Grozījumi rada līdzvērtīgāku situāciju valsts iestādēm, kurām nav citu “savu”  līdzekļu, salīdzinot ar privāto sektoru, kas var uz savu risku uzsākt ātrāk projektu īstenošanu, izmantojot sa</w:t>
            </w:r>
            <w:r>
              <w:rPr>
                <w:rFonts w:ascii="Times New Roman" w:hAnsi="Times New Roman"/>
                <w:sz w:val="24"/>
                <w:szCs w:val="24"/>
              </w:rPr>
              <w:t>vus privātos finanšu līdzekļus.</w:t>
            </w:r>
          </w:p>
          <w:p w:rsidR="0003667F" w:rsidRDefault="0003667F" w:rsidP="00C376DB">
            <w:pPr>
              <w:pStyle w:val="PlainText"/>
              <w:shd w:val="clear" w:color="auto" w:fill="FFFFFF"/>
              <w:ind w:left="55" w:right="141"/>
              <w:jc w:val="both"/>
              <w:rPr>
                <w:rFonts w:ascii="Times New Roman" w:hAnsi="Times New Roman"/>
                <w:color w:val="000000"/>
                <w:sz w:val="24"/>
                <w:szCs w:val="24"/>
              </w:rPr>
            </w:pPr>
            <w:r w:rsidRPr="00C376DB">
              <w:rPr>
                <w:rFonts w:ascii="Times New Roman" w:hAnsi="Times New Roman"/>
                <w:sz w:val="24"/>
                <w:szCs w:val="24"/>
              </w:rPr>
              <w:t>Iespēja ātrāk uzsākt projektu reālo</w:t>
            </w:r>
            <w:r>
              <w:rPr>
                <w:rFonts w:ascii="Times New Roman" w:hAnsi="Times New Roman"/>
                <w:sz w:val="24"/>
                <w:szCs w:val="24"/>
              </w:rPr>
              <w:t xml:space="preserve"> </w:t>
            </w:r>
            <w:r w:rsidRPr="00C376DB">
              <w:rPr>
                <w:rFonts w:ascii="Times New Roman" w:hAnsi="Times New Roman"/>
                <w:sz w:val="24"/>
                <w:szCs w:val="24"/>
              </w:rPr>
              <w:t xml:space="preserve">izdevumu veikšanu veicinās ES fondu finansējuma ieplūdi ekonomikā, tāpat ātrāku reālu rezultātu sasniegšanu, kā arī mazinās riskus ES fondu finansējuma zaudējumiem vai pārdalēm situācijā, ja finanšu plūsmas tempi un apjoms nebūs pietiekams konkrēto finanšu mērķu sasniegšanai līdz 2018.gada beigām starpposmā un, ņemot vērā “n+3”  principu. Gadījumos, kad projekts ir augstā gatavības stadijā un ir iespējams veikt projekta sagatavošanas izmaksas vai citu pamatotu iemeslu dēļ ātrāk uzsākt projektā īstenojamās darbības pirms projekta iesnieguma apstiprināšanas, noteikumu projekts paredz papildināt noteikumus ar jaunu punktu, kas paredz </w:t>
            </w:r>
            <w:r w:rsidRPr="00C376DB">
              <w:rPr>
                <w:rFonts w:ascii="Times New Roman" w:hAnsi="Times New Roman"/>
                <w:color w:val="000000"/>
                <w:sz w:val="24"/>
                <w:szCs w:val="24"/>
              </w:rPr>
              <w:t xml:space="preserve"> piešķirt līdzekļus pirms ES fondu projekta iesnieguma apstiprināšanas sadarbības iestādē, ja Ministru kabinets ir nepārprotami lēmis par tā apjomu un izlietojuma mērķi. Lai MK varētu pieņemt šādu lēmumu, </w:t>
            </w:r>
            <w:r w:rsidRPr="00C376DB">
              <w:rPr>
                <w:rFonts w:ascii="Times New Roman" w:hAnsi="Times New Roman"/>
                <w:sz w:val="24"/>
                <w:szCs w:val="24"/>
              </w:rPr>
              <w:t xml:space="preserve"> </w:t>
            </w:r>
            <w:r w:rsidRPr="00C376DB">
              <w:rPr>
                <w:rFonts w:ascii="Times New Roman" w:hAnsi="Times New Roman"/>
                <w:color w:val="000000"/>
                <w:sz w:val="24"/>
                <w:szCs w:val="24"/>
              </w:rPr>
              <w:t>nozares ministrija vai cita centrālā valsts iestāde par tās institucionālajā padotībā esošajiem finansējuma saņēmējiem ir jāsniedz atsevišķs MK informatīvais ziņojums ar protokllēmuma projektu vai jāvirza jautājums kopā ar MK noteikumiem par specifiskā atbalsta mērķi ar attiecīgu protokollēmuma projektu, ziņojumā  vai MK noteikumu projekta anotācijā sniedzot precīzu informāciju par izdevumu pamatojumu, kā arī skaidrojumu steidzamībai, kādēļ izmaksas nevar veikt vispārējā kārtībā pēc projekta iesnieguma apstiprināšanas, un risku novērtējumu par izmaksu attiecināmību, kā arī plānoto projekta apstiprināšanas laika grafiku. Vienlaikus šādos gadījumos MK protokollēmumā jānosaka skaidra atbildība par nekavējošu valdības informēšanu par riskiem ar potenciāli negatīvu ietekmi uz valsts budžetu un risku mazināšanas pasākumiem.  Šādās situācijās, ja valdībai sniegta pilnīga informācija par riskiem un secinājumu,  šīm izmaiņām nav sagaidāma papildus negatīva fiskāla ietekme  salīdzinājumā ar līdzekļu piešķiršanu citos projekta īstenošanas posmos.</w:t>
            </w:r>
          </w:p>
          <w:p w:rsidR="00E023BF" w:rsidRPr="00C376DB" w:rsidRDefault="00DE5921" w:rsidP="00C376DB">
            <w:pPr>
              <w:pStyle w:val="PlainText"/>
              <w:shd w:val="clear" w:color="auto" w:fill="FFFFFF"/>
              <w:ind w:left="55" w:right="141"/>
              <w:jc w:val="both"/>
              <w:rPr>
                <w:rFonts w:ascii="Times New Roman" w:hAnsi="Times New Roman"/>
                <w:sz w:val="24"/>
                <w:szCs w:val="24"/>
              </w:rPr>
            </w:pPr>
            <w:r w:rsidRPr="00C376DB">
              <w:rPr>
                <w:rFonts w:ascii="Times New Roman" w:hAnsi="Times New Roman"/>
                <w:sz w:val="24"/>
                <w:szCs w:val="24"/>
              </w:rPr>
              <w:t xml:space="preserve">Eiropas Savienības finansēto institūciju stiprināšanas programmu mērķsadarbības (Twinning)  un neliela apjoma mērķsadarbības (Twinning Light) projektus īsteno atbilstoši Ministru kabineta 2009.gada 13.oktobra noteikumiem Nr.1161 “Noteikumi par valsts budžeta finansētas institūcijas dalību Eiropas Savienības finansēto institūciju stiprināšanas programmu projektu īstenošanā citā valstī un projekta finansējuma plānošanu un uzskaiti” (turpmāk – MK noteikumi Nr.1161).  Projekta finansējums veidojas no avansa maksājuma (80%) un gala maksājuma (20%). Lai nodrošinātu projektu īstenošanai sākotnēji nepieciešamo finansējumu, MK noteikumu Nr.1161 22.punktā ir noteikts, ka projekta īstenošanas nodrošināšana var tikt segta no iestādes darbībai paredzētajiem budžeta līdzekļiem, un  iestādes vadītājs ir atbildīgs par izlietoto valsts budžeta līdzekļu atjaunošanu līdz kārtējā gada beigām. Tā kā tiek plānota ietilpīgu </w:t>
            </w:r>
            <w:r w:rsidRPr="00C376DB">
              <w:rPr>
                <w:rFonts w:ascii="Times New Roman" w:hAnsi="Times New Roman"/>
                <w:sz w:val="24"/>
                <w:szCs w:val="24"/>
              </w:rPr>
              <w:lastRenderedPageBreak/>
              <w:t>projektu īstenošana Eiropas Savienības finansēto institūciju stiprināšanas programmu mērķsadarbības (</w:t>
            </w:r>
            <w:r w:rsidRPr="00C376DB">
              <w:rPr>
                <w:rFonts w:ascii="Times New Roman" w:hAnsi="Times New Roman"/>
                <w:i/>
                <w:sz w:val="24"/>
                <w:szCs w:val="24"/>
              </w:rPr>
              <w:t>Twinning</w:t>
            </w:r>
            <w:r w:rsidRPr="00C376DB">
              <w:rPr>
                <w:rFonts w:ascii="Times New Roman" w:hAnsi="Times New Roman"/>
                <w:sz w:val="24"/>
                <w:szCs w:val="24"/>
              </w:rPr>
              <w:t xml:space="preserve">) ietvaros un iestādēm ne vienmēr ir nepieciešamais priekšfinansējums projekta īstenošanas uzsākšanai, tad noteikumu projektā tiek paredzēta iespēja iesniegt pieprasījumu priekšfinansējuma saņemšanai no 80.programmas līdzekļiem. </w:t>
            </w:r>
            <w:r w:rsidR="007B5CDA" w:rsidRPr="00C376DB">
              <w:rPr>
                <w:rFonts w:ascii="Times New Roman" w:hAnsi="Times New Roman"/>
                <w:sz w:val="24"/>
                <w:szCs w:val="24"/>
              </w:rPr>
              <w:t xml:space="preserve">Līdz ar to noteikumu projekts paredz </w:t>
            </w:r>
            <w:r w:rsidR="006C13DE" w:rsidRPr="00C376DB">
              <w:rPr>
                <w:rFonts w:ascii="Times New Roman" w:hAnsi="Times New Roman"/>
                <w:sz w:val="24"/>
                <w:szCs w:val="24"/>
              </w:rPr>
              <w:t xml:space="preserve">papildināt </w:t>
            </w:r>
            <w:r w:rsidR="007B5CDA" w:rsidRPr="00C376DB">
              <w:rPr>
                <w:rFonts w:ascii="Times New Roman" w:hAnsi="Times New Roman"/>
                <w:sz w:val="24"/>
                <w:szCs w:val="24"/>
              </w:rPr>
              <w:t>MK noteikumu Nr.464 2.</w:t>
            </w:r>
            <w:r w:rsidR="001B457C" w:rsidRPr="00C376DB">
              <w:rPr>
                <w:rFonts w:ascii="Times New Roman" w:hAnsi="Times New Roman"/>
                <w:sz w:val="24"/>
                <w:szCs w:val="24"/>
              </w:rPr>
              <w:t>punktu</w:t>
            </w:r>
            <w:r w:rsidR="006C13DE" w:rsidRPr="00C376DB">
              <w:rPr>
                <w:rFonts w:ascii="Times New Roman" w:hAnsi="Times New Roman"/>
                <w:sz w:val="24"/>
                <w:szCs w:val="24"/>
              </w:rPr>
              <w:t xml:space="preserve"> un 15.punktu</w:t>
            </w:r>
            <w:r w:rsidR="001B457C" w:rsidRPr="00C376DB">
              <w:rPr>
                <w:rFonts w:ascii="Times New Roman" w:hAnsi="Times New Roman"/>
                <w:sz w:val="24"/>
                <w:szCs w:val="24"/>
              </w:rPr>
              <w:t xml:space="preserve">, nosakot, ka </w:t>
            </w:r>
            <w:r w:rsidR="006C13DE" w:rsidRPr="00C376DB">
              <w:rPr>
                <w:rFonts w:ascii="Times New Roman" w:hAnsi="Times New Roman"/>
                <w:sz w:val="24"/>
                <w:szCs w:val="24"/>
              </w:rPr>
              <w:t>valsts budžeta priekšfinansējumu no 80.00.00 programmas var pieprasīt arī  Eiropas Savienības finansēto institūciju stiprināšanas programmu mērķsadarbības (</w:t>
            </w:r>
            <w:r w:rsidR="006C13DE" w:rsidRPr="00C376DB">
              <w:rPr>
                <w:rFonts w:ascii="Times New Roman" w:hAnsi="Times New Roman"/>
                <w:i/>
                <w:sz w:val="24"/>
                <w:szCs w:val="24"/>
              </w:rPr>
              <w:t>Twinning</w:t>
            </w:r>
            <w:r w:rsidR="006C13DE" w:rsidRPr="00C376DB">
              <w:rPr>
                <w:rFonts w:ascii="Times New Roman" w:hAnsi="Times New Roman"/>
                <w:sz w:val="24"/>
                <w:szCs w:val="24"/>
              </w:rPr>
              <w:t>) un neliela apjoma mērķsadarbības (</w:t>
            </w:r>
            <w:r w:rsidR="006C13DE" w:rsidRPr="00C376DB">
              <w:rPr>
                <w:rFonts w:ascii="Times New Roman" w:hAnsi="Times New Roman"/>
                <w:i/>
                <w:sz w:val="24"/>
                <w:szCs w:val="24"/>
              </w:rPr>
              <w:t>Twinning Light</w:t>
            </w:r>
            <w:r w:rsidR="006C13DE" w:rsidRPr="00C376DB">
              <w:rPr>
                <w:rFonts w:ascii="Times New Roman" w:hAnsi="Times New Roman"/>
                <w:sz w:val="24"/>
                <w:szCs w:val="24"/>
              </w:rPr>
              <w:t>) projektiem, un v</w:t>
            </w:r>
            <w:r w:rsidR="001B457C" w:rsidRPr="00C376DB">
              <w:rPr>
                <w:rFonts w:ascii="Times New Roman" w:hAnsi="Times New Roman"/>
                <w:sz w:val="24"/>
                <w:szCs w:val="24"/>
              </w:rPr>
              <w:t xml:space="preserve">alsts budžeta līdzekļu pieprasījumu </w:t>
            </w:r>
            <w:r w:rsidR="006C13DE" w:rsidRPr="00C376DB">
              <w:rPr>
                <w:rFonts w:ascii="Times New Roman" w:hAnsi="Times New Roman"/>
                <w:sz w:val="24"/>
                <w:szCs w:val="24"/>
              </w:rPr>
              <w:t>šiem projektiem</w:t>
            </w:r>
            <w:r w:rsidR="001B457C" w:rsidRPr="00C376DB">
              <w:rPr>
                <w:rFonts w:ascii="Times New Roman" w:hAnsi="Times New Roman"/>
                <w:sz w:val="24"/>
                <w:szCs w:val="24"/>
              </w:rPr>
              <w:t xml:space="preserve"> sagatavo un iesniedz Finanšu ministrijā, ievērojot līguma nosacījumus.</w:t>
            </w:r>
            <w:r w:rsidR="00C71159" w:rsidRPr="00C376DB">
              <w:rPr>
                <w:rFonts w:ascii="Times New Roman" w:hAnsi="Times New Roman"/>
                <w:sz w:val="24"/>
                <w:szCs w:val="24"/>
              </w:rPr>
              <w:t xml:space="preserve"> Pēc projekta noslēgšanas un gala maksājuma saņemšanas iestāde ir atbildīga par saņemto līdzekļu pārskaitīšanu valsts budžetā.</w:t>
            </w:r>
            <w:r w:rsidR="00AA7E98" w:rsidRPr="00C376DB">
              <w:rPr>
                <w:rFonts w:ascii="Times New Roman" w:hAnsi="Times New Roman"/>
                <w:sz w:val="24"/>
                <w:szCs w:val="24"/>
              </w:rPr>
              <w:t xml:space="preserve"> Iepriekš</w:t>
            </w:r>
            <w:r w:rsidR="0022754B" w:rsidRPr="00C376DB">
              <w:rPr>
                <w:rFonts w:ascii="Times New Roman" w:hAnsi="Times New Roman"/>
                <w:sz w:val="24"/>
                <w:szCs w:val="24"/>
              </w:rPr>
              <w:t xml:space="preserve"> </w:t>
            </w:r>
            <w:r w:rsidR="00AA7E98" w:rsidRPr="00C376DB">
              <w:rPr>
                <w:rFonts w:ascii="Times New Roman" w:hAnsi="Times New Roman"/>
                <w:sz w:val="24"/>
                <w:szCs w:val="24"/>
              </w:rPr>
              <w:t xml:space="preserve">minētie grozījumi ir </w:t>
            </w:r>
            <w:r w:rsidR="00E76BD7" w:rsidRPr="00C376DB">
              <w:rPr>
                <w:rFonts w:ascii="Times New Roman" w:hAnsi="Times New Roman"/>
                <w:sz w:val="24"/>
                <w:szCs w:val="24"/>
              </w:rPr>
              <w:t xml:space="preserve"> </w:t>
            </w:r>
            <w:r w:rsidR="00AA7E98" w:rsidRPr="00C376DB">
              <w:rPr>
                <w:rFonts w:ascii="Times New Roman" w:hAnsi="Times New Roman"/>
                <w:sz w:val="24"/>
                <w:szCs w:val="24"/>
              </w:rPr>
              <w:t>attiecināmi uz Twinning projektiem, kuros piedalās Latvijas puse kā eksperti (atb</w:t>
            </w:r>
            <w:r w:rsidR="00E023BF" w:rsidRPr="00C376DB">
              <w:rPr>
                <w:rFonts w:ascii="Times New Roman" w:hAnsi="Times New Roman"/>
                <w:sz w:val="24"/>
                <w:szCs w:val="24"/>
              </w:rPr>
              <w:t>ilstoši MK noteikumiem Nr.1161).</w:t>
            </w:r>
            <w:r w:rsidR="00AA7E98" w:rsidRPr="00C376DB">
              <w:rPr>
                <w:rFonts w:ascii="Times New Roman" w:hAnsi="Times New Roman"/>
                <w:sz w:val="24"/>
                <w:szCs w:val="24"/>
              </w:rPr>
              <w:t xml:space="preserve"> </w:t>
            </w:r>
          </w:p>
          <w:p w:rsidR="0003667F" w:rsidRDefault="0022754B" w:rsidP="00E023BF">
            <w:pPr>
              <w:pStyle w:val="PlainText"/>
              <w:shd w:val="clear" w:color="auto" w:fill="FFFFFF"/>
              <w:ind w:left="55" w:right="141"/>
              <w:jc w:val="both"/>
              <w:rPr>
                <w:rFonts w:ascii="Times New Roman" w:hAnsi="Times New Roman"/>
                <w:sz w:val="24"/>
                <w:szCs w:val="24"/>
              </w:rPr>
            </w:pPr>
            <w:r w:rsidRPr="00C376DB">
              <w:rPr>
                <w:rFonts w:ascii="Times New Roman" w:hAnsi="Times New Roman"/>
                <w:sz w:val="24"/>
                <w:szCs w:val="24"/>
              </w:rPr>
              <w:t>Tā kā š</w:t>
            </w:r>
            <w:r w:rsidR="003F0B33" w:rsidRPr="00C376DB">
              <w:rPr>
                <w:rFonts w:ascii="Times New Roman" w:hAnsi="Times New Roman"/>
                <w:sz w:val="24"/>
                <w:szCs w:val="24"/>
              </w:rPr>
              <w:t>obrīd MK noteikumu Nr.464 15.punkt</w:t>
            </w:r>
            <w:r w:rsidR="00767070" w:rsidRPr="00C376DB">
              <w:rPr>
                <w:rFonts w:ascii="Times New Roman" w:hAnsi="Times New Roman"/>
                <w:sz w:val="24"/>
                <w:szCs w:val="24"/>
              </w:rPr>
              <w:t xml:space="preserve">ā ir iekļauta informācija par emisijas kvotu izsolīšanas instrumenta projektu, </w:t>
            </w:r>
            <w:r w:rsidRPr="00C376DB">
              <w:rPr>
                <w:rFonts w:ascii="Times New Roman" w:hAnsi="Times New Roman"/>
                <w:sz w:val="24"/>
                <w:szCs w:val="24"/>
              </w:rPr>
              <w:t>tika secināts, ka nepieciešams</w:t>
            </w:r>
            <w:r w:rsidR="00767070" w:rsidRPr="00C376DB">
              <w:rPr>
                <w:rFonts w:ascii="Times New Roman" w:hAnsi="Times New Roman"/>
                <w:sz w:val="24"/>
                <w:szCs w:val="24"/>
              </w:rPr>
              <w:t xml:space="preserve"> tehniski precizēt MK noteikumu Nr.464 2.punktu.</w:t>
            </w:r>
          </w:p>
          <w:p w:rsidR="003F0B33" w:rsidRPr="00C376DB" w:rsidRDefault="0003667F" w:rsidP="00E023BF">
            <w:pPr>
              <w:pStyle w:val="PlainText"/>
              <w:shd w:val="clear" w:color="auto" w:fill="FFFFFF"/>
              <w:ind w:left="55" w:right="141"/>
              <w:jc w:val="both"/>
              <w:rPr>
                <w:rFonts w:ascii="Times New Roman" w:hAnsi="Times New Roman"/>
                <w:sz w:val="24"/>
                <w:szCs w:val="24"/>
              </w:rPr>
            </w:pPr>
            <w:r>
              <w:rPr>
                <w:rFonts w:ascii="Times New Roman" w:hAnsi="Times New Roman"/>
                <w:sz w:val="24"/>
                <w:szCs w:val="24"/>
              </w:rPr>
              <w:t>Noteikumu projekta spēkā stāšanās paredzēta 2017.gada 1.janvārī.</w:t>
            </w:r>
            <w:r w:rsidR="00767070" w:rsidRPr="00C376DB">
              <w:rPr>
                <w:rFonts w:ascii="Times New Roman" w:hAnsi="Times New Roman"/>
                <w:sz w:val="24"/>
                <w:szCs w:val="24"/>
              </w:rPr>
              <w:t xml:space="preserve"> </w:t>
            </w:r>
          </w:p>
        </w:tc>
      </w:tr>
      <w:tr w:rsidR="00FF6E59" w:rsidRPr="00C376DB" w:rsidTr="00F95238">
        <w:tc>
          <w:tcPr>
            <w:tcW w:w="23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lastRenderedPageBreak/>
              <w:t>3.</w:t>
            </w:r>
          </w:p>
        </w:tc>
        <w:tc>
          <w:tcPr>
            <w:tcW w:w="901"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Projekta izstrādē iesaistītās institūcijas</w:t>
            </w:r>
          </w:p>
        </w:tc>
        <w:tc>
          <w:tcPr>
            <w:tcW w:w="3864" w:type="pct"/>
            <w:tcBorders>
              <w:top w:val="outset" w:sz="6" w:space="0" w:color="000000"/>
              <w:left w:val="outset" w:sz="6" w:space="0" w:color="000000"/>
              <w:bottom w:val="outset" w:sz="6" w:space="0" w:color="000000"/>
              <w:right w:val="outset" w:sz="6" w:space="0" w:color="000000"/>
            </w:tcBorders>
          </w:tcPr>
          <w:p w:rsidR="00FF6E59" w:rsidRPr="00C376DB" w:rsidRDefault="0003667F" w:rsidP="0003667F">
            <w:pPr>
              <w:rPr>
                <w:rFonts w:eastAsia="Times New Roman" w:cs="Times New Roman"/>
                <w:szCs w:val="24"/>
                <w:lang w:eastAsia="lv-LV"/>
              </w:rPr>
            </w:pPr>
            <w:r>
              <w:rPr>
                <w:rFonts w:eastAsia="Times New Roman" w:cs="Times New Roman"/>
                <w:szCs w:val="24"/>
                <w:lang w:eastAsia="lv-LV"/>
              </w:rPr>
              <w:t xml:space="preserve"> Noteikumu p</w:t>
            </w:r>
            <w:r w:rsidR="00F700C2" w:rsidRPr="00C376DB">
              <w:rPr>
                <w:rFonts w:eastAsia="Times New Roman" w:cs="Times New Roman"/>
                <w:szCs w:val="24"/>
                <w:lang w:eastAsia="lv-LV"/>
              </w:rPr>
              <w:t>rojekts šo jomu neskar.</w:t>
            </w:r>
          </w:p>
        </w:tc>
      </w:tr>
      <w:tr w:rsidR="00FF6E59" w:rsidRPr="00C376DB" w:rsidTr="00F95238">
        <w:tc>
          <w:tcPr>
            <w:tcW w:w="23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4.</w:t>
            </w:r>
          </w:p>
        </w:tc>
        <w:tc>
          <w:tcPr>
            <w:tcW w:w="901"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Cita informācija</w:t>
            </w:r>
          </w:p>
        </w:tc>
        <w:tc>
          <w:tcPr>
            <w:tcW w:w="3864" w:type="pct"/>
            <w:tcBorders>
              <w:top w:val="outset" w:sz="6" w:space="0" w:color="000000"/>
              <w:left w:val="outset" w:sz="6" w:space="0" w:color="000000"/>
              <w:bottom w:val="outset" w:sz="6" w:space="0" w:color="000000"/>
              <w:right w:val="outset" w:sz="6" w:space="0" w:color="000000"/>
            </w:tcBorders>
          </w:tcPr>
          <w:p w:rsidR="00FF6E59" w:rsidRPr="00C376DB" w:rsidRDefault="00FF6E59" w:rsidP="0022754B">
            <w:pPr>
              <w:ind w:left="55" w:right="141"/>
              <w:jc w:val="both"/>
              <w:rPr>
                <w:rFonts w:eastAsia="Times New Roman" w:cs="Times New Roman"/>
                <w:szCs w:val="24"/>
                <w:lang w:eastAsia="lv-LV"/>
              </w:rPr>
            </w:pPr>
            <w:r w:rsidRPr="00C376DB">
              <w:rPr>
                <w:rFonts w:eastAsia="Times New Roman" w:cs="Times New Roman"/>
                <w:szCs w:val="24"/>
                <w:lang w:eastAsia="lv-LV"/>
              </w:rPr>
              <w:t xml:space="preserve">Noteikumu projektam nav ietekmes uz valsts budžetu, jo tas paredz administratīvos pasākumus </w:t>
            </w:r>
            <w:r w:rsidR="0022754B" w:rsidRPr="00C376DB">
              <w:rPr>
                <w:rFonts w:eastAsia="Times New Roman" w:cs="Times New Roman"/>
                <w:szCs w:val="24"/>
                <w:lang w:eastAsia="lv-LV"/>
              </w:rPr>
              <w:t xml:space="preserve">finanšu </w:t>
            </w:r>
            <w:r w:rsidRPr="00C376DB">
              <w:rPr>
                <w:rFonts w:eastAsia="Times New Roman" w:cs="Times New Roman"/>
                <w:szCs w:val="24"/>
                <w:lang w:eastAsia="lv-LV"/>
              </w:rPr>
              <w:t>līdzekļu pieprasīšanai un pārdalei</w:t>
            </w:r>
            <w:r w:rsidR="00F700C2" w:rsidRPr="00C376DB">
              <w:rPr>
                <w:rFonts w:eastAsia="Times New Roman" w:cs="Times New Roman"/>
                <w:szCs w:val="24"/>
                <w:lang w:eastAsia="lv-LV"/>
              </w:rPr>
              <w:t xml:space="preserve"> </w:t>
            </w:r>
            <w:r w:rsidRPr="00C376DB">
              <w:rPr>
                <w:rFonts w:eastAsia="Times New Roman" w:cs="Times New Roman"/>
                <w:szCs w:val="24"/>
                <w:lang w:eastAsia="lv-LV"/>
              </w:rPr>
              <w:t>no 80</w:t>
            </w:r>
            <w:r w:rsidR="0083569C" w:rsidRPr="00C376DB">
              <w:rPr>
                <w:rFonts w:eastAsia="Times New Roman" w:cs="Times New Roman"/>
                <w:szCs w:val="24"/>
                <w:lang w:eastAsia="lv-LV"/>
              </w:rPr>
              <w:t>.00.00 programmas uz  ministrijas</w:t>
            </w:r>
            <w:r w:rsidRPr="00C376DB">
              <w:rPr>
                <w:rFonts w:eastAsia="Times New Roman" w:cs="Times New Roman"/>
                <w:szCs w:val="24"/>
                <w:lang w:eastAsia="lv-LV"/>
              </w:rPr>
              <w:t xml:space="preserve"> budžeta programmām</w:t>
            </w:r>
            <w:r w:rsidR="0003667F">
              <w:rPr>
                <w:rFonts w:eastAsia="Times New Roman" w:cs="Times New Roman"/>
                <w:szCs w:val="24"/>
                <w:lang w:eastAsia="lv-LV"/>
              </w:rPr>
              <w:t>/apakšprogrammām</w:t>
            </w:r>
            <w:r w:rsidRPr="00C376DB">
              <w:rPr>
                <w:rFonts w:eastAsia="Times New Roman" w:cs="Times New Roman"/>
                <w:szCs w:val="24"/>
                <w:lang w:eastAsia="lv-LV"/>
              </w:rPr>
              <w:t xml:space="preserve">. </w:t>
            </w:r>
          </w:p>
        </w:tc>
      </w:tr>
    </w:tbl>
    <w:p w:rsidR="00FF6E59" w:rsidRPr="00C376DB" w:rsidRDefault="00FF6E59" w:rsidP="00FF6E59">
      <w:pPr>
        <w:rPr>
          <w:rFonts w:eastAsia="Times New Roman" w:cs="Times New Roman"/>
          <w:szCs w:val="24"/>
          <w:lang w:eastAsia="lv-LV"/>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76"/>
        <w:gridCol w:w="5812"/>
      </w:tblGrid>
      <w:tr w:rsidR="00196AC0" w:rsidRPr="00C376DB" w:rsidTr="00E55B05">
        <w:trPr>
          <w:trHeight w:val="476"/>
        </w:trPr>
        <w:tc>
          <w:tcPr>
            <w:tcW w:w="9209" w:type="dxa"/>
            <w:gridSpan w:val="3"/>
          </w:tcPr>
          <w:p w:rsidR="00196AC0" w:rsidRPr="00C376DB" w:rsidRDefault="009E2216" w:rsidP="00301844">
            <w:pPr>
              <w:pStyle w:val="naiskr"/>
              <w:spacing w:before="0" w:after="0"/>
              <w:ind w:left="142" w:right="81"/>
              <w:jc w:val="center"/>
            </w:pPr>
            <w:r w:rsidRPr="00C376DB">
              <w:rPr>
                <w:rFonts w:eastAsia="Calibri"/>
                <w:b/>
                <w:bCs/>
                <w:lang w:eastAsia="en-US"/>
              </w:rPr>
              <w:t>IV</w:t>
            </w:r>
            <w:r w:rsidR="00196AC0" w:rsidRPr="00C376DB">
              <w:rPr>
                <w:rFonts w:eastAsia="Calibri"/>
                <w:b/>
                <w:bCs/>
                <w:lang w:eastAsia="en-US"/>
              </w:rPr>
              <w:t>.</w:t>
            </w:r>
            <w:r w:rsidRPr="00C376DB">
              <w:rPr>
                <w:rFonts w:eastAsia="Calibri"/>
                <w:b/>
                <w:bCs/>
                <w:lang w:eastAsia="en-US"/>
              </w:rPr>
              <w:t xml:space="preserve"> Tiesību akta projekta ietekme uz spēkā esošo tiesību normu sistēmu</w:t>
            </w:r>
          </w:p>
        </w:tc>
      </w:tr>
      <w:tr w:rsidR="00196AC0" w:rsidRPr="00C376DB" w:rsidTr="0083005D">
        <w:trPr>
          <w:trHeight w:val="476"/>
        </w:trPr>
        <w:tc>
          <w:tcPr>
            <w:tcW w:w="421" w:type="dxa"/>
          </w:tcPr>
          <w:p w:rsidR="00196AC0" w:rsidRPr="00C376DB" w:rsidRDefault="00196AC0" w:rsidP="00B02BC8">
            <w:pPr>
              <w:pStyle w:val="naiskr"/>
              <w:spacing w:before="0" w:after="0"/>
            </w:pPr>
            <w:r w:rsidRPr="00C376DB">
              <w:t xml:space="preserve"> 1.</w:t>
            </w:r>
          </w:p>
        </w:tc>
        <w:tc>
          <w:tcPr>
            <w:tcW w:w="2976" w:type="dxa"/>
          </w:tcPr>
          <w:p w:rsidR="00196AC0" w:rsidRPr="00C376DB" w:rsidRDefault="009E2216" w:rsidP="00B02BC8">
            <w:pPr>
              <w:pStyle w:val="naiskr"/>
              <w:spacing w:before="0" w:after="0"/>
            </w:pPr>
            <w:r w:rsidRPr="00C376DB">
              <w:t>Nepieciešamie saistītie tiesību aktu projekti</w:t>
            </w:r>
          </w:p>
        </w:tc>
        <w:tc>
          <w:tcPr>
            <w:tcW w:w="5812" w:type="dxa"/>
          </w:tcPr>
          <w:p w:rsidR="00196AC0" w:rsidRDefault="009E2216" w:rsidP="00DE5921">
            <w:pPr>
              <w:pStyle w:val="naiskr"/>
              <w:spacing w:before="0" w:after="0"/>
              <w:ind w:left="142" w:right="81"/>
              <w:jc w:val="both"/>
            </w:pPr>
            <w:r w:rsidRPr="00C376DB">
              <w:t xml:space="preserve">Vēršama uzmanība, ka iesaistoties </w:t>
            </w:r>
            <w:r w:rsidRPr="00C376DB">
              <w:rPr>
                <w:i/>
              </w:rPr>
              <w:t>Twinni</w:t>
            </w:r>
            <w:r w:rsidR="00301844" w:rsidRPr="00C376DB">
              <w:rPr>
                <w:i/>
              </w:rPr>
              <w:t>n</w:t>
            </w:r>
            <w:r w:rsidRPr="00C376DB">
              <w:rPr>
                <w:i/>
              </w:rPr>
              <w:t>g</w:t>
            </w:r>
            <w:r w:rsidRPr="00C376DB">
              <w:t xml:space="preserve"> un </w:t>
            </w:r>
            <w:r w:rsidRPr="00C376DB">
              <w:rPr>
                <w:i/>
              </w:rPr>
              <w:t>Twinning Light</w:t>
            </w:r>
            <w:r w:rsidRPr="00C376DB">
              <w:t xml:space="preserve"> projektu īstenošanā un saņemot priekšfinansējumu no valsts budžeta, notiek saistību uzņem</w:t>
            </w:r>
            <w:r w:rsidR="00DE5921" w:rsidRPr="00C376DB">
              <w:t>šanās valsts budžetam. Tādējādi</w:t>
            </w:r>
            <w:r w:rsidRPr="00C376DB">
              <w:t xml:space="preserve"> atbilstoši Likuma par budžetu un finanšu vadību 24.panta trešajai daļai, ir nepieciešams Ministru kabineta lēmums par atļauju ministrijai uzņemties saistības un īstenot projektu, kā arī saņemt priekšfinansējumu no 80.00.00 programmas. Šajā lēmumā ir arī jānostiprina  pienākums ministrijai nodrošināt atmaksāto līdzek</w:t>
            </w:r>
            <w:r w:rsidR="00DE5921" w:rsidRPr="00C376DB">
              <w:t>ļu pārskaitīšanu valsts budžetā.</w:t>
            </w:r>
          </w:p>
          <w:p w:rsidR="0003667F" w:rsidRPr="00C376DB" w:rsidRDefault="0003667F" w:rsidP="0003667F">
            <w:pPr>
              <w:pStyle w:val="naiskr"/>
              <w:spacing w:before="0" w:after="0"/>
              <w:ind w:left="142" w:right="81"/>
              <w:jc w:val="both"/>
            </w:pPr>
            <w:r>
              <w:rPr>
                <w:color w:val="000000"/>
              </w:rPr>
              <w:t>G</w:t>
            </w:r>
            <w:r w:rsidRPr="00C376DB">
              <w:rPr>
                <w:color w:val="000000"/>
              </w:rPr>
              <w:t>adījumos</w:t>
            </w:r>
            <w:r>
              <w:rPr>
                <w:color w:val="000000"/>
              </w:rPr>
              <w:t>, kad projektu īstenotājiem būs nepieciešami līdzekļi no 80.programmas vēl pirms projektu iesnieguma apstiprināšanas izdevumu segšanai,</w:t>
            </w:r>
            <w:r w:rsidRPr="00C376DB">
              <w:rPr>
                <w:color w:val="000000"/>
              </w:rPr>
              <w:t xml:space="preserve"> MK protokollēmumā jānosaka skaidra atbildība par nekavējošu valdības informēšanu par riskiem ar potenciāli negatīvu ietekmi uz valsts budžetu un risku mazināšanas pasākumiem.  </w:t>
            </w:r>
          </w:p>
        </w:tc>
      </w:tr>
      <w:tr w:rsidR="00196AC0" w:rsidRPr="00C376DB" w:rsidTr="0083005D">
        <w:trPr>
          <w:trHeight w:val="476"/>
        </w:trPr>
        <w:tc>
          <w:tcPr>
            <w:tcW w:w="421" w:type="dxa"/>
          </w:tcPr>
          <w:p w:rsidR="00196AC0" w:rsidRPr="00C376DB" w:rsidRDefault="00196AC0" w:rsidP="00B02BC8">
            <w:pPr>
              <w:pStyle w:val="naiskr"/>
              <w:spacing w:before="0" w:after="0"/>
            </w:pPr>
            <w:r w:rsidRPr="00C376DB">
              <w:lastRenderedPageBreak/>
              <w:t xml:space="preserve"> 2.</w:t>
            </w:r>
          </w:p>
        </w:tc>
        <w:tc>
          <w:tcPr>
            <w:tcW w:w="2976" w:type="dxa"/>
          </w:tcPr>
          <w:p w:rsidR="00196AC0" w:rsidRPr="00C376DB" w:rsidRDefault="009E2216" w:rsidP="00B02BC8">
            <w:pPr>
              <w:pStyle w:val="naiskr"/>
              <w:spacing w:before="0" w:after="0"/>
            </w:pPr>
            <w:r w:rsidRPr="00C376DB">
              <w:t>Atbildīgā institūcija</w:t>
            </w:r>
          </w:p>
        </w:tc>
        <w:tc>
          <w:tcPr>
            <w:tcW w:w="5812" w:type="dxa"/>
          </w:tcPr>
          <w:p w:rsidR="00196AC0" w:rsidRPr="00C376DB" w:rsidRDefault="00B01961" w:rsidP="00301844">
            <w:pPr>
              <w:pStyle w:val="naiskr"/>
              <w:spacing w:before="0" w:after="0"/>
              <w:ind w:left="142" w:right="81"/>
              <w:jc w:val="both"/>
            </w:pPr>
            <w:r w:rsidRPr="00C376DB">
              <w:t>Nozaru ministrijas un to padotības iestādes, citas centrālās valsts iestādes.</w:t>
            </w:r>
          </w:p>
        </w:tc>
      </w:tr>
      <w:tr w:rsidR="00301844" w:rsidRPr="00C376DB" w:rsidTr="0083005D">
        <w:trPr>
          <w:trHeight w:val="476"/>
        </w:trPr>
        <w:tc>
          <w:tcPr>
            <w:tcW w:w="421" w:type="dxa"/>
          </w:tcPr>
          <w:p w:rsidR="00301844" w:rsidRPr="00C376DB" w:rsidRDefault="00301844" w:rsidP="00B02BC8">
            <w:pPr>
              <w:pStyle w:val="naiskr"/>
              <w:spacing w:before="0" w:after="0"/>
            </w:pPr>
            <w:r w:rsidRPr="00C376DB">
              <w:t xml:space="preserve">3. </w:t>
            </w:r>
          </w:p>
        </w:tc>
        <w:tc>
          <w:tcPr>
            <w:tcW w:w="2976" w:type="dxa"/>
          </w:tcPr>
          <w:p w:rsidR="00301844" w:rsidRPr="00C376DB" w:rsidRDefault="00301844" w:rsidP="00B02BC8">
            <w:pPr>
              <w:pStyle w:val="naiskr"/>
              <w:spacing w:before="0" w:after="0"/>
            </w:pPr>
            <w:r w:rsidRPr="00C376DB">
              <w:t>Cita informācija</w:t>
            </w:r>
          </w:p>
        </w:tc>
        <w:tc>
          <w:tcPr>
            <w:tcW w:w="5812" w:type="dxa"/>
          </w:tcPr>
          <w:p w:rsidR="00301844" w:rsidRPr="00C376DB" w:rsidRDefault="00301844" w:rsidP="00B02BC8">
            <w:pPr>
              <w:pStyle w:val="naiskr"/>
              <w:spacing w:before="0" w:after="0"/>
              <w:ind w:left="142" w:right="81"/>
              <w:jc w:val="both"/>
            </w:pPr>
            <w:r w:rsidRPr="00C376DB">
              <w:t>Nav</w:t>
            </w:r>
          </w:p>
        </w:tc>
      </w:tr>
    </w:tbl>
    <w:p w:rsidR="00196AC0" w:rsidRPr="00C376DB" w:rsidRDefault="00196AC0" w:rsidP="00FF6E59">
      <w:pPr>
        <w:rPr>
          <w:rFonts w:eastAsia="Times New Roman" w:cs="Times New Roman"/>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1"/>
        <w:gridCol w:w="3001"/>
        <w:gridCol w:w="5852"/>
      </w:tblGrid>
      <w:tr w:rsidR="00FF6E59" w:rsidRPr="00C376DB" w:rsidTr="00F95238">
        <w:tc>
          <w:tcPr>
            <w:tcW w:w="5000" w:type="pct"/>
            <w:gridSpan w:val="3"/>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jc w:val="center"/>
              <w:rPr>
                <w:rFonts w:eastAsia="Times New Roman" w:cs="Times New Roman"/>
                <w:b/>
                <w:bCs/>
                <w:szCs w:val="24"/>
                <w:lang w:eastAsia="lv-LV"/>
              </w:rPr>
            </w:pPr>
            <w:r w:rsidRPr="00C376DB">
              <w:rPr>
                <w:rFonts w:eastAsia="Times New Roman" w:cs="Times New Roman"/>
                <w:b/>
                <w:bCs/>
                <w:szCs w:val="24"/>
                <w:lang w:eastAsia="lv-LV"/>
              </w:rPr>
              <w:t>VI. Sabiedrības līdzdalība</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1.</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ind w:right="119"/>
              <w:rPr>
                <w:rFonts w:eastAsia="Times New Roman" w:cs="Times New Roman"/>
                <w:szCs w:val="24"/>
                <w:lang w:eastAsia="lv-LV"/>
              </w:rPr>
            </w:pPr>
            <w:r w:rsidRPr="00C376DB">
              <w:rPr>
                <w:rFonts w:eastAsia="Times New Roman" w:cs="Times New Roman"/>
                <w:szCs w:val="24"/>
                <w:lang w:eastAsia="lv-LV"/>
              </w:rPr>
              <w:t>Plānotās sabiedrības līdzdalības un komunikācijas aktivitātes saistībā ar projektu</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345E09" w:rsidP="00345E09">
            <w:pPr>
              <w:ind w:left="105" w:right="112"/>
              <w:jc w:val="both"/>
              <w:rPr>
                <w:rFonts w:eastAsia="Times New Roman" w:cs="Times New Roman"/>
                <w:szCs w:val="24"/>
                <w:lang w:eastAsia="lv-LV"/>
              </w:rPr>
            </w:pPr>
            <w:r w:rsidRPr="00C376DB">
              <w:rPr>
                <w:rFonts w:eastAsia="Times New Roman" w:cs="Times New Roman"/>
                <w:szCs w:val="24"/>
                <w:lang w:eastAsia="lv-LV"/>
              </w:rPr>
              <w:t>Sabiedrības līdzdalības pasākumi netika organizēti, jo noteikumu projekts paredz administratīvi noteikt kārtību</w:t>
            </w:r>
            <w:r w:rsidR="00B01961">
              <w:rPr>
                <w:rFonts w:eastAsia="Times New Roman" w:cs="Times New Roman"/>
                <w:szCs w:val="24"/>
                <w:lang w:eastAsia="lv-LV"/>
              </w:rPr>
              <w:t xml:space="preserve"> un nosacījumus</w:t>
            </w:r>
            <w:r w:rsidRPr="00C376DB">
              <w:rPr>
                <w:rFonts w:eastAsia="Times New Roman" w:cs="Times New Roman"/>
                <w:szCs w:val="24"/>
                <w:lang w:eastAsia="lv-LV"/>
              </w:rPr>
              <w:t xml:space="preserve"> valsts budžeta līdzekļu pieprasīšanai un pārdalei no 80.00.00 programmas projektu īstenošanai. </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2.</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ind w:right="119"/>
              <w:rPr>
                <w:rFonts w:eastAsia="Times New Roman" w:cs="Times New Roman"/>
                <w:szCs w:val="24"/>
                <w:lang w:eastAsia="lv-LV"/>
              </w:rPr>
            </w:pPr>
            <w:r w:rsidRPr="00C376DB">
              <w:rPr>
                <w:rFonts w:eastAsia="Times New Roman" w:cs="Times New Roman"/>
                <w:szCs w:val="24"/>
                <w:lang w:eastAsia="lv-LV"/>
              </w:rPr>
              <w:t>Sabiedrības līdzdalība projekta izstrādē</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03667F" w:rsidP="00FF6E59">
            <w:pPr>
              <w:ind w:left="105"/>
              <w:rPr>
                <w:rFonts w:eastAsia="Times New Roman" w:cs="Times New Roman"/>
                <w:szCs w:val="24"/>
                <w:lang w:eastAsia="lv-LV"/>
              </w:rPr>
            </w:pPr>
            <w:r>
              <w:rPr>
                <w:rFonts w:eastAsia="Times New Roman" w:cs="Times New Roman"/>
                <w:szCs w:val="24"/>
                <w:lang w:eastAsia="lv-LV"/>
              </w:rPr>
              <w:t>Noteikumu p</w:t>
            </w:r>
            <w:r w:rsidRPr="00C376DB">
              <w:rPr>
                <w:rFonts w:eastAsia="Times New Roman" w:cs="Times New Roman"/>
                <w:szCs w:val="24"/>
                <w:lang w:eastAsia="lv-LV"/>
              </w:rPr>
              <w:t>rojekts šo jomu neskar.</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3.</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Sabiedrības līdzdalības rezultāti</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03667F" w:rsidP="00FF6E59">
            <w:pPr>
              <w:ind w:left="105"/>
              <w:rPr>
                <w:rFonts w:eastAsia="Times New Roman" w:cs="Times New Roman"/>
                <w:szCs w:val="24"/>
                <w:lang w:eastAsia="lv-LV"/>
              </w:rPr>
            </w:pPr>
            <w:r>
              <w:rPr>
                <w:rFonts w:eastAsia="Times New Roman" w:cs="Times New Roman"/>
                <w:szCs w:val="24"/>
                <w:lang w:eastAsia="lv-LV"/>
              </w:rPr>
              <w:t>Noteikumu p</w:t>
            </w:r>
            <w:r w:rsidRPr="00C376DB">
              <w:rPr>
                <w:rFonts w:eastAsia="Times New Roman" w:cs="Times New Roman"/>
                <w:szCs w:val="24"/>
                <w:lang w:eastAsia="lv-LV"/>
              </w:rPr>
              <w:t>rojekts šo jomu neskar.</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4.</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Cita informācija</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ind w:left="105"/>
              <w:rPr>
                <w:rFonts w:eastAsia="Times New Roman" w:cs="Times New Roman"/>
                <w:szCs w:val="24"/>
                <w:lang w:eastAsia="lv-LV"/>
              </w:rPr>
            </w:pPr>
            <w:r w:rsidRPr="00C376DB">
              <w:rPr>
                <w:rFonts w:eastAsia="Times New Roman" w:cs="Times New Roman"/>
                <w:szCs w:val="24"/>
                <w:lang w:eastAsia="lv-LV"/>
              </w:rPr>
              <w:t>Nav</w:t>
            </w:r>
          </w:p>
        </w:tc>
      </w:tr>
    </w:tbl>
    <w:p w:rsidR="00FF6E59" w:rsidRPr="00C376DB" w:rsidRDefault="00FF6E59" w:rsidP="00FF6E59">
      <w:pPr>
        <w:rPr>
          <w:rFonts w:eastAsia="Times New Roman" w:cs="Times New Roman"/>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1"/>
        <w:gridCol w:w="3001"/>
        <w:gridCol w:w="5852"/>
      </w:tblGrid>
      <w:tr w:rsidR="00FF6E59" w:rsidRPr="00C376DB" w:rsidTr="00F95238">
        <w:tc>
          <w:tcPr>
            <w:tcW w:w="5000" w:type="pct"/>
            <w:gridSpan w:val="3"/>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jc w:val="center"/>
              <w:rPr>
                <w:rFonts w:eastAsia="Times New Roman" w:cs="Times New Roman"/>
                <w:b/>
                <w:bCs/>
                <w:szCs w:val="24"/>
                <w:lang w:eastAsia="lv-LV"/>
              </w:rPr>
            </w:pPr>
            <w:r w:rsidRPr="00C376DB">
              <w:rPr>
                <w:rFonts w:eastAsia="Times New Roman" w:cs="Times New Roman"/>
                <w:b/>
                <w:bCs/>
                <w:szCs w:val="24"/>
                <w:lang w:eastAsia="lv-LV"/>
              </w:rPr>
              <w:t>VII. Tiesību akta projekta izpildes nodrošināšana un tās ietekme uz institūcijām</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1.</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Projekta izpildē iesaistītās institūcijas</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FF6E59" w:rsidP="009E6548">
            <w:pPr>
              <w:ind w:right="112"/>
              <w:jc w:val="both"/>
              <w:rPr>
                <w:rFonts w:eastAsia="Times New Roman" w:cs="Times New Roman"/>
                <w:szCs w:val="24"/>
                <w:lang w:eastAsia="lv-LV"/>
              </w:rPr>
            </w:pPr>
            <w:r w:rsidRPr="00C376DB">
              <w:rPr>
                <w:rFonts w:eastAsia="Times New Roman" w:cs="Times New Roman"/>
                <w:szCs w:val="24"/>
                <w:lang w:eastAsia="lv-LV"/>
              </w:rPr>
              <w:t xml:space="preserve"> </w:t>
            </w:r>
            <w:r w:rsidR="009E6548" w:rsidRPr="00C376DB">
              <w:rPr>
                <w:rFonts w:eastAsia="Times New Roman" w:cs="Times New Roman"/>
                <w:szCs w:val="24"/>
                <w:lang w:eastAsia="lv-LV"/>
              </w:rPr>
              <w:t>Nozaru</w:t>
            </w:r>
            <w:r w:rsidR="00C71159" w:rsidRPr="00C376DB">
              <w:rPr>
                <w:rFonts w:eastAsia="Times New Roman" w:cs="Times New Roman"/>
                <w:szCs w:val="24"/>
                <w:lang w:eastAsia="lv-LV"/>
              </w:rPr>
              <w:t xml:space="preserve"> m</w:t>
            </w:r>
            <w:r w:rsidRPr="00C376DB">
              <w:rPr>
                <w:rFonts w:eastAsia="Times New Roman" w:cs="Times New Roman"/>
                <w:szCs w:val="24"/>
                <w:lang w:eastAsia="lv-LV"/>
              </w:rPr>
              <w:t>inistrijas un to padotības iestādes</w:t>
            </w:r>
            <w:r w:rsidR="00C71159" w:rsidRPr="00C376DB">
              <w:rPr>
                <w:rFonts w:eastAsia="Times New Roman" w:cs="Times New Roman"/>
                <w:szCs w:val="24"/>
                <w:lang w:eastAsia="lv-LV"/>
              </w:rPr>
              <w:t xml:space="preserve">, </w:t>
            </w:r>
            <w:r w:rsidR="009E6548" w:rsidRPr="00C376DB">
              <w:rPr>
                <w:rFonts w:eastAsia="Times New Roman" w:cs="Times New Roman"/>
                <w:szCs w:val="24"/>
                <w:lang w:eastAsia="lv-LV"/>
              </w:rPr>
              <w:t>citas centrālās valsts iestādes.</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2.</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Projekta izpildes ietekme uz pārvaldes funkcijām</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C71159" w:rsidP="00FF6E59">
            <w:pPr>
              <w:ind w:left="105"/>
              <w:rPr>
                <w:rFonts w:eastAsia="Times New Roman" w:cs="Times New Roman"/>
                <w:szCs w:val="24"/>
                <w:lang w:eastAsia="lv-LV"/>
              </w:rPr>
            </w:pPr>
            <w:r w:rsidRPr="00C376DB">
              <w:rPr>
                <w:rFonts w:eastAsia="Times New Roman" w:cs="Times New Roman"/>
                <w:szCs w:val="24"/>
                <w:lang w:eastAsia="lv-LV"/>
              </w:rPr>
              <w:t>Pārvaldes funkcijas nemainās</w:t>
            </w:r>
            <w:r w:rsidR="00FF6E59" w:rsidRPr="00C376DB">
              <w:rPr>
                <w:rFonts w:eastAsia="Times New Roman" w:cs="Times New Roman"/>
                <w:szCs w:val="24"/>
                <w:lang w:eastAsia="lv-LV"/>
              </w:rPr>
              <w:t xml:space="preserve">. </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3.</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Projekta izpildes ietekme uz pārvaldes institucionālo struktūru.</w:t>
            </w:r>
          </w:p>
          <w:p w:rsidR="00FF6E59" w:rsidRPr="00C376DB" w:rsidRDefault="00FF6E59" w:rsidP="00FF6E59">
            <w:pPr>
              <w:rPr>
                <w:rFonts w:eastAsia="Times New Roman" w:cs="Times New Roman"/>
                <w:szCs w:val="24"/>
                <w:lang w:eastAsia="lv-LV"/>
              </w:rPr>
            </w:pPr>
          </w:p>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Jaunu institūciju izveide, esošo institūciju likvidācija vai reorganizācija, to ietekme uz institūcijas cilvēkresursiem</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C71159" w:rsidP="00FF6E59">
            <w:pPr>
              <w:ind w:left="105"/>
              <w:rPr>
                <w:rFonts w:eastAsia="Times New Roman" w:cs="Times New Roman"/>
                <w:szCs w:val="24"/>
                <w:lang w:eastAsia="lv-LV"/>
              </w:rPr>
            </w:pPr>
            <w:r w:rsidRPr="00C376DB">
              <w:rPr>
                <w:rFonts w:eastAsia="Times New Roman" w:cs="Times New Roman"/>
                <w:szCs w:val="24"/>
                <w:lang w:eastAsia="lv-LV"/>
              </w:rPr>
              <w:t>Pārvaldes struktūra netiek mainīta, jaunas institūcijas netiek izveidotas</w:t>
            </w:r>
            <w:r w:rsidR="00FF6E59" w:rsidRPr="00C376DB">
              <w:rPr>
                <w:rFonts w:eastAsia="Times New Roman" w:cs="Times New Roman"/>
                <w:szCs w:val="24"/>
                <w:lang w:eastAsia="lv-LV"/>
              </w:rPr>
              <w:t>.</w:t>
            </w:r>
          </w:p>
        </w:tc>
      </w:tr>
      <w:tr w:rsidR="00FF6E59" w:rsidRPr="00C376DB" w:rsidTr="0022754B">
        <w:tc>
          <w:tcPr>
            <w:tcW w:w="227"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4.</w:t>
            </w:r>
          </w:p>
        </w:tc>
        <w:tc>
          <w:tcPr>
            <w:tcW w:w="1618"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rPr>
                <w:rFonts w:eastAsia="Times New Roman" w:cs="Times New Roman"/>
                <w:szCs w:val="24"/>
                <w:lang w:eastAsia="lv-LV"/>
              </w:rPr>
            </w:pPr>
            <w:r w:rsidRPr="00C376DB">
              <w:rPr>
                <w:rFonts w:eastAsia="Times New Roman" w:cs="Times New Roman"/>
                <w:szCs w:val="24"/>
                <w:lang w:eastAsia="lv-LV"/>
              </w:rPr>
              <w:t>Cita informācija</w:t>
            </w:r>
          </w:p>
        </w:tc>
        <w:tc>
          <w:tcPr>
            <w:tcW w:w="3155" w:type="pct"/>
            <w:tcBorders>
              <w:top w:val="outset" w:sz="6" w:space="0" w:color="000000"/>
              <w:left w:val="outset" w:sz="6" w:space="0" w:color="000000"/>
              <w:bottom w:val="outset" w:sz="6" w:space="0" w:color="000000"/>
              <w:right w:val="outset" w:sz="6" w:space="0" w:color="000000"/>
            </w:tcBorders>
          </w:tcPr>
          <w:p w:rsidR="00FF6E59" w:rsidRPr="00C376DB" w:rsidRDefault="00FF6E59" w:rsidP="00FF6E59">
            <w:pPr>
              <w:ind w:left="105"/>
              <w:rPr>
                <w:rFonts w:eastAsia="Times New Roman" w:cs="Times New Roman"/>
                <w:szCs w:val="24"/>
                <w:lang w:eastAsia="lv-LV"/>
              </w:rPr>
            </w:pPr>
            <w:r w:rsidRPr="00C376DB">
              <w:rPr>
                <w:rFonts w:eastAsia="Times New Roman" w:cs="Times New Roman"/>
                <w:szCs w:val="24"/>
                <w:lang w:eastAsia="lv-LV"/>
              </w:rPr>
              <w:t>Nav</w:t>
            </w:r>
          </w:p>
        </w:tc>
      </w:tr>
    </w:tbl>
    <w:p w:rsidR="00FF6E59" w:rsidRPr="00C376DB" w:rsidRDefault="00FF6E59" w:rsidP="00F700C2">
      <w:pPr>
        <w:spacing w:before="120" w:after="120"/>
        <w:jc w:val="center"/>
        <w:rPr>
          <w:rFonts w:eastAsia="Times New Roman" w:cs="Times New Roman"/>
          <w:i/>
          <w:sz w:val="28"/>
          <w:szCs w:val="28"/>
          <w:lang w:eastAsia="lv-LV"/>
        </w:rPr>
      </w:pPr>
      <w:r w:rsidRPr="00C376DB">
        <w:rPr>
          <w:rFonts w:eastAsia="Times New Roman" w:cs="Times New Roman"/>
          <w:i/>
          <w:sz w:val="28"/>
          <w:szCs w:val="28"/>
          <w:lang w:eastAsia="lv-LV"/>
        </w:rPr>
        <w:t xml:space="preserve">Anotācijas </w:t>
      </w:r>
      <w:r w:rsidR="00F700C2" w:rsidRPr="00C376DB">
        <w:rPr>
          <w:rFonts w:eastAsia="Times New Roman" w:cs="Times New Roman"/>
          <w:i/>
          <w:sz w:val="28"/>
          <w:szCs w:val="28"/>
          <w:lang w:eastAsia="lv-LV"/>
        </w:rPr>
        <w:t xml:space="preserve">II., </w:t>
      </w:r>
      <w:r w:rsidRPr="00C376DB">
        <w:rPr>
          <w:rFonts w:eastAsia="Times New Roman" w:cs="Times New Roman"/>
          <w:i/>
          <w:sz w:val="28"/>
          <w:szCs w:val="28"/>
          <w:lang w:eastAsia="lv-LV"/>
        </w:rPr>
        <w:t>II</w:t>
      </w:r>
      <w:r w:rsidR="00D53DA9" w:rsidRPr="00C376DB">
        <w:rPr>
          <w:rFonts w:eastAsia="Times New Roman" w:cs="Times New Roman"/>
          <w:i/>
          <w:sz w:val="28"/>
          <w:szCs w:val="28"/>
          <w:lang w:eastAsia="lv-LV"/>
        </w:rPr>
        <w:t>I</w:t>
      </w:r>
      <w:r w:rsidR="00F700C2" w:rsidRPr="00C376DB">
        <w:rPr>
          <w:rFonts w:eastAsia="Times New Roman" w:cs="Times New Roman"/>
          <w:i/>
          <w:sz w:val="28"/>
          <w:szCs w:val="28"/>
          <w:lang w:eastAsia="lv-LV"/>
        </w:rPr>
        <w:t>.</w:t>
      </w:r>
      <w:r w:rsidR="00621C87" w:rsidRPr="00C376DB">
        <w:rPr>
          <w:rFonts w:eastAsia="Times New Roman" w:cs="Times New Roman"/>
          <w:i/>
          <w:sz w:val="28"/>
          <w:szCs w:val="28"/>
          <w:lang w:eastAsia="lv-LV"/>
        </w:rPr>
        <w:t xml:space="preserve"> un V</w:t>
      </w:r>
      <w:r w:rsidR="00F700C2" w:rsidRPr="00C376DB">
        <w:rPr>
          <w:rFonts w:eastAsia="Times New Roman" w:cs="Times New Roman"/>
          <w:i/>
          <w:sz w:val="28"/>
          <w:szCs w:val="28"/>
          <w:lang w:eastAsia="lv-LV"/>
        </w:rPr>
        <w:t>.</w:t>
      </w:r>
      <w:r w:rsidR="00B01961">
        <w:rPr>
          <w:rFonts w:eastAsia="Times New Roman" w:cs="Times New Roman"/>
          <w:i/>
          <w:sz w:val="28"/>
          <w:szCs w:val="28"/>
          <w:lang w:eastAsia="lv-LV"/>
        </w:rPr>
        <w:t xml:space="preserve"> </w:t>
      </w:r>
      <w:r w:rsidRPr="00C376DB">
        <w:rPr>
          <w:rFonts w:eastAsia="Times New Roman" w:cs="Times New Roman"/>
          <w:i/>
          <w:sz w:val="28"/>
          <w:szCs w:val="28"/>
          <w:lang w:eastAsia="lv-LV"/>
        </w:rPr>
        <w:t>sadaļa – projekts šīs jomas neskar.</w:t>
      </w:r>
    </w:p>
    <w:p w:rsidR="00FF6E59" w:rsidRDefault="00FF6E59" w:rsidP="00FF6E59">
      <w:pPr>
        <w:jc w:val="both"/>
        <w:rPr>
          <w:rFonts w:eastAsia="Times New Roman" w:cs="Times New Roman"/>
          <w:sz w:val="26"/>
          <w:szCs w:val="26"/>
          <w:lang w:eastAsia="lv-LV"/>
        </w:rPr>
      </w:pPr>
    </w:p>
    <w:p w:rsidR="00FF6E59" w:rsidRPr="00FF6E59" w:rsidRDefault="00FF6E59" w:rsidP="00FF6E59">
      <w:pPr>
        <w:jc w:val="both"/>
        <w:rPr>
          <w:rFonts w:eastAsia="Times New Roman" w:cs="Times New Roman"/>
          <w:sz w:val="26"/>
          <w:szCs w:val="26"/>
          <w:lang w:eastAsia="lv-LV"/>
        </w:rPr>
      </w:pPr>
    </w:p>
    <w:p w:rsidR="00C376DB" w:rsidRPr="00C376DB" w:rsidRDefault="00997BF2" w:rsidP="00C376DB">
      <w:pPr>
        <w:jc w:val="both"/>
        <w:rPr>
          <w:rFonts w:eastAsia="Times New Roman" w:cs="Times New Roman"/>
          <w:sz w:val="28"/>
          <w:szCs w:val="28"/>
          <w:lang w:eastAsia="lv-LV"/>
        </w:rPr>
      </w:pPr>
      <w:r w:rsidRPr="00C376DB">
        <w:rPr>
          <w:rFonts w:eastAsia="Times New Roman" w:cs="Times New Roman"/>
          <w:sz w:val="28"/>
          <w:szCs w:val="28"/>
          <w:lang w:eastAsia="lv-LV"/>
        </w:rPr>
        <w:t>Finanšu ministre</w:t>
      </w:r>
      <w:r w:rsidR="00FF6E59" w:rsidRPr="00C376DB">
        <w:rPr>
          <w:rFonts w:eastAsia="Times New Roman" w:cs="Times New Roman"/>
          <w:sz w:val="28"/>
          <w:szCs w:val="28"/>
          <w:lang w:eastAsia="lv-LV"/>
        </w:rPr>
        <w:t xml:space="preserve">                                    </w:t>
      </w:r>
      <w:r w:rsidR="00C376DB">
        <w:rPr>
          <w:rFonts w:eastAsia="Times New Roman" w:cs="Times New Roman"/>
          <w:sz w:val="28"/>
          <w:szCs w:val="28"/>
          <w:lang w:eastAsia="lv-LV"/>
        </w:rPr>
        <w:t xml:space="preserve">                                  D.</w:t>
      </w:r>
      <w:r w:rsidR="00C376DB" w:rsidRPr="00C376DB">
        <w:rPr>
          <w:rFonts w:eastAsia="Times New Roman" w:cs="Times New Roman"/>
          <w:sz w:val="28"/>
          <w:szCs w:val="28"/>
          <w:lang w:eastAsia="lv-LV"/>
        </w:rPr>
        <w:t>Reizniece</w:t>
      </w:r>
      <w:r w:rsidR="00C376DB">
        <w:rPr>
          <w:rFonts w:eastAsia="Times New Roman" w:cs="Times New Roman"/>
          <w:sz w:val="28"/>
          <w:szCs w:val="28"/>
          <w:lang w:eastAsia="lv-LV"/>
        </w:rPr>
        <w:t xml:space="preserve"> </w:t>
      </w:r>
      <w:r w:rsidR="00C376DB" w:rsidRPr="00C376DB">
        <w:rPr>
          <w:rFonts w:eastAsia="Times New Roman" w:cs="Times New Roman"/>
          <w:sz w:val="28"/>
          <w:szCs w:val="28"/>
          <w:lang w:eastAsia="lv-LV"/>
        </w:rPr>
        <w:t>-</w:t>
      </w:r>
      <w:r w:rsidR="00C376DB">
        <w:rPr>
          <w:rFonts w:eastAsia="Times New Roman" w:cs="Times New Roman"/>
          <w:sz w:val="28"/>
          <w:szCs w:val="28"/>
          <w:lang w:eastAsia="lv-LV"/>
        </w:rPr>
        <w:t xml:space="preserve"> </w:t>
      </w:r>
      <w:r w:rsidR="00C376DB" w:rsidRPr="00C376DB">
        <w:rPr>
          <w:rFonts w:eastAsia="Times New Roman" w:cs="Times New Roman"/>
          <w:sz w:val="28"/>
          <w:szCs w:val="28"/>
          <w:lang w:eastAsia="lv-LV"/>
        </w:rPr>
        <w:t>Ozola</w:t>
      </w:r>
    </w:p>
    <w:p w:rsidR="00C376DB" w:rsidRPr="00FF6E59" w:rsidRDefault="00C376DB" w:rsidP="00C376DB">
      <w:pPr>
        <w:jc w:val="both"/>
        <w:rPr>
          <w:rFonts w:eastAsia="Times New Roman" w:cs="Times New Roman"/>
          <w:szCs w:val="24"/>
          <w:lang w:eastAsia="lv-LV"/>
        </w:rPr>
      </w:pPr>
      <w:r w:rsidRPr="00FF6E59">
        <w:rPr>
          <w:rFonts w:eastAsia="Times New Roman" w:cs="Times New Roman"/>
          <w:szCs w:val="24"/>
          <w:lang w:eastAsia="lv-LV"/>
        </w:rPr>
        <w:tab/>
      </w:r>
    </w:p>
    <w:p w:rsidR="00FF6E59" w:rsidRDefault="00FF6E59" w:rsidP="00C376DB">
      <w:pPr>
        <w:jc w:val="both"/>
        <w:rPr>
          <w:rFonts w:eastAsia="Times New Roman" w:cs="Times New Roman"/>
          <w:szCs w:val="24"/>
          <w:lang w:eastAsia="lv-LV"/>
        </w:rPr>
      </w:pPr>
    </w:p>
    <w:p w:rsidR="00C23428" w:rsidRPr="00FF6E59" w:rsidRDefault="00C23428" w:rsidP="00C376DB">
      <w:pPr>
        <w:jc w:val="both"/>
        <w:rPr>
          <w:rFonts w:eastAsia="Times New Roman" w:cs="Times New Roman"/>
          <w:szCs w:val="24"/>
          <w:lang w:eastAsia="lv-LV"/>
        </w:rPr>
      </w:pPr>
    </w:p>
    <w:p w:rsidR="00C23428" w:rsidRPr="00C23428" w:rsidRDefault="00C23428" w:rsidP="00FF6E59">
      <w:pPr>
        <w:jc w:val="both"/>
        <w:rPr>
          <w:rFonts w:eastAsia="Times New Roman" w:cs="Times New Roman"/>
          <w:sz w:val="22"/>
          <w:lang w:eastAsia="lv-LV"/>
        </w:rPr>
      </w:pPr>
      <w:r w:rsidRPr="00C23428">
        <w:rPr>
          <w:rFonts w:eastAsia="Times New Roman" w:cs="Times New Roman"/>
          <w:sz w:val="22"/>
          <w:lang w:eastAsia="lv-LV"/>
        </w:rPr>
        <w:t>13.10.2016</w:t>
      </w:r>
      <w:r>
        <w:rPr>
          <w:rFonts w:eastAsia="Times New Roman" w:cs="Times New Roman"/>
          <w:sz w:val="22"/>
          <w:lang w:eastAsia="lv-LV"/>
        </w:rPr>
        <w:t xml:space="preserve">        </w:t>
      </w:r>
      <w:r w:rsidR="00F20B11">
        <w:rPr>
          <w:rFonts w:eastAsia="Times New Roman" w:cs="Times New Roman"/>
          <w:sz w:val="22"/>
          <w:lang w:eastAsia="lv-LV"/>
        </w:rPr>
        <w:t>09:53</w:t>
      </w:r>
      <w:bookmarkStart w:id="0" w:name="_GoBack"/>
      <w:bookmarkEnd w:id="0"/>
    </w:p>
    <w:p w:rsidR="00FF6E59" w:rsidRPr="00C23428" w:rsidRDefault="00F20B11" w:rsidP="00FF6E59">
      <w:pPr>
        <w:jc w:val="both"/>
        <w:rPr>
          <w:rFonts w:eastAsia="Times New Roman" w:cs="Times New Roman"/>
          <w:sz w:val="22"/>
          <w:lang w:eastAsia="lv-LV"/>
        </w:rPr>
      </w:pPr>
      <w:r>
        <w:rPr>
          <w:rFonts w:eastAsia="Times New Roman" w:cs="Times New Roman"/>
          <w:sz w:val="22"/>
          <w:lang w:eastAsia="lv-LV"/>
        </w:rPr>
        <w:t>1643</w:t>
      </w:r>
    </w:p>
    <w:p w:rsidR="00FF6E59" w:rsidRPr="00C23428" w:rsidRDefault="00997BF2" w:rsidP="00FF6E59">
      <w:pPr>
        <w:jc w:val="both"/>
        <w:rPr>
          <w:rFonts w:eastAsia="Times New Roman" w:cs="Times New Roman"/>
          <w:sz w:val="22"/>
          <w:lang w:eastAsia="lv-LV"/>
        </w:rPr>
      </w:pPr>
      <w:r w:rsidRPr="00C23428">
        <w:rPr>
          <w:rFonts w:eastAsia="Times New Roman" w:cs="Times New Roman"/>
          <w:sz w:val="22"/>
          <w:lang w:eastAsia="lv-LV"/>
        </w:rPr>
        <w:t>I.Lazdiņa</w:t>
      </w:r>
    </w:p>
    <w:p w:rsidR="00BD5594" w:rsidRPr="00C23428" w:rsidRDefault="00997BF2" w:rsidP="002F3FBF">
      <w:pPr>
        <w:jc w:val="both"/>
        <w:rPr>
          <w:rFonts w:eastAsia="Times New Roman" w:cs="Times New Roman"/>
          <w:sz w:val="22"/>
          <w:lang w:eastAsia="lv-LV"/>
        </w:rPr>
      </w:pPr>
      <w:r w:rsidRPr="00C23428">
        <w:rPr>
          <w:rFonts w:eastAsia="Times New Roman" w:cs="Times New Roman"/>
          <w:sz w:val="22"/>
          <w:lang w:eastAsia="lv-LV"/>
        </w:rPr>
        <w:t xml:space="preserve">67095455, </w:t>
      </w:r>
      <w:hyperlink r:id="rId8" w:history="1">
        <w:r w:rsidR="00C376DB" w:rsidRPr="00C23428">
          <w:rPr>
            <w:rStyle w:val="Hyperlink"/>
            <w:rFonts w:eastAsia="Times New Roman" w:cs="Times New Roman"/>
            <w:color w:val="auto"/>
            <w:sz w:val="22"/>
            <w:u w:val="none"/>
            <w:lang w:eastAsia="lv-LV"/>
          </w:rPr>
          <w:t>Ivita.Lazdina@fm.gov.lv</w:t>
        </w:r>
      </w:hyperlink>
    </w:p>
    <w:p w:rsidR="00DC2D8E" w:rsidRPr="00C23428" w:rsidRDefault="00DC2D8E" w:rsidP="002F3FBF">
      <w:pPr>
        <w:jc w:val="both"/>
        <w:rPr>
          <w:rFonts w:eastAsia="Times New Roman" w:cs="Times New Roman"/>
          <w:sz w:val="22"/>
          <w:lang w:eastAsia="lv-LV"/>
        </w:rPr>
      </w:pPr>
      <w:r w:rsidRPr="00C23428">
        <w:rPr>
          <w:rFonts w:eastAsia="Times New Roman" w:cs="Times New Roman"/>
          <w:sz w:val="22"/>
          <w:lang w:eastAsia="lv-LV"/>
        </w:rPr>
        <w:t>Ž.Zvaigzne</w:t>
      </w:r>
    </w:p>
    <w:p w:rsidR="00DC2D8E" w:rsidRPr="00C23428" w:rsidRDefault="00DC2D8E" w:rsidP="002F3FBF">
      <w:pPr>
        <w:jc w:val="both"/>
        <w:rPr>
          <w:sz w:val="22"/>
        </w:rPr>
      </w:pPr>
      <w:r w:rsidRPr="00C23428">
        <w:rPr>
          <w:rFonts w:eastAsia="Times New Roman" w:cs="Times New Roman"/>
          <w:sz w:val="22"/>
          <w:lang w:eastAsia="lv-LV"/>
        </w:rPr>
        <w:t>67083976,</w:t>
      </w:r>
      <w:r w:rsidR="00C376DB" w:rsidRPr="00C23428">
        <w:rPr>
          <w:rFonts w:eastAsia="Times New Roman" w:cs="Times New Roman"/>
          <w:sz w:val="22"/>
          <w:lang w:eastAsia="lv-LV"/>
        </w:rPr>
        <w:t xml:space="preserve"> </w:t>
      </w:r>
      <w:r w:rsidRPr="00C23428">
        <w:rPr>
          <w:rFonts w:eastAsia="Times New Roman" w:cs="Times New Roman"/>
          <w:sz w:val="22"/>
          <w:lang w:eastAsia="lv-LV"/>
        </w:rPr>
        <w:t>Zanete.Zvaigzne@fm.gov.lv</w:t>
      </w:r>
    </w:p>
    <w:sectPr w:rsidR="00DC2D8E" w:rsidRPr="00C23428" w:rsidSect="00F66A93">
      <w:headerReference w:type="even" r:id="rId9"/>
      <w:headerReference w:type="default" r:id="rId10"/>
      <w:footerReference w:type="default" r:id="rId11"/>
      <w:footerReference w:type="first" r:id="rId12"/>
      <w:pgSz w:w="11906" w:h="16838"/>
      <w:pgMar w:top="993" w:right="1274" w:bottom="284" w:left="1418" w:header="709"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CB" w:rsidRDefault="000A35CB">
      <w:r>
        <w:separator/>
      </w:r>
    </w:p>
  </w:endnote>
  <w:endnote w:type="continuationSeparator" w:id="0">
    <w:p w:rsidR="000A35CB" w:rsidRDefault="000A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38" w:rsidRPr="00C376DB" w:rsidRDefault="00B53696" w:rsidP="00F95238">
    <w:pPr>
      <w:pStyle w:val="Footer"/>
      <w:jc w:val="both"/>
      <w:rPr>
        <w:sz w:val="22"/>
      </w:rPr>
    </w:pPr>
    <w:r w:rsidRPr="00C376DB">
      <w:rPr>
        <w:sz w:val="22"/>
      </w:rPr>
      <w:t>FMA</w:t>
    </w:r>
    <w:r w:rsidR="009E6548" w:rsidRPr="00C376DB">
      <w:rPr>
        <w:sz w:val="22"/>
      </w:rPr>
      <w:t>not_1</w:t>
    </w:r>
    <w:r w:rsidR="00C23428">
      <w:rPr>
        <w:sz w:val="22"/>
      </w:rPr>
      <w:t>3</w:t>
    </w:r>
    <w:r w:rsidR="00C56BEF" w:rsidRPr="00C376DB">
      <w:rPr>
        <w:sz w:val="22"/>
      </w:rPr>
      <w:t>10</w:t>
    </w:r>
    <w:r w:rsidR="00F95238" w:rsidRPr="00C376DB">
      <w:rPr>
        <w:sz w:val="22"/>
      </w:rPr>
      <w:t>16_464; Ministru kabineta noteikuma projekta „Grozījumi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ziņojums(anotācija)</w:t>
    </w:r>
  </w:p>
  <w:p w:rsidR="00F95238" w:rsidRPr="00C376DB" w:rsidRDefault="00F95238" w:rsidP="00F95238">
    <w:pPr>
      <w:pStyle w:val="Footer"/>
      <w:rPr>
        <w:sz w:val="22"/>
      </w:rPr>
    </w:pPr>
  </w:p>
  <w:p w:rsidR="00F95238" w:rsidRPr="00F50818" w:rsidRDefault="00F95238" w:rsidP="00F9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38" w:rsidRPr="00C376DB" w:rsidRDefault="00B53696" w:rsidP="00F95238">
    <w:pPr>
      <w:pStyle w:val="Footer"/>
      <w:jc w:val="both"/>
      <w:rPr>
        <w:sz w:val="22"/>
      </w:rPr>
    </w:pPr>
    <w:r w:rsidRPr="00C376DB">
      <w:rPr>
        <w:sz w:val="22"/>
      </w:rPr>
      <w:t>FMA</w:t>
    </w:r>
    <w:r w:rsidR="009E6548" w:rsidRPr="00C376DB">
      <w:rPr>
        <w:sz w:val="22"/>
      </w:rPr>
      <w:t>not_1</w:t>
    </w:r>
    <w:r w:rsidR="00C23428">
      <w:rPr>
        <w:sz w:val="22"/>
      </w:rPr>
      <w:t>3</w:t>
    </w:r>
    <w:r w:rsidR="00C56BEF" w:rsidRPr="00C376DB">
      <w:rPr>
        <w:sz w:val="22"/>
      </w:rPr>
      <w:t>10</w:t>
    </w:r>
    <w:r w:rsidR="00F95238" w:rsidRPr="00C376DB">
      <w:rPr>
        <w:sz w:val="22"/>
      </w:rPr>
      <w:t>16_464; Ministru kabineta noteikumu projekta „Grozījumi Ministru kabineta 2010.gada 18.maija noteikumos Nr.464„Noteikumi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w:t>
    </w:r>
  </w:p>
  <w:p w:rsidR="00F95238" w:rsidRPr="00C376DB" w:rsidRDefault="00F95238">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CB" w:rsidRDefault="000A35CB">
      <w:r>
        <w:separator/>
      </w:r>
    </w:p>
  </w:footnote>
  <w:footnote w:type="continuationSeparator" w:id="0">
    <w:p w:rsidR="000A35CB" w:rsidRDefault="000A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38" w:rsidRDefault="00F12269" w:rsidP="00F95238">
    <w:pPr>
      <w:pStyle w:val="Header"/>
      <w:framePr w:wrap="around" w:vAnchor="text" w:hAnchor="margin" w:xAlign="center" w:y="1"/>
      <w:rPr>
        <w:rStyle w:val="PageNumber"/>
      </w:rPr>
    </w:pPr>
    <w:r>
      <w:rPr>
        <w:rStyle w:val="PageNumber"/>
      </w:rPr>
      <w:fldChar w:fldCharType="begin"/>
    </w:r>
    <w:r w:rsidR="00F95238">
      <w:rPr>
        <w:rStyle w:val="PageNumber"/>
      </w:rPr>
      <w:instrText xml:space="preserve">PAGE  </w:instrText>
    </w:r>
    <w:r>
      <w:rPr>
        <w:rStyle w:val="PageNumber"/>
      </w:rPr>
      <w:fldChar w:fldCharType="end"/>
    </w:r>
  </w:p>
  <w:p w:rsidR="00F95238" w:rsidRDefault="00F95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38" w:rsidRPr="00DB073B" w:rsidRDefault="00F12269" w:rsidP="00F95238">
    <w:pPr>
      <w:pStyle w:val="Header"/>
      <w:framePr w:wrap="around" w:vAnchor="text" w:hAnchor="margin" w:xAlign="center" w:y="1"/>
      <w:rPr>
        <w:rStyle w:val="PageNumber"/>
        <w:sz w:val="20"/>
        <w:szCs w:val="20"/>
      </w:rPr>
    </w:pPr>
    <w:r w:rsidRPr="00DB073B">
      <w:rPr>
        <w:rStyle w:val="PageNumber"/>
        <w:sz w:val="20"/>
        <w:szCs w:val="20"/>
      </w:rPr>
      <w:fldChar w:fldCharType="begin"/>
    </w:r>
    <w:r w:rsidR="00F95238" w:rsidRPr="00DB073B">
      <w:rPr>
        <w:rStyle w:val="PageNumber"/>
        <w:sz w:val="20"/>
        <w:szCs w:val="20"/>
      </w:rPr>
      <w:instrText xml:space="preserve">PAGE  </w:instrText>
    </w:r>
    <w:r w:rsidRPr="00DB073B">
      <w:rPr>
        <w:rStyle w:val="PageNumber"/>
        <w:sz w:val="20"/>
        <w:szCs w:val="20"/>
      </w:rPr>
      <w:fldChar w:fldCharType="separate"/>
    </w:r>
    <w:r w:rsidR="00F20B11">
      <w:rPr>
        <w:rStyle w:val="PageNumber"/>
        <w:noProof/>
        <w:sz w:val="20"/>
        <w:szCs w:val="20"/>
      </w:rPr>
      <w:t>4</w:t>
    </w:r>
    <w:r w:rsidRPr="00DB073B">
      <w:rPr>
        <w:rStyle w:val="PageNumber"/>
        <w:sz w:val="20"/>
        <w:szCs w:val="20"/>
      </w:rPr>
      <w:fldChar w:fldCharType="end"/>
    </w:r>
  </w:p>
  <w:p w:rsidR="00F95238" w:rsidRDefault="00F95238" w:rsidP="00F95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9E6"/>
    <w:multiLevelType w:val="hybridMultilevel"/>
    <w:tmpl w:val="D9D45BF8"/>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1" w15:restartNumberingAfterBreak="0">
    <w:nsid w:val="53547321"/>
    <w:multiLevelType w:val="hybridMultilevel"/>
    <w:tmpl w:val="1234D140"/>
    <w:lvl w:ilvl="0" w:tplc="75E68266">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E59"/>
    <w:rsid w:val="0001141E"/>
    <w:rsid w:val="00013A80"/>
    <w:rsid w:val="0003667F"/>
    <w:rsid w:val="00054B42"/>
    <w:rsid w:val="000672E6"/>
    <w:rsid w:val="000A35CB"/>
    <w:rsid w:val="000A3F3C"/>
    <w:rsid w:val="000B07E2"/>
    <w:rsid w:val="000E71B8"/>
    <w:rsid w:val="000F71DE"/>
    <w:rsid w:val="00133284"/>
    <w:rsid w:val="00143A33"/>
    <w:rsid w:val="001829BF"/>
    <w:rsid w:val="00196AC0"/>
    <w:rsid w:val="001A2D39"/>
    <w:rsid w:val="001B457C"/>
    <w:rsid w:val="001C5862"/>
    <w:rsid w:val="001D24AE"/>
    <w:rsid w:val="001D2DB7"/>
    <w:rsid w:val="001F0B55"/>
    <w:rsid w:val="002074D0"/>
    <w:rsid w:val="0022754B"/>
    <w:rsid w:val="00277833"/>
    <w:rsid w:val="002B4034"/>
    <w:rsid w:val="002E51A4"/>
    <w:rsid w:val="002F3FBF"/>
    <w:rsid w:val="00301844"/>
    <w:rsid w:val="00324584"/>
    <w:rsid w:val="00324830"/>
    <w:rsid w:val="00326C1E"/>
    <w:rsid w:val="00337E1F"/>
    <w:rsid w:val="00340810"/>
    <w:rsid w:val="00341198"/>
    <w:rsid w:val="00345E09"/>
    <w:rsid w:val="003D7AA6"/>
    <w:rsid w:val="003F0B33"/>
    <w:rsid w:val="004111AA"/>
    <w:rsid w:val="00423775"/>
    <w:rsid w:val="004412EB"/>
    <w:rsid w:val="0044766D"/>
    <w:rsid w:val="00463767"/>
    <w:rsid w:val="004809F1"/>
    <w:rsid w:val="004B5A2A"/>
    <w:rsid w:val="004C7178"/>
    <w:rsid w:val="004E2340"/>
    <w:rsid w:val="004E38B2"/>
    <w:rsid w:val="005331C3"/>
    <w:rsid w:val="00533723"/>
    <w:rsid w:val="005339FB"/>
    <w:rsid w:val="00561201"/>
    <w:rsid w:val="00570198"/>
    <w:rsid w:val="00590D4B"/>
    <w:rsid w:val="005923DD"/>
    <w:rsid w:val="005A72B2"/>
    <w:rsid w:val="005D6B83"/>
    <w:rsid w:val="005E46B4"/>
    <w:rsid w:val="005F75B9"/>
    <w:rsid w:val="00617D30"/>
    <w:rsid w:val="00620DB6"/>
    <w:rsid w:val="00620EC1"/>
    <w:rsid w:val="0062154E"/>
    <w:rsid w:val="00621C87"/>
    <w:rsid w:val="0066045C"/>
    <w:rsid w:val="006B6AB1"/>
    <w:rsid w:val="006C13DE"/>
    <w:rsid w:val="00767070"/>
    <w:rsid w:val="00770BE4"/>
    <w:rsid w:val="00770CAD"/>
    <w:rsid w:val="007A3206"/>
    <w:rsid w:val="007B24FD"/>
    <w:rsid w:val="007B3885"/>
    <w:rsid w:val="007B5CDA"/>
    <w:rsid w:val="007C719B"/>
    <w:rsid w:val="007D00FE"/>
    <w:rsid w:val="007E5EAC"/>
    <w:rsid w:val="0080557D"/>
    <w:rsid w:val="00813167"/>
    <w:rsid w:val="0081439F"/>
    <w:rsid w:val="0083005D"/>
    <w:rsid w:val="008312F2"/>
    <w:rsid w:val="0083569C"/>
    <w:rsid w:val="00855FEA"/>
    <w:rsid w:val="00862726"/>
    <w:rsid w:val="008B3696"/>
    <w:rsid w:val="008B4718"/>
    <w:rsid w:val="008B4B23"/>
    <w:rsid w:val="008C5773"/>
    <w:rsid w:val="008D4DAB"/>
    <w:rsid w:val="00905DEE"/>
    <w:rsid w:val="00914A28"/>
    <w:rsid w:val="009442DF"/>
    <w:rsid w:val="00976182"/>
    <w:rsid w:val="00997BF2"/>
    <w:rsid w:val="009B2706"/>
    <w:rsid w:val="009E2216"/>
    <w:rsid w:val="009E6548"/>
    <w:rsid w:val="009E76BE"/>
    <w:rsid w:val="00A00C1E"/>
    <w:rsid w:val="00A05A0C"/>
    <w:rsid w:val="00A07726"/>
    <w:rsid w:val="00A43541"/>
    <w:rsid w:val="00A53BF9"/>
    <w:rsid w:val="00A6035E"/>
    <w:rsid w:val="00AA7E98"/>
    <w:rsid w:val="00AC681D"/>
    <w:rsid w:val="00B01961"/>
    <w:rsid w:val="00B02DEC"/>
    <w:rsid w:val="00B04546"/>
    <w:rsid w:val="00B20728"/>
    <w:rsid w:val="00B27924"/>
    <w:rsid w:val="00B53696"/>
    <w:rsid w:val="00B76753"/>
    <w:rsid w:val="00B77A19"/>
    <w:rsid w:val="00B92754"/>
    <w:rsid w:val="00B94788"/>
    <w:rsid w:val="00BA17B8"/>
    <w:rsid w:val="00BA17CB"/>
    <w:rsid w:val="00BA6EAB"/>
    <w:rsid w:val="00BD5594"/>
    <w:rsid w:val="00C21BF9"/>
    <w:rsid w:val="00C23428"/>
    <w:rsid w:val="00C376DB"/>
    <w:rsid w:val="00C5592E"/>
    <w:rsid w:val="00C56BEF"/>
    <w:rsid w:val="00C70F64"/>
    <w:rsid w:val="00C71159"/>
    <w:rsid w:val="00C71CDD"/>
    <w:rsid w:val="00C90A09"/>
    <w:rsid w:val="00CD34B1"/>
    <w:rsid w:val="00D0307E"/>
    <w:rsid w:val="00D0575F"/>
    <w:rsid w:val="00D321B3"/>
    <w:rsid w:val="00D37C03"/>
    <w:rsid w:val="00D53DA9"/>
    <w:rsid w:val="00D677D8"/>
    <w:rsid w:val="00DB19D2"/>
    <w:rsid w:val="00DC0106"/>
    <w:rsid w:val="00DC097F"/>
    <w:rsid w:val="00DC2D8E"/>
    <w:rsid w:val="00DC353C"/>
    <w:rsid w:val="00DD34D7"/>
    <w:rsid w:val="00DE2616"/>
    <w:rsid w:val="00DE5921"/>
    <w:rsid w:val="00E023BF"/>
    <w:rsid w:val="00E4013F"/>
    <w:rsid w:val="00E45134"/>
    <w:rsid w:val="00E55B05"/>
    <w:rsid w:val="00E76BD7"/>
    <w:rsid w:val="00E834FA"/>
    <w:rsid w:val="00E87733"/>
    <w:rsid w:val="00EB1E4D"/>
    <w:rsid w:val="00F0622C"/>
    <w:rsid w:val="00F10425"/>
    <w:rsid w:val="00F12269"/>
    <w:rsid w:val="00F20B11"/>
    <w:rsid w:val="00F25C8E"/>
    <w:rsid w:val="00F56CD9"/>
    <w:rsid w:val="00F66A93"/>
    <w:rsid w:val="00F700C2"/>
    <w:rsid w:val="00F95238"/>
    <w:rsid w:val="00FA5EFE"/>
    <w:rsid w:val="00FE009A"/>
    <w:rsid w:val="00FF5282"/>
    <w:rsid w:val="00FF6E5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32D9"/>
  <w15:docId w15:val="{36249A3A-5CEE-4D75-AF8C-7FB12E1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59"/>
    <w:pPr>
      <w:tabs>
        <w:tab w:val="center" w:pos="4153"/>
        <w:tab w:val="right" w:pos="8306"/>
      </w:tabs>
    </w:pPr>
  </w:style>
  <w:style w:type="character" w:customStyle="1" w:styleId="HeaderChar">
    <w:name w:val="Header Char"/>
    <w:basedOn w:val="DefaultParagraphFont"/>
    <w:link w:val="Header"/>
    <w:uiPriority w:val="99"/>
    <w:rsid w:val="00FF6E59"/>
  </w:style>
  <w:style w:type="paragraph" w:styleId="Footer">
    <w:name w:val="footer"/>
    <w:basedOn w:val="Normal"/>
    <w:link w:val="FooterChar"/>
    <w:uiPriority w:val="99"/>
    <w:unhideWhenUsed/>
    <w:rsid w:val="00FF6E59"/>
    <w:pPr>
      <w:tabs>
        <w:tab w:val="center" w:pos="4153"/>
        <w:tab w:val="right" w:pos="8306"/>
      </w:tabs>
    </w:pPr>
  </w:style>
  <w:style w:type="character" w:customStyle="1" w:styleId="FooterChar">
    <w:name w:val="Footer Char"/>
    <w:basedOn w:val="DefaultParagraphFont"/>
    <w:link w:val="Footer"/>
    <w:uiPriority w:val="99"/>
    <w:rsid w:val="00FF6E59"/>
  </w:style>
  <w:style w:type="character" w:styleId="PageNumber">
    <w:name w:val="page number"/>
    <w:basedOn w:val="DefaultParagraphFont"/>
    <w:rsid w:val="00FF6E59"/>
  </w:style>
  <w:style w:type="paragraph" w:styleId="PlainText">
    <w:name w:val="Plain Text"/>
    <w:basedOn w:val="Normal"/>
    <w:link w:val="PlainTextChar"/>
    <w:uiPriority w:val="99"/>
    <w:unhideWhenUsed/>
    <w:rsid w:val="007C719B"/>
    <w:rPr>
      <w:rFonts w:ascii="Calibri" w:eastAsia="Calibri" w:hAnsi="Calibri" w:cs="Times New Roman"/>
      <w:sz w:val="22"/>
      <w:lang w:eastAsia="lv-LV"/>
    </w:rPr>
  </w:style>
  <w:style w:type="character" w:customStyle="1" w:styleId="PlainTextChar">
    <w:name w:val="Plain Text Char"/>
    <w:basedOn w:val="DefaultParagraphFont"/>
    <w:link w:val="PlainText"/>
    <w:uiPriority w:val="99"/>
    <w:rsid w:val="007C719B"/>
    <w:rPr>
      <w:rFonts w:ascii="Calibri" w:eastAsia="Calibri" w:hAnsi="Calibri" w:cs="Times New Roman"/>
      <w:sz w:val="22"/>
      <w:lang w:eastAsia="lv-LV"/>
    </w:rPr>
  </w:style>
  <w:style w:type="character" w:styleId="Strong">
    <w:name w:val="Strong"/>
    <w:qFormat/>
    <w:rsid w:val="00DE2616"/>
    <w:rPr>
      <w:b/>
      <w:bCs/>
    </w:rPr>
  </w:style>
  <w:style w:type="paragraph" w:customStyle="1" w:styleId="naiskr">
    <w:name w:val="naiskr"/>
    <w:basedOn w:val="Normal"/>
    <w:rsid w:val="00324830"/>
    <w:pPr>
      <w:spacing w:before="75" w:after="75"/>
    </w:pPr>
    <w:rPr>
      <w:rFonts w:eastAsia="Times New Roman" w:cs="Times New Roman"/>
      <w:szCs w:val="24"/>
      <w:lang w:eastAsia="lv-LV"/>
    </w:rPr>
  </w:style>
  <w:style w:type="paragraph" w:styleId="ListParagraph">
    <w:name w:val="List Paragraph"/>
    <w:basedOn w:val="Normal"/>
    <w:uiPriority w:val="34"/>
    <w:qFormat/>
    <w:rsid w:val="00324830"/>
    <w:pPr>
      <w:ind w:left="720"/>
    </w:pPr>
    <w:rPr>
      <w:rFonts w:ascii="Calibri" w:eastAsia="Calibri" w:hAnsi="Calibri" w:cs="Times New Roman"/>
      <w:sz w:val="22"/>
      <w:lang w:eastAsia="lv-LV"/>
    </w:rPr>
  </w:style>
  <w:style w:type="paragraph" w:customStyle="1" w:styleId="tv2131">
    <w:name w:val="tv2131"/>
    <w:basedOn w:val="Normal"/>
    <w:rsid w:val="00324830"/>
    <w:pPr>
      <w:spacing w:line="360" w:lineRule="auto"/>
      <w:ind w:firstLine="300"/>
    </w:pPr>
    <w:rPr>
      <w:rFonts w:eastAsia="Times New Roman" w:cs="Times New Roman"/>
      <w:color w:val="414142"/>
      <w:sz w:val="20"/>
      <w:szCs w:val="20"/>
      <w:lang w:eastAsia="lv-LV"/>
    </w:rPr>
  </w:style>
  <w:style w:type="paragraph" w:styleId="BalloonText">
    <w:name w:val="Balloon Text"/>
    <w:basedOn w:val="Normal"/>
    <w:link w:val="BalloonTextChar"/>
    <w:uiPriority w:val="99"/>
    <w:semiHidden/>
    <w:unhideWhenUsed/>
    <w:rsid w:val="00997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F2"/>
    <w:rPr>
      <w:rFonts w:ascii="Segoe UI" w:hAnsi="Segoe UI" w:cs="Segoe UI"/>
      <w:sz w:val="18"/>
      <w:szCs w:val="18"/>
    </w:rPr>
  </w:style>
  <w:style w:type="character" w:styleId="Emphasis">
    <w:name w:val="Emphasis"/>
    <w:basedOn w:val="DefaultParagraphFont"/>
    <w:uiPriority w:val="20"/>
    <w:qFormat/>
    <w:rsid w:val="00D0575F"/>
    <w:rPr>
      <w:b/>
      <w:bCs/>
      <w:i w:val="0"/>
      <w:iCs w:val="0"/>
    </w:rPr>
  </w:style>
  <w:style w:type="character" w:customStyle="1" w:styleId="st1">
    <w:name w:val="st1"/>
    <w:basedOn w:val="DefaultParagraphFont"/>
    <w:rsid w:val="00D0575F"/>
  </w:style>
  <w:style w:type="character" w:styleId="CommentReference">
    <w:name w:val="annotation reference"/>
    <w:basedOn w:val="DefaultParagraphFont"/>
    <w:uiPriority w:val="99"/>
    <w:semiHidden/>
    <w:unhideWhenUsed/>
    <w:rsid w:val="001D2DB7"/>
    <w:rPr>
      <w:sz w:val="16"/>
      <w:szCs w:val="16"/>
    </w:rPr>
  </w:style>
  <w:style w:type="paragraph" w:styleId="CommentText">
    <w:name w:val="annotation text"/>
    <w:basedOn w:val="Normal"/>
    <w:link w:val="CommentTextChar"/>
    <w:uiPriority w:val="99"/>
    <w:unhideWhenUsed/>
    <w:rsid w:val="001D2DB7"/>
    <w:rPr>
      <w:sz w:val="20"/>
      <w:szCs w:val="20"/>
    </w:rPr>
  </w:style>
  <w:style w:type="character" w:customStyle="1" w:styleId="CommentTextChar">
    <w:name w:val="Comment Text Char"/>
    <w:basedOn w:val="DefaultParagraphFont"/>
    <w:link w:val="CommentText"/>
    <w:uiPriority w:val="99"/>
    <w:rsid w:val="001D2DB7"/>
    <w:rPr>
      <w:sz w:val="20"/>
      <w:szCs w:val="20"/>
    </w:rPr>
  </w:style>
  <w:style w:type="paragraph" w:styleId="CommentSubject">
    <w:name w:val="annotation subject"/>
    <w:basedOn w:val="CommentText"/>
    <w:next w:val="CommentText"/>
    <w:link w:val="CommentSubjectChar"/>
    <w:uiPriority w:val="99"/>
    <w:semiHidden/>
    <w:unhideWhenUsed/>
    <w:rsid w:val="001D2DB7"/>
    <w:rPr>
      <w:b/>
      <w:bCs/>
    </w:rPr>
  </w:style>
  <w:style w:type="character" w:customStyle="1" w:styleId="CommentSubjectChar">
    <w:name w:val="Comment Subject Char"/>
    <w:basedOn w:val="CommentTextChar"/>
    <w:link w:val="CommentSubject"/>
    <w:uiPriority w:val="99"/>
    <w:semiHidden/>
    <w:rsid w:val="001D2DB7"/>
    <w:rPr>
      <w:b/>
      <w:bCs/>
      <w:sz w:val="20"/>
      <w:szCs w:val="20"/>
    </w:rPr>
  </w:style>
  <w:style w:type="character" w:styleId="Hyperlink">
    <w:name w:val="Hyperlink"/>
    <w:basedOn w:val="DefaultParagraphFont"/>
    <w:uiPriority w:val="99"/>
    <w:unhideWhenUsed/>
    <w:rsid w:val="00DC2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048D-6FC4-4ED4-8948-E7C9B6D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1667</Words>
  <Characters>12509</Characters>
  <Application>Microsoft Office Word</Application>
  <DocSecurity>0</DocSecurity>
  <Lines>297</Lines>
  <Paragraphs>74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18.maija noteikumos Nr.464„Noteikumi par 74.resora „Gadskārtējā valsts budžeta izpildes procesā pārdalāmais finansējums”  80.00.00 programmā plānoto līdzekļu pārdales kārtību Eiro</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18.maija noteikumos Nr.464„Noteikumi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dc:title>
  <dc:subject>Anotācija</dc:subject>
  <dc:creator>Lazdiņa Ivita,Žanete Zvaigzne</dc:creator>
  <cp:keywords/>
  <dc:description>Zanete.Zvaigzne@fm.gov.lv, 67083976</dc:description>
  <cp:lastModifiedBy>Žanete Zvaigzne</cp:lastModifiedBy>
  <cp:revision>37</cp:revision>
  <cp:lastPrinted>2016-09-28T09:48:00Z</cp:lastPrinted>
  <dcterms:created xsi:type="dcterms:W3CDTF">2016-10-05T08:23:00Z</dcterms:created>
  <dcterms:modified xsi:type="dcterms:W3CDTF">2016-10-13T06:53:00Z</dcterms:modified>
</cp:coreProperties>
</file>