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E06EA9" w:rsidRDefault="00E06EA9" w:rsidP="0039514B">
      <w:pPr>
        <w:tabs>
          <w:tab w:val="center" w:pos="7568"/>
          <w:tab w:val="left" w:pos="10455"/>
        </w:tabs>
        <w:jc w:val="center"/>
        <w:rPr>
          <w:b/>
          <w:i/>
          <w:sz w:val="28"/>
          <w:szCs w:val="28"/>
        </w:rPr>
      </w:pPr>
      <w:r w:rsidRPr="00E06EA9">
        <w:rPr>
          <w:b/>
          <w:bCs/>
          <w:sz w:val="28"/>
          <w:szCs w:val="28"/>
        </w:rPr>
        <w:t xml:space="preserve">Grozījumi Valsts sociālo pabalstu </w:t>
      </w:r>
      <w:r w:rsidRPr="00E06EA9">
        <w:rPr>
          <w:b/>
          <w:sz w:val="28"/>
          <w:szCs w:val="28"/>
          <w:shd w:val="clear" w:color="auto" w:fill="FFFFFF"/>
        </w:rPr>
        <w:t>likumā</w:t>
      </w:r>
      <w:r w:rsidR="0039514B" w:rsidRPr="00E06EA9">
        <w:rPr>
          <w:b/>
          <w:i/>
          <w:sz w:val="28"/>
          <w:szCs w:val="28"/>
        </w:rPr>
        <w:t xml:space="preserve"> </w:t>
      </w:r>
    </w:p>
    <w:p w:rsidR="0039514B" w:rsidRPr="00035F85" w:rsidRDefault="0039514B" w:rsidP="0039514B">
      <w:pPr>
        <w:tabs>
          <w:tab w:val="center" w:pos="7568"/>
          <w:tab w:val="left" w:pos="10455"/>
        </w:tabs>
        <w:jc w:val="center"/>
        <w:rPr>
          <w:b/>
          <w:i/>
          <w:sz w:val="26"/>
          <w:szCs w:val="26"/>
        </w:rPr>
      </w:pPr>
      <w:r w:rsidRPr="00035F85">
        <w:rPr>
          <w:b/>
          <w:i/>
          <w:sz w:val="26"/>
          <w:szCs w:val="26"/>
        </w:rPr>
        <w:t>(Nr.</w:t>
      </w:r>
      <w:r w:rsidR="00401331">
        <w:rPr>
          <w:b/>
          <w:i/>
          <w:sz w:val="26"/>
          <w:szCs w:val="26"/>
        </w:rPr>
        <w:t>6</w:t>
      </w:r>
      <w:r w:rsidR="00E06EA9">
        <w:rPr>
          <w:b/>
          <w:i/>
          <w:sz w:val="26"/>
          <w:szCs w:val="26"/>
        </w:rPr>
        <w:t>81</w:t>
      </w:r>
      <w:r w:rsidRPr="00035F85">
        <w:rPr>
          <w:b/>
          <w:i/>
          <w:sz w:val="26"/>
          <w:szCs w:val="26"/>
        </w:rPr>
        <w:t>/Lp12)</w:t>
      </w:r>
    </w:p>
    <w:p w:rsidR="0039514B" w:rsidRPr="00035F85" w:rsidRDefault="0039514B" w:rsidP="0039514B">
      <w:pPr>
        <w:tabs>
          <w:tab w:val="center" w:pos="7568"/>
          <w:tab w:val="left" w:pos="10455"/>
        </w:tabs>
        <w:rPr>
          <w:b/>
          <w:i/>
          <w:sz w:val="22"/>
        </w:rPr>
      </w:pPr>
      <w:r w:rsidRPr="00035F8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035F85" w:rsidRDefault="0039514B" w:rsidP="001A7D73">
            <w:pPr>
              <w:jc w:val="center"/>
              <w:rPr>
                <w:b/>
                <w:bCs/>
                <w:iCs/>
                <w:szCs w:val="24"/>
              </w:rPr>
            </w:pPr>
            <w:r w:rsidRPr="00035F85">
              <w:rPr>
                <w:b/>
                <w:bCs/>
                <w:iCs/>
                <w:szCs w:val="24"/>
              </w:rPr>
              <w:t>Spēkā esošā redakcija</w:t>
            </w:r>
          </w:p>
        </w:tc>
        <w:tc>
          <w:tcPr>
            <w:tcW w:w="3960" w:type="dxa"/>
            <w:vAlign w:val="center"/>
          </w:tcPr>
          <w:p w:rsidR="0039514B" w:rsidRPr="00035F85" w:rsidRDefault="0039514B" w:rsidP="001A7D73">
            <w:pPr>
              <w:pStyle w:val="Heading1"/>
            </w:pPr>
            <w:r w:rsidRPr="00035F85">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035F85" w:rsidRDefault="0039514B" w:rsidP="001A7D73">
            <w:pPr>
              <w:ind w:firstLine="10"/>
              <w:jc w:val="center"/>
              <w:rPr>
                <w:b/>
                <w:bCs/>
                <w:iCs/>
                <w:szCs w:val="24"/>
              </w:rPr>
            </w:pPr>
            <w:r w:rsidRPr="00035F85">
              <w:rPr>
                <w:b/>
                <w:bCs/>
                <w:iCs/>
                <w:szCs w:val="24"/>
              </w:rPr>
              <w:t>Priekšlikumi</w:t>
            </w:r>
          </w:p>
          <w:p w:rsidR="0039514B" w:rsidRPr="00035F85" w:rsidRDefault="0039514B" w:rsidP="0077437E">
            <w:pPr>
              <w:jc w:val="center"/>
              <w:rPr>
                <w:b/>
                <w:bCs/>
                <w:iCs/>
                <w:szCs w:val="24"/>
              </w:rPr>
            </w:pPr>
            <w:r w:rsidRPr="00035F85">
              <w:rPr>
                <w:b/>
                <w:bCs/>
                <w:iCs/>
                <w:szCs w:val="24"/>
              </w:rPr>
              <w:t>(</w:t>
            </w:r>
            <w:r w:rsidR="0077437E">
              <w:rPr>
                <w:b/>
                <w:bCs/>
                <w:iCs/>
                <w:szCs w:val="24"/>
              </w:rPr>
              <w:t>5</w:t>
            </w:r>
            <w:r w:rsidRPr="00035F85">
              <w:rPr>
                <w:b/>
                <w:bCs/>
                <w:iCs/>
                <w:szCs w:val="24"/>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035F85" w:rsidRPr="00035F85" w:rsidTr="001A7D73">
        <w:tc>
          <w:tcPr>
            <w:tcW w:w="3960" w:type="dxa"/>
          </w:tcPr>
          <w:p w:rsidR="0039514B" w:rsidRPr="00035F85" w:rsidRDefault="0039514B" w:rsidP="001A7D73">
            <w:pPr>
              <w:jc w:val="both"/>
              <w:rPr>
                <w:sz w:val="22"/>
              </w:rPr>
            </w:pPr>
          </w:p>
        </w:tc>
        <w:tc>
          <w:tcPr>
            <w:tcW w:w="3960" w:type="dxa"/>
          </w:tcPr>
          <w:p w:rsidR="0039514B" w:rsidRPr="00E06EA9" w:rsidRDefault="00E06EA9" w:rsidP="0039514B">
            <w:pPr>
              <w:ind w:firstLine="567"/>
              <w:jc w:val="both"/>
              <w:rPr>
                <w:sz w:val="22"/>
              </w:rPr>
            </w:pPr>
            <w:r w:rsidRPr="00E06EA9">
              <w:rPr>
                <w:sz w:val="22"/>
              </w:rPr>
              <w:t>I</w:t>
            </w:r>
            <w:r w:rsidRPr="00E06EA9">
              <w:rPr>
                <w:sz w:val="22"/>
                <w:shd w:val="clear" w:color="auto" w:fill="FFFFFF"/>
              </w:rPr>
              <w:t>zdarīt</w:t>
            </w:r>
            <w:r w:rsidRPr="00E06EA9">
              <w:rPr>
                <w:rStyle w:val="apple-converted-space"/>
                <w:sz w:val="22"/>
                <w:shd w:val="clear" w:color="auto" w:fill="FFFFFF"/>
              </w:rPr>
              <w:t xml:space="preserve"> </w:t>
            </w:r>
            <w:hyperlink r:id="rId8" w:tgtFrame="_blank" w:history="1">
              <w:r w:rsidRPr="00CC253E">
                <w:rPr>
                  <w:rStyle w:val="Hyperlink"/>
                  <w:color w:val="auto"/>
                  <w:sz w:val="22"/>
                  <w:u w:val="none"/>
                  <w:shd w:val="clear" w:color="auto" w:fill="FFFFFF"/>
                </w:rPr>
                <w:t>Valsts sociālo pabalstu likumā</w:t>
              </w:r>
            </w:hyperlink>
            <w:r w:rsidRPr="00CC253E">
              <w:rPr>
                <w:rStyle w:val="apple-converted-space"/>
                <w:sz w:val="22"/>
                <w:shd w:val="clear" w:color="auto" w:fill="FFFFFF"/>
              </w:rPr>
              <w:t xml:space="preserve"> </w:t>
            </w:r>
            <w:r w:rsidRPr="00E06EA9">
              <w:rPr>
                <w:sz w:val="22"/>
                <w:shd w:val="clear" w:color="auto" w:fill="FFFFFF"/>
              </w:rPr>
              <w:t>(Latvijas Republikas Saeimas un Ministru Kabineta Ziņotājs, 2002, 23. nr.; 2003, 2. nr.; 2004, 5., 24. nr.; 2005, 22., 24. nr.; 2006, 7. nr.; 2007, 22., 24. nr.; 2009, 15., 23. nr.; Latvijas Vēstnesis, 2010, 47. nr.; 2012, 190. nr.; 2013, 217., 228. nr.; 2014, 183. nr.; 2015, 127. nr.) šādus grozījumus:</w:t>
            </w:r>
          </w:p>
        </w:tc>
        <w:tc>
          <w:tcPr>
            <w:tcW w:w="567" w:type="dxa"/>
          </w:tcPr>
          <w:p w:rsidR="0039514B" w:rsidRPr="00035F85" w:rsidRDefault="0039514B" w:rsidP="001A7D73">
            <w:pPr>
              <w:jc w:val="center"/>
              <w:rPr>
                <w:b/>
                <w:sz w:val="22"/>
              </w:rPr>
            </w:pPr>
          </w:p>
        </w:tc>
        <w:tc>
          <w:tcPr>
            <w:tcW w:w="3960" w:type="dxa"/>
          </w:tcPr>
          <w:p w:rsidR="00035F85" w:rsidRPr="00035F85" w:rsidRDefault="00035F85" w:rsidP="00035F85">
            <w:pPr>
              <w:ind w:firstLine="567"/>
              <w:jc w:val="both"/>
              <w:rPr>
                <w:i/>
                <w:sz w:val="22"/>
              </w:rPr>
            </w:pPr>
            <w:r w:rsidRPr="00035F85">
              <w:rPr>
                <w:i/>
                <w:sz w:val="22"/>
              </w:rPr>
              <w:t xml:space="preserve"> </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401331" w:rsidRPr="00035F85" w:rsidTr="001A7D73">
        <w:tc>
          <w:tcPr>
            <w:tcW w:w="3960" w:type="dxa"/>
          </w:tcPr>
          <w:p w:rsidR="00E06EA9" w:rsidRPr="00E06EA9" w:rsidRDefault="00E06EA9" w:rsidP="00E06EA9">
            <w:pPr>
              <w:pStyle w:val="tv213"/>
              <w:spacing w:before="0" w:beforeAutospacing="0" w:after="0" w:afterAutospacing="0"/>
              <w:ind w:firstLine="595"/>
              <w:jc w:val="both"/>
              <w:rPr>
                <w:sz w:val="22"/>
                <w:szCs w:val="22"/>
              </w:rPr>
            </w:pPr>
            <w:r w:rsidRPr="00E06EA9">
              <w:rPr>
                <w:b/>
                <w:bCs/>
                <w:sz w:val="22"/>
                <w:szCs w:val="22"/>
              </w:rPr>
              <w:t>13.pants. Valsts sociālā nodrošinājuma pabalsts</w:t>
            </w:r>
          </w:p>
          <w:p w:rsidR="00E06EA9" w:rsidRPr="00E06EA9" w:rsidRDefault="00E06EA9" w:rsidP="00E06EA9">
            <w:pPr>
              <w:pStyle w:val="tv213"/>
              <w:spacing w:before="0" w:beforeAutospacing="0" w:after="0" w:afterAutospacing="0"/>
              <w:ind w:firstLine="595"/>
              <w:jc w:val="both"/>
              <w:rPr>
                <w:sz w:val="22"/>
                <w:szCs w:val="22"/>
              </w:rPr>
            </w:pPr>
            <w:r w:rsidRPr="00E06EA9">
              <w:rPr>
                <w:sz w:val="22"/>
                <w:szCs w:val="22"/>
              </w:rPr>
              <w:t>(1) Valsts sociālā nodrošinājuma pabalstu piešķir personai, kurai nav tiesību saņemt valsts pensiju (izņemot apgādnieka zaudējuma pensiju invalīdam) vai apdrošināšanas atlīdzību sakarā ar nelaimes gadījumu darbā vai arodslimību, ja persona:</w:t>
            </w:r>
          </w:p>
          <w:p w:rsidR="00E06EA9" w:rsidRPr="00E06EA9" w:rsidRDefault="00E06EA9" w:rsidP="00E06EA9">
            <w:pPr>
              <w:pStyle w:val="tv213"/>
              <w:spacing w:before="0" w:beforeAutospacing="0" w:after="0" w:afterAutospacing="0"/>
              <w:ind w:firstLine="595"/>
              <w:jc w:val="both"/>
              <w:rPr>
                <w:sz w:val="22"/>
                <w:szCs w:val="22"/>
              </w:rPr>
            </w:pPr>
            <w:r w:rsidRPr="00E06EA9">
              <w:rPr>
                <w:sz w:val="22"/>
                <w:szCs w:val="22"/>
              </w:rPr>
              <w:t xml:space="preserve">1) nav nodarbināta (nav uzskatāma par darba ņēmēju vai pašnodarbināto saskaņā ar likumu </w:t>
            </w:r>
            <w:r w:rsidRPr="00AB5FB1">
              <w:rPr>
                <w:sz w:val="22"/>
                <w:szCs w:val="22"/>
              </w:rPr>
              <w:t>"</w:t>
            </w:r>
            <w:hyperlink r:id="rId9" w:tgtFrame="_blank" w:history="1">
              <w:r w:rsidRPr="00AB5FB1">
                <w:rPr>
                  <w:rStyle w:val="Hyperlink"/>
                  <w:color w:val="auto"/>
                  <w:sz w:val="22"/>
                  <w:szCs w:val="22"/>
                  <w:u w:val="none"/>
                </w:rPr>
                <w:t>Par valsts sociālo apdrošināšanu</w:t>
              </w:r>
            </w:hyperlink>
            <w:r w:rsidRPr="00AB5FB1">
              <w:rPr>
                <w:sz w:val="22"/>
                <w:szCs w:val="22"/>
              </w:rPr>
              <w:t>") un par pieciem gadiem ir pārsniegusi vecumu, kāds saskaņā ar likumu "</w:t>
            </w:r>
            <w:hyperlink r:id="rId10" w:tgtFrame="_blank" w:history="1">
              <w:r w:rsidRPr="00AB5FB1">
                <w:rPr>
                  <w:rStyle w:val="Hyperlink"/>
                  <w:color w:val="auto"/>
                  <w:sz w:val="22"/>
                  <w:szCs w:val="22"/>
                  <w:u w:val="none"/>
                </w:rPr>
                <w:t>Par valsts pensijām</w:t>
              </w:r>
            </w:hyperlink>
            <w:r w:rsidRPr="00E06EA9">
              <w:rPr>
                <w:sz w:val="22"/>
                <w:szCs w:val="22"/>
              </w:rPr>
              <w:t>" noteikts personai, lai tā iegūtu tiesības uz vecuma pensiju. Šīm personām valsts sociālā nodrošinājuma pabalstu piešķir uz mūžu;</w:t>
            </w:r>
          </w:p>
          <w:p w:rsidR="00E06EA9" w:rsidRPr="00E06EA9" w:rsidRDefault="00E06EA9" w:rsidP="00E06EA9">
            <w:pPr>
              <w:pStyle w:val="tv213"/>
              <w:spacing w:before="0" w:beforeAutospacing="0" w:after="0" w:afterAutospacing="0"/>
              <w:ind w:firstLine="595"/>
              <w:jc w:val="both"/>
              <w:rPr>
                <w:sz w:val="22"/>
                <w:szCs w:val="22"/>
              </w:rPr>
            </w:pPr>
            <w:r w:rsidRPr="00E06EA9">
              <w:rPr>
                <w:sz w:val="22"/>
                <w:szCs w:val="22"/>
              </w:rPr>
              <w:lastRenderedPageBreak/>
              <w:t>2) atzīta par invalīdu un pārsniegusi 18 gadu vecumu. Šīm personām valsts sociālā nodrošinājuma pabalstu piešķir uz noteikto invaliditātes laiku;</w:t>
            </w:r>
          </w:p>
          <w:p w:rsidR="00401331" w:rsidRPr="00035F85" w:rsidRDefault="00E06EA9" w:rsidP="00E06EA9">
            <w:pPr>
              <w:pStyle w:val="tv213"/>
              <w:spacing w:before="0" w:beforeAutospacing="0" w:after="0" w:afterAutospacing="0"/>
              <w:ind w:firstLine="595"/>
              <w:jc w:val="both"/>
              <w:rPr>
                <w:sz w:val="22"/>
              </w:rPr>
            </w:pPr>
            <w:r w:rsidRPr="00E06EA9">
              <w:rPr>
                <w:sz w:val="22"/>
                <w:szCs w:val="22"/>
              </w:rPr>
              <w:t xml:space="preserve">3) nav sasniegusi pilngadību, ir zaudējusi vienu vai abus apgādniekus un nav stājusies laulībā. </w:t>
            </w:r>
            <w:r w:rsidRPr="00E06EA9">
              <w:rPr>
                <w:sz w:val="22"/>
                <w:szCs w:val="22"/>
                <w:u w:val="single"/>
              </w:rPr>
              <w:t>Šīm personām piešķir kopēju valsts sociālā nodrošinājuma pabalstu, kas gadījumos, kad pabalsts piešķirts trim un vairākiem bērniem, nevar būt mazāks par 50 procentiem no Ministru kabineta noteiktā valsts sociālā nodrošinājuma pabalsta apmēra katram bērnam</w:t>
            </w:r>
            <w:r w:rsidRPr="00E06EA9">
              <w:rPr>
                <w:sz w:val="22"/>
                <w:szCs w:val="22"/>
              </w:rPr>
              <w:t>. Šajā gadījumā valsts sociālā nodrošinājuma pabalstu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tc>
        <w:tc>
          <w:tcPr>
            <w:tcW w:w="3960" w:type="dxa"/>
          </w:tcPr>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E06EA9" w:rsidRDefault="00E06EA9" w:rsidP="00401331">
            <w:pPr>
              <w:ind w:firstLine="567"/>
              <w:jc w:val="both"/>
              <w:rPr>
                <w:sz w:val="22"/>
                <w:shd w:val="clear" w:color="auto" w:fill="FFFFFF"/>
              </w:rPr>
            </w:pPr>
          </w:p>
          <w:p w:rsidR="00401331" w:rsidRPr="00E06EA9" w:rsidRDefault="00E06EA9" w:rsidP="00401331">
            <w:pPr>
              <w:ind w:firstLine="567"/>
              <w:jc w:val="both"/>
              <w:rPr>
                <w:spacing w:val="-2"/>
                <w:sz w:val="22"/>
              </w:rPr>
            </w:pPr>
            <w:r w:rsidRPr="00E06EA9">
              <w:rPr>
                <w:sz w:val="22"/>
                <w:shd w:val="clear" w:color="auto" w:fill="FFFFFF"/>
              </w:rPr>
              <w:t>1. Aizstāt 13. panta p</w:t>
            </w:r>
            <w:r w:rsidRPr="00E06EA9">
              <w:rPr>
                <w:color w:val="000000"/>
                <w:sz w:val="22"/>
                <w:shd w:val="clear" w:color="auto" w:fill="FFFFFF"/>
              </w:rPr>
              <w:t>irmās daļas 3. punktā vārdus un skaitli "</w:t>
            </w:r>
            <w:r w:rsidRPr="00E06EA9">
              <w:rPr>
                <w:sz w:val="22"/>
                <w:shd w:val="clear" w:color="auto" w:fill="FFFFFF"/>
              </w:rPr>
              <w:t xml:space="preserve">Šīm personām piešķir kopēju valsts sociālā nodrošinājuma pabalstu, kas gadījumos, kad pabalsts piešķirts trim un vairākiem bērniem, nevar būt mazāks par 50 procentiem no Ministru kabineta noteiktā valsts sociālā nodrošinājuma pabalsta apmēra katram bērnam" ar vārdiem </w:t>
            </w:r>
            <w:r w:rsidRPr="00E06EA9">
              <w:rPr>
                <w:color w:val="000000"/>
                <w:sz w:val="22"/>
                <w:shd w:val="clear" w:color="auto" w:fill="FFFFFF"/>
              </w:rPr>
              <w:t>"</w:t>
            </w:r>
            <w:r w:rsidRPr="00E06EA9">
              <w:rPr>
                <w:color w:val="000000"/>
                <w:sz w:val="22"/>
                <w:u w:val="single"/>
                <w:shd w:val="clear" w:color="auto" w:fill="FFFFFF"/>
              </w:rPr>
              <w:t>Šīm personām piešķir valsts sociālā nodrošinājuma pabalstu, kura minimālo apmēru</w:t>
            </w:r>
            <w:r w:rsidRPr="00E06EA9">
              <w:rPr>
                <w:color w:val="000000"/>
                <w:sz w:val="22"/>
                <w:u w:val="single"/>
              </w:rPr>
              <w:t xml:space="preserve"> katram bērnam un tā pārskatīšanas kārtību nosaka Ministru kabinets".</w:t>
            </w:r>
          </w:p>
        </w:tc>
        <w:tc>
          <w:tcPr>
            <w:tcW w:w="567" w:type="dxa"/>
          </w:tcPr>
          <w:p w:rsidR="00401331" w:rsidRPr="00035F85" w:rsidRDefault="00401331" w:rsidP="001A7D73">
            <w:pPr>
              <w:jc w:val="center"/>
              <w:rPr>
                <w:b/>
                <w:sz w:val="22"/>
              </w:rPr>
            </w:pPr>
          </w:p>
        </w:tc>
        <w:tc>
          <w:tcPr>
            <w:tcW w:w="3960" w:type="dxa"/>
          </w:tcPr>
          <w:p w:rsidR="00401331" w:rsidRPr="00035F85" w:rsidRDefault="00401331" w:rsidP="00035F85">
            <w:pPr>
              <w:ind w:firstLine="567"/>
              <w:jc w:val="both"/>
              <w:rPr>
                <w:i/>
                <w:sz w:val="22"/>
              </w:rPr>
            </w:pPr>
          </w:p>
        </w:tc>
        <w:tc>
          <w:tcPr>
            <w:tcW w:w="1420" w:type="dxa"/>
          </w:tcPr>
          <w:p w:rsidR="00401331" w:rsidRPr="00035F85" w:rsidRDefault="00401331" w:rsidP="001A7D73">
            <w:pPr>
              <w:jc w:val="center"/>
              <w:rPr>
                <w:sz w:val="22"/>
              </w:rPr>
            </w:pPr>
          </w:p>
        </w:tc>
        <w:tc>
          <w:tcPr>
            <w:tcW w:w="1420" w:type="dxa"/>
          </w:tcPr>
          <w:p w:rsidR="00401331" w:rsidRPr="00035F85" w:rsidRDefault="00401331" w:rsidP="001A7D73">
            <w:pPr>
              <w:jc w:val="center"/>
              <w:rPr>
                <w:sz w:val="22"/>
              </w:rPr>
            </w:pPr>
          </w:p>
        </w:tc>
      </w:tr>
      <w:tr w:rsidR="00E06EA9" w:rsidRPr="00035F85" w:rsidTr="001A7D73">
        <w:tc>
          <w:tcPr>
            <w:tcW w:w="3960" w:type="dxa"/>
          </w:tcPr>
          <w:p w:rsidR="00E06EA9" w:rsidRPr="00E06EA9" w:rsidRDefault="00E06EA9" w:rsidP="00E06EA9">
            <w:pPr>
              <w:pStyle w:val="tv213"/>
              <w:spacing w:before="0" w:beforeAutospacing="0" w:after="0" w:afterAutospacing="0"/>
              <w:ind w:firstLine="454"/>
              <w:jc w:val="both"/>
              <w:rPr>
                <w:sz w:val="22"/>
                <w:szCs w:val="22"/>
              </w:rPr>
            </w:pPr>
            <w:r w:rsidRPr="00E06EA9">
              <w:rPr>
                <w:b/>
                <w:bCs/>
                <w:sz w:val="22"/>
                <w:szCs w:val="22"/>
              </w:rPr>
              <w:t xml:space="preserve">15.pants. Valsts sociālo pabalstu un piemaksu apmērs </w:t>
            </w:r>
          </w:p>
          <w:p w:rsidR="00E06EA9" w:rsidRPr="00E06EA9" w:rsidRDefault="00E06EA9" w:rsidP="00E06EA9">
            <w:pPr>
              <w:pStyle w:val="tv213"/>
              <w:spacing w:before="0" w:beforeAutospacing="0" w:after="0" w:afterAutospacing="0"/>
              <w:ind w:firstLine="454"/>
              <w:jc w:val="both"/>
              <w:rPr>
                <w:sz w:val="22"/>
                <w:szCs w:val="22"/>
              </w:rPr>
            </w:pPr>
            <w:r w:rsidRPr="00E06EA9">
              <w:rPr>
                <w:sz w:val="22"/>
                <w:szCs w:val="22"/>
              </w:rPr>
              <w:t>(1) Valsts sociālo pabalstu apmēru un to pārskatīšanas kārtību nosaka šis likums un Ministru kabinets.</w:t>
            </w:r>
          </w:p>
          <w:p w:rsidR="00E06EA9" w:rsidRPr="00E06EA9" w:rsidRDefault="00E06EA9" w:rsidP="00E06EA9">
            <w:pPr>
              <w:pStyle w:val="tv213"/>
              <w:spacing w:before="0" w:beforeAutospacing="0" w:after="0" w:afterAutospacing="0"/>
              <w:ind w:firstLine="454"/>
              <w:jc w:val="both"/>
              <w:rPr>
                <w:sz w:val="22"/>
                <w:szCs w:val="22"/>
              </w:rPr>
            </w:pPr>
            <w:r w:rsidRPr="00E06EA9">
              <w:rPr>
                <w:sz w:val="22"/>
                <w:szCs w:val="22"/>
              </w:rPr>
              <w:t>(2) Ģimenes valsts pabalstu par pirmo bērnu ģimenē nosaka Ministru kabinets.</w:t>
            </w:r>
          </w:p>
          <w:p w:rsidR="00E06EA9" w:rsidRPr="00035F85" w:rsidRDefault="00E06EA9" w:rsidP="00E06EA9">
            <w:pPr>
              <w:pStyle w:val="tv213"/>
              <w:spacing w:before="0" w:beforeAutospacing="0" w:after="0" w:afterAutospacing="0"/>
              <w:ind w:firstLine="454"/>
              <w:jc w:val="both"/>
              <w:rPr>
                <w:sz w:val="22"/>
              </w:rPr>
            </w:pPr>
            <w:r w:rsidRPr="00E06EA9">
              <w:rPr>
                <w:sz w:val="22"/>
                <w:szCs w:val="22"/>
              </w:rPr>
              <w:t>(3) Par otro bērnu ģimenē ģimenes valsts pabalsts ir 2 reizes, bet par trešo bērnu un nākamajiem bērniem — 3 reizes lielāks nekā par pirmo bērnu ģimenē.</w:t>
            </w:r>
          </w:p>
        </w:tc>
        <w:tc>
          <w:tcPr>
            <w:tcW w:w="3960" w:type="dxa"/>
          </w:tcPr>
          <w:p w:rsidR="00E06EA9" w:rsidRDefault="00E06EA9" w:rsidP="00E06EA9">
            <w:pPr>
              <w:ind w:firstLine="709"/>
              <w:jc w:val="both"/>
              <w:rPr>
                <w:sz w:val="22"/>
                <w:shd w:val="clear" w:color="auto" w:fill="FFFFFF"/>
              </w:rPr>
            </w:pPr>
          </w:p>
          <w:p w:rsidR="00E06EA9" w:rsidRDefault="00E06EA9" w:rsidP="00E06EA9">
            <w:pPr>
              <w:ind w:firstLine="709"/>
              <w:jc w:val="both"/>
              <w:rPr>
                <w:sz w:val="22"/>
                <w:shd w:val="clear" w:color="auto" w:fill="FFFFFF"/>
              </w:rPr>
            </w:pPr>
          </w:p>
          <w:p w:rsidR="00E06EA9" w:rsidRDefault="00E06EA9" w:rsidP="00E06EA9">
            <w:pPr>
              <w:ind w:firstLine="709"/>
              <w:jc w:val="both"/>
              <w:rPr>
                <w:sz w:val="22"/>
                <w:shd w:val="clear" w:color="auto" w:fill="FFFFFF"/>
              </w:rPr>
            </w:pPr>
          </w:p>
          <w:p w:rsidR="00E06EA9" w:rsidRPr="00E06EA9" w:rsidRDefault="00E06EA9" w:rsidP="00E06EA9">
            <w:pPr>
              <w:ind w:firstLine="709"/>
              <w:jc w:val="both"/>
              <w:rPr>
                <w:sz w:val="22"/>
                <w:shd w:val="clear" w:color="auto" w:fill="FFFFFF"/>
              </w:rPr>
            </w:pPr>
            <w:r w:rsidRPr="00E06EA9">
              <w:rPr>
                <w:sz w:val="22"/>
                <w:shd w:val="clear" w:color="auto" w:fill="FFFFFF"/>
              </w:rPr>
              <w:t>2. Izteikt 15. panta trešo daļu šādā redakcijā:</w:t>
            </w:r>
          </w:p>
          <w:p w:rsidR="00E06EA9" w:rsidRPr="00E06EA9" w:rsidRDefault="00E06EA9" w:rsidP="00E06EA9">
            <w:pPr>
              <w:ind w:firstLine="709"/>
              <w:jc w:val="both"/>
              <w:rPr>
                <w:sz w:val="22"/>
                <w:shd w:val="clear" w:color="auto" w:fill="FFFFFF"/>
              </w:rPr>
            </w:pPr>
          </w:p>
          <w:p w:rsidR="00E06EA9" w:rsidRDefault="00E06EA9" w:rsidP="00E06EA9">
            <w:pPr>
              <w:autoSpaceDE w:val="0"/>
              <w:autoSpaceDN w:val="0"/>
              <w:adjustRightInd w:val="0"/>
              <w:ind w:firstLine="720"/>
              <w:jc w:val="both"/>
              <w:rPr>
                <w:sz w:val="22"/>
                <w:shd w:val="clear" w:color="auto" w:fill="FFFFFF"/>
              </w:rPr>
            </w:pPr>
            <w:r w:rsidRPr="00E06EA9">
              <w:rPr>
                <w:sz w:val="22"/>
                <w:shd w:val="clear" w:color="auto" w:fill="FFFFFF"/>
              </w:rPr>
              <w:t xml:space="preserve">"(3) Par otro bērnu ģimenē ģimenes valsts pabalsts ir 2 reizes, par trešo bērnu – 3 reizes, </w:t>
            </w:r>
            <w:r w:rsidRPr="00E06EA9">
              <w:rPr>
                <w:sz w:val="22"/>
                <w:u w:val="single"/>
                <w:shd w:val="clear" w:color="auto" w:fill="FFFFFF"/>
              </w:rPr>
              <w:t>bet par ceturto un nākamajiem bērniem – 4,4 reizes lielāks</w:t>
            </w:r>
            <w:r w:rsidRPr="00E06EA9">
              <w:rPr>
                <w:sz w:val="22"/>
                <w:shd w:val="clear" w:color="auto" w:fill="FFFFFF"/>
              </w:rPr>
              <w:t xml:space="preserve"> nekā par pirmo bērnu ģimenē."</w:t>
            </w:r>
          </w:p>
          <w:p w:rsidR="00AB5FB1" w:rsidRPr="00E06EA9" w:rsidRDefault="00AB5FB1" w:rsidP="00E06EA9">
            <w:pPr>
              <w:autoSpaceDE w:val="0"/>
              <w:autoSpaceDN w:val="0"/>
              <w:adjustRightInd w:val="0"/>
              <w:ind w:firstLine="720"/>
              <w:jc w:val="both"/>
              <w:rPr>
                <w:color w:val="000000"/>
                <w:sz w:val="22"/>
              </w:rPr>
            </w:pPr>
          </w:p>
        </w:tc>
        <w:tc>
          <w:tcPr>
            <w:tcW w:w="567" w:type="dxa"/>
          </w:tcPr>
          <w:p w:rsidR="00E06EA9" w:rsidRDefault="00E06EA9" w:rsidP="001A7D73">
            <w:pPr>
              <w:jc w:val="center"/>
              <w:rPr>
                <w:b/>
                <w:sz w:val="22"/>
              </w:rPr>
            </w:pPr>
          </w:p>
          <w:p w:rsidR="00E2449C" w:rsidRDefault="00E2449C" w:rsidP="001A7D73">
            <w:pPr>
              <w:jc w:val="center"/>
              <w:rPr>
                <w:b/>
                <w:sz w:val="22"/>
              </w:rPr>
            </w:pPr>
          </w:p>
          <w:p w:rsidR="00E2449C" w:rsidRPr="00035F85" w:rsidRDefault="00E2449C" w:rsidP="001A7D73">
            <w:pPr>
              <w:jc w:val="center"/>
              <w:rPr>
                <w:b/>
                <w:sz w:val="22"/>
              </w:rPr>
            </w:pPr>
            <w:r>
              <w:rPr>
                <w:b/>
                <w:sz w:val="22"/>
              </w:rPr>
              <w:t>1</w:t>
            </w:r>
          </w:p>
        </w:tc>
        <w:tc>
          <w:tcPr>
            <w:tcW w:w="3960" w:type="dxa"/>
          </w:tcPr>
          <w:p w:rsidR="00E2449C" w:rsidRDefault="00E2449C" w:rsidP="00E2449C">
            <w:pPr>
              <w:ind w:firstLine="472"/>
              <w:jc w:val="both"/>
              <w:rPr>
                <w:rFonts w:eastAsia="Times New Roman"/>
                <w:b/>
                <w:sz w:val="22"/>
                <w:u w:val="single"/>
                <w:shd w:val="clear" w:color="auto" w:fill="FFFFFF"/>
              </w:rPr>
            </w:pPr>
          </w:p>
          <w:p w:rsidR="00E2449C" w:rsidRDefault="00E2449C" w:rsidP="00E2449C">
            <w:pPr>
              <w:ind w:firstLine="472"/>
              <w:jc w:val="both"/>
              <w:rPr>
                <w:rFonts w:eastAsia="Times New Roman"/>
                <w:b/>
                <w:sz w:val="22"/>
                <w:u w:val="single"/>
                <w:shd w:val="clear" w:color="auto" w:fill="FFFFFF"/>
              </w:rPr>
            </w:pPr>
          </w:p>
          <w:p w:rsidR="00E2449C" w:rsidRPr="00E2449C" w:rsidRDefault="00E2449C" w:rsidP="00E2449C">
            <w:pPr>
              <w:ind w:firstLine="472"/>
              <w:jc w:val="both"/>
              <w:rPr>
                <w:rFonts w:eastAsia="Times New Roman"/>
                <w:b/>
                <w:sz w:val="22"/>
                <w:u w:val="single"/>
                <w:shd w:val="clear" w:color="auto" w:fill="FFFFFF"/>
              </w:rPr>
            </w:pPr>
            <w:r w:rsidRPr="00E2449C">
              <w:rPr>
                <w:rFonts w:eastAsia="Times New Roman"/>
                <w:b/>
                <w:sz w:val="22"/>
                <w:u w:val="single"/>
                <w:shd w:val="clear" w:color="auto" w:fill="FFFFFF"/>
              </w:rPr>
              <w:t>Deputāte I.Bite</w:t>
            </w:r>
          </w:p>
          <w:p w:rsidR="00E2449C" w:rsidRPr="00E2449C" w:rsidRDefault="00E2449C" w:rsidP="00E2449C">
            <w:pPr>
              <w:ind w:firstLine="472"/>
              <w:jc w:val="both"/>
              <w:rPr>
                <w:rFonts w:eastAsia="Times New Roman"/>
                <w:sz w:val="22"/>
                <w:lang w:eastAsia="lv-LV"/>
              </w:rPr>
            </w:pPr>
            <w:r w:rsidRPr="00E2449C">
              <w:rPr>
                <w:rFonts w:eastAsia="Times New Roman"/>
                <w:sz w:val="22"/>
                <w:shd w:val="clear" w:color="auto" w:fill="FFFFFF"/>
              </w:rPr>
              <w:t>Izteikt 15. panta trešo daļu šādā redakcijā:</w:t>
            </w:r>
          </w:p>
          <w:p w:rsidR="00E06EA9" w:rsidRPr="00035F85" w:rsidRDefault="00E2449C" w:rsidP="00E2449C">
            <w:pPr>
              <w:spacing w:before="100" w:beforeAutospacing="1" w:after="100" w:afterAutospacing="1"/>
              <w:ind w:firstLine="472"/>
              <w:jc w:val="both"/>
              <w:rPr>
                <w:i/>
                <w:sz w:val="22"/>
              </w:rPr>
            </w:pPr>
            <w:r w:rsidRPr="00E2449C">
              <w:rPr>
                <w:rFonts w:eastAsia="Times New Roman"/>
                <w:sz w:val="22"/>
                <w:shd w:val="clear" w:color="auto" w:fill="FFFFFF"/>
              </w:rPr>
              <w:t xml:space="preserve">"(3) Par otro bērnu ģimenē ģimenes valsts pabalsts ir 2 reizes </w:t>
            </w:r>
            <w:r w:rsidRPr="00E2449C">
              <w:rPr>
                <w:sz w:val="22"/>
              </w:rPr>
              <w:t xml:space="preserve">lielāks nekā par pirmo bērnu ģimenē. </w:t>
            </w:r>
            <w:r w:rsidRPr="00E2449C">
              <w:rPr>
                <w:rFonts w:eastAsia="Times New Roman"/>
                <w:sz w:val="22"/>
                <w:u w:val="single"/>
                <w:shd w:val="clear" w:color="auto" w:fill="FFFFFF"/>
              </w:rPr>
              <w:t>Par trešo, ceturto un nākamajiem bērniem pabalsta apmērs nav mazāks par 50 euro par katru bērnu</w:t>
            </w:r>
            <w:r w:rsidRPr="00E2449C">
              <w:rPr>
                <w:rFonts w:eastAsia="Times New Roman"/>
                <w:sz w:val="22"/>
                <w:shd w:val="clear" w:color="auto" w:fill="FFFFFF"/>
              </w:rPr>
              <w:t>."</w:t>
            </w:r>
          </w:p>
        </w:tc>
        <w:tc>
          <w:tcPr>
            <w:tcW w:w="1420" w:type="dxa"/>
          </w:tcPr>
          <w:p w:rsidR="00E06EA9" w:rsidRPr="00035F85" w:rsidRDefault="00E06EA9" w:rsidP="001A7D73">
            <w:pPr>
              <w:jc w:val="center"/>
              <w:rPr>
                <w:sz w:val="22"/>
              </w:rPr>
            </w:pPr>
          </w:p>
        </w:tc>
        <w:tc>
          <w:tcPr>
            <w:tcW w:w="1420" w:type="dxa"/>
          </w:tcPr>
          <w:p w:rsidR="00E06EA9" w:rsidRPr="00035F85" w:rsidRDefault="00E06EA9" w:rsidP="001A7D73">
            <w:pPr>
              <w:jc w:val="center"/>
              <w:rPr>
                <w:sz w:val="22"/>
              </w:rPr>
            </w:pPr>
          </w:p>
        </w:tc>
      </w:tr>
      <w:tr w:rsidR="00E06EA9" w:rsidRPr="00035F85" w:rsidTr="001A7D73">
        <w:tc>
          <w:tcPr>
            <w:tcW w:w="3960" w:type="dxa"/>
          </w:tcPr>
          <w:p w:rsidR="00E06EA9" w:rsidRPr="00AB5FB1" w:rsidRDefault="00AB5FB1" w:rsidP="00AB5FB1">
            <w:pPr>
              <w:jc w:val="center"/>
              <w:rPr>
                <w:b/>
                <w:sz w:val="22"/>
              </w:rPr>
            </w:pPr>
            <w:r w:rsidRPr="00AB5FB1">
              <w:rPr>
                <w:b/>
                <w:sz w:val="22"/>
              </w:rPr>
              <w:lastRenderedPageBreak/>
              <w:t>Pārejas noteikumi</w:t>
            </w:r>
          </w:p>
        </w:tc>
        <w:tc>
          <w:tcPr>
            <w:tcW w:w="3960" w:type="dxa"/>
          </w:tcPr>
          <w:p w:rsidR="00E06EA9" w:rsidRPr="00E06EA9" w:rsidRDefault="00E06EA9" w:rsidP="00E06EA9">
            <w:pPr>
              <w:pStyle w:val="naisf"/>
              <w:spacing w:before="0" w:beforeAutospacing="0" w:after="0" w:afterAutospacing="0"/>
              <w:ind w:firstLine="709"/>
              <w:jc w:val="both"/>
              <w:rPr>
                <w:sz w:val="22"/>
                <w:szCs w:val="22"/>
              </w:rPr>
            </w:pPr>
            <w:r w:rsidRPr="00E06EA9">
              <w:rPr>
                <w:sz w:val="22"/>
                <w:szCs w:val="22"/>
              </w:rPr>
              <w:t>3. Papildināt pārejas noteikumus ar 19. un 20. punktu šādā redakcijā:</w:t>
            </w:r>
          </w:p>
          <w:p w:rsidR="00E06EA9" w:rsidRPr="00E06EA9" w:rsidRDefault="00E06EA9" w:rsidP="00E06EA9">
            <w:pPr>
              <w:pStyle w:val="naisf"/>
              <w:spacing w:before="0" w:beforeAutospacing="0" w:after="0" w:afterAutospacing="0"/>
              <w:ind w:firstLine="709"/>
              <w:jc w:val="both"/>
              <w:rPr>
                <w:sz w:val="22"/>
                <w:szCs w:val="22"/>
              </w:rPr>
            </w:pPr>
          </w:p>
          <w:p w:rsidR="00E06EA9" w:rsidRPr="00E06EA9" w:rsidRDefault="00E06EA9" w:rsidP="00E06EA9">
            <w:pPr>
              <w:pStyle w:val="naisf"/>
              <w:spacing w:before="0" w:beforeAutospacing="0" w:after="0" w:afterAutospacing="0"/>
              <w:ind w:firstLine="709"/>
              <w:jc w:val="both"/>
              <w:rPr>
                <w:sz w:val="22"/>
                <w:szCs w:val="22"/>
                <w:shd w:val="clear" w:color="auto" w:fill="FFFFFF"/>
              </w:rPr>
            </w:pPr>
            <w:r w:rsidRPr="00E06EA9">
              <w:rPr>
                <w:sz w:val="22"/>
                <w:szCs w:val="22"/>
              </w:rPr>
              <w:t xml:space="preserve">"19. </w:t>
            </w:r>
            <w:r w:rsidRPr="00AB5FB1">
              <w:rPr>
                <w:sz w:val="22"/>
                <w:szCs w:val="22"/>
                <w:u w:val="single"/>
              </w:rPr>
              <w:t>Grozījumi šā likuma 15. pantā, kas paredz izteikt šā panta trešo daļu jaunā redakcijā sakarā ar 4,4 reizes lielāka ģimenes valsts pabalsta noteikšanu par ceturto un nākamajiem bērniem, stājas spēkā 2017. gada 1. janvārī.</w:t>
            </w:r>
            <w:r w:rsidRPr="00E06EA9">
              <w:rPr>
                <w:sz w:val="22"/>
                <w:szCs w:val="22"/>
              </w:rPr>
              <w:t xml:space="preserve"> </w:t>
            </w:r>
            <w:r w:rsidRPr="00E06EA9">
              <w:rPr>
                <w:sz w:val="22"/>
                <w:szCs w:val="22"/>
                <w:shd w:val="clear" w:color="auto" w:fill="FFFFFF"/>
              </w:rPr>
              <w:t xml:space="preserve">Personai, kurai pabalsts piešķirts līdz 2016. gada 31. decembrim un tā izmaksa nepārtraukti turpinās pēc 2017. gada 1. janvāra, Valsts sociālās apdrošināšanas aģentūra no 2017. gada 1. janvāra </w:t>
            </w:r>
            <w:r w:rsidRPr="00AB5FB1">
              <w:rPr>
                <w:sz w:val="22"/>
                <w:szCs w:val="22"/>
                <w:u w:val="single"/>
                <w:shd w:val="clear" w:color="auto" w:fill="FFFFFF"/>
              </w:rPr>
              <w:t>pārrēķina</w:t>
            </w:r>
            <w:r w:rsidRPr="00E06EA9">
              <w:rPr>
                <w:sz w:val="22"/>
                <w:szCs w:val="22"/>
                <w:shd w:val="clear" w:color="auto" w:fill="FFFFFF"/>
              </w:rPr>
              <w:t xml:space="preserve"> pabalsta apmēru, </w:t>
            </w:r>
            <w:r w:rsidRPr="00AB5FB1">
              <w:rPr>
                <w:sz w:val="22"/>
                <w:szCs w:val="22"/>
                <w:u w:val="single"/>
                <w:shd w:val="clear" w:color="auto" w:fill="FFFFFF"/>
              </w:rPr>
              <w:t>nosakot to apmērā, kāds noteikts no 2017. gada 1. janvāra</w:t>
            </w:r>
            <w:r w:rsidRPr="00E06EA9">
              <w:rPr>
                <w:sz w:val="22"/>
                <w:szCs w:val="22"/>
                <w:shd w:val="clear" w:color="auto" w:fill="FFFFFF"/>
              </w:rPr>
              <w:t>, un starpību izmaksā līdz 2017. gada 1. maijam.</w:t>
            </w:r>
          </w:p>
          <w:p w:rsidR="00E06EA9" w:rsidRPr="00E06EA9" w:rsidRDefault="00E06EA9" w:rsidP="00E06EA9">
            <w:pPr>
              <w:pStyle w:val="naisf"/>
              <w:spacing w:before="0" w:beforeAutospacing="0" w:after="0" w:afterAutospacing="0"/>
              <w:ind w:firstLine="709"/>
              <w:jc w:val="both"/>
              <w:rPr>
                <w:sz w:val="22"/>
                <w:szCs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2449C" w:rsidRDefault="00E2449C" w:rsidP="00E06EA9">
            <w:pPr>
              <w:autoSpaceDE w:val="0"/>
              <w:autoSpaceDN w:val="0"/>
              <w:adjustRightInd w:val="0"/>
              <w:ind w:firstLine="720"/>
              <w:jc w:val="both"/>
              <w:rPr>
                <w:sz w:val="22"/>
                <w:shd w:val="clear" w:color="auto" w:fill="FFFFFF"/>
              </w:rPr>
            </w:pPr>
          </w:p>
          <w:p w:rsidR="00E06EA9" w:rsidRPr="00E06EA9" w:rsidRDefault="00E06EA9" w:rsidP="00E06EA9">
            <w:pPr>
              <w:autoSpaceDE w:val="0"/>
              <w:autoSpaceDN w:val="0"/>
              <w:adjustRightInd w:val="0"/>
              <w:ind w:firstLine="720"/>
              <w:jc w:val="both"/>
              <w:rPr>
                <w:color w:val="000000"/>
                <w:sz w:val="22"/>
              </w:rPr>
            </w:pPr>
          </w:p>
        </w:tc>
        <w:tc>
          <w:tcPr>
            <w:tcW w:w="567" w:type="dxa"/>
          </w:tcPr>
          <w:p w:rsidR="00E06EA9" w:rsidRDefault="00E2449C" w:rsidP="001A7D73">
            <w:pPr>
              <w:jc w:val="center"/>
              <w:rPr>
                <w:b/>
                <w:sz w:val="22"/>
              </w:rPr>
            </w:pPr>
            <w:r>
              <w:rPr>
                <w:b/>
                <w:sz w:val="22"/>
              </w:rPr>
              <w:t>2</w:t>
            </w: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p>
          <w:p w:rsidR="00E2449C" w:rsidRDefault="00E2449C" w:rsidP="001A7D73">
            <w:pPr>
              <w:jc w:val="center"/>
              <w:rPr>
                <w:b/>
                <w:sz w:val="22"/>
              </w:rPr>
            </w:pPr>
            <w:r>
              <w:rPr>
                <w:b/>
                <w:sz w:val="22"/>
              </w:rPr>
              <w:t>3</w:t>
            </w:r>
          </w:p>
          <w:p w:rsidR="00E2449C" w:rsidRDefault="00E2449C" w:rsidP="001A7D73">
            <w:pPr>
              <w:jc w:val="center"/>
              <w:rPr>
                <w:b/>
                <w:sz w:val="22"/>
              </w:rPr>
            </w:pPr>
          </w:p>
          <w:p w:rsidR="00E2449C" w:rsidRPr="00035F85" w:rsidRDefault="00E2449C" w:rsidP="001A7D73">
            <w:pPr>
              <w:jc w:val="center"/>
              <w:rPr>
                <w:b/>
                <w:sz w:val="22"/>
              </w:rPr>
            </w:pPr>
          </w:p>
        </w:tc>
        <w:tc>
          <w:tcPr>
            <w:tcW w:w="3960" w:type="dxa"/>
          </w:tcPr>
          <w:p w:rsidR="00E2449C" w:rsidRPr="00E2449C" w:rsidRDefault="00E2449C" w:rsidP="00E2449C">
            <w:pPr>
              <w:ind w:firstLine="472"/>
              <w:jc w:val="both"/>
              <w:rPr>
                <w:rFonts w:eastAsia="Times New Roman"/>
                <w:b/>
                <w:sz w:val="22"/>
                <w:u w:val="single"/>
                <w:shd w:val="clear" w:color="auto" w:fill="FFFFFF"/>
              </w:rPr>
            </w:pPr>
            <w:r w:rsidRPr="00E2449C">
              <w:rPr>
                <w:rFonts w:eastAsia="Times New Roman"/>
                <w:b/>
                <w:sz w:val="22"/>
                <w:u w:val="single"/>
                <w:shd w:val="clear" w:color="auto" w:fill="FFFFFF"/>
              </w:rPr>
              <w:t>Deputāte I.Bite</w:t>
            </w:r>
          </w:p>
          <w:p w:rsidR="00E2449C" w:rsidRPr="00E2449C" w:rsidRDefault="00E2449C" w:rsidP="00E2449C">
            <w:pPr>
              <w:ind w:firstLine="472"/>
              <w:jc w:val="both"/>
              <w:rPr>
                <w:rFonts w:eastAsia="Times New Roman"/>
                <w:sz w:val="22"/>
              </w:rPr>
            </w:pPr>
            <w:r w:rsidRPr="00E2449C">
              <w:rPr>
                <w:sz w:val="22"/>
              </w:rPr>
              <w:t>Papildināt pārejas noteikumus ar 19. punktu šādā redakcijā:</w:t>
            </w:r>
          </w:p>
          <w:p w:rsidR="00E2449C" w:rsidRDefault="00E2449C" w:rsidP="00E2449C">
            <w:pPr>
              <w:ind w:firstLine="472"/>
              <w:jc w:val="both"/>
              <w:rPr>
                <w:sz w:val="22"/>
                <w:shd w:val="clear" w:color="auto" w:fill="FFFFFF"/>
              </w:rPr>
            </w:pPr>
            <w:r w:rsidRPr="00E2449C">
              <w:rPr>
                <w:sz w:val="22"/>
              </w:rPr>
              <w:t xml:space="preserve">"19. Grozījumi šā likuma 15. pantā, kas izsaka šā panta trešo daļu jaunā redakcijā, kas paredz pabalsta apmēru noteikt ne mazāku par 50 euro par katru bērnu ģimenēm ar četriem un vairāk bērniem, stājas spēkā 2017. gada 1. janvārī. Grozījumi, kas paredz pabalsta apmēru noteikt ne mazāku par 50 euro par katru bērnu ģimenēm ar trīs bērniem, stājas spēkā 2018. gada 1. janvārī. </w:t>
            </w:r>
            <w:r w:rsidRPr="00E2449C">
              <w:rPr>
                <w:sz w:val="22"/>
                <w:shd w:val="clear" w:color="auto" w:fill="FFFFFF"/>
              </w:rPr>
              <w:t>Personai, kurai pabalsts piešķirts līdz 2016. gada 31. decembrim un tā izmaksa nepārtraukti turpinās pēc 2017. gada 1. janvāra, Valsts sociālās apdrošināšanas aģentūra no 2017. gada 1. janvāra pārrēķina pabalsta apmēru, nosakot to apmērā, kāds noteikts no 2017. gada 1. janvāra, un starpību izmaksā līdz 2017. gada 1. maijam.</w:t>
            </w:r>
          </w:p>
          <w:p w:rsidR="00E2449C" w:rsidRPr="00E2449C" w:rsidRDefault="00E2449C" w:rsidP="00E2449C">
            <w:pPr>
              <w:ind w:firstLine="472"/>
              <w:jc w:val="both"/>
              <w:rPr>
                <w:sz w:val="22"/>
              </w:rPr>
            </w:pPr>
          </w:p>
          <w:p w:rsidR="00E2449C" w:rsidRDefault="00E2449C" w:rsidP="00AB5FB1">
            <w:pPr>
              <w:ind w:firstLine="472"/>
              <w:jc w:val="both"/>
              <w:rPr>
                <w:b/>
                <w:sz w:val="22"/>
                <w:u w:val="single"/>
              </w:rPr>
            </w:pPr>
          </w:p>
          <w:p w:rsidR="00E06EA9" w:rsidRPr="00AB5FB1" w:rsidRDefault="00AB5FB1" w:rsidP="00AB5FB1">
            <w:pPr>
              <w:ind w:firstLine="472"/>
              <w:jc w:val="both"/>
              <w:rPr>
                <w:b/>
                <w:sz w:val="22"/>
                <w:u w:val="single"/>
              </w:rPr>
            </w:pPr>
            <w:r w:rsidRPr="00AB5FB1">
              <w:rPr>
                <w:b/>
                <w:sz w:val="22"/>
                <w:u w:val="single"/>
              </w:rPr>
              <w:t xml:space="preserve">Juridiskais birojs </w:t>
            </w:r>
          </w:p>
          <w:p w:rsidR="00AB5FB1" w:rsidRPr="00AB5FB1" w:rsidRDefault="00AB5FB1" w:rsidP="00AB5FB1">
            <w:pPr>
              <w:pStyle w:val="ListParagraph"/>
              <w:widowControl/>
              <w:spacing w:after="0" w:line="240" w:lineRule="auto"/>
              <w:ind w:left="0" w:firstLine="472"/>
              <w:jc w:val="both"/>
              <w:rPr>
                <w:rFonts w:ascii="Times New Roman" w:hAnsi="Times New Roman"/>
              </w:rPr>
            </w:pPr>
            <w:r w:rsidRPr="00AB5FB1">
              <w:rPr>
                <w:rFonts w:ascii="Times New Roman" w:hAnsi="Times New Roman"/>
              </w:rPr>
              <w:t xml:space="preserve">Izteikt pārejas noteikumu 19.punktu (likumprojekta 3. pants) šādā redakcijā: </w:t>
            </w:r>
          </w:p>
          <w:p w:rsidR="00AB5FB1" w:rsidRDefault="00AB5FB1" w:rsidP="00344B10">
            <w:pPr>
              <w:ind w:firstLine="472"/>
              <w:jc w:val="both"/>
              <w:rPr>
                <w:sz w:val="22"/>
              </w:rPr>
            </w:pPr>
            <w:r w:rsidRPr="00AB5FB1">
              <w:rPr>
                <w:sz w:val="22"/>
              </w:rPr>
              <w:t xml:space="preserve">“19. Personai, kurai </w:t>
            </w:r>
            <w:r w:rsidRPr="00AB5FB1">
              <w:rPr>
                <w:sz w:val="22"/>
                <w:u w:val="single"/>
              </w:rPr>
              <w:t>ģimenes</w:t>
            </w:r>
            <w:r w:rsidRPr="00AB5FB1">
              <w:rPr>
                <w:sz w:val="22"/>
              </w:rPr>
              <w:t xml:space="preserve"> valsts pabalsts piešķirts līdz 2016. gada 31. decembrim un tā izmaksa nepārtraukti turpinās pēc 2017. gada 1. janvāra, Valsts sociālās apdrošināšanas aģentūra </w:t>
            </w:r>
            <w:r w:rsidRPr="00AB5FB1">
              <w:rPr>
                <w:sz w:val="22"/>
                <w:u w:val="single"/>
              </w:rPr>
              <w:t>pārskata</w:t>
            </w:r>
            <w:r w:rsidRPr="00AB5FB1">
              <w:rPr>
                <w:sz w:val="22"/>
              </w:rPr>
              <w:t xml:space="preserve"> pabalsta apmēru no 2017. gada 1. janvāra un starpību izmaksā ne vēlāk kā līdz 2017. gada 1. maijam.”</w:t>
            </w:r>
          </w:p>
          <w:p w:rsidR="00344B10" w:rsidRDefault="00344B10" w:rsidP="00344B10">
            <w:pPr>
              <w:ind w:firstLine="472"/>
              <w:jc w:val="both"/>
              <w:rPr>
                <w:i/>
                <w:sz w:val="22"/>
              </w:rPr>
            </w:pPr>
          </w:p>
          <w:p w:rsidR="0077437E" w:rsidRPr="00035F85" w:rsidRDefault="0077437E" w:rsidP="00344B10">
            <w:pPr>
              <w:ind w:firstLine="472"/>
              <w:jc w:val="both"/>
              <w:rPr>
                <w:i/>
                <w:sz w:val="22"/>
              </w:rPr>
            </w:pPr>
          </w:p>
        </w:tc>
        <w:tc>
          <w:tcPr>
            <w:tcW w:w="1420" w:type="dxa"/>
          </w:tcPr>
          <w:p w:rsidR="00E06EA9" w:rsidRPr="00035F85" w:rsidRDefault="00E06EA9" w:rsidP="001A7D73">
            <w:pPr>
              <w:jc w:val="center"/>
              <w:rPr>
                <w:sz w:val="22"/>
              </w:rPr>
            </w:pPr>
          </w:p>
        </w:tc>
        <w:tc>
          <w:tcPr>
            <w:tcW w:w="1420" w:type="dxa"/>
          </w:tcPr>
          <w:p w:rsidR="00E06EA9" w:rsidRPr="00035F85" w:rsidRDefault="00E06EA9" w:rsidP="001A7D73">
            <w:pPr>
              <w:jc w:val="center"/>
              <w:rPr>
                <w:sz w:val="22"/>
              </w:rPr>
            </w:pPr>
          </w:p>
        </w:tc>
      </w:tr>
      <w:tr w:rsidR="00344B10" w:rsidRPr="00035F85" w:rsidTr="001A7D73">
        <w:tc>
          <w:tcPr>
            <w:tcW w:w="3960" w:type="dxa"/>
          </w:tcPr>
          <w:p w:rsidR="00344B10" w:rsidRPr="00035F85" w:rsidRDefault="00344B10" w:rsidP="001A7D73">
            <w:pPr>
              <w:jc w:val="both"/>
              <w:rPr>
                <w:sz w:val="22"/>
              </w:rPr>
            </w:pPr>
          </w:p>
        </w:tc>
        <w:tc>
          <w:tcPr>
            <w:tcW w:w="3960" w:type="dxa"/>
          </w:tcPr>
          <w:p w:rsidR="0077437E" w:rsidRDefault="0077437E" w:rsidP="00401331">
            <w:pPr>
              <w:autoSpaceDE w:val="0"/>
              <w:autoSpaceDN w:val="0"/>
              <w:adjustRightInd w:val="0"/>
              <w:ind w:firstLine="720"/>
              <w:jc w:val="both"/>
              <w:rPr>
                <w:sz w:val="22"/>
                <w:shd w:val="clear" w:color="auto" w:fill="FFFFFF"/>
              </w:rPr>
            </w:pPr>
          </w:p>
          <w:p w:rsidR="00344B10" w:rsidRPr="00E06EA9" w:rsidRDefault="00344B10" w:rsidP="00401331">
            <w:pPr>
              <w:autoSpaceDE w:val="0"/>
              <w:autoSpaceDN w:val="0"/>
              <w:adjustRightInd w:val="0"/>
              <w:ind w:firstLine="720"/>
              <w:jc w:val="both"/>
              <w:rPr>
                <w:color w:val="000000"/>
                <w:sz w:val="22"/>
              </w:rPr>
            </w:pPr>
            <w:r w:rsidRPr="00E06EA9">
              <w:rPr>
                <w:sz w:val="22"/>
                <w:shd w:val="clear" w:color="auto" w:fill="FFFFFF"/>
              </w:rPr>
              <w:t xml:space="preserve">20. Grozījumi šā likuma 13. panta pirmās daļas </w:t>
            </w:r>
            <w:r w:rsidRPr="00AB5FB1">
              <w:rPr>
                <w:sz w:val="22"/>
                <w:u w:val="single"/>
                <w:shd w:val="clear" w:color="auto" w:fill="FFFFFF"/>
              </w:rPr>
              <w:t>3. punkta otrajā teikumā</w:t>
            </w:r>
            <w:r w:rsidRPr="00E06EA9">
              <w:rPr>
                <w:sz w:val="22"/>
                <w:shd w:val="clear" w:color="auto" w:fill="FFFFFF"/>
              </w:rPr>
              <w:t xml:space="preserve"> attiecībā uz deleģējumu Ministru kabinetam noteikt valsts sociālā nodrošinājuma pabalsta minimālo apmēru apgādnieku zaudējušam bērnam stājas spēkā 2017. gada 1. aprīlī. Valsts sociālās apdrošināšanas aģentūra pārskata pabalsta apmēru no 2017. g</w:t>
            </w:r>
            <w:r w:rsidRPr="00E06EA9">
              <w:rPr>
                <w:sz w:val="22"/>
              </w:rPr>
              <w:t xml:space="preserve">ada 1. aprīļa un </w:t>
            </w:r>
            <w:r w:rsidRPr="00AB5FB1">
              <w:rPr>
                <w:sz w:val="22"/>
                <w:u w:val="single"/>
              </w:rPr>
              <w:t>par periodu no 1. aprīļa izmaksā to ne vēlāk kā līdz 2017. gada 30. septembrim.</w:t>
            </w:r>
            <w:r w:rsidRPr="00E06EA9">
              <w:rPr>
                <w:sz w:val="22"/>
              </w:rPr>
              <w:t>"</w:t>
            </w:r>
          </w:p>
        </w:tc>
        <w:tc>
          <w:tcPr>
            <w:tcW w:w="567" w:type="dxa"/>
          </w:tcPr>
          <w:p w:rsidR="00344B10" w:rsidRDefault="00344B10" w:rsidP="00344B10">
            <w:pPr>
              <w:jc w:val="center"/>
              <w:rPr>
                <w:b/>
                <w:sz w:val="22"/>
              </w:rPr>
            </w:pPr>
            <w:r>
              <w:rPr>
                <w:b/>
                <w:sz w:val="22"/>
              </w:rPr>
              <w:t>4</w:t>
            </w:r>
          </w:p>
          <w:p w:rsidR="0077437E" w:rsidRDefault="0077437E" w:rsidP="00344B10">
            <w:pPr>
              <w:jc w:val="center"/>
              <w:rPr>
                <w:b/>
                <w:sz w:val="22"/>
              </w:rPr>
            </w:pPr>
          </w:p>
          <w:p w:rsidR="0077437E" w:rsidRDefault="0077437E" w:rsidP="00344B10">
            <w:pPr>
              <w:jc w:val="center"/>
              <w:rPr>
                <w:b/>
                <w:sz w:val="22"/>
              </w:rPr>
            </w:pPr>
          </w:p>
          <w:p w:rsidR="0077437E" w:rsidRDefault="0077437E" w:rsidP="00344B10">
            <w:pPr>
              <w:jc w:val="center"/>
              <w:rPr>
                <w:b/>
                <w:sz w:val="22"/>
              </w:rPr>
            </w:pPr>
          </w:p>
          <w:p w:rsidR="0077437E" w:rsidRDefault="0077437E" w:rsidP="00344B10">
            <w:pPr>
              <w:jc w:val="center"/>
              <w:rPr>
                <w:b/>
                <w:sz w:val="22"/>
              </w:rPr>
            </w:pPr>
          </w:p>
          <w:p w:rsidR="0077437E" w:rsidRDefault="0077437E" w:rsidP="00344B10">
            <w:pPr>
              <w:jc w:val="center"/>
              <w:rPr>
                <w:b/>
                <w:sz w:val="22"/>
              </w:rPr>
            </w:pPr>
          </w:p>
          <w:p w:rsidR="0077437E" w:rsidRDefault="0077437E" w:rsidP="00344B10">
            <w:pPr>
              <w:jc w:val="center"/>
              <w:rPr>
                <w:b/>
                <w:sz w:val="22"/>
              </w:rPr>
            </w:pPr>
            <w:r>
              <w:rPr>
                <w:b/>
                <w:sz w:val="22"/>
              </w:rPr>
              <w:t>5</w:t>
            </w:r>
          </w:p>
          <w:p w:rsidR="00344B10" w:rsidRPr="00035F85" w:rsidRDefault="00344B10" w:rsidP="001A7D73">
            <w:pPr>
              <w:jc w:val="center"/>
              <w:rPr>
                <w:b/>
                <w:sz w:val="22"/>
              </w:rPr>
            </w:pPr>
          </w:p>
        </w:tc>
        <w:tc>
          <w:tcPr>
            <w:tcW w:w="3960" w:type="dxa"/>
          </w:tcPr>
          <w:p w:rsidR="00344B10" w:rsidRPr="00AB5FB1" w:rsidRDefault="00344B10" w:rsidP="00344B10">
            <w:pPr>
              <w:pStyle w:val="ListParagraph"/>
              <w:widowControl/>
              <w:spacing w:after="0" w:line="240" w:lineRule="auto"/>
              <w:ind w:left="0" w:firstLine="472"/>
              <w:jc w:val="both"/>
              <w:rPr>
                <w:rFonts w:ascii="Times New Roman" w:hAnsi="Times New Roman"/>
                <w:b/>
                <w:u w:val="single"/>
              </w:rPr>
            </w:pPr>
            <w:r w:rsidRPr="00AB5FB1">
              <w:rPr>
                <w:rFonts w:ascii="Times New Roman" w:hAnsi="Times New Roman"/>
                <w:b/>
                <w:u w:val="single"/>
              </w:rPr>
              <w:t xml:space="preserve">Juridiskais birojs </w:t>
            </w:r>
          </w:p>
          <w:p w:rsidR="00344B10" w:rsidRPr="0077437E" w:rsidRDefault="0077437E" w:rsidP="0077437E">
            <w:pPr>
              <w:pStyle w:val="ListParagraph"/>
              <w:widowControl/>
              <w:spacing w:after="0" w:line="240" w:lineRule="auto"/>
              <w:ind w:left="0" w:firstLine="472"/>
              <w:jc w:val="both"/>
              <w:rPr>
                <w:rFonts w:ascii="Times New Roman" w:hAnsi="Times New Roman"/>
              </w:rPr>
            </w:pPr>
            <w:r w:rsidRPr="0077437E">
              <w:rPr>
                <w:rFonts w:ascii="Times New Roman" w:hAnsi="Times New Roman"/>
              </w:rPr>
              <w:t>Pārejas noteikumu 20.</w:t>
            </w:r>
            <w:r w:rsidR="00344B10" w:rsidRPr="0077437E">
              <w:rPr>
                <w:rFonts w:ascii="Times New Roman" w:hAnsi="Times New Roman"/>
              </w:rPr>
              <w:t>punktā (likumprojekta 3. pants)</w:t>
            </w:r>
            <w:r w:rsidRPr="0077437E">
              <w:rPr>
                <w:rFonts w:ascii="Times New Roman" w:hAnsi="Times New Roman"/>
              </w:rPr>
              <w:t xml:space="preserve"> </w:t>
            </w:r>
            <w:r w:rsidR="00344B10" w:rsidRPr="0077437E">
              <w:rPr>
                <w:rFonts w:ascii="Times New Roman" w:hAnsi="Times New Roman"/>
              </w:rPr>
              <w:t>aizstāt skaitli un vārdus “3. punkta otrajā teikumā” ar skaitli un vārdu “</w:t>
            </w:r>
            <w:r w:rsidR="00344B10" w:rsidRPr="0077437E">
              <w:rPr>
                <w:rFonts w:ascii="Times New Roman" w:hAnsi="Times New Roman"/>
                <w:u w:val="single"/>
              </w:rPr>
              <w:t>3. punktā</w:t>
            </w:r>
            <w:r w:rsidRPr="0077437E">
              <w:rPr>
                <w:rFonts w:ascii="Times New Roman" w:hAnsi="Times New Roman"/>
              </w:rPr>
              <w:t>”.</w:t>
            </w:r>
          </w:p>
          <w:p w:rsidR="0077437E" w:rsidRPr="0077437E" w:rsidRDefault="0077437E" w:rsidP="00344B10">
            <w:pPr>
              <w:ind w:firstLine="472"/>
              <w:jc w:val="both"/>
              <w:rPr>
                <w:sz w:val="22"/>
              </w:rPr>
            </w:pPr>
          </w:p>
          <w:p w:rsidR="0077437E" w:rsidRPr="0077437E" w:rsidRDefault="0077437E" w:rsidP="0077437E">
            <w:pPr>
              <w:pStyle w:val="ListParagraph"/>
              <w:widowControl/>
              <w:spacing w:after="0" w:line="240" w:lineRule="auto"/>
              <w:ind w:left="0" w:firstLine="472"/>
              <w:jc w:val="both"/>
              <w:rPr>
                <w:rFonts w:ascii="Times New Roman" w:hAnsi="Times New Roman"/>
                <w:b/>
                <w:u w:val="single"/>
              </w:rPr>
            </w:pPr>
            <w:r w:rsidRPr="0077437E">
              <w:rPr>
                <w:rFonts w:ascii="Times New Roman" w:hAnsi="Times New Roman"/>
                <w:b/>
                <w:u w:val="single"/>
              </w:rPr>
              <w:t xml:space="preserve">Juridiskais birojs </w:t>
            </w:r>
          </w:p>
          <w:p w:rsidR="00344B10" w:rsidRPr="00035F85" w:rsidRDefault="0077437E" w:rsidP="00344B10">
            <w:pPr>
              <w:ind w:firstLine="567"/>
              <w:jc w:val="both"/>
              <w:rPr>
                <w:i/>
                <w:sz w:val="22"/>
              </w:rPr>
            </w:pPr>
            <w:r w:rsidRPr="0077437E">
              <w:rPr>
                <w:sz w:val="22"/>
              </w:rPr>
              <w:t>A</w:t>
            </w:r>
            <w:r w:rsidR="00344B10" w:rsidRPr="0077437E">
              <w:rPr>
                <w:sz w:val="22"/>
              </w:rPr>
              <w:t>izstāt vārdus “par periodu no 1. aprīļa izmaksā to ne vēlāk kā līdz 2017. gada 30. septembrim” ar vārdiem “</w:t>
            </w:r>
            <w:r w:rsidR="00344B10" w:rsidRPr="0077437E">
              <w:rPr>
                <w:sz w:val="22"/>
                <w:u w:val="single"/>
              </w:rPr>
              <w:t>starpību izmaksā ne vēlāk kā līdz 2017. gada 30. septembrim”.</w:t>
            </w:r>
          </w:p>
        </w:tc>
        <w:tc>
          <w:tcPr>
            <w:tcW w:w="1420" w:type="dxa"/>
          </w:tcPr>
          <w:p w:rsidR="00344B10" w:rsidRPr="00035F85" w:rsidRDefault="00344B10" w:rsidP="001A7D73">
            <w:pPr>
              <w:jc w:val="center"/>
              <w:rPr>
                <w:sz w:val="22"/>
              </w:rPr>
            </w:pPr>
          </w:p>
        </w:tc>
        <w:tc>
          <w:tcPr>
            <w:tcW w:w="1420" w:type="dxa"/>
          </w:tcPr>
          <w:p w:rsidR="00344B10" w:rsidRPr="00035F85" w:rsidRDefault="00344B10" w:rsidP="001A7D73">
            <w:pPr>
              <w:jc w:val="center"/>
              <w:rPr>
                <w:sz w:val="22"/>
              </w:rPr>
            </w:pPr>
          </w:p>
        </w:tc>
      </w:tr>
      <w:tr w:rsidR="00401331" w:rsidRPr="00035F85" w:rsidTr="001A7D73">
        <w:tc>
          <w:tcPr>
            <w:tcW w:w="3960" w:type="dxa"/>
          </w:tcPr>
          <w:p w:rsidR="00401331" w:rsidRPr="00035F85" w:rsidRDefault="00401331" w:rsidP="001A7D73">
            <w:pPr>
              <w:jc w:val="both"/>
              <w:rPr>
                <w:sz w:val="22"/>
              </w:rPr>
            </w:pPr>
          </w:p>
        </w:tc>
        <w:tc>
          <w:tcPr>
            <w:tcW w:w="3960" w:type="dxa"/>
          </w:tcPr>
          <w:p w:rsidR="00401331" w:rsidRPr="00E06EA9" w:rsidRDefault="00401331" w:rsidP="00401331">
            <w:pPr>
              <w:autoSpaceDE w:val="0"/>
              <w:autoSpaceDN w:val="0"/>
              <w:adjustRightInd w:val="0"/>
              <w:ind w:firstLine="720"/>
              <w:jc w:val="both"/>
              <w:rPr>
                <w:spacing w:val="-2"/>
                <w:sz w:val="22"/>
              </w:rPr>
            </w:pPr>
            <w:r w:rsidRPr="00E06EA9">
              <w:rPr>
                <w:color w:val="000000"/>
                <w:sz w:val="22"/>
              </w:rPr>
              <w:t>Likums stājas spēkā 2017. gada 1. janvārī.</w:t>
            </w:r>
          </w:p>
        </w:tc>
        <w:tc>
          <w:tcPr>
            <w:tcW w:w="567" w:type="dxa"/>
          </w:tcPr>
          <w:p w:rsidR="00401331" w:rsidRPr="00035F85" w:rsidRDefault="00401331" w:rsidP="001A7D73">
            <w:pPr>
              <w:jc w:val="center"/>
              <w:rPr>
                <w:b/>
                <w:sz w:val="22"/>
              </w:rPr>
            </w:pPr>
          </w:p>
        </w:tc>
        <w:tc>
          <w:tcPr>
            <w:tcW w:w="3960" w:type="dxa"/>
          </w:tcPr>
          <w:p w:rsidR="00401331" w:rsidRPr="00035F85" w:rsidRDefault="00401331" w:rsidP="00035F85">
            <w:pPr>
              <w:ind w:firstLine="567"/>
              <w:jc w:val="both"/>
              <w:rPr>
                <w:i/>
                <w:sz w:val="22"/>
              </w:rPr>
            </w:pPr>
          </w:p>
        </w:tc>
        <w:tc>
          <w:tcPr>
            <w:tcW w:w="1420" w:type="dxa"/>
          </w:tcPr>
          <w:p w:rsidR="00401331" w:rsidRPr="00035F85" w:rsidRDefault="00401331" w:rsidP="001A7D73">
            <w:pPr>
              <w:jc w:val="center"/>
              <w:rPr>
                <w:sz w:val="22"/>
              </w:rPr>
            </w:pPr>
          </w:p>
        </w:tc>
        <w:tc>
          <w:tcPr>
            <w:tcW w:w="1420" w:type="dxa"/>
          </w:tcPr>
          <w:p w:rsidR="00401331" w:rsidRPr="00035F85" w:rsidRDefault="00401331" w:rsidP="001A7D73">
            <w:pPr>
              <w:jc w:val="center"/>
              <w:rPr>
                <w:sz w:val="22"/>
              </w:rPr>
            </w:pPr>
          </w:p>
        </w:tc>
      </w:tr>
    </w:tbl>
    <w:p w:rsidR="0039514B" w:rsidRPr="00035F85" w:rsidRDefault="0039514B" w:rsidP="0039514B">
      <w:pPr>
        <w:rPr>
          <w:sz w:val="22"/>
        </w:rPr>
      </w:pPr>
    </w:p>
    <w:sectPr w:rsidR="0039514B" w:rsidRPr="00035F85" w:rsidSect="00C71E28">
      <w:footerReference w:type="even" r:id="rId11"/>
      <w:footerReference w:type="default" r:id="rId12"/>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17" w:rsidRDefault="00995217">
      <w:r>
        <w:separator/>
      </w:r>
    </w:p>
  </w:endnote>
  <w:endnote w:type="continuationSeparator" w:id="0">
    <w:p w:rsidR="00995217" w:rsidRDefault="009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4770DA"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0DA">
      <w:rPr>
        <w:rStyle w:val="PageNumber"/>
        <w:noProof/>
      </w:rPr>
      <w:t>2</w:t>
    </w:r>
    <w:r>
      <w:rPr>
        <w:rStyle w:val="PageNumber"/>
      </w:rPr>
      <w:fldChar w:fldCharType="end"/>
    </w:r>
  </w:p>
  <w:p w:rsidR="00C71E28" w:rsidRDefault="004770DA"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17" w:rsidRDefault="00995217">
      <w:r>
        <w:separator/>
      </w:r>
    </w:p>
  </w:footnote>
  <w:footnote w:type="continuationSeparator" w:id="0">
    <w:p w:rsidR="00995217" w:rsidRDefault="00995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2E26"/>
    <w:multiLevelType w:val="hybridMultilevel"/>
    <w:tmpl w:val="D3EC9B6A"/>
    <w:lvl w:ilvl="0" w:tplc="F498107C">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86A1149"/>
    <w:multiLevelType w:val="hybridMultilevel"/>
    <w:tmpl w:val="2F1A6344"/>
    <w:lvl w:ilvl="0" w:tplc="972AD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35F85"/>
    <w:rsid w:val="0011306A"/>
    <w:rsid w:val="00175C0E"/>
    <w:rsid w:val="002164F7"/>
    <w:rsid w:val="002A3117"/>
    <w:rsid w:val="00344B10"/>
    <w:rsid w:val="00385A89"/>
    <w:rsid w:val="0039514B"/>
    <w:rsid w:val="00401331"/>
    <w:rsid w:val="00405509"/>
    <w:rsid w:val="004770DA"/>
    <w:rsid w:val="004D7945"/>
    <w:rsid w:val="005A4463"/>
    <w:rsid w:val="006D50F6"/>
    <w:rsid w:val="0077437E"/>
    <w:rsid w:val="007A4333"/>
    <w:rsid w:val="007D26F0"/>
    <w:rsid w:val="00863BE0"/>
    <w:rsid w:val="00995217"/>
    <w:rsid w:val="009F3627"/>
    <w:rsid w:val="00AA55B8"/>
    <w:rsid w:val="00AB5FB1"/>
    <w:rsid w:val="00BE4E4E"/>
    <w:rsid w:val="00BE7E65"/>
    <w:rsid w:val="00BF4C7F"/>
    <w:rsid w:val="00CB75D9"/>
    <w:rsid w:val="00CC253E"/>
    <w:rsid w:val="00CE64FC"/>
    <w:rsid w:val="00DB29C6"/>
    <w:rsid w:val="00DE0D38"/>
    <w:rsid w:val="00E06EA9"/>
    <w:rsid w:val="00E244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 w:type="character" w:styleId="Hyperlink">
    <w:name w:val="Hyperlink"/>
    <w:unhideWhenUsed/>
    <w:rsid w:val="00E06EA9"/>
    <w:rPr>
      <w:color w:val="0000FF"/>
      <w:u w:val="single"/>
    </w:rPr>
  </w:style>
  <w:style w:type="character" w:customStyle="1" w:styleId="apple-converted-space">
    <w:name w:val="apple-converted-space"/>
    <w:basedOn w:val="DefaultParagraphFont"/>
    <w:rsid w:val="00E06EA9"/>
  </w:style>
  <w:style w:type="paragraph" w:customStyle="1" w:styleId="naisf">
    <w:name w:val="naisf"/>
    <w:basedOn w:val="Normal"/>
    <w:uiPriority w:val="99"/>
    <w:rsid w:val="00E06EA9"/>
    <w:pPr>
      <w:spacing w:before="100" w:beforeAutospacing="1" w:after="100" w:afterAutospacing="1"/>
    </w:pPr>
    <w:rPr>
      <w:rFonts w:eastAsia="Times New Roman"/>
      <w:szCs w:val="24"/>
      <w:lang w:eastAsia="lv-LV"/>
    </w:rPr>
  </w:style>
  <w:style w:type="paragraph" w:customStyle="1" w:styleId="tv213">
    <w:name w:val="tv213"/>
    <w:basedOn w:val="Normal"/>
    <w:rsid w:val="00E06EA9"/>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77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6751">
      <w:bodyDiv w:val="1"/>
      <w:marLeft w:val="0"/>
      <w:marRight w:val="0"/>
      <w:marTop w:val="0"/>
      <w:marBottom w:val="0"/>
      <w:divBdr>
        <w:top w:val="none" w:sz="0" w:space="0" w:color="auto"/>
        <w:left w:val="none" w:sz="0" w:space="0" w:color="auto"/>
        <w:bottom w:val="none" w:sz="0" w:space="0" w:color="auto"/>
        <w:right w:val="none" w:sz="0" w:space="0" w:color="auto"/>
      </w:divBdr>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483-valsts-socialo-pabals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ta/id/38048-par-valsts-pensijam" TargetMode="External"/><Relationship Id="rId4" Type="http://schemas.openxmlformats.org/officeDocument/2006/relationships/settings" Target="settings.xml"/><Relationship Id="rId9" Type="http://schemas.openxmlformats.org/officeDocument/2006/relationships/hyperlink" Target="http://likumi.lv/ta/id/45466-par-valsts-socialo-apdrosinasa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CB4C-0FE6-4EB7-A58D-8C8EC0C1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4099</Words>
  <Characters>2337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Arnis Krustiņš</cp:lastModifiedBy>
  <cp:revision>2</cp:revision>
  <cp:lastPrinted>2016-11-04T15:31:00Z</cp:lastPrinted>
  <dcterms:created xsi:type="dcterms:W3CDTF">2016-11-04T15:31:00Z</dcterms:created>
  <dcterms:modified xsi:type="dcterms:W3CDTF">2016-11-04T15:31:00Z</dcterms:modified>
</cp:coreProperties>
</file>