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14B" w:rsidRPr="00035F85" w:rsidRDefault="0039514B" w:rsidP="0039514B">
      <w:pPr>
        <w:pStyle w:val="Title"/>
        <w:jc w:val="left"/>
        <w:rPr>
          <w:b w:val="0"/>
          <w:szCs w:val="24"/>
        </w:rPr>
      </w:pPr>
      <w:bookmarkStart w:id="0" w:name="_GoBack"/>
      <w:bookmarkEnd w:id="0"/>
      <w:r w:rsidRPr="00035F85">
        <w:rPr>
          <w:b w:val="0"/>
          <w:szCs w:val="24"/>
        </w:rPr>
        <w:t>Budžeta un finanšu (nodokļu) komisija</w:t>
      </w:r>
    </w:p>
    <w:p w:rsidR="0039514B" w:rsidRPr="00035F85" w:rsidRDefault="0039514B" w:rsidP="0039514B">
      <w:pPr>
        <w:pStyle w:val="Title"/>
        <w:jc w:val="right"/>
        <w:rPr>
          <w:b w:val="0"/>
          <w:szCs w:val="24"/>
        </w:rPr>
      </w:pPr>
      <w:r w:rsidRPr="00035F85">
        <w:rPr>
          <w:b w:val="0"/>
          <w:szCs w:val="24"/>
        </w:rPr>
        <w:tab/>
        <w:t>Likumprojekts (steidzams) otrajam lasījumam</w:t>
      </w:r>
    </w:p>
    <w:p w:rsidR="0039514B" w:rsidRPr="00035F85" w:rsidRDefault="00401331" w:rsidP="0039514B">
      <w:pPr>
        <w:tabs>
          <w:tab w:val="center" w:pos="7568"/>
          <w:tab w:val="left" w:pos="10455"/>
        </w:tabs>
        <w:jc w:val="center"/>
        <w:rPr>
          <w:b/>
          <w:i/>
          <w:sz w:val="26"/>
          <w:szCs w:val="26"/>
        </w:rPr>
      </w:pPr>
      <w:r w:rsidRPr="00803D41">
        <w:rPr>
          <w:b/>
          <w:sz w:val="28"/>
          <w:szCs w:val="28"/>
        </w:rPr>
        <w:t>Grozījums Augstskolu likumā</w:t>
      </w:r>
      <w:r w:rsidR="0039514B" w:rsidRPr="00035F85">
        <w:rPr>
          <w:b/>
          <w:i/>
          <w:sz w:val="26"/>
          <w:szCs w:val="26"/>
        </w:rPr>
        <w:t xml:space="preserve"> </w:t>
      </w:r>
    </w:p>
    <w:p w:rsidR="0039514B" w:rsidRPr="00035F85" w:rsidRDefault="0039514B" w:rsidP="0039514B">
      <w:pPr>
        <w:tabs>
          <w:tab w:val="center" w:pos="7568"/>
          <w:tab w:val="left" w:pos="10455"/>
        </w:tabs>
        <w:jc w:val="center"/>
        <w:rPr>
          <w:b/>
          <w:i/>
          <w:sz w:val="26"/>
          <w:szCs w:val="26"/>
        </w:rPr>
      </w:pPr>
      <w:r w:rsidRPr="00035F85">
        <w:rPr>
          <w:b/>
          <w:i/>
          <w:sz w:val="26"/>
          <w:szCs w:val="26"/>
        </w:rPr>
        <w:t>(Nr.</w:t>
      </w:r>
      <w:r w:rsidR="00401331">
        <w:rPr>
          <w:b/>
          <w:i/>
          <w:sz w:val="26"/>
          <w:szCs w:val="26"/>
        </w:rPr>
        <w:t>695</w:t>
      </w:r>
      <w:r w:rsidRPr="00035F85">
        <w:rPr>
          <w:b/>
          <w:i/>
          <w:sz w:val="26"/>
          <w:szCs w:val="26"/>
        </w:rPr>
        <w:t>/Lp12)</w:t>
      </w:r>
    </w:p>
    <w:p w:rsidR="0039514B" w:rsidRPr="00035F85" w:rsidRDefault="0039514B" w:rsidP="0039514B">
      <w:pPr>
        <w:tabs>
          <w:tab w:val="center" w:pos="7568"/>
          <w:tab w:val="left" w:pos="10455"/>
        </w:tabs>
        <w:rPr>
          <w:b/>
          <w:i/>
          <w:sz w:val="22"/>
        </w:rPr>
      </w:pPr>
      <w:r w:rsidRPr="00035F8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035F85" w:rsidRPr="00035F85" w:rsidTr="001A7D73">
        <w:tc>
          <w:tcPr>
            <w:tcW w:w="3960" w:type="dxa"/>
            <w:vAlign w:val="center"/>
          </w:tcPr>
          <w:p w:rsidR="0039514B" w:rsidRPr="00035F85" w:rsidRDefault="0039514B" w:rsidP="001A7D73">
            <w:pPr>
              <w:jc w:val="center"/>
              <w:rPr>
                <w:b/>
                <w:bCs/>
                <w:iCs/>
                <w:szCs w:val="24"/>
              </w:rPr>
            </w:pPr>
            <w:r w:rsidRPr="00035F85">
              <w:rPr>
                <w:b/>
                <w:bCs/>
                <w:iCs/>
                <w:szCs w:val="24"/>
              </w:rPr>
              <w:t>Spēkā esošā redakcija</w:t>
            </w:r>
          </w:p>
        </w:tc>
        <w:tc>
          <w:tcPr>
            <w:tcW w:w="3960" w:type="dxa"/>
            <w:vAlign w:val="center"/>
          </w:tcPr>
          <w:p w:rsidR="0039514B" w:rsidRPr="00035F85" w:rsidRDefault="0039514B" w:rsidP="001A7D73">
            <w:pPr>
              <w:pStyle w:val="Heading1"/>
            </w:pPr>
            <w:r w:rsidRPr="00035F85">
              <w:t>Pirmā lasījuma redakcija</w:t>
            </w:r>
          </w:p>
        </w:tc>
        <w:tc>
          <w:tcPr>
            <w:tcW w:w="567" w:type="dxa"/>
            <w:vAlign w:val="center"/>
          </w:tcPr>
          <w:p w:rsidR="0039514B" w:rsidRPr="00035F85" w:rsidRDefault="0039514B" w:rsidP="001A7D73">
            <w:pPr>
              <w:jc w:val="center"/>
              <w:rPr>
                <w:b/>
                <w:bCs/>
                <w:iCs/>
                <w:szCs w:val="24"/>
              </w:rPr>
            </w:pPr>
            <w:r w:rsidRPr="00035F85">
              <w:rPr>
                <w:b/>
                <w:bCs/>
                <w:iCs/>
                <w:szCs w:val="24"/>
              </w:rPr>
              <w:t>Nr.</w:t>
            </w:r>
          </w:p>
        </w:tc>
        <w:tc>
          <w:tcPr>
            <w:tcW w:w="3960" w:type="dxa"/>
            <w:vAlign w:val="center"/>
          </w:tcPr>
          <w:p w:rsidR="0039514B" w:rsidRPr="00035F85" w:rsidRDefault="0039514B" w:rsidP="001A7D73">
            <w:pPr>
              <w:ind w:firstLine="10"/>
              <w:jc w:val="center"/>
              <w:rPr>
                <w:b/>
                <w:bCs/>
                <w:iCs/>
                <w:szCs w:val="24"/>
              </w:rPr>
            </w:pPr>
            <w:r w:rsidRPr="00035F85">
              <w:rPr>
                <w:b/>
                <w:bCs/>
                <w:iCs/>
                <w:szCs w:val="24"/>
              </w:rPr>
              <w:t>Priekšlikumi</w:t>
            </w:r>
          </w:p>
          <w:p w:rsidR="0039514B" w:rsidRPr="00035F85" w:rsidRDefault="0039514B" w:rsidP="00401331">
            <w:pPr>
              <w:jc w:val="center"/>
              <w:rPr>
                <w:b/>
                <w:bCs/>
                <w:iCs/>
                <w:szCs w:val="24"/>
              </w:rPr>
            </w:pPr>
            <w:r w:rsidRPr="00035F85">
              <w:rPr>
                <w:b/>
                <w:bCs/>
                <w:iCs/>
                <w:szCs w:val="24"/>
              </w:rPr>
              <w:t>(</w:t>
            </w:r>
            <w:r w:rsidR="0002504F">
              <w:rPr>
                <w:b/>
                <w:bCs/>
                <w:iCs/>
                <w:szCs w:val="24"/>
              </w:rPr>
              <w:t>9</w:t>
            </w:r>
            <w:r w:rsidRPr="00035F85">
              <w:rPr>
                <w:b/>
                <w:bCs/>
                <w:iCs/>
                <w:szCs w:val="24"/>
              </w:rPr>
              <w:t>)</w:t>
            </w:r>
          </w:p>
        </w:tc>
        <w:tc>
          <w:tcPr>
            <w:tcW w:w="1420" w:type="dxa"/>
            <w:vAlign w:val="center"/>
          </w:tcPr>
          <w:p w:rsidR="0039514B" w:rsidRPr="00035F85" w:rsidRDefault="0039514B" w:rsidP="001A7D73">
            <w:pPr>
              <w:jc w:val="center"/>
              <w:rPr>
                <w:b/>
                <w:bCs/>
                <w:iCs/>
                <w:szCs w:val="24"/>
              </w:rPr>
            </w:pPr>
            <w:r w:rsidRPr="00035F85">
              <w:rPr>
                <w:b/>
                <w:bCs/>
                <w:iCs/>
                <w:szCs w:val="24"/>
              </w:rPr>
              <w:t>Ministru kabineta atzinums</w:t>
            </w:r>
          </w:p>
        </w:tc>
        <w:tc>
          <w:tcPr>
            <w:tcW w:w="1420" w:type="dxa"/>
            <w:vAlign w:val="center"/>
          </w:tcPr>
          <w:p w:rsidR="0039514B" w:rsidRPr="00035F85" w:rsidRDefault="0039514B" w:rsidP="001A7D73">
            <w:pPr>
              <w:jc w:val="center"/>
              <w:rPr>
                <w:b/>
                <w:bCs/>
                <w:iCs/>
                <w:szCs w:val="24"/>
              </w:rPr>
            </w:pPr>
            <w:r w:rsidRPr="00035F85">
              <w:rPr>
                <w:b/>
                <w:bCs/>
                <w:iCs/>
                <w:szCs w:val="24"/>
              </w:rPr>
              <w:t>Komisijas atzinums</w:t>
            </w:r>
          </w:p>
        </w:tc>
      </w:tr>
      <w:tr w:rsidR="00E535C7" w:rsidRPr="00035F85" w:rsidTr="001A7D73">
        <w:tc>
          <w:tcPr>
            <w:tcW w:w="3960" w:type="dxa"/>
          </w:tcPr>
          <w:p w:rsidR="00E535C7" w:rsidRPr="00035F85" w:rsidRDefault="00E535C7" w:rsidP="001A7D73">
            <w:pPr>
              <w:jc w:val="both"/>
              <w:rPr>
                <w:sz w:val="22"/>
              </w:rPr>
            </w:pPr>
          </w:p>
        </w:tc>
        <w:tc>
          <w:tcPr>
            <w:tcW w:w="3960" w:type="dxa"/>
          </w:tcPr>
          <w:p w:rsidR="00E535C7" w:rsidRPr="00401331" w:rsidRDefault="00E535C7" w:rsidP="0039514B">
            <w:pPr>
              <w:ind w:firstLine="567"/>
              <w:jc w:val="both"/>
              <w:rPr>
                <w:spacing w:val="-2"/>
                <w:sz w:val="22"/>
              </w:rPr>
            </w:pPr>
          </w:p>
        </w:tc>
        <w:tc>
          <w:tcPr>
            <w:tcW w:w="567" w:type="dxa"/>
          </w:tcPr>
          <w:p w:rsidR="00E535C7" w:rsidRDefault="00E535C7" w:rsidP="001A7D73">
            <w:pPr>
              <w:jc w:val="center"/>
              <w:rPr>
                <w:b/>
                <w:sz w:val="22"/>
              </w:rPr>
            </w:pPr>
            <w:r>
              <w:rPr>
                <w:b/>
                <w:sz w:val="22"/>
              </w:rPr>
              <w:t>1</w:t>
            </w:r>
          </w:p>
        </w:tc>
        <w:tc>
          <w:tcPr>
            <w:tcW w:w="3960" w:type="dxa"/>
          </w:tcPr>
          <w:p w:rsidR="00E535C7" w:rsidRDefault="00E535C7" w:rsidP="00E535C7">
            <w:pPr>
              <w:ind w:firstLine="567"/>
              <w:jc w:val="both"/>
              <w:rPr>
                <w:b/>
                <w:sz w:val="22"/>
                <w:u w:val="single"/>
              </w:rPr>
            </w:pPr>
            <w:r>
              <w:rPr>
                <w:b/>
                <w:sz w:val="22"/>
                <w:u w:val="single"/>
              </w:rPr>
              <w:t xml:space="preserve">Juridiskais birojs </w:t>
            </w:r>
          </w:p>
          <w:p w:rsidR="00E535C7" w:rsidRPr="00C751DF" w:rsidRDefault="00E535C7" w:rsidP="00E535C7">
            <w:pPr>
              <w:ind w:firstLine="567"/>
              <w:jc w:val="both"/>
              <w:rPr>
                <w:i/>
                <w:sz w:val="22"/>
              </w:rPr>
            </w:pPr>
            <w:r w:rsidRPr="00C751DF">
              <w:rPr>
                <w:i/>
                <w:sz w:val="22"/>
              </w:rPr>
              <w:t>Saeimas Juridiskais birojs, iepazinies ar likumprojektu “Grozījums Augstskolu likumā” (Nr. 695/Lp12), vērš komisijas uzmanību uz Satversmes tiesas secināto jautājumā par valsts budžeta likumprojektu paketes tvērumu.</w:t>
            </w:r>
          </w:p>
          <w:p w:rsidR="00E535C7" w:rsidRPr="00C751DF" w:rsidRDefault="00E535C7" w:rsidP="00E535C7">
            <w:pPr>
              <w:ind w:firstLine="567"/>
              <w:jc w:val="both"/>
              <w:rPr>
                <w:i/>
                <w:sz w:val="22"/>
              </w:rPr>
            </w:pPr>
            <w:r w:rsidRPr="00C751DF">
              <w:rPr>
                <w:i/>
                <w:sz w:val="22"/>
              </w:rPr>
              <w:t>“Tā kā valsts finanšu līdzekļu plānošanas pamats ir valsts ienākumu un izdevumu aprēķins, likumdevējam ir tiesības un tai pašā laikā arī pienākums valsts budžeta likumā un to pavadošo likumu paketē iekļaut vienīgi tādus jautājumus, kas attiecas uz konkrēto saimniecisko gadu un ir cieši saistīti ar valsts finanšu līdzekļu izlietojumu (sk. Satversmes tiesas 2011. gada 19. decembra sprieduma lietā Nr. 2011-03-01 18. punktu).</w:t>
            </w:r>
          </w:p>
          <w:p w:rsidR="00E535C7" w:rsidRPr="00C751DF" w:rsidRDefault="00E535C7" w:rsidP="00E535C7">
            <w:pPr>
              <w:ind w:firstLine="567"/>
              <w:jc w:val="both"/>
              <w:rPr>
                <w:i/>
                <w:sz w:val="22"/>
              </w:rPr>
            </w:pPr>
            <w:r w:rsidRPr="00C751DF">
              <w:rPr>
                <w:i/>
                <w:sz w:val="22"/>
              </w:rPr>
              <w:t>Satversmes tiesa ir secinājusi, ka, ņemot vērā īpašo budžeta likumprojektu paketes izskatīšanai noteikto kārtību, Saeimai ir jāizvērtē arī tas, vai visi Ministru kabineta iesniegtie valsts budžeta paketes likumprojekti atbilst Saeimas kārtības ruļļa 87.</w:t>
            </w:r>
            <w:r w:rsidRPr="00C751DF">
              <w:rPr>
                <w:i/>
                <w:sz w:val="22"/>
                <w:vertAlign w:val="superscript"/>
              </w:rPr>
              <w:t>1 </w:t>
            </w:r>
            <w:r w:rsidRPr="00C751DF">
              <w:rPr>
                <w:i/>
                <w:sz w:val="22"/>
              </w:rPr>
              <w:t>pantā norādītajiem kritērijiem. Ja kāds likumprojekts šiem kritērijiem neatbilst, Saeimai tas jāizslēdz no valsts budžeta likumprojektu paketes.</w:t>
            </w:r>
          </w:p>
          <w:p w:rsidR="00E535C7" w:rsidRPr="00C751DF" w:rsidRDefault="00E535C7" w:rsidP="00E535C7">
            <w:pPr>
              <w:ind w:firstLine="567"/>
              <w:jc w:val="both"/>
              <w:rPr>
                <w:i/>
                <w:sz w:val="22"/>
              </w:rPr>
            </w:pPr>
            <w:r w:rsidRPr="00C751DF">
              <w:rPr>
                <w:i/>
                <w:sz w:val="22"/>
              </w:rPr>
              <w:lastRenderedPageBreak/>
              <w:t>Juridiskā biroja ieskatā likumprojekta “Grozījums Augstskolu likumā” saturs un likumprojekta anotācijā, tostarp sadaļā “Tiesību akta projekta ietekme uz valsts budžetu un pašvaldību budžetiem” sniegtā informācija nevar tikt vērtēta kā tāda, kas pamatotu šī likumprojekta iekļaušanu valsts budžeta likumu pavadošo likumu paketē.</w:t>
            </w:r>
          </w:p>
          <w:p w:rsidR="00E535C7" w:rsidRPr="00AA0921" w:rsidRDefault="00E535C7" w:rsidP="00E535C7">
            <w:pPr>
              <w:ind w:firstLine="567"/>
              <w:jc w:val="both"/>
              <w:rPr>
                <w:sz w:val="22"/>
              </w:rPr>
            </w:pPr>
            <w:r w:rsidRPr="00AA0921">
              <w:rPr>
                <w:sz w:val="22"/>
              </w:rPr>
              <w:t>Ņemot vērā iepriekš minēto, Juridiskais birojs aicina likumprojektu “Grozījums Augstskolu likumā” (Nr. 695/Lp12) izslēgt no likumprojektu paketes un virzīt to izskatīšanai Saeimā parastajā likumprojektu izskatīšanas kārtībā.</w:t>
            </w:r>
          </w:p>
        </w:tc>
        <w:tc>
          <w:tcPr>
            <w:tcW w:w="1420" w:type="dxa"/>
          </w:tcPr>
          <w:p w:rsidR="00E535C7" w:rsidRPr="00035F85" w:rsidRDefault="00E535C7" w:rsidP="001A7D73">
            <w:pPr>
              <w:jc w:val="center"/>
              <w:rPr>
                <w:sz w:val="22"/>
              </w:rPr>
            </w:pPr>
          </w:p>
        </w:tc>
        <w:tc>
          <w:tcPr>
            <w:tcW w:w="1420" w:type="dxa"/>
          </w:tcPr>
          <w:p w:rsidR="00E535C7" w:rsidRPr="00035F85" w:rsidRDefault="00E535C7" w:rsidP="001A7D73">
            <w:pPr>
              <w:jc w:val="center"/>
              <w:rPr>
                <w:sz w:val="22"/>
              </w:rPr>
            </w:pPr>
          </w:p>
        </w:tc>
      </w:tr>
      <w:tr w:rsidR="00E535C7" w:rsidRPr="00035F85" w:rsidTr="001A7D73">
        <w:tc>
          <w:tcPr>
            <w:tcW w:w="3960" w:type="dxa"/>
          </w:tcPr>
          <w:p w:rsidR="00E535C7" w:rsidRPr="00035F85" w:rsidRDefault="00E535C7" w:rsidP="001A7D73">
            <w:pPr>
              <w:jc w:val="both"/>
              <w:rPr>
                <w:sz w:val="22"/>
              </w:rPr>
            </w:pPr>
          </w:p>
        </w:tc>
        <w:tc>
          <w:tcPr>
            <w:tcW w:w="3960" w:type="dxa"/>
          </w:tcPr>
          <w:p w:rsidR="00E535C7" w:rsidRPr="00401331" w:rsidRDefault="00E535C7" w:rsidP="0039514B">
            <w:pPr>
              <w:ind w:firstLine="567"/>
              <w:jc w:val="both"/>
              <w:rPr>
                <w:spacing w:val="-2"/>
                <w:sz w:val="22"/>
              </w:rPr>
            </w:pPr>
          </w:p>
        </w:tc>
        <w:tc>
          <w:tcPr>
            <w:tcW w:w="567" w:type="dxa"/>
          </w:tcPr>
          <w:p w:rsidR="00E535C7" w:rsidRDefault="00E535C7" w:rsidP="001A7D73">
            <w:pPr>
              <w:jc w:val="center"/>
              <w:rPr>
                <w:b/>
                <w:sz w:val="22"/>
              </w:rPr>
            </w:pPr>
            <w:r>
              <w:rPr>
                <w:b/>
                <w:sz w:val="22"/>
              </w:rPr>
              <w:t>2</w:t>
            </w:r>
          </w:p>
        </w:tc>
        <w:tc>
          <w:tcPr>
            <w:tcW w:w="3960" w:type="dxa"/>
          </w:tcPr>
          <w:p w:rsidR="00E535C7" w:rsidRPr="00E535C7" w:rsidRDefault="00E535C7" w:rsidP="00E535C7">
            <w:pPr>
              <w:tabs>
                <w:tab w:val="left" w:pos="472"/>
                <w:tab w:val="left" w:pos="1134"/>
              </w:tabs>
              <w:ind w:firstLine="471"/>
              <w:jc w:val="both"/>
              <w:rPr>
                <w:b/>
                <w:sz w:val="22"/>
                <w:u w:val="single"/>
              </w:rPr>
            </w:pPr>
            <w:r w:rsidRPr="00E535C7">
              <w:rPr>
                <w:b/>
                <w:sz w:val="22"/>
                <w:u w:val="single"/>
              </w:rPr>
              <w:t>Izglītības un zinātnes ministrs K.Šadurskis</w:t>
            </w:r>
          </w:p>
          <w:p w:rsidR="00E535C7" w:rsidRPr="00035F85" w:rsidRDefault="00E535C7" w:rsidP="00E535C7">
            <w:pPr>
              <w:tabs>
                <w:tab w:val="left" w:pos="472"/>
                <w:tab w:val="left" w:pos="1134"/>
              </w:tabs>
              <w:ind w:firstLine="471"/>
              <w:jc w:val="both"/>
              <w:rPr>
                <w:i/>
                <w:sz w:val="22"/>
              </w:rPr>
            </w:pPr>
            <w:r w:rsidRPr="00E535C7">
              <w:rPr>
                <w:sz w:val="22"/>
              </w:rPr>
              <w:t>Aizstāt likumprojekta nosaukumā vārdu “Grozījum</w:t>
            </w:r>
            <w:r w:rsidRPr="00E535C7">
              <w:rPr>
                <w:sz w:val="22"/>
                <w:u w:val="single"/>
              </w:rPr>
              <w:t>s</w:t>
            </w:r>
            <w:r w:rsidRPr="00E535C7">
              <w:rPr>
                <w:sz w:val="22"/>
              </w:rPr>
              <w:t>” ar vārdu “Grozījum</w:t>
            </w:r>
            <w:r w:rsidRPr="00E535C7">
              <w:rPr>
                <w:sz w:val="22"/>
                <w:u w:val="single"/>
              </w:rPr>
              <w:t>i</w:t>
            </w:r>
            <w:r w:rsidRPr="00E535C7">
              <w:rPr>
                <w:sz w:val="22"/>
              </w:rPr>
              <w:t>”.</w:t>
            </w:r>
          </w:p>
        </w:tc>
        <w:tc>
          <w:tcPr>
            <w:tcW w:w="1420" w:type="dxa"/>
          </w:tcPr>
          <w:p w:rsidR="00E535C7" w:rsidRPr="00035F85" w:rsidRDefault="00E535C7" w:rsidP="001A7D73">
            <w:pPr>
              <w:jc w:val="center"/>
              <w:rPr>
                <w:sz w:val="22"/>
              </w:rPr>
            </w:pPr>
          </w:p>
        </w:tc>
        <w:tc>
          <w:tcPr>
            <w:tcW w:w="1420" w:type="dxa"/>
          </w:tcPr>
          <w:p w:rsidR="00E535C7" w:rsidRPr="00035F85" w:rsidRDefault="00E535C7" w:rsidP="001A7D73">
            <w:pPr>
              <w:jc w:val="center"/>
              <w:rPr>
                <w:sz w:val="22"/>
              </w:rPr>
            </w:pPr>
          </w:p>
        </w:tc>
      </w:tr>
      <w:tr w:rsidR="00035F85" w:rsidRPr="00035F85" w:rsidTr="001A7D73">
        <w:tc>
          <w:tcPr>
            <w:tcW w:w="3960" w:type="dxa"/>
          </w:tcPr>
          <w:p w:rsidR="0039514B" w:rsidRPr="00035F85" w:rsidRDefault="0039514B" w:rsidP="001A7D73">
            <w:pPr>
              <w:jc w:val="both"/>
              <w:rPr>
                <w:sz w:val="22"/>
              </w:rPr>
            </w:pPr>
          </w:p>
        </w:tc>
        <w:tc>
          <w:tcPr>
            <w:tcW w:w="3960" w:type="dxa"/>
          </w:tcPr>
          <w:p w:rsidR="0039514B" w:rsidRPr="00401331" w:rsidRDefault="00401331" w:rsidP="0039514B">
            <w:pPr>
              <w:ind w:firstLine="567"/>
              <w:jc w:val="both"/>
              <w:rPr>
                <w:sz w:val="22"/>
              </w:rPr>
            </w:pPr>
            <w:r w:rsidRPr="00401331">
              <w:rPr>
                <w:spacing w:val="-2"/>
                <w:sz w:val="22"/>
              </w:rPr>
              <w:t>Izdarīt Augstskolu likumā (Latvijas Republikas Saeimas un Ministru Kabineta Ziņotājs, 1996, 1. nr.; 1997, 3. nr.; 2001, 1. nr.; 2003, 12. nr.; 2004, 13. nr.; 2006, 8. nr.; 2007, 6., 11. nr.; 2008, 15. nr.; 2009, 2., 14. nr.; Latvijas Vēstnesis, 2009, 194. nr.; 2010, 38., 206. nr.; 2011, 117., 202. nr.; 2012, 190. nr.; 2013, 40., 92., 188. nr.; 2014, 214., 257. nr.; 2016, 108., 125. nr.) šādu grozījumu:</w:t>
            </w:r>
          </w:p>
        </w:tc>
        <w:tc>
          <w:tcPr>
            <w:tcW w:w="567" w:type="dxa"/>
          </w:tcPr>
          <w:p w:rsidR="0039514B" w:rsidRPr="00035F85" w:rsidRDefault="0039514B" w:rsidP="001A7D73">
            <w:pPr>
              <w:jc w:val="center"/>
              <w:rPr>
                <w:b/>
                <w:sz w:val="22"/>
              </w:rPr>
            </w:pPr>
          </w:p>
        </w:tc>
        <w:tc>
          <w:tcPr>
            <w:tcW w:w="3960" w:type="dxa"/>
          </w:tcPr>
          <w:p w:rsidR="00035F85" w:rsidRPr="00035F85" w:rsidRDefault="00035F85" w:rsidP="00C751DF">
            <w:pPr>
              <w:ind w:firstLine="567"/>
              <w:jc w:val="both"/>
              <w:rPr>
                <w:i/>
                <w:sz w:val="22"/>
              </w:rPr>
            </w:pPr>
          </w:p>
        </w:tc>
        <w:tc>
          <w:tcPr>
            <w:tcW w:w="1420" w:type="dxa"/>
          </w:tcPr>
          <w:p w:rsidR="0039514B" w:rsidRPr="00035F85" w:rsidRDefault="0039514B" w:rsidP="001A7D73">
            <w:pPr>
              <w:jc w:val="center"/>
              <w:rPr>
                <w:sz w:val="22"/>
              </w:rPr>
            </w:pPr>
          </w:p>
        </w:tc>
        <w:tc>
          <w:tcPr>
            <w:tcW w:w="1420" w:type="dxa"/>
          </w:tcPr>
          <w:p w:rsidR="0039514B" w:rsidRPr="00035F85" w:rsidRDefault="0039514B" w:rsidP="001A7D73">
            <w:pPr>
              <w:jc w:val="center"/>
              <w:rPr>
                <w:sz w:val="22"/>
              </w:rPr>
            </w:pPr>
          </w:p>
        </w:tc>
      </w:tr>
      <w:tr w:rsidR="00401331" w:rsidRPr="00035F85" w:rsidTr="001A7D73">
        <w:tc>
          <w:tcPr>
            <w:tcW w:w="3960" w:type="dxa"/>
          </w:tcPr>
          <w:p w:rsidR="00401331" w:rsidRPr="00035F85" w:rsidRDefault="00401331" w:rsidP="001A7D73">
            <w:pPr>
              <w:jc w:val="both"/>
              <w:rPr>
                <w:sz w:val="22"/>
              </w:rPr>
            </w:pPr>
          </w:p>
        </w:tc>
        <w:tc>
          <w:tcPr>
            <w:tcW w:w="3960" w:type="dxa"/>
          </w:tcPr>
          <w:p w:rsidR="00C751DF" w:rsidRDefault="00C751DF" w:rsidP="00401331">
            <w:pPr>
              <w:ind w:firstLine="720"/>
              <w:jc w:val="both"/>
              <w:rPr>
                <w:sz w:val="22"/>
              </w:rPr>
            </w:pPr>
          </w:p>
          <w:p w:rsidR="0002504F" w:rsidRDefault="0002504F" w:rsidP="00401331">
            <w:pPr>
              <w:ind w:firstLine="720"/>
              <w:jc w:val="both"/>
              <w:rPr>
                <w:sz w:val="22"/>
              </w:rPr>
            </w:pPr>
          </w:p>
          <w:p w:rsidR="0002504F" w:rsidRDefault="0002504F" w:rsidP="00401331">
            <w:pPr>
              <w:ind w:firstLine="720"/>
              <w:jc w:val="both"/>
              <w:rPr>
                <w:sz w:val="22"/>
              </w:rPr>
            </w:pPr>
          </w:p>
          <w:p w:rsidR="0002504F" w:rsidRDefault="0002504F" w:rsidP="00401331">
            <w:pPr>
              <w:ind w:firstLine="720"/>
              <w:jc w:val="both"/>
              <w:rPr>
                <w:sz w:val="22"/>
              </w:rPr>
            </w:pPr>
          </w:p>
          <w:p w:rsidR="0002504F" w:rsidRDefault="0002504F" w:rsidP="00401331">
            <w:pPr>
              <w:ind w:firstLine="720"/>
              <w:jc w:val="both"/>
              <w:rPr>
                <w:sz w:val="22"/>
              </w:rPr>
            </w:pPr>
          </w:p>
          <w:p w:rsidR="0002504F" w:rsidRDefault="0002504F" w:rsidP="00401331">
            <w:pPr>
              <w:ind w:firstLine="720"/>
              <w:jc w:val="both"/>
              <w:rPr>
                <w:sz w:val="22"/>
              </w:rPr>
            </w:pPr>
          </w:p>
          <w:p w:rsidR="0002504F" w:rsidRDefault="0002504F" w:rsidP="00401331">
            <w:pPr>
              <w:ind w:firstLine="720"/>
              <w:jc w:val="both"/>
              <w:rPr>
                <w:sz w:val="22"/>
              </w:rPr>
            </w:pPr>
          </w:p>
          <w:p w:rsidR="00401331" w:rsidRPr="00401331" w:rsidRDefault="00401331" w:rsidP="00401331">
            <w:pPr>
              <w:ind w:firstLine="720"/>
              <w:jc w:val="both"/>
              <w:rPr>
                <w:color w:val="000000"/>
                <w:sz w:val="22"/>
              </w:rPr>
            </w:pPr>
            <w:r w:rsidRPr="00401331">
              <w:rPr>
                <w:sz w:val="22"/>
              </w:rPr>
              <w:t>P</w:t>
            </w:r>
            <w:r w:rsidRPr="00401331">
              <w:rPr>
                <w:color w:val="000000"/>
                <w:sz w:val="22"/>
              </w:rPr>
              <w:t>apildināt likumu ar 46.</w:t>
            </w:r>
            <w:r w:rsidRPr="00401331">
              <w:rPr>
                <w:color w:val="000000"/>
                <w:sz w:val="22"/>
                <w:vertAlign w:val="superscript"/>
              </w:rPr>
              <w:t>1 </w:t>
            </w:r>
            <w:r w:rsidRPr="00401331">
              <w:rPr>
                <w:color w:val="000000"/>
                <w:sz w:val="22"/>
              </w:rPr>
              <w:t>pantu šādā redakcijā:</w:t>
            </w:r>
          </w:p>
          <w:p w:rsidR="00401331" w:rsidRPr="00401331" w:rsidRDefault="00401331" w:rsidP="00401331">
            <w:pPr>
              <w:autoSpaceDE w:val="0"/>
              <w:autoSpaceDN w:val="0"/>
              <w:adjustRightInd w:val="0"/>
              <w:ind w:firstLine="720"/>
              <w:jc w:val="both"/>
              <w:rPr>
                <w:b/>
                <w:bCs/>
                <w:color w:val="000000"/>
                <w:sz w:val="22"/>
              </w:rPr>
            </w:pPr>
            <w:r w:rsidRPr="00401331">
              <w:rPr>
                <w:color w:val="000000"/>
                <w:sz w:val="22"/>
              </w:rPr>
              <w:t>"</w:t>
            </w:r>
            <w:r w:rsidRPr="00401331">
              <w:rPr>
                <w:b/>
                <w:bCs/>
                <w:color w:val="000000"/>
                <w:sz w:val="22"/>
              </w:rPr>
              <w:t>46.</w:t>
            </w:r>
            <w:r w:rsidRPr="00401331">
              <w:rPr>
                <w:b/>
                <w:bCs/>
                <w:color w:val="000000"/>
                <w:sz w:val="22"/>
                <w:vertAlign w:val="superscript"/>
              </w:rPr>
              <w:t>1 </w:t>
            </w:r>
            <w:r w:rsidRPr="00401331">
              <w:rPr>
                <w:b/>
                <w:bCs/>
                <w:color w:val="000000"/>
                <w:sz w:val="22"/>
              </w:rPr>
              <w:t>pants. Studējošo un absolventu reģistrs</w:t>
            </w:r>
          </w:p>
          <w:p w:rsidR="00401331" w:rsidRPr="00401331" w:rsidRDefault="00401331" w:rsidP="00401331">
            <w:pPr>
              <w:autoSpaceDE w:val="0"/>
              <w:autoSpaceDN w:val="0"/>
              <w:adjustRightInd w:val="0"/>
              <w:ind w:firstLine="720"/>
              <w:jc w:val="both"/>
              <w:rPr>
                <w:color w:val="000000"/>
                <w:sz w:val="22"/>
              </w:rPr>
            </w:pPr>
            <w:r w:rsidRPr="00401331">
              <w:rPr>
                <w:color w:val="000000"/>
                <w:sz w:val="22"/>
              </w:rPr>
              <w:t xml:space="preserve">(1) Studējošo un absolventu reģistrs ir Valsts izglītības informācijas sistēmas sastāvdaļa. Studējošo un absolventu reģistrā ieraksta ziņas par studiju programmās studējošajiem un </w:t>
            </w:r>
            <w:r w:rsidRPr="0002504F">
              <w:rPr>
                <w:color w:val="000000"/>
                <w:sz w:val="22"/>
                <w:u w:val="single"/>
              </w:rPr>
              <w:t>doktora zinātniskā grāda pretendentiem</w:t>
            </w:r>
            <w:r w:rsidRPr="00401331">
              <w:rPr>
                <w:color w:val="000000"/>
                <w:sz w:val="22"/>
              </w:rPr>
              <w:t>. Reģistrā iekļauj arī nepersonificētus statistikas datus par absolventu nodarbinātību un ienākumiem.</w:t>
            </w:r>
          </w:p>
          <w:p w:rsidR="00401331" w:rsidRPr="00401331" w:rsidRDefault="00401331" w:rsidP="00401331">
            <w:pPr>
              <w:autoSpaceDE w:val="0"/>
              <w:autoSpaceDN w:val="0"/>
              <w:adjustRightInd w:val="0"/>
              <w:ind w:firstLine="720"/>
              <w:jc w:val="both"/>
              <w:rPr>
                <w:color w:val="000000"/>
                <w:sz w:val="22"/>
              </w:rPr>
            </w:pPr>
            <w:r w:rsidRPr="00401331">
              <w:rPr>
                <w:color w:val="000000"/>
                <w:sz w:val="22"/>
              </w:rPr>
              <w:t xml:space="preserve">(2) Datus studējošo un absolventu reģistram par studējošajiem un </w:t>
            </w:r>
            <w:r w:rsidRPr="0002504F">
              <w:rPr>
                <w:color w:val="000000"/>
                <w:sz w:val="22"/>
                <w:u w:val="single"/>
              </w:rPr>
              <w:t>doktora zinātniskā grāda pretendentiem</w:t>
            </w:r>
            <w:r w:rsidRPr="00401331">
              <w:rPr>
                <w:color w:val="000000"/>
                <w:sz w:val="22"/>
              </w:rPr>
              <w:t xml:space="preserve"> sniedz augstskolas un koledžas. Augstskolas rektors vai koledžas direktors ir atbildīgs par studējošo un absolventu reģistram sniegto datu precizitāti un atbilstību īstenībai.</w:t>
            </w:r>
          </w:p>
          <w:p w:rsidR="00401331" w:rsidRPr="00401331" w:rsidRDefault="00401331" w:rsidP="00401331">
            <w:pPr>
              <w:autoSpaceDE w:val="0"/>
              <w:autoSpaceDN w:val="0"/>
              <w:adjustRightInd w:val="0"/>
              <w:ind w:firstLine="720"/>
              <w:jc w:val="both"/>
              <w:rPr>
                <w:color w:val="000000"/>
                <w:sz w:val="22"/>
              </w:rPr>
            </w:pPr>
            <w:r w:rsidRPr="00401331">
              <w:rPr>
                <w:color w:val="000000"/>
                <w:sz w:val="22"/>
              </w:rPr>
              <w:t>(3) Nepersonificētus statistikas datus par absolventu nodarbinātību un ienākumiem studējošo un absolventu reģistram sniedz Valsts ieņēmumu dienests. Nepersonificētus statistikas datus par absolventiem, kuriem ir piešķirts bezdarbnieka vai darba meklētāja statuss, studējošo un absolventu reģistram sniedz Nodarbinātības valsts aģentūra.</w:t>
            </w:r>
          </w:p>
          <w:p w:rsidR="00401331" w:rsidRPr="00401331" w:rsidRDefault="00401331" w:rsidP="00401331">
            <w:pPr>
              <w:ind w:firstLine="567"/>
              <w:jc w:val="both"/>
              <w:rPr>
                <w:spacing w:val="-2"/>
                <w:sz w:val="22"/>
              </w:rPr>
            </w:pPr>
            <w:r w:rsidRPr="00401331">
              <w:rPr>
                <w:color w:val="000000"/>
                <w:sz w:val="22"/>
              </w:rPr>
              <w:t xml:space="preserve">(4) Studējošo un absolventu reģistram iesniedzamās informācijas apjomu un informācijas iesniegšanas </w:t>
            </w:r>
            <w:r w:rsidRPr="0002504F">
              <w:rPr>
                <w:color w:val="000000"/>
                <w:sz w:val="22"/>
                <w:u w:val="single"/>
              </w:rPr>
              <w:t>kārtību</w:t>
            </w:r>
            <w:r w:rsidRPr="00401331">
              <w:rPr>
                <w:color w:val="000000"/>
                <w:sz w:val="22"/>
              </w:rPr>
              <w:t xml:space="preserve"> nosaka Ministru kabinets."</w:t>
            </w:r>
          </w:p>
        </w:tc>
        <w:tc>
          <w:tcPr>
            <w:tcW w:w="567" w:type="dxa"/>
          </w:tcPr>
          <w:p w:rsidR="00401331" w:rsidRDefault="0002504F" w:rsidP="001A7D73">
            <w:pPr>
              <w:jc w:val="center"/>
              <w:rPr>
                <w:b/>
                <w:sz w:val="22"/>
              </w:rPr>
            </w:pPr>
            <w:r>
              <w:rPr>
                <w:b/>
                <w:sz w:val="22"/>
              </w:rPr>
              <w:lastRenderedPageBreak/>
              <w:t>3</w:t>
            </w: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r>
              <w:rPr>
                <w:b/>
                <w:sz w:val="22"/>
              </w:rPr>
              <w:lastRenderedPageBreak/>
              <w:t>4</w:t>
            </w: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r>
              <w:rPr>
                <w:b/>
                <w:sz w:val="22"/>
              </w:rPr>
              <w:t>5</w:t>
            </w: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Pr="00035F85" w:rsidRDefault="0002504F" w:rsidP="001A7D73">
            <w:pPr>
              <w:jc w:val="center"/>
              <w:rPr>
                <w:b/>
                <w:sz w:val="22"/>
              </w:rPr>
            </w:pPr>
            <w:r>
              <w:rPr>
                <w:b/>
                <w:sz w:val="22"/>
              </w:rPr>
              <w:t>6</w:t>
            </w:r>
          </w:p>
        </w:tc>
        <w:tc>
          <w:tcPr>
            <w:tcW w:w="3960" w:type="dxa"/>
          </w:tcPr>
          <w:p w:rsidR="0002504F" w:rsidRPr="0002504F" w:rsidRDefault="0002504F" w:rsidP="0002504F">
            <w:pPr>
              <w:tabs>
                <w:tab w:val="left" w:pos="472"/>
                <w:tab w:val="left" w:pos="1134"/>
              </w:tabs>
              <w:ind w:firstLine="567"/>
              <w:jc w:val="both"/>
              <w:rPr>
                <w:b/>
                <w:sz w:val="22"/>
                <w:u w:val="single"/>
              </w:rPr>
            </w:pPr>
            <w:r w:rsidRPr="0002504F">
              <w:rPr>
                <w:b/>
                <w:sz w:val="22"/>
                <w:u w:val="single"/>
              </w:rPr>
              <w:lastRenderedPageBreak/>
              <w:t>Izglītības un zinātnes ministrs K.Šadurskis</w:t>
            </w:r>
          </w:p>
          <w:p w:rsidR="0002504F" w:rsidRPr="0002504F" w:rsidRDefault="0002504F" w:rsidP="0002504F">
            <w:pPr>
              <w:widowControl w:val="0"/>
              <w:autoSpaceDE w:val="0"/>
              <w:autoSpaceDN w:val="0"/>
              <w:adjustRightInd w:val="0"/>
              <w:ind w:firstLine="567"/>
              <w:jc w:val="both"/>
              <w:rPr>
                <w:i/>
                <w:sz w:val="22"/>
              </w:rPr>
            </w:pPr>
            <w:r w:rsidRPr="0002504F">
              <w:rPr>
                <w:sz w:val="22"/>
              </w:rPr>
              <w:t>Izteikt likumprojekta pantu, kas paredz Augstskolu likumu papildināt ar 46.</w:t>
            </w:r>
            <w:r w:rsidRPr="0002504F">
              <w:rPr>
                <w:sz w:val="22"/>
                <w:vertAlign w:val="superscript"/>
              </w:rPr>
              <w:t>1</w:t>
            </w:r>
            <w:r w:rsidRPr="0002504F">
              <w:rPr>
                <w:sz w:val="22"/>
              </w:rPr>
              <w:t xml:space="preserve"> pantu, kā likumprojekta 1.pantu.</w:t>
            </w:r>
          </w:p>
          <w:p w:rsidR="0002504F" w:rsidRDefault="0002504F" w:rsidP="0002504F">
            <w:pPr>
              <w:ind w:firstLine="567"/>
              <w:jc w:val="both"/>
              <w:rPr>
                <w:b/>
                <w:sz w:val="22"/>
                <w:u w:val="single"/>
              </w:rPr>
            </w:pPr>
          </w:p>
          <w:p w:rsidR="00401331" w:rsidRPr="0002504F" w:rsidRDefault="00C751DF" w:rsidP="0002504F">
            <w:pPr>
              <w:ind w:firstLine="567"/>
              <w:jc w:val="both"/>
              <w:rPr>
                <w:b/>
                <w:sz w:val="22"/>
                <w:u w:val="single"/>
              </w:rPr>
            </w:pPr>
            <w:r w:rsidRPr="0002504F">
              <w:rPr>
                <w:b/>
                <w:sz w:val="22"/>
                <w:u w:val="single"/>
              </w:rPr>
              <w:lastRenderedPageBreak/>
              <w:t>Deputāts J.Upenieks</w:t>
            </w:r>
          </w:p>
          <w:p w:rsidR="00C751DF" w:rsidRPr="0002504F" w:rsidRDefault="00C751DF" w:rsidP="0002504F">
            <w:pPr>
              <w:ind w:firstLine="567"/>
              <w:jc w:val="both"/>
              <w:rPr>
                <w:sz w:val="22"/>
              </w:rPr>
            </w:pPr>
            <w:r w:rsidRPr="0002504F">
              <w:rPr>
                <w:sz w:val="22"/>
              </w:rPr>
              <w:t xml:space="preserve">Izteikt likuma 46.1 pantu šādā redakcijā: </w:t>
            </w:r>
          </w:p>
          <w:p w:rsidR="00C751DF" w:rsidRPr="0002504F" w:rsidRDefault="00C751DF" w:rsidP="0002504F">
            <w:pPr>
              <w:widowControl w:val="0"/>
              <w:autoSpaceDE w:val="0"/>
              <w:autoSpaceDN w:val="0"/>
              <w:adjustRightInd w:val="0"/>
              <w:ind w:firstLine="567"/>
              <w:jc w:val="both"/>
              <w:rPr>
                <w:sz w:val="22"/>
              </w:rPr>
            </w:pPr>
            <w:r w:rsidRPr="0002504F">
              <w:rPr>
                <w:sz w:val="22"/>
              </w:rPr>
              <w:t>"</w:t>
            </w:r>
            <w:r w:rsidRPr="0002504F">
              <w:rPr>
                <w:b/>
                <w:bCs/>
                <w:sz w:val="22"/>
              </w:rPr>
              <w:t>46.</w:t>
            </w:r>
            <w:r w:rsidRPr="0002504F">
              <w:rPr>
                <w:b/>
                <w:bCs/>
                <w:sz w:val="22"/>
                <w:vertAlign w:val="superscript"/>
              </w:rPr>
              <w:t>1 </w:t>
            </w:r>
            <w:r w:rsidRPr="0002504F">
              <w:rPr>
                <w:b/>
                <w:bCs/>
                <w:sz w:val="22"/>
              </w:rPr>
              <w:t>pants. Studējošo un absolventu reģistrs</w:t>
            </w:r>
          </w:p>
          <w:p w:rsidR="00C751DF" w:rsidRPr="0002504F" w:rsidRDefault="00C751DF" w:rsidP="0002504F">
            <w:pPr>
              <w:widowControl w:val="0"/>
              <w:autoSpaceDE w:val="0"/>
              <w:autoSpaceDN w:val="0"/>
              <w:adjustRightInd w:val="0"/>
              <w:ind w:firstLine="567"/>
              <w:jc w:val="both"/>
              <w:rPr>
                <w:color w:val="262626"/>
                <w:sz w:val="22"/>
              </w:rPr>
            </w:pPr>
            <w:r w:rsidRPr="0002504F">
              <w:rPr>
                <w:sz w:val="22"/>
              </w:rPr>
              <w:t xml:space="preserve">(1) Studējošo un absolventu reģistrs ir Valsts izglītības informācijas sistēmas sastāvdaļa. Studējošo un absolventu reģistrā ieraksta ziņas par studiju programmās studējošajiem un doktora zinātniskā grāda pretendentiem. Reģistrā iekļauj arī nepersonificētus statistikas datus par absolventu nodarbinātību, ienākumiem </w:t>
            </w:r>
            <w:r w:rsidRPr="0002504F">
              <w:rPr>
                <w:sz w:val="22"/>
                <w:u w:val="single"/>
              </w:rPr>
              <w:t>un komersantiem, kuros studējošie un absolventi ir dibinātāji vai dalībnieki.</w:t>
            </w:r>
          </w:p>
          <w:p w:rsidR="00C751DF" w:rsidRPr="0002504F" w:rsidRDefault="00C751DF" w:rsidP="0002504F">
            <w:pPr>
              <w:widowControl w:val="0"/>
              <w:autoSpaceDE w:val="0"/>
              <w:autoSpaceDN w:val="0"/>
              <w:adjustRightInd w:val="0"/>
              <w:ind w:firstLine="567"/>
              <w:jc w:val="both"/>
              <w:rPr>
                <w:sz w:val="22"/>
              </w:rPr>
            </w:pPr>
            <w:r w:rsidRPr="0002504F">
              <w:rPr>
                <w:sz w:val="22"/>
              </w:rPr>
              <w:t>(2) Datus studējošo un absolventu reģistram par studējošajiem un doktora zinātniskā grāda pretendentiem sniedz augstskolas un koledžas. Augstskolas rektors vai koledžas direktors ir atbildīgs par studējošo un absolventu reģistram sniegto datu precizitāti un atbilstību īstenībai.</w:t>
            </w:r>
          </w:p>
          <w:p w:rsidR="00C751DF" w:rsidRPr="0002504F" w:rsidRDefault="00C751DF" w:rsidP="0002504F">
            <w:pPr>
              <w:widowControl w:val="0"/>
              <w:autoSpaceDE w:val="0"/>
              <w:autoSpaceDN w:val="0"/>
              <w:adjustRightInd w:val="0"/>
              <w:ind w:firstLine="567"/>
              <w:jc w:val="both"/>
              <w:rPr>
                <w:sz w:val="22"/>
              </w:rPr>
            </w:pPr>
            <w:r w:rsidRPr="0002504F">
              <w:rPr>
                <w:sz w:val="22"/>
              </w:rPr>
              <w:t xml:space="preserve">(3) Nepersonificētus statistikas datus par absolventu nodarbinātību un ienākumiem studējošo un absolventu reģistram sniedz Valsts ieņēmumu dienests. Nepersonificētus statistikas datus par absolventiem, kuriem ir piešķirts bezdarbnieka vai darba meklētāja statuss, studējošo un absolventu reģistram sniedz Nodarbinātības valsts aģentūra. </w:t>
            </w:r>
            <w:r w:rsidRPr="0002504F">
              <w:rPr>
                <w:sz w:val="22"/>
                <w:u w:val="single"/>
              </w:rPr>
              <w:t xml:space="preserve">Nepersonificētus statistikas datus par studējošajiem un absolventiem, kuri pēdējo 3 gadu laikā ir kļuvuši par komercsabiedrību dibinātājiem vai </w:t>
            </w:r>
            <w:r w:rsidRPr="0002504F">
              <w:rPr>
                <w:sz w:val="22"/>
                <w:u w:val="single"/>
              </w:rPr>
              <w:lastRenderedPageBreak/>
              <w:t>dalībniekiem, studējošo un absolventu reģistram sniedz Uzņēmumu reģistrs.</w:t>
            </w:r>
          </w:p>
          <w:p w:rsidR="00C751DF" w:rsidRPr="0002504F" w:rsidRDefault="00C751DF" w:rsidP="0002504F">
            <w:pPr>
              <w:widowControl w:val="0"/>
              <w:autoSpaceDE w:val="0"/>
              <w:autoSpaceDN w:val="0"/>
              <w:adjustRightInd w:val="0"/>
              <w:ind w:firstLine="567"/>
              <w:jc w:val="both"/>
              <w:rPr>
                <w:sz w:val="22"/>
              </w:rPr>
            </w:pPr>
            <w:r w:rsidRPr="0002504F">
              <w:rPr>
                <w:sz w:val="22"/>
              </w:rPr>
              <w:t>(4) Studējošo un absolventu reģistram iesniedzamās informācijas apjomu un informācijas iesniegšanas kārtību nosaka Ministru kabinets.</w:t>
            </w:r>
          </w:p>
          <w:p w:rsidR="00C751DF" w:rsidRPr="0002504F" w:rsidRDefault="00C751DF" w:rsidP="0002504F">
            <w:pPr>
              <w:widowControl w:val="0"/>
              <w:autoSpaceDE w:val="0"/>
              <w:autoSpaceDN w:val="0"/>
              <w:adjustRightInd w:val="0"/>
              <w:ind w:firstLine="567"/>
              <w:jc w:val="both"/>
              <w:rPr>
                <w:sz w:val="22"/>
                <w:u w:val="single"/>
              </w:rPr>
            </w:pPr>
            <w:r w:rsidRPr="0002504F">
              <w:rPr>
                <w:sz w:val="22"/>
                <w:u w:val="single"/>
              </w:rPr>
              <w:t>(5) Valsts reģistru turētāji nodrošina studējošo un absolventu reģistrā iekļaujamo datu par studējošajiem un absolventiem pieejamību arī augstskolām.”</w:t>
            </w:r>
          </w:p>
          <w:p w:rsidR="00E535C7" w:rsidRPr="0002504F" w:rsidRDefault="00E535C7" w:rsidP="0002504F">
            <w:pPr>
              <w:widowControl w:val="0"/>
              <w:autoSpaceDE w:val="0"/>
              <w:autoSpaceDN w:val="0"/>
              <w:adjustRightInd w:val="0"/>
              <w:ind w:firstLine="567"/>
              <w:jc w:val="both"/>
              <w:rPr>
                <w:i/>
                <w:sz w:val="22"/>
              </w:rPr>
            </w:pPr>
          </w:p>
          <w:p w:rsidR="00E535C7" w:rsidRPr="0002504F" w:rsidRDefault="00E535C7" w:rsidP="0002504F">
            <w:pPr>
              <w:tabs>
                <w:tab w:val="left" w:pos="472"/>
                <w:tab w:val="left" w:pos="1134"/>
              </w:tabs>
              <w:ind w:firstLine="567"/>
              <w:jc w:val="both"/>
              <w:rPr>
                <w:b/>
                <w:sz w:val="22"/>
                <w:u w:val="single"/>
              </w:rPr>
            </w:pPr>
            <w:r w:rsidRPr="0002504F">
              <w:rPr>
                <w:b/>
                <w:sz w:val="22"/>
                <w:u w:val="single"/>
              </w:rPr>
              <w:t>Izglītības un zinātnes ministrs K.Šadurskis</w:t>
            </w:r>
          </w:p>
          <w:p w:rsidR="00E535C7" w:rsidRPr="0002504F" w:rsidRDefault="00E535C7" w:rsidP="0002504F">
            <w:pPr>
              <w:widowControl w:val="0"/>
              <w:autoSpaceDE w:val="0"/>
              <w:autoSpaceDN w:val="0"/>
              <w:adjustRightInd w:val="0"/>
              <w:ind w:firstLine="567"/>
              <w:jc w:val="both"/>
              <w:rPr>
                <w:sz w:val="22"/>
                <w:u w:val="single"/>
              </w:rPr>
            </w:pPr>
            <w:r w:rsidRPr="0002504F">
              <w:rPr>
                <w:sz w:val="22"/>
              </w:rPr>
              <w:t>Aizstāt likumprojektā ietvertajā  likuma 46.</w:t>
            </w:r>
            <w:r w:rsidRPr="0002504F">
              <w:rPr>
                <w:sz w:val="22"/>
                <w:vertAlign w:val="superscript"/>
              </w:rPr>
              <w:t>1</w:t>
            </w:r>
            <w:r w:rsidRPr="0002504F">
              <w:rPr>
                <w:sz w:val="22"/>
              </w:rPr>
              <w:t xml:space="preserve"> panta pirmajā un otrajā daļā vārdus “doktora zinātniskā grāda pretendentiem” ar vārdiem “</w:t>
            </w:r>
            <w:r w:rsidRPr="0002504F">
              <w:rPr>
                <w:sz w:val="22"/>
                <w:u w:val="single"/>
              </w:rPr>
              <w:t>personām, kuras ieguvušas doktora zinātnisko grādu”’.</w:t>
            </w:r>
          </w:p>
          <w:p w:rsidR="0002504F" w:rsidRPr="0002504F" w:rsidRDefault="0002504F" w:rsidP="0002504F">
            <w:pPr>
              <w:widowControl w:val="0"/>
              <w:autoSpaceDE w:val="0"/>
              <w:autoSpaceDN w:val="0"/>
              <w:adjustRightInd w:val="0"/>
              <w:ind w:firstLine="567"/>
              <w:jc w:val="both"/>
              <w:rPr>
                <w:i/>
                <w:sz w:val="22"/>
              </w:rPr>
            </w:pPr>
          </w:p>
          <w:p w:rsidR="00E535C7" w:rsidRPr="0002504F" w:rsidRDefault="00E535C7" w:rsidP="0002504F">
            <w:pPr>
              <w:tabs>
                <w:tab w:val="left" w:pos="472"/>
                <w:tab w:val="left" w:pos="1134"/>
              </w:tabs>
              <w:ind w:firstLine="567"/>
              <w:jc w:val="both"/>
              <w:rPr>
                <w:b/>
                <w:sz w:val="22"/>
                <w:u w:val="single"/>
              </w:rPr>
            </w:pPr>
            <w:r w:rsidRPr="0002504F">
              <w:rPr>
                <w:b/>
                <w:sz w:val="22"/>
                <w:u w:val="single"/>
              </w:rPr>
              <w:t>Izglītības un zinātnes ministrs K.Šadurskis</w:t>
            </w:r>
          </w:p>
          <w:p w:rsidR="00E535C7" w:rsidRPr="0002504F" w:rsidRDefault="00E535C7" w:rsidP="0002504F">
            <w:pPr>
              <w:widowControl w:val="0"/>
              <w:tabs>
                <w:tab w:val="left" w:pos="1276"/>
              </w:tabs>
              <w:ind w:firstLine="567"/>
              <w:jc w:val="both"/>
              <w:rPr>
                <w:i/>
                <w:sz w:val="22"/>
              </w:rPr>
            </w:pPr>
            <w:r w:rsidRPr="0002504F">
              <w:rPr>
                <w:sz w:val="22"/>
              </w:rPr>
              <w:t>Papildināt likumprojektā ietvertā likuma 46.</w:t>
            </w:r>
            <w:r w:rsidRPr="0002504F">
              <w:rPr>
                <w:sz w:val="22"/>
                <w:vertAlign w:val="superscript"/>
              </w:rPr>
              <w:t>1</w:t>
            </w:r>
            <w:r w:rsidRPr="0002504F">
              <w:rPr>
                <w:sz w:val="22"/>
              </w:rPr>
              <w:t xml:space="preserve"> panta ceturto daļu pēc vārda “kārtību” ar vārdiem “,</w:t>
            </w:r>
            <w:r w:rsidRPr="0002504F">
              <w:rPr>
                <w:sz w:val="22"/>
                <w:u w:val="single"/>
              </w:rPr>
              <w:t>kā arī publiski pieejamās informācijas apjomu un publiskošanas kārtību”.</w:t>
            </w:r>
          </w:p>
        </w:tc>
        <w:tc>
          <w:tcPr>
            <w:tcW w:w="1420" w:type="dxa"/>
          </w:tcPr>
          <w:p w:rsidR="00401331" w:rsidRPr="00035F85" w:rsidRDefault="00401331" w:rsidP="001A7D73">
            <w:pPr>
              <w:jc w:val="center"/>
              <w:rPr>
                <w:sz w:val="22"/>
              </w:rPr>
            </w:pPr>
          </w:p>
        </w:tc>
        <w:tc>
          <w:tcPr>
            <w:tcW w:w="1420" w:type="dxa"/>
          </w:tcPr>
          <w:p w:rsidR="00401331" w:rsidRPr="00035F85" w:rsidRDefault="00401331" w:rsidP="001A7D73">
            <w:pPr>
              <w:jc w:val="center"/>
              <w:rPr>
                <w:sz w:val="22"/>
              </w:rPr>
            </w:pPr>
          </w:p>
        </w:tc>
      </w:tr>
      <w:tr w:rsidR="00E535C7" w:rsidRPr="00035F85" w:rsidTr="001A7D73">
        <w:tc>
          <w:tcPr>
            <w:tcW w:w="3960" w:type="dxa"/>
          </w:tcPr>
          <w:p w:rsidR="0002504F" w:rsidRPr="0002504F" w:rsidRDefault="0002504F" w:rsidP="0002504F">
            <w:pPr>
              <w:pStyle w:val="tv213"/>
              <w:spacing w:before="0" w:beforeAutospacing="0" w:after="0" w:afterAutospacing="0"/>
              <w:ind w:firstLine="454"/>
              <w:jc w:val="both"/>
              <w:rPr>
                <w:sz w:val="22"/>
                <w:szCs w:val="22"/>
              </w:rPr>
            </w:pPr>
            <w:r w:rsidRPr="0002504F">
              <w:rPr>
                <w:b/>
                <w:bCs/>
                <w:sz w:val="22"/>
                <w:szCs w:val="22"/>
              </w:rPr>
              <w:lastRenderedPageBreak/>
              <w:t>75.pants. Pārskats par augstskolas un koledžas darbību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(1) Augstskolu un koledžu, valsts un pašvaldību institūciju un sabiedrības sadarbības veicināšanai augstskola un koledža ik gadu sagatavo pārskatu par savu darbību pārskata gadā (gadagrāmatu), kas kā atsevišķs izdevums publicējams tās mājaslapā internetā.</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(2) Augstskola un koledža Ministru kabineta noteiktajā kārtībā un termiņā iesniedz Izglītības un zinātnes ministrijai informāciju par savu darbību, ietverot tajā datus par:</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1) augstskolas un koledžas struktūru;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2) studējošo un pārējā augstskolas un koledžas personāla skaitu un sastāvu;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3) studiju iespējām un uzņemto studentu skaitu un sastāvu;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4) studiju kursu, studiju moduļu, studiju programmu piedāvājumu, kā arī informāciju par studiju virzieniem;</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5) valsts budžeta līdzekļu sadalījumu un izlietojumu;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6) saimniecisko darbību, pašu ieņēmumiem un to izlietojumu;</w:t>
            </w:r>
          </w:p>
          <w:p w:rsidR="0002504F" w:rsidRPr="0002504F" w:rsidRDefault="0002504F" w:rsidP="0002504F">
            <w:pPr>
              <w:pStyle w:val="tv213"/>
              <w:spacing w:before="0" w:beforeAutospacing="0" w:after="0" w:afterAutospacing="0"/>
              <w:ind w:firstLine="454"/>
              <w:jc w:val="both"/>
              <w:rPr>
                <w:sz w:val="22"/>
                <w:szCs w:val="22"/>
              </w:rPr>
            </w:pPr>
            <w:r w:rsidRPr="0002504F">
              <w:rPr>
                <w:sz w:val="22"/>
                <w:szCs w:val="22"/>
              </w:rPr>
              <w:t>7) starptautiskajiem sakariem;</w:t>
            </w:r>
          </w:p>
          <w:p w:rsidR="00E535C7" w:rsidRPr="00D822B4" w:rsidRDefault="0002504F" w:rsidP="0002504F">
            <w:pPr>
              <w:pStyle w:val="tv213"/>
              <w:spacing w:before="0" w:beforeAutospacing="0" w:after="0" w:afterAutospacing="0"/>
              <w:ind w:firstLine="454"/>
              <w:jc w:val="both"/>
              <w:rPr>
                <w:sz w:val="22"/>
                <w:u w:val="single"/>
              </w:rPr>
            </w:pPr>
            <w:r w:rsidRPr="00D822B4">
              <w:rPr>
                <w:sz w:val="22"/>
                <w:szCs w:val="22"/>
                <w:u w:val="single"/>
              </w:rPr>
              <w:t>8) kā arī ziņas par absolventu tālākajām darba gaitām nākamajos trijos gados pēc attiecīgās augstskolas vai koledžas studiju programmas pabeigšanas.</w:t>
            </w:r>
          </w:p>
        </w:tc>
        <w:tc>
          <w:tcPr>
            <w:tcW w:w="3960" w:type="dxa"/>
          </w:tcPr>
          <w:p w:rsidR="00E535C7" w:rsidRPr="00401331" w:rsidRDefault="00E535C7" w:rsidP="00401331">
            <w:pPr>
              <w:autoSpaceDE w:val="0"/>
              <w:autoSpaceDN w:val="0"/>
              <w:adjustRightInd w:val="0"/>
              <w:ind w:firstLine="720"/>
              <w:jc w:val="both"/>
              <w:rPr>
                <w:color w:val="000000"/>
                <w:sz w:val="22"/>
              </w:rPr>
            </w:pPr>
          </w:p>
        </w:tc>
        <w:tc>
          <w:tcPr>
            <w:tcW w:w="567" w:type="dxa"/>
          </w:tcPr>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02504F" w:rsidRDefault="0002504F" w:rsidP="001A7D73">
            <w:pPr>
              <w:jc w:val="center"/>
              <w:rPr>
                <w:b/>
                <w:sz w:val="22"/>
              </w:rPr>
            </w:pPr>
          </w:p>
          <w:p w:rsidR="00E535C7" w:rsidRPr="00035F85" w:rsidRDefault="0002504F" w:rsidP="001A7D73">
            <w:pPr>
              <w:jc w:val="center"/>
              <w:rPr>
                <w:b/>
                <w:sz w:val="22"/>
              </w:rPr>
            </w:pPr>
            <w:r>
              <w:rPr>
                <w:b/>
                <w:sz w:val="22"/>
              </w:rPr>
              <w:t>7</w:t>
            </w:r>
          </w:p>
        </w:tc>
        <w:tc>
          <w:tcPr>
            <w:tcW w:w="3960" w:type="dxa"/>
          </w:tcPr>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02504F" w:rsidRDefault="0002504F" w:rsidP="0002504F">
            <w:pPr>
              <w:tabs>
                <w:tab w:val="left" w:pos="472"/>
                <w:tab w:val="left" w:pos="1134"/>
              </w:tabs>
              <w:ind w:firstLine="567"/>
              <w:jc w:val="both"/>
              <w:rPr>
                <w:b/>
                <w:sz w:val="22"/>
                <w:u w:val="single"/>
              </w:rPr>
            </w:pPr>
          </w:p>
          <w:p w:rsidR="00E535C7" w:rsidRPr="0002504F" w:rsidRDefault="00E535C7" w:rsidP="0002504F">
            <w:pPr>
              <w:tabs>
                <w:tab w:val="left" w:pos="472"/>
                <w:tab w:val="left" w:pos="1134"/>
              </w:tabs>
              <w:ind w:firstLine="567"/>
              <w:jc w:val="both"/>
              <w:rPr>
                <w:b/>
                <w:sz w:val="22"/>
                <w:u w:val="single"/>
              </w:rPr>
            </w:pPr>
            <w:r w:rsidRPr="0002504F">
              <w:rPr>
                <w:b/>
                <w:sz w:val="22"/>
                <w:u w:val="single"/>
              </w:rPr>
              <w:t>Izglītības un zinātnes ministrs K.Šadurskis</w:t>
            </w:r>
          </w:p>
          <w:p w:rsidR="00E535C7" w:rsidRPr="0002504F" w:rsidRDefault="00E535C7" w:rsidP="0002504F">
            <w:pPr>
              <w:pStyle w:val="ListParagraph"/>
              <w:tabs>
                <w:tab w:val="left" w:pos="1515"/>
              </w:tabs>
              <w:spacing w:after="0" w:line="240" w:lineRule="auto"/>
              <w:ind w:left="0" w:firstLine="567"/>
              <w:jc w:val="both"/>
              <w:rPr>
                <w:rFonts w:ascii="Times New Roman" w:hAnsi="Times New Roman"/>
              </w:rPr>
            </w:pPr>
            <w:r w:rsidRPr="0002504F">
              <w:rPr>
                <w:rFonts w:ascii="Times New Roman" w:hAnsi="Times New Roman"/>
              </w:rPr>
              <w:t>Papildināt likumprojektu ar 2.pantu šādā redakcijā:</w:t>
            </w:r>
          </w:p>
          <w:p w:rsidR="00E535C7" w:rsidRPr="0002504F" w:rsidRDefault="00E535C7" w:rsidP="0002504F">
            <w:pPr>
              <w:ind w:firstLine="567"/>
              <w:jc w:val="both"/>
              <w:rPr>
                <w:i/>
                <w:sz w:val="22"/>
              </w:rPr>
            </w:pPr>
            <w:r w:rsidRPr="0002504F">
              <w:rPr>
                <w:sz w:val="22"/>
              </w:rPr>
              <w:t>“2. Izslēgt 75.panta otrās daļas 8.punktu.”.</w:t>
            </w:r>
          </w:p>
        </w:tc>
        <w:tc>
          <w:tcPr>
            <w:tcW w:w="1420" w:type="dxa"/>
          </w:tcPr>
          <w:p w:rsidR="00E535C7" w:rsidRPr="00035F85" w:rsidRDefault="00E535C7" w:rsidP="001A7D73">
            <w:pPr>
              <w:jc w:val="center"/>
              <w:rPr>
                <w:sz w:val="22"/>
              </w:rPr>
            </w:pPr>
          </w:p>
        </w:tc>
        <w:tc>
          <w:tcPr>
            <w:tcW w:w="1420" w:type="dxa"/>
          </w:tcPr>
          <w:p w:rsidR="00E535C7" w:rsidRPr="00035F85" w:rsidRDefault="00E535C7" w:rsidP="001A7D73">
            <w:pPr>
              <w:jc w:val="center"/>
              <w:rPr>
                <w:sz w:val="22"/>
              </w:rPr>
            </w:pPr>
          </w:p>
        </w:tc>
      </w:tr>
      <w:tr w:rsidR="00E535C7" w:rsidRPr="00035F85" w:rsidTr="001A7D73">
        <w:tc>
          <w:tcPr>
            <w:tcW w:w="3960" w:type="dxa"/>
          </w:tcPr>
          <w:p w:rsidR="00D822B4" w:rsidRPr="00D822B4" w:rsidRDefault="00D822B4" w:rsidP="00D822B4">
            <w:pPr>
              <w:pStyle w:val="tv213"/>
              <w:spacing w:before="0" w:beforeAutospacing="0" w:after="0" w:afterAutospacing="0"/>
              <w:ind w:firstLine="595"/>
              <w:jc w:val="both"/>
              <w:rPr>
                <w:sz w:val="22"/>
                <w:szCs w:val="22"/>
              </w:rPr>
            </w:pPr>
            <w:r w:rsidRPr="00D822B4">
              <w:rPr>
                <w:b/>
                <w:bCs/>
                <w:sz w:val="22"/>
                <w:szCs w:val="22"/>
              </w:rPr>
              <w:t xml:space="preserve">78.pants. Valsts finansējums </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(1) Valsts dibinātās augstskolas saņem šādu finansējumu:</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1) no valsts pamatbudžeta izglītībai — optimālajam studiju programmu sarakstam un studējošo skaitam atbilstošu bāzes finansējumu, kas ietver līdzekļus komunālajiem maksājumiem, nodokļiem, infrastruktūras uzturēšanai, inventāra un iekārtu iegādei, zinātniskās pētniecības vai mākslinieciskās jaunrades darbam un personāla algām;</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2) no maksas par studijām, kuru sedz valsts vai kura tiek saņemta atmaksājamu vai neatmaksājamu kredītu veidā saskaņā ar Ministru kabineta noteikumiem par studiju kreditēšanu;</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3) no līdzekļiem, kas paredzēti noteiktu mērķu realizācijai.</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(2) Valsts finansiāli un materiāli nodrošina augstskolas tādā apjomā, kas garantē augstākās izglītības un zinātnes potenciāla atražošanu tajās un veicina kultūras un izglītības līmeņa celšanos Latvijā.</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(3) Valsts dibinātās augstskolas var saņemt papildu finansējumu no citiem zinātnes finansēšanas avotiem.</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(4) Izglītības un zinātnes ministrija, citas ministrijas un valsts institūcijas var slēgt līgumus ar valsts akreditētām citu juridisko un fizisko personu dibinātajām augstskolām par noteiktu speciālistu sagatavošanu vai pētījumu veikšanu, piešķirot attiecīgu valsts finansējumu. Jebkura valsts institūcija un privātstruktūra var patstāvīgi slēgt līgumus ar augstskolām par noteiktu speciālistu sagatavošanu vai pētījumu veikšanu, maksājot no to rīcībā esošajiem līdzekļiem, ja tas nav pretrunā ar spēkā esošajiem likumdošanas aktiem.</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(5) Kā nodokļu maksātājas augstskolas un koledžas ir pielīdzināmas nodibinājumiem, un tām ir tiesības saņemt nodokļu atvieglojumus saskaņā ar spēkā esošajiem likumdošanas aktiem.</w:t>
            </w:r>
          </w:p>
          <w:p w:rsidR="00D822B4" w:rsidRPr="00D822B4" w:rsidRDefault="00D822B4" w:rsidP="00D822B4">
            <w:pPr>
              <w:pStyle w:val="tv213"/>
              <w:spacing w:before="0" w:beforeAutospacing="0" w:after="0" w:afterAutospacing="0"/>
              <w:ind w:firstLine="595"/>
              <w:jc w:val="both"/>
              <w:rPr>
                <w:sz w:val="22"/>
                <w:szCs w:val="22"/>
              </w:rPr>
            </w:pPr>
            <w:r w:rsidRPr="00D822B4">
              <w:rPr>
                <w:sz w:val="22"/>
                <w:szCs w:val="22"/>
              </w:rPr>
              <w:t>(6) Augstskolas ir atbrīvotas no muitas nodokļa un nodevām, kā arī no nodokļiem par rekonstrukcijas materiālu un aprīkojuma importu.</w:t>
            </w:r>
          </w:p>
          <w:p w:rsidR="00E535C7" w:rsidRPr="00035F85" w:rsidRDefault="00D822B4" w:rsidP="00D822B4">
            <w:pPr>
              <w:pStyle w:val="tv213"/>
              <w:spacing w:before="0" w:beforeAutospacing="0" w:after="0" w:afterAutospacing="0"/>
              <w:ind w:firstLine="595"/>
              <w:jc w:val="both"/>
              <w:rPr>
                <w:sz w:val="22"/>
              </w:rPr>
            </w:pPr>
            <w:r w:rsidRPr="00D822B4">
              <w:rPr>
                <w:sz w:val="22"/>
                <w:szCs w:val="22"/>
              </w:rPr>
              <w:t>(7) Ministru kabinets, iesniedzot Saeimai gadskārtējo valsts budžeta projektu, tajā paredz ikgadēju finansējuma pieaugumu studijām valsts dibinātās augstskolās ne mazāku par 0,25 procentiem no iekšzemes kopprodukta, līdz valsts piešķirtais finansējums studijām valsts dibinātās augstskolās sasniedz vismaz divus procentus no iekšzemes kopprodukta.</w:t>
            </w:r>
          </w:p>
        </w:tc>
        <w:tc>
          <w:tcPr>
            <w:tcW w:w="3960" w:type="dxa"/>
          </w:tcPr>
          <w:p w:rsidR="00E535C7" w:rsidRPr="00401331" w:rsidRDefault="00E535C7" w:rsidP="00401331">
            <w:pPr>
              <w:autoSpaceDE w:val="0"/>
              <w:autoSpaceDN w:val="0"/>
              <w:adjustRightInd w:val="0"/>
              <w:ind w:firstLine="720"/>
              <w:jc w:val="both"/>
              <w:rPr>
                <w:color w:val="000000"/>
                <w:sz w:val="22"/>
              </w:rPr>
            </w:pPr>
          </w:p>
        </w:tc>
        <w:tc>
          <w:tcPr>
            <w:tcW w:w="567" w:type="dxa"/>
          </w:tcPr>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D822B4" w:rsidRDefault="00D822B4" w:rsidP="001A7D73">
            <w:pPr>
              <w:jc w:val="center"/>
              <w:rPr>
                <w:b/>
                <w:sz w:val="22"/>
              </w:rPr>
            </w:pPr>
          </w:p>
          <w:p w:rsidR="00E535C7" w:rsidRPr="00035F85" w:rsidRDefault="0002504F" w:rsidP="001A7D73">
            <w:pPr>
              <w:jc w:val="center"/>
              <w:rPr>
                <w:b/>
                <w:sz w:val="22"/>
              </w:rPr>
            </w:pPr>
            <w:r>
              <w:rPr>
                <w:b/>
                <w:sz w:val="22"/>
              </w:rPr>
              <w:t>8</w:t>
            </w:r>
          </w:p>
        </w:tc>
        <w:tc>
          <w:tcPr>
            <w:tcW w:w="3960" w:type="dxa"/>
          </w:tcPr>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D822B4" w:rsidRDefault="00D822B4" w:rsidP="0002504F">
            <w:pPr>
              <w:tabs>
                <w:tab w:val="left" w:pos="472"/>
                <w:tab w:val="left" w:pos="1134"/>
              </w:tabs>
              <w:ind w:firstLine="567"/>
              <w:jc w:val="both"/>
              <w:rPr>
                <w:b/>
                <w:sz w:val="22"/>
                <w:u w:val="single"/>
              </w:rPr>
            </w:pPr>
          </w:p>
          <w:p w:rsidR="00E535C7" w:rsidRPr="0002504F" w:rsidRDefault="00E535C7" w:rsidP="0002504F">
            <w:pPr>
              <w:tabs>
                <w:tab w:val="left" w:pos="472"/>
                <w:tab w:val="left" w:pos="1134"/>
              </w:tabs>
              <w:ind w:firstLine="567"/>
              <w:jc w:val="both"/>
              <w:rPr>
                <w:b/>
                <w:sz w:val="22"/>
                <w:u w:val="single"/>
              </w:rPr>
            </w:pPr>
            <w:r w:rsidRPr="0002504F">
              <w:rPr>
                <w:b/>
                <w:sz w:val="22"/>
                <w:u w:val="single"/>
              </w:rPr>
              <w:t>Izglītības un zinātnes ministrs K.Šadurskis</w:t>
            </w:r>
          </w:p>
          <w:p w:rsidR="00E535C7" w:rsidRPr="0002504F" w:rsidRDefault="00E535C7" w:rsidP="0002504F">
            <w:pPr>
              <w:pStyle w:val="ListParagraph"/>
              <w:tabs>
                <w:tab w:val="left" w:pos="1515"/>
              </w:tabs>
              <w:spacing w:after="0" w:line="240" w:lineRule="auto"/>
              <w:ind w:left="0" w:firstLine="567"/>
              <w:jc w:val="both"/>
              <w:rPr>
                <w:rFonts w:ascii="Times New Roman" w:hAnsi="Times New Roman"/>
              </w:rPr>
            </w:pPr>
            <w:r w:rsidRPr="0002504F">
              <w:rPr>
                <w:rFonts w:ascii="Times New Roman" w:hAnsi="Times New Roman"/>
              </w:rPr>
              <w:t>Papildināt likumprojektu ar 3.pantu šādā redakcijā:</w:t>
            </w:r>
          </w:p>
          <w:p w:rsidR="00E535C7" w:rsidRPr="0002504F" w:rsidRDefault="00E535C7" w:rsidP="00D822B4">
            <w:pPr>
              <w:ind w:firstLine="567"/>
              <w:jc w:val="both"/>
              <w:rPr>
                <w:sz w:val="22"/>
              </w:rPr>
            </w:pPr>
            <w:r w:rsidRPr="0002504F">
              <w:rPr>
                <w:sz w:val="22"/>
              </w:rPr>
              <w:t>“3. Papildināt 78.pantu ar 2.</w:t>
            </w:r>
            <w:r w:rsidRPr="0002504F">
              <w:rPr>
                <w:sz w:val="22"/>
                <w:vertAlign w:val="superscript"/>
              </w:rPr>
              <w:t xml:space="preserve">1 </w:t>
            </w:r>
            <w:r w:rsidRPr="0002504F">
              <w:rPr>
                <w:sz w:val="22"/>
              </w:rPr>
              <w:t>daļu šādā redakcijā:</w:t>
            </w:r>
          </w:p>
          <w:p w:rsidR="00E535C7" w:rsidRPr="0002504F" w:rsidRDefault="00E535C7" w:rsidP="0002504F">
            <w:pPr>
              <w:ind w:firstLine="567"/>
              <w:jc w:val="both"/>
              <w:rPr>
                <w:i/>
                <w:sz w:val="22"/>
              </w:rPr>
            </w:pPr>
            <w:r w:rsidRPr="0002504F">
              <w:rPr>
                <w:sz w:val="22"/>
              </w:rPr>
              <w:t>“(2</w:t>
            </w:r>
            <w:r w:rsidRPr="0002504F">
              <w:rPr>
                <w:sz w:val="22"/>
                <w:vertAlign w:val="superscript"/>
              </w:rPr>
              <w:t>1</w:t>
            </w:r>
            <w:r w:rsidRPr="0002504F">
              <w:rPr>
                <w:sz w:val="22"/>
              </w:rPr>
              <w:t>) Valsts dibināto augstskolu un koledžu datu sniegšanu studējošo un absolventu reģistram saskaņā ar šā likuma 46.</w:t>
            </w:r>
            <w:r w:rsidRPr="0002504F">
              <w:rPr>
                <w:sz w:val="22"/>
                <w:vertAlign w:val="superscript"/>
              </w:rPr>
              <w:t>1</w:t>
            </w:r>
            <w:r w:rsidRPr="0002504F">
              <w:rPr>
                <w:sz w:val="22"/>
              </w:rPr>
              <w:t xml:space="preserve"> panta otro daļu finansē no valsts budžeta Ministru kabineta noteiktajā kārtībā.”</w:t>
            </w:r>
          </w:p>
        </w:tc>
        <w:tc>
          <w:tcPr>
            <w:tcW w:w="1420" w:type="dxa"/>
          </w:tcPr>
          <w:p w:rsidR="00E535C7" w:rsidRPr="00035F85" w:rsidRDefault="00E535C7" w:rsidP="001A7D73">
            <w:pPr>
              <w:jc w:val="center"/>
              <w:rPr>
                <w:sz w:val="22"/>
              </w:rPr>
            </w:pPr>
          </w:p>
        </w:tc>
        <w:tc>
          <w:tcPr>
            <w:tcW w:w="1420" w:type="dxa"/>
          </w:tcPr>
          <w:p w:rsidR="00E535C7" w:rsidRPr="00035F85" w:rsidRDefault="00E535C7" w:rsidP="001A7D73">
            <w:pPr>
              <w:jc w:val="center"/>
              <w:rPr>
                <w:sz w:val="22"/>
              </w:rPr>
            </w:pPr>
          </w:p>
        </w:tc>
      </w:tr>
      <w:tr w:rsidR="00E535C7" w:rsidRPr="00035F85" w:rsidTr="001A7D73">
        <w:tc>
          <w:tcPr>
            <w:tcW w:w="3960" w:type="dxa"/>
          </w:tcPr>
          <w:p w:rsidR="00E535C7" w:rsidRDefault="00D822B4" w:rsidP="00D822B4">
            <w:pPr>
              <w:jc w:val="center"/>
              <w:rPr>
                <w:b/>
                <w:sz w:val="22"/>
              </w:rPr>
            </w:pPr>
            <w:r w:rsidRPr="00D822B4">
              <w:rPr>
                <w:b/>
                <w:sz w:val="22"/>
              </w:rPr>
              <w:t>Pārejas noteikumi</w:t>
            </w:r>
          </w:p>
          <w:p w:rsidR="004B200B" w:rsidRPr="004B200B" w:rsidRDefault="004B200B" w:rsidP="004B200B">
            <w:pPr>
              <w:rPr>
                <w:sz w:val="22"/>
              </w:rPr>
            </w:pPr>
            <w:r w:rsidRPr="004B200B">
              <w:rPr>
                <w:sz w:val="22"/>
              </w:rPr>
              <w:t>1…40</w:t>
            </w:r>
          </w:p>
        </w:tc>
        <w:tc>
          <w:tcPr>
            <w:tcW w:w="3960" w:type="dxa"/>
          </w:tcPr>
          <w:p w:rsidR="00E535C7" w:rsidRPr="00401331" w:rsidRDefault="00E535C7" w:rsidP="00401331">
            <w:pPr>
              <w:autoSpaceDE w:val="0"/>
              <w:autoSpaceDN w:val="0"/>
              <w:adjustRightInd w:val="0"/>
              <w:ind w:firstLine="720"/>
              <w:jc w:val="both"/>
              <w:rPr>
                <w:color w:val="000000"/>
                <w:sz w:val="22"/>
              </w:rPr>
            </w:pPr>
          </w:p>
        </w:tc>
        <w:tc>
          <w:tcPr>
            <w:tcW w:w="567" w:type="dxa"/>
          </w:tcPr>
          <w:p w:rsidR="00E535C7" w:rsidRPr="00035F85" w:rsidRDefault="0002504F" w:rsidP="001A7D73">
            <w:pPr>
              <w:jc w:val="center"/>
              <w:rPr>
                <w:b/>
                <w:sz w:val="22"/>
              </w:rPr>
            </w:pPr>
            <w:r>
              <w:rPr>
                <w:b/>
                <w:sz w:val="22"/>
              </w:rPr>
              <w:t>9</w:t>
            </w:r>
          </w:p>
        </w:tc>
        <w:tc>
          <w:tcPr>
            <w:tcW w:w="3960" w:type="dxa"/>
          </w:tcPr>
          <w:p w:rsidR="00E535C7" w:rsidRPr="0002504F" w:rsidRDefault="00E535C7" w:rsidP="0002504F">
            <w:pPr>
              <w:tabs>
                <w:tab w:val="left" w:pos="472"/>
                <w:tab w:val="left" w:pos="1134"/>
              </w:tabs>
              <w:ind w:firstLine="567"/>
              <w:jc w:val="both"/>
              <w:rPr>
                <w:b/>
                <w:sz w:val="22"/>
                <w:u w:val="single"/>
              </w:rPr>
            </w:pPr>
            <w:r w:rsidRPr="0002504F">
              <w:rPr>
                <w:b/>
                <w:sz w:val="22"/>
                <w:u w:val="single"/>
              </w:rPr>
              <w:t>Izglītības un zinātnes ministrs K.Šadurskis</w:t>
            </w:r>
          </w:p>
          <w:p w:rsidR="0002504F" w:rsidRPr="0002504F" w:rsidRDefault="0002504F" w:rsidP="0002504F">
            <w:pPr>
              <w:pStyle w:val="ListParagraph"/>
              <w:ind w:left="0" w:firstLine="567"/>
              <w:rPr>
                <w:rFonts w:ascii="Times New Roman" w:hAnsi="Times New Roman"/>
              </w:rPr>
            </w:pPr>
            <w:r w:rsidRPr="0002504F">
              <w:rPr>
                <w:rFonts w:ascii="Times New Roman" w:hAnsi="Times New Roman"/>
              </w:rPr>
              <w:t>Papildināt likumprojektu ar 4.pantu šādā redakcijā:</w:t>
            </w:r>
          </w:p>
          <w:p w:rsidR="0002504F" w:rsidRPr="0002504F" w:rsidRDefault="0002504F" w:rsidP="0002504F">
            <w:pPr>
              <w:pStyle w:val="ListParagraph"/>
              <w:spacing w:after="0" w:line="240" w:lineRule="auto"/>
              <w:ind w:left="0" w:firstLine="567"/>
              <w:jc w:val="both"/>
              <w:rPr>
                <w:rFonts w:ascii="Times New Roman" w:hAnsi="Times New Roman"/>
              </w:rPr>
            </w:pPr>
            <w:r w:rsidRPr="0002504F">
              <w:rPr>
                <w:rFonts w:ascii="Times New Roman" w:hAnsi="Times New Roman"/>
              </w:rPr>
              <w:t xml:space="preserve">“4. Papildināt likuma pārejas noteikumus ar 41.punktu šādā redakcijā: </w:t>
            </w:r>
          </w:p>
          <w:p w:rsidR="00E535C7" w:rsidRPr="0002504F" w:rsidRDefault="0002504F" w:rsidP="0002504F">
            <w:pPr>
              <w:ind w:firstLine="567"/>
              <w:jc w:val="both"/>
              <w:rPr>
                <w:i/>
                <w:sz w:val="22"/>
              </w:rPr>
            </w:pPr>
            <w:r w:rsidRPr="0002504F">
              <w:rPr>
                <w:sz w:val="22"/>
              </w:rPr>
              <w:t>“41. Ministru kabinets ne vēlāk kā līdz 2017.gada 1.janvārim izdara grozījumus Ministru kabineta 2010.gada 17.augusta noteikumos Nr.788 “Valsts izglītības informācijas sistēmas saturs, uzturēšanas un aktualizācijas kārtība”, nosakot studējošo un absolventu reģistrā iesniedzamās informācijas apjomu un informācijas iesniegšanas kārtību, kā arī publiski pieejamās informācijas apjomu un publiskošanas kārtību, un grozījumus Ministru kabineta 2006.gada 12.decembra noteikumos Nr.994 “Kārtība, kādā augstskolas un koledžas tiek finansētas no valsts budžeta līdzekļiem”, nosakot valsts dibināto augstskolu un koledžu datu sniegšanas studējošo un absolventu reģistram finansēšanas kārtību.””</w:t>
            </w:r>
          </w:p>
        </w:tc>
        <w:tc>
          <w:tcPr>
            <w:tcW w:w="1420" w:type="dxa"/>
          </w:tcPr>
          <w:p w:rsidR="00E535C7" w:rsidRPr="00035F85" w:rsidRDefault="00E535C7" w:rsidP="001A7D73">
            <w:pPr>
              <w:jc w:val="center"/>
              <w:rPr>
                <w:sz w:val="22"/>
              </w:rPr>
            </w:pPr>
          </w:p>
        </w:tc>
        <w:tc>
          <w:tcPr>
            <w:tcW w:w="1420" w:type="dxa"/>
          </w:tcPr>
          <w:p w:rsidR="00E535C7" w:rsidRPr="00035F85" w:rsidRDefault="00E535C7" w:rsidP="001A7D73">
            <w:pPr>
              <w:jc w:val="center"/>
              <w:rPr>
                <w:sz w:val="22"/>
              </w:rPr>
            </w:pPr>
          </w:p>
        </w:tc>
      </w:tr>
      <w:tr w:rsidR="00401331" w:rsidRPr="00035F85" w:rsidTr="001A7D73">
        <w:tc>
          <w:tcPr>
            <w:tcW w:w="3960" w:type="dxa"/>
          </w:tcPr>
          <w:p w:rsidR="00401331" w:rsidRPr="00035F85" w:rsidRDefault="00401331" w:rsidP="001A7D73">
            <w:pPr>
              <w:jc w:val="both"/>
              <w:rPr>
                <w:sz w:val="22"/>
              </w:rPr>
            </w:pPr>
          </w:p>
        </w:tc>
        <w:tc>
          <w:tcPr>
            <w:tcW w:w="3960" w:type="dxa"/>
          </w:tcPr>
          <w:p w:rsidR="00401331" w:rsidRPr="00401331" w:rsidRDefault="00401331" w:rsidP="00401331">
            <w:pPr>
              <w:autoSpaceDE w:val="0"/>
              <w:autoSpaceDN w:val="0"/>
              <w:adjustRightInd w:val="0"/>
              <w:ind w:firstLine="720"/>
              <w:jc w:val="both"/>
              <w:rPr>
                <w:spacing w:val="-2"/>
                <w:sz w:val="22"/>
              </w:rPr>
            </w:pPr>
            <w:r w:rsidRPr="00401331">
              <w:rPr>
                <w:color w:val="000000"/>
                <w:sz w:val="22"/>
              </w:rPr>
              <w:t>Likums stājas spēkā 2017. gada 1. janvārī.</w:t>
            </w:r>
          </w:p>
        </w:tc>
        <w:tc>
          <w:tcPr>
            <w:tcW w:w="567" w:type="dxa"/>
          </w:tcPr>
          <w:p w:rsidR="00401331" w:rsidRPr="00035F85" w:rsidRDefault="00401331" w:rsidP="001A7D73">
            <w:pPr>
              <w:jc w:val="center"/>
              <w:rPr>
                <w:b/>
                <w:sz w:val="22"/>
              </w:rPr>
            </w:pPr>
          </w:p>
        </w:tc>
        <w:tc>
          <w:tcPr>
            <w:tcW w:w="3960" w:type="dxa"/>
          </w:tcPr>
          <w:p w:rsidR="00401331" w:rsidRPr="00035F85" w:rsidRDefault="00401331" w:rsidP="00035F85">
            <w:pPr>
              <w:ind w:firstLine="567"/>
              <w:jc w:val="both"/>
              <w:rPr>
                <w:i/>
                <w:sz w:val="22"/>
              </w:rPr>
            </w:pPr>
          </w:p>
        </w:tc>
        <w:tc>
          <w:tcPr>
            <w:tcW w:w="1420" w:type="dxa"/>
          </w:tcPr>
          <w:p w:rsidR="00401331" w:rsidRPr="00035F85" w:rsidRDefault="00401331" w:rsidP="001A7D73">
            <w:pPr>
              <w:jc w:val="center"/>
              <w:rPr>
                <w:sz w:val="22"/>
              </w:rPr>
            </w:pPr>
          </w:p>
        </w:tc>
        <w:tc>
          <w:tcPr>
            <w:tcW w:w="1420" w:type="dxa"/>
          </w:tcPr>
          <w:p w:rsidR="00401331" w:rsidRPr="00035F85" w:rsidRDefault="00401331" w:rsidP="001A7D73">
            <w:pPr>
              <w:jc w:val="center"/>
              <w:rPr>
                <w:sz w:val="22"/>
              </w:rPr>
            </w:pPr>
          </w:p>
        </w:tc>
      </w:tr>
    </w:tbl>
    <w:p w:rsidR="0039514B" w:rsidRPr="00035F85" w:rsidRDefault="0039514B" w:rsidP="0039514B">
      <w:pPr>
        <w:rPr>
          <w:sz w:val="22"/>
        </w:rPr>
      </w:pPr>
    </w:p>
    <w:sectPr w:rsidR="0039514B" w:rsidRPr="00035F85" w:rsidSect="00C751DF">
      <w:footerReference w:type="even" r:id="rId8"/>
      <w:footerReference w:type="default" r:id="rId9"/>
      <w:pgSz w:w="16838" w:h="11906" w:orient="landscape"/>
      <w:pgMar w:top="1304" w:right="851" w:bottom="96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1E" w:rsidRDefault="00CF3B1E">
      <w:r>
        <w:separator/>
      </w:r>
    </w:p>
  </w:endnote>
  <w:endnote w:type="continuationSeparator" w:id="0">
    <w:p w:rsidR="00CF3B1E" w:rsidRDefault="00CF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48586A"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28" w:rsidRDefault="0039514B"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86A">
      <w:rPr>
        <w:rStyle w:val="PageNumber"/>
        <w:noProof/>
      </w:rPr>
      <w:t>2</w:t>
    </w:r>
    <w:r>
      <w:rPr>
        <w:rStyle w:val="PageNumber"/>
      </w:rPr>
      <w:fldChar w:fldCharType="end"/>
    </w:r>
  </w:p>
  <w:p w:rsidR="00C71E28" w:rsidRDefault="0048586A" w:rsidP="00C71E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1E" w:rsidRDefault="00CF3B1E">
      <w:r>
        <w:separator/>
      </w:r>
    </w:p>
  </w:footnote>
  <w:footnote w:type="continuationSeparator" w:id="0">
    <w:p w:rsidR="00CF3B1E" w:rsidRDefault="00CF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92D9E"/>
    <w:multiLevelType w:val="hybridMultilevel"/>
    <w:tmpl w:val="9168C334"/>
    <w:lvl w:ilvl="0" w:tplc="42A66D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8065985"/>
    <w:multiLevelType w:val="hybridMultilevel"/>
    <w:tmpl w:val="F4BA3184"/>
    <w:lvl w:ilvl="0" w:tplc="D326DC84">
      <w:start w:val="1"/>
      <w:numFmt w:val="decimal"/>
      <w:lvlText w:val="%1."/>
      <w:lvlJc w:val="left"/>
      <w:pPr>
        <w:ind w:left="3196"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9CE482F"/>
    <w:multiLevelType w:val="hybridMultilevel"/>
    <w:tmpl w:val="A99EC2E8"/>
    <w:lvl w:ilvl="0" w:tplc="30407B94">
      <w:start w:val="1"/>
      <w:numFmt w:val="decimal"/>
      <w:lvlText w:val="%1."/>
      <w:lvlJc w:val="left"/>
      <w:pPr>
        <w:ind w:left="927"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14B"/>
    <w:rsid w:val="0002504F"/>
    <w:rsid w:val="00035F85"/>
    <w:rsid w:val="00175C0E"/>
    <w:rsid w:val="002164F7"/>
    <w:rsid w:val="002A3117"/>
    <w:rsid w:val="0039514B"/>
    <w:rsid w:val="00401331"/>
    <w:rsid w:val="00405509"/>
    <w:rsid w:val="00481C5F"/>
    <w:rsid w:val="0048586A"/>
    <w:rsid w:val="004B200B"/>
    <w:rsid w:val="004D7945"/>
    <w:rsid w:val="007A4333"/>
    <w:rsid w:val="007D26F0"/>
    <w:rsid w:val="00863BE0"/>
    <w:rsid w:val="009F3627"/>
    <w:rsid w:val="00AA0921"/>
    <w:rsid w:val="00AA55B8"/>
    <w:rsid w:val="00BE7E65"/>
    <w:rsid w:val="00BF4C7F"/>
    <w:rsid w:val="00C751DF"/>
    <w:rsid w:val="00CF3B1E"/>
    <w:rsid w:val="00D50597"/>
    <w:rsid w:val="00D822B4"/>
    <w:rsid w:val="00DB29C6"/>
    <w:rsid w:val="00DE0D38"/>
    <w:rsid w:val="00E53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A2BE5-0413-414B-9FD8-9960FB9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4B"/>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39514B"/>
    <w:pPr>
      <w:keepNext/>
      <w:jc w:val="center"/>
      <w:outlineLvl w:val="0"/>
    </w:pPr>
    <w:rPr>
      <w:rFonts w:eastAsia="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14B"/>
    <w:rPr>
      <w:rFonts w:ascii="Times New Roman" w:eastAsia="Times New Roman" w:hAnsi="Times New Roman" w:cs="Times New Roman"/>
      <w:b/>
      <w:bCs/>
      <w:iCs/>
      <w:sz w:val="24"/>
      <w:szCs w:val="24"/>
    </w:rPr>
  </w:style>
  <w:style w:type="paragraph" w:styleId="Title">
    <w:name w:val="Title"/>
    <w:basedOn w:val="Normal"/>
    <w:link w:val="TitleChar"/>
    <w:qFormat/>
    <w:rsid w:val="0039514B"/>
    <w:pPr>
      <w:jc w:val="center"/>
    </w:pPr>
    <w:rPr>
      <w:rFonts w:eastAsia="Times New Roman"/>
      <w:b/>
      <w:szCs w:val="20"/>
    </w:rPr>
  </w:style>
  <w:style w:type="character" w:customStyle="1" w:styleId="TitleChar">
    <w:name w:val="Title Char"/>
    <w:basedOn w:val="DefaultParagraphFont"/>
    <w:link w:val="Title"/>
    <w:rsid w:val="0039514B"/>
    <w:rPr>
      <w:rFonts w:ascii="Times New Roman" w:eastAsia="Times New Roman" w:hAnsi="Times New Roman" w:cs="Times New Roman"/>
      <w:b/>
      <w:sz w:val="24"/>
      <w:szCs w:val="20"/>
    </w:rPr>
  </w:style>
  <w:style w:type="paragraph" w:styleId="Footer">
    <w:name w:val="footer"/>
    <w:basedOn w:val="Normal"/>
    <w:link w:val="FooterChar"/>
    <w:rsid w:val="0039514B"/>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39514B"/>
    <w:rPr>
      <w:rFonts w:ascii="Times New Roman" w:eastAsia="Times New Roman" w:hAnsi="Times New Roman" w:cs="Times New Roman"/>
      <w:sz w:val="24"/>
      <w:szCs w:val="24"/>
      <w:lang w:val="en-GB"/>
    </w:rPr>
  </w:style>
  <w:style w:type="character" w:styleId="PageNumber">
    <w:name w:val="page number"/>
    <w:rsid w:val="0039514B"/>
  </w:style>
  <w:style w:type="paragraph" w:customStyle="1" w:styleId="tv2132">
    <w:name w:val="tv2132"/>
    <w:basedOn w:val="Normal"/>
    <w:rsid w:val="009F3627"/>
    <w:pPr>
      <w:spacing w:line="360" w:lineRule="auto"/>
      <w:ind w:firstLine="300"/>
    </w:pPr>
    <w:rPr>
      <w:rFonts w:eastAsia="Times New Roman"/>
      <w:color w:val="414142"/>
      <w:sz w:val="20"/>
      <w:szCs w:val="20"/>
      <w:lang w:eastAsia="lv-LV"/>
    </w:rPr>
  </w:style>
  <w:style w:type="paragraph" w:styleId="ListParagraph">
    <w:name w:val="List Paragraph"/>
    <w:basedOn w:val="Normal"/>
    <w:uiPriority w:val="34"/>
    <w:qFormat/>
    <w:rsid w:val="00863BE0"/>
    <w:pPr>
      <w:widowControl w:val="0"/>
      <w:spacing w:after="200" w:line="276" w:lineRule="auto"/>
      <w:ind w:left="720"/>
      <w:contextualSpacing/>
    </w:pPr>
    <w:rPr>
      <w:rFonts w:ascii="Calibri" w:hAnsi="Calibri"/>
      <w:sz w:val="22"/>
    </w:rPr>
  </w:style>
  <w:style w:type="paragraph" w:styleId="EndnoteText">
    <w:name w:val="endnote text"/>
    <w:basedOn w:val="Normal"/>
    <w:link w:val="EndnoteTextChar"/>
    <w:uiPriority w:val="99"/>
    <w:semiHidden/>
    <w:unhideWhenUsed/>
    <w:rsid w:val="00BE7E65"/>
    <w:rPr>
      <w:sz w:val="20"/>
      <w:szCs w:val="20"/>
    </w:rPr>
  </w:style>
  <w:style w:type="character" w:customStyle="1" w:styleId="EndnoteTextChar">
    <w:name w:val="Endnote Text Char"/>
    <w:basedOn w:val="DefaultParagraphFont"/>
    <w:link w:val="EndnoteText"/>
    <w:uiPriority w:val="99"/>
    <w:semiHidden/>
    <w:rsid w:val="00BE7E65"/>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E7E65"/>
    <w:rPr>
      <w:vertAlign w:val="superscript"/>
    </w:rPr>
  </w:style>
  <w:style w:type="paragraph" w:customStyle="1" w:styleId="tv213">
    <w:name w:val="tv213"/>
    <w:basedOn w:val="Normal"/>
    <w:rsid w:val="0002504F"/>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85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5160">
      <w:bodyDiv w:val="1"/>
      <w:marLeft w:val="0"/>
      <w:marRight w:val="0"/>
      <w:marTop w:val="0"/>
      <w:marBottom w:val="0"/>
      <w:divBdr>
        <w:top w:val="none" w:sz="0" w:space="0" w:color="auto"/>
        <w:left w:val="none" w:sz="0" w:space="0" w:color="auto"/>
        <w:bottom w:val="none" w:sz="0" w:space="0" w:color="auto"/>
        <w:right w:val="none" w:sz="0" w:space="0" w:color="auto"/>
      </w:divBdr>
      <w:divsChild>
        <w:div w:id="497698758">
          <w:marLeft w:val="0"/>
          <w:marRight w:val="0"/>
          <w:marTop w:val="0"/>
          <w:marBottom w:val="0"/>
          <w:divBdr>
            <w:top w:val="none" w:sz="0" w:space="0" w:color="auto"/>
            <w:left w:val="none" w:sz="0" w:space="0" w:color="auto"/>
            <w:bottom w:val="none" w:sz="0" w:space="0" w:color="auto"/>
            <w:right w:val="none" w:sz="0" w:space="0" w:color="auto"/>
          </w:divBdr>
          <w:divsChild>
            <w:div w:id="58132855">
              <w:marLeft w:val="0"/>
              <w:marRight w:val="0"/>
              <w:marTop w:val="0"/>
              <w:marBottom w:val="0"/>
              <w:divBdr>
                <w:top w:val="none" w:sz="0" w:space="0" w:color="auto"/>
                <w:left w:val="none" w:sz="0" w:space="0" w:color="auto"/>
                <w:bottom w:val="none" w:sz="0" w:space="0" w:color="auto"/>
                <w:right w:val="none" w:sz="0" w:space="0" w:color="auto"/>
              </w:divBdr>
              <w:divsChild>
                <w:div w:id="1116018660">
                  <w:marLeft w:val="0"/>
                  <w:marRight w:val="0"/>
                  <w:marTop w:val="0"/>
                  <w:marBottom w:val="0"/>
                  <w:divBdr>
                    <w:top w:val="none" w:sz="0" w:space="0" w:color="auto"/>
                    <w:left w:val="none" w:sz="0" w:space="0" w:color="auto"/>
                    <w:bottom w:val="none" w:sz="0" w:space="0" w:color="auto"/>
                    <w:right w:val="none" w:sz="0" w:space="0" w:color="auto"/>
                  </w:divBdr>
                  <w:divsChild>
                    <w:div w:id="1139499106">
                      <w:marLeft w:val="0"/>
                      <w:marRight w:val="0"/>
                      <w:marTop w:val="0"/>
                      <w:marBottom w:val="0"/>
                      <w:divBdr>
                        <w:top w:val="none" w:sz="0" w:space="0" w:color="auto"/>
                        <w:left w:val="none" w:sz="0" w:space="0" w:color="auto"/>
                        <w:bottom w:val="none" w:sz="0" w:space="0" w:color="auto"/>
                        <w:right w:val="none" w:sz="0" w:space="0" w:color="auto"/>
                      </w:divBdr>
                      <w:divsChild>
                        <w:div w:id="585923058">
                          <w:marLeft w:val="0"/>
                          <w:marRight w:val="0"/>
                          <w:marTop w:val="0"/>
                          <w:marBottom w:val="0"/>
                          <w:divBdr>
                            <w:top w:val="none" w:sz="0" w:space="0" w:color="auto"/>
                            <w:left w:val="none" w:sz="0" w:space="0" w:color="auto"/>
                            <w:bottom w:val="none" w:sz="0" w:space="0" w:color="auto"/>
                            <w:right w:val="none" w:sz="0" w:space="0" w:color="auto"/>
                          </w:divBdr>
                          <w:divsChild>
                            <w:div w:id="2041661916">
                              <w:marLeft w:val="0"/>
                              <w:marRight w:val="0"/>
                              <w:marTop w:val="0"/>
                              <w:marBottom w:val="0"/>
                              <w:divBdr>
                                <w:top w:val="none" w:sz="0" w:space="0" w:color="auto"/>
                                <w:left w:val="none" w:sz="0" w:space="0" w:color="auto"/>
                                <w:bottom w:val="none" w:sz="0" w:space="0" w:color="auto"/>
                                <w:right w:val="none" w:sz="0" w:space="0" w:color="auto"/>
                              </w:divBdr>
                              <w:divsChild>
                                <w:div w:id="15523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62979">
      <w:bodyDiv w:val="1"/>
      <w:marLeft w:val="0"/>
      <w:marRight w:val="0"/>
      <w:marTop w:val="0"/>
      <w:marBottom w:val="0"/>
      <w:divBdr>
        <w:top w:val="none" w:sz="0" w:space="0" w:color="auto"/>
        <w:left w:val="none" w:sz="0" w:space="0" w:color="auto"/>
        <w:bottom w:val="none" w:sz="0" w:space="0" w:color="auto"/>
        <w:right w:val="none" w:sz="0" w:space="0" w:color="auto"/>
      </w:divBdr>
      <w:divsChild>
        <w:div w:id="1999722780">
          <w:marLeft w:val="0"/>
          <w:marRight w:val="0"/>
          <w:marTop w:val="0"/>
          <w:marBottom w:val="0"/>
          <w:divBdr>
            <w:top w:val="none" w:sz="0" w:space="0" w:color="auto"/>
            <w:left w:val="none" w:sz="0" w:space="0" w:color="auto"/>
            <w:bottom w:val="none" w:sz="0" w:space="0" w:color="auto"/>
            <w:right w:val="none" w:sz="0" w:space="0" w:color="auto"/>
          </w:divBdr>
          <w:divsChild>
            <w:div w:id="567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9232">
      <w:bodyDiv w:val="1"/>
      <w:marLeft w:val="0"/>
      <w:marRight w:val="0"/>
      <w:marTop w:val="0"/>
      <w:marBottom w:val="0"/>
      <w:divBdr>
        <w:top w:val="none" w:sz="0" w:space="0" w:color="auto"/>
        <w:left w:val="none" w:sz="0" w:space="0" w:color="auto"/>
        <w:bottom w:val="none" w:sz="0" w:space="0" w:color="auto"/>
        <w:right w:val="none" w:sz="0" w:space="0" w:color="auto"/>
      </w:divBdr>
      <w:divsChild>
        <w:div w:id="1979262283">
          <w:marLeft w:val="0"/>
          <w:marRight w:val="0"/>
          <w:marTop w:val="0"/>
          <w:marBottom w:val="0"/>
          <w:divBdr>
            <w:top w:val="none" w:sz="0" w:space="0" w:color="auto"/>
            <w:left w:val="none" w:sz="0" w:space="0" w:color="auto"/>
            <w:bottom w:val="none" w:sz="0" w:space="0" w:color="auto"/>
            <w:right w:val="none" w:sz="0" w:space="0" w:color="auto"/>
          </w:divBdr>
          <w:divsChild>
            <w:div w:id="10501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6153">
      <w:bodyDiv w:val="1"/>
      <w:marLeft w:val="0"/>
      <w:marRight w:val="0"/>
      <w:marTop w:val="0"/>
      <w:marBottom w:val="0"/>
      <w:divBdr>
        <w:top w:val="none" w:sz="0" w:space="0" w:color="auto"/>
        <w:left w:val="none" w:sz="0" w:space="0" w:color="auto"/>
        <w:bottom w:val="none" w:sz="0" w:space="0" w:color="auto"/>
        <w:right w:val="none" w:sz="0" w:space="0" w:color="auto"/>
      </w:divBdr>
    </w:div>
    <w:div w:id="20958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1CB5-BA84-449C-9C80-ED0F30E8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6751</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B-782</dc:creator>
  <cp:keywords/>
  <dc:description/>
  <cp:lastModifiedBy>Arnis Krustiņš</cp:lastModifiedBy>
  <cp:revision>2</cp:revision>
  <cp:lastPrinted>2016-11-04T15:39:00Z</cp:lastPrinted>
  <dcterms:created xsi:type="dcterms:W3CDTF">2016-11-04T15:39:00Z</dcterms:created>
  <dcterms:modified xsi:type="dcterms:W3CDTF">2016-11-04T15:39:00Z</dcterms:modified>
</cp:coreProperties>
</file>