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035F85" w:rsidRDefault="00C90F69" w:rsidP="0039514B">
      <w:pPr>
        <w:tabs>
          <w:tab w:val="center" w:pos="7568"/>
          <w:tab w:val="left" w:pos="10455"/>
        </w:tabs>
        <w:jc w:val="center"/>
        <w:rPr>
          <w:b/>
          <w:i/>
          <w:sz w:val="26"/>
          <w:szCs w:val="26"/>
        </w:rPr>
      </w:pPr>
      <w:r w:rsidRPr="00797F70">
        <w:rPr>
          <w:b/>
          <w:sz w:val="28"/>
          <w:szCs w:val="28"/>
        </w:rPr>
        <w:t>Grozījumi Ceļu satiksmes likumā</w:t>
      </w:r>
      <w:r w:rsidR="0039514B" w:rsidRPr="00035F85">
        <w:rPr>
          <w:b/>
          <w:i/>
          <w:sz w:val="26"/>
          <w:szCs w:val="26"/>
        </w:rPr>
        <w:t xml:space="preserve"> </w:t>
      </w:r>
    </w:p>
    <w:p w:rsidR="0039514B" w:rsidRPr="00035F85" w:rsidRDefault="0039514B" w:rsidP="0039514B">
      <w:pPr>
        <w:tabs>
          <w:tab w:val="center" w:pos="7568"/>
          <w:tab w:val="left" w:pos="10455"/>
        </w:tabs>
        <w:jc w:val="center"/>
        <w:rPr>
          <w:b/>
          <w:i/>
          <w:sz w:val="26"/>
          <w:szCs w:val="26"/>
        </w:rPr>
      </w:pPr>
      <w:r w:rsidRPr="00035F85">
        <w:rPr>
          <w:b/>
          <w:i/>
          <w:sz w:val="26"/>
          <w:szCs w:val="26"/>
        </w:rPr>
        <w:t>(Nr.</w:t>
      </w:r>
      <w:r w:rsidR="00C90F69">
        <w:rPr>
          <w:b/>
          <w:i/>
          <w:sz w:val="26"/>
          <w:szCs w:val="26"/>
        </w:rPr>
        <w:t>715</w:t>
      </w:r>
      <w:r w:rsidRPr="00035F85">
        <w:rPr>
          <w:b/>
          <w:i/>
          <w:sz w:val="26"/>
          <w:szCs w:val="26"/>
        </w:rPr>
        <w:t>/Lp12)</w:t>
      </w:r>
    </w:p>
    <w:p w:rsidR="0039514B" w:rsidRPr="00035F85" w:rsidRDefault="0039514B" w:rsidP="0039514B">
      <w:pPr>
        <w:tabs>
          <w:tab w:val="center" w:pos="7568"/>
          <w:tab w:val="left" w:pos="10455"/>
        </w:tabs>
        <w:rPr>
          <w:b/>
          <w:i/>
          <w:sz w:val="22"/>
        </w:rPr>
      </w:pPr>
      <w:r w:rsidRPr="00035F8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323EDA" w:rsidRDefault="0039514B" w:rsidP="00323EDA">
            <w:pPr>
              <w:ind w:firstLine="29"/>
              <w:jc w:val="center"/>
              <w:rPr>
                <w:b/>
                <w:bCs/>
                <w:iCs/>
                <w:sz w:val="22"/>
              </w:rPr>
            </w:pPr>
            <w:r w:rsidRPr="00323EDA">
              <w:rPr>
                <w:b/>
                <w:bCs/>
                <w:iCs/>
                <w:sz w:val="22"/>
              </w:rPr>
              <w:t>Spēkā esošā redakcija</w:t>
            </w:r>
          </w:p>
        </w:tc>
        <w:tc>
          <w:tcPr>
            <w:tcW w:w="3960" w:type="dxa"/>
            <w:vAlign w:val="center"/>
          </w:tcPr>
          <w:p w:rsidR="0039514B" w:rsidRPr="00C90F69" w:rsidRDefault="0039514B" w:rsidP="000E3E75">
            <w:pPr>
              <w:pStyle w:val="Heading1"/>
              <w:rPr>
                <w:sz w:val="22"/>
                <w:szCs w:val="22"/>
              </w:rPr>
            </w:pPr>
            <w:r w:rsidRPr="00C90F69">
              <w:rPr>
                <w:sz w:val="22"/>
                <w:szCs w:val="22"/>
              </w:rPr>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035F85" w:rsidRDefault="0039514B" w:rsidP="000E3E75">
            <w:pPr>
              <w:jc w:val="center"/>
              <w:rPr>
                <w:b/>
                <w:bCs/>
                <w:iCs/>
                <w:szCs w:val="24"/>
              </w:rPr>
            </w:pPr>
            <w:r w:rsidRPr="00035F85">
              <w:rPr>
                <w:b/>
                <w:bCs/>
                <w:iCs/>
                <w:szCs w:val="24"/>
              </w:rPr>
              <w:t>Priekšlikumi</w:t>
            </w:r>
          </w:p>
          <w:p w:rsidR="0039514B" w:rsidRPr="00035F85" w:rsidRDefault="0039514B" w:rsidP="000E3E75">
            <w:pPr>
              <w:ind w:firstLine="472"/>
              <w:jc w:val="center"/>
              <w:rPr>
                <w:b/>
                <w:bCs/>
                <w:iCs/>
                <w:szCs w:val="24"/>
              </w:rPr>
            </w:pPr>
            <w:r w:rsidRPr="00035F85">
              <w:rPr>
                <w:b/>
                <w:bCs/>
                <w:iCs/>
                <w:szCs w:val="24"/>
              </w:rPr>
              <w:t>(</w:t>
            </w:r>
            <w:r w:rsidR="00A670A9">
              <w:rPr>
                <w:b/>
                <w:bCs/>
                <w:iCs/>
                <w:szCs w:val="24"/>
              </w:rPr>
              <w:t>6</w:t>
            </w:r>
            <w:r w:rsidRPr="00035F85">
              <w:rPr>
                <w:b/>
                <w:bCs/>
                <w:iCs/>
                <w:szCs w:val="24"/>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035F85" w:rsidRPr="00035F85" w:rsidTr="001A7D73">
        <w:tc>
          <w:tcPr>
            <w:tcW w:w="3960" w:type="dxa"/>
          </w:tcPr>
          <w:p w:rsidR="0039514B" w:rsidRPr="00323EDA" w:rsidRDefault="0039514B" w:rsidP="00323EDA">
            <w:pPr>
              <w:ind w:firstLine="454"/>
              <w:jc w:val="both"/>
              <w:rPr>
                <w:sz w:val="22"/>
              </w:rPr>
            </w:pPr>
          </w:p>
        </w:tc>
        <w:tc>
          <w:tcPr>
            <w:tcW w:w="3960" w:type="dxa"/>
          </w:tcPr>
          <w:p w:rsidR="0039514B" w:rsidRPr="00C90F69" w:rsidRDefault="00C90F69" w:rsidP="000E3E75">
            <w:pPr>
              <w:ind w:firstLine="463"/>
              <w:jc w:val="both"/>
              <w:rPr>
                <w:sz w:val="22"/>
              </w:rPr>
            </w:pPr>
            <w:r w:rsidRPr="00C90F69">
              <w:rPr>
                <w:sz w:val="22"/>
              </w:rPr>
              <w:t>Izdarīt Ceļu satiksmes likumā (Latvijas Republikas Saeimas un Ministru Kabineta Ziņotājs, 1997, 22. nr.; 2000, 3., 14., 15. nr.; 2001, 6. nr.; 2003, 17. nr.; 2005, 13. nr.; 2006, 2. nr.; 2007, 3., 7., 21. nr.; 2008, 13. nr.; 2009, 1., 7., 14. nr.; Latvijas Vēstnesis, 2010, 86., 151. nr.; 2011, 46., 99., 204. nr.; 2012, 41., 200. nr.; 2013, 243. nr.; 2014, 186., 228. nr.; 2015, 251. nr.) šādus grozījumus:</w:t>
            </w:r>
          </w:p>
        </w:tc>
        <w:tc>
          <w:tcPr>
            <w:tcW w:w="567" w:type="dxa"/>
          </w:tcPr>
          <w:p w:rsidR="0039514B" w:rsidRPr="00035F85" w:rsidRDefault="0039514B" w:rsidP="001A7D73">
            <w:pPr>
              <w:jc w:val="center"/>
              <w:rPr>
                <w:b/>
                <w:sz w:val="22"/>
              </w:rPr>
            </w:pPr>
          </w:p>
        </w:tc>
        <w:tc>
          <w:tcPr>
            <w:tcW w:w="3960" w:type="dxa"/>
          </w:tcPr>
          <w:p w:rsidR="00035F85" w:rsidRPr="00035F85" w:rsidRDefault="00035F85" w:rsidP="000E3E75">
            <w:pPr>
              <w:ind w:firstLine="472"/>
              <w:jc w:val="both"/>
              <w:rPr>
                <w:i/>
                <w:sz w:val="22"/>
              </w:rPr>
            </w:pPr>
            <w:r w:rsidRPr="00035F85">
              <w:rPr>
                <w:i/>
                <w:sz w:val="22"/>
              </w:rPr>
              <w:t xml:space="preserve"> </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C90F69" w:rsidRPr="00035F85" w:rsidTr="001A7D73">
        <w:tc>
          <w:tcPr>
            <w:tcW w:w="3960" w:type="dxa"/>
          </w:tcPr>
          <w:p w:rsidR="00C90F69" w:rsidRPr="00323EDA" w:rsidRDefault="00C90F69" w:rsidP="00323EDA">
            <w:pPr>
              <w:pStyle w:val="tv213"/>
              <w:spacing w:before="0" w:beforeAutospacing="0" w:after="0" w:afterAutospacing="0"/>
              <w:ind w:firstLine="454"/>
              <w:jc w:val="both"/>
              <w:rPr>
                <w:sz w:val="22"/>
                <w:szCs w:val="22"/>
              </w:rPr>
            </w:pPr>
            <w:r w:rsidRPr="00323EDA">
              <w:rPr>
                <w:b/>
                <w:bCs/>
                <w:sz w:val="22"/>
                <w:szCs w:val="22"/>
              </w:rPr>
              <w:t>4.</w:t>
            </w:r>
            <w:r w:rsidRPr="00323EDA">
              <w:rPr>
                <w:b/>
                <w:bCs/>
                <w:sz w:val="22"/>
                <w:szCs w:val="22"/>
                <w:vertAlign w:val="superscript"/>
              </w:rPr>
              <w:t>1</w:t>
            </w:r>
            <w:r w:rsidRPr="00323EDA">
              <w:rPr>
                <w:b/>
                <w:bCs/>
                <w:sz w:val="22"/>
                <w:szCs w:val="22"/>
              </w:rPr>
              <w:t xml:space="preserve"> pants. Transportlīdzekļu un to numurēto agregātu tirdzniecība</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(1) Transportlīdzekļu un to numurēto agregātu (transportlīdzekļa virsbūvju, kabīņu vai rāmju, uz kuriem transportlīdzekļa izgatavotājs norāda transportlīdzekļa identifikācijas numuru) tirdzniecība ir šo preču pārdošana, veicot komercdarbību.</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(2) Ar transportlīdzekļu (izņemot tramvaju, trolejbusu un velosipēdu) un to numurēto agregātu tirdzniecību ir tiesības nodarboties komersantam, kas normatīvajos aktos noteiktajā kārtībā ir ierīkojis un reģistrējis transportlīdzekļu tirdzniecības vietu.</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lastRenderedPageBreak/>
              <w:t>(3) Transportlīdzekļu un to numurēto agregātu (izņemot traktortehnikas, to piekabju un numurēto agregātu) tirdzniecības vietu reģistrē Ceļu satiksmes drošības direkcija. Traktortehnikas, to piekabju un numurēto agregātu tirdzniecības vietu reģistrē Valsts tehniskās uzraudzības aģentūra. Transportlīdzekļu tirdzniecības vietu reģistrācijas kārtību nosaka Ministru kabinets.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(4) Prasības transportlīdzekļu un to numurēto agregātu tirdzniecībai, kā arī tirdzniecības valsts reģistrācijas numura zīmju izmantošanai nosaka Ministru kabinets.</w:t>
            </w:r>
          </w:p>
        </w:tc>
        <w:tc>
          <w:tcPr>
            <w:tcW w:w="3960" w:type="dxa"/>
          </w:tcPr>
          <w:p w:rsidR="00C90F69" w:rsidRPr="00C90F69" w:rsidRDefault="00C90F69" w:rsidP="000E3E75">
            <w:pPr>
              <w:ind w:firstLine="463"/>
              <w:jc w:val="both"/>
              <w:rPr>
                <w:sz w:val="22"/>
              </w:rPr>
            </w:pPr>
            <w:r w:rsidRPr="00C90F69">
              <w:rPr>
                <w:sz w:val="22"/>
              </w:rPr>
              <w:lastRenderedPageBreak/>
              <w:t>1. Izteikt 4.</w:t>
            </w:r>
            <w:r w:rsidRPr="00C90F69">
              <w:rPr>
                <w:sz w:val="22"/>
                <w:vertAlign w:val="superscript"/>
              </w:rPr>
              <w:t>1 </w:t>
            </w:r>
            <w:r w:rsidRPr="00C90F69">
              <w:rPr>
                <w:sz w:val="22"/>
              </w:rPr>
              <w:t>panta pirmo daļu šādā redakcijā:</w:t>
            </w:r>
          </w:p>
          <w:p w:rsidR="00C90F69" w:rsidRPr="00C90F69" w:rsidRDefault="00C90F69" w:rsidP="000E3E75">
            <w:pPr>
              <w:ind w:firstLine="463"/>
              <w:jc w:val="both"/>
              <w:rPr>
                <w:spacing w:val="-2"/>
                <w:sz w:val="22"/>
                <w:shd w:val="clear" w:color="auto" w:fill="FEFEFE"/>
              </w:rPr>
            </w:pPr>
            <w:r w:rsidRPr="00C90F69">
              <w:rPr>
                <w:sz w:val="22"/>
              </w:rPr>
              <w:t xml:space="preserve">"(1) Transportlīdzekļu un to numurēto agregātu (transportlīdzekļa virsbūvju, kabīņu vai rāmju, uz kuriem transportlīdzekļa izgatavotājs norāda transportlīdzekļa identifikācijas numuru) tirdzniecība ir </w:t>
            </w:r>
            <w:r w:rsidRPr="00936BF1">
              <w:rPr>
                <w:sz w:val="22"/>
                <w:u w:val="single"/>
              </w:rPr>
              <w:t>Latvijā nereģistrētu transportlīdzekļu un to numurēto agregātu pārdošana vai arī Latvijā reģistrētu</w:t>
            </w:r>
            <w:r w:rsidRPr="00C90F69">
              <w:rPr>
                <w:sz w:val="22"/>
              </w:rPr>
              <w:t xml:space="preserve"> šo preču pārdošana, veicot komercdarbību."</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936BF1" w:rsidRPr="00035F85" w:rsidTr="001A7D73">
        <w:tc>
          <w:tcPr>
            <w:tcW w:w="3960" w:type="dxa"/>
          </w:tcPr>
          <w:p w:rsidR="00936BF1" w:rsidRPr="00323EDA" w:rsidRDefault="00936BF1" w:rsidP="00936BF1">
            <w:pPr>
              <w:pStyle w:val="tv213"/>
              <w:spacing w:before="0" w:beforeAutospacing="0" w:after="0" w:afterAutospacing="0"/>
              <w:ind w:firstLine="454"/>
              <w:jc w:val="both"/>
              <w:rPr>
                <w:sz w:val="22"/>
                <w:szCs w:val="22"/>
              </w:rPr>
            </w:pPr>
            <w:r w:rsidRPr="00323EDA">
              <w:rPr>
                <w:b/>
                <w:bCs/>
                <w:sz w:val="22"/>
                <w:szCs w:val="22"/>
              </w:rPr>
              <w:t xml:space="preserve">9.pants. Transportlīdzekļu izmantošana ceļu satiksmē </w:t>
            </w:r>
          </w:p>
          <w:p w:rsidR="00936BF1" w:rsidRPr="00323EDA" w:rsidRDefault="00936BF1" w:rsidP="00936BF1">
            <w:pPr>
              <w:pStyle w:val="tv213"/>
              <w:spacing w:before="0" w:beforeAutospacing="0" w:after="0" w:afterAutospacing="0"/>
              <w:ind w:firstLine="454"/>
              <w:jc w:val="both"/>
              <w:rPr>
                <w:sz w:val="22"/>
                <w:szCs w:val="22"/>
              </w:rPr>
            </w:pPr>
            <w:r w:rsidRPr="00323EDA">
              <w:rPr>
                <w:sz w:val="22"/>
                <w:szCs w:val="22"/>
              </w:rPr>
              <w:t>(1) Latvijas teritorijā ceļu satiksmē atļauts izmantot reģistrētus transportlīdzekļus, kuru konstrukcija un tehniskais stāvoklis atbilst Latvijā obligāti piemērojamo standartu un normatīvu prasībām, attiecībā uz kuriem ir veikta sauszemes transportlīdzekļu īpašnieku civiltiesiskās atbildības obligātā apdrošināšana un kuriem ir dota atļauja piedalīties ceļu satiksmē.</w:t>
            </w:r>
          </w:p>
          <w:p w:rsidR="00936BF1" w:rsidRPr="00323EDA" w:rsidRDefault="00936BF1" w:rsidP="00936BF1">
            <w:pPr>
              <w:pStyle w:val="tv213"/>
              <w:spacing w:before="0" w:beforeAutospacing="0" w:after="0" w:afterAutospacing="0"/>
              <w:ind w:firstLine="454"/>
              <w:jc w:val="both"/>
              <w:rPr>
                <w:sz w:val="22"/>
                <w:szCs w:val="22"/>
              </w:rPr>
            </w:pPr>
            <w:r w:rsidRPr="00323EDA">
              <w:rPr>
                <w:sz w:val="22"/>
                <w:szCs w:val="22"/>
              </w:rPr>
              <w:t xml:space="preserve">(2) Mehāniskajiem transportlīdzekļiem jābūt divām valsts reģistrācijas numura zīmēm, bet motocikliem, tricikliem, kvadricikliem, traktortehnikai, mopēdiem un piekabēm, kuru izgatavotājs paredzējis uzstādīt tikai vienu numura zīmi, — vienai valsts reģistrācijas numura zīmei. Zīmes </w:t>
            </w:r>
            <w:r w:rsidRPr="00323EDA">
              <w:rPr>
                <w:sz w:val="22"/>
                <w:szCs w:val="22"/>
              </w:rPr>
              <w:lastRenderedPageBreak/>
              <w:t>piestiprināmas šim nolūkam paredzētajās vietās. Uz trolejbusiem, tramvajiem, speciālās militārās tehnikas un specializētajiem tūristu transportlīdzekļiem jābūt uzkrāsotiem diviem reģistrācijas numuriem.</w:t>
            </w:r>
          </w:p>
          <w:p w:rsidR="00936BF1" w:rsidRPr="00323EDA" w:rsidRDefault="00936BF1" w:rsidP="00936BF1">
            <w:pPr>
              <w:pStyle w:val="tv213"/>
              <w:spacing w:before="0" w:beforeAutospacing="0" w:after="0" w:afterAutospacing="0"/>
              <w:ind w:firstLine="454"/>
              <w:jc w:val="both"/>
              <w:rPr>
                <w:sz w:val="22"/>
                <w:szCs w:val="22"/>
              </w:rPr>
            </w:pPr>
            <w:r w:rsidRPr="00323EDA">
              <w:rPr>
                <w:sz w:val="22"/>
                <w:szCs w:val="22"/>
              </w:rPr>
              <w:t>(2</w:t>
            </w:r>
            <w:r w:rsidRPr="00323EDA">
              <w:rPr>
                <w:sz w:val="22"/>
                <w:szCs w:val="22"/>
                <w:vertAlign w:val="superscript"/>
              </w:rPr>
              <w:t>1</w:t>
            </w:r>
            <w:r w:rsidRPr="00323EDA">
              <w:rPr>
                <w:sz w:val="22"/>
                <w:szCs w:val="22"/>
              </w:rPr>
              <w:t>) Ja transportlīdzeklim uzstāda ierīci, kas paredzēta velosipēdu vai papildu bagāžas pārvadāšanai, un šī ierīce vai ar to pārvadājamā bagāža aizsedz uzstādīto numura zīmi, transportlīdzeklim var papildus piešķirt vienu ar identisku simbolu kombināciju apzīmētu numura zīmi, ja ierīces izgatavotājs tai paredzējis vietu numura zīmes uzstādīšanai.</w:t>
            </w:r>
          </w:p>
          <w:p w:rsidR="00936BF1" w:rsidRPr="00323EDA" w:rsidRDefault="00936BF1" w:rsidP="00936BF1">
            <w:pPr>
              <w:pStyle w:val="tv213"/>
              <w:spacing w:before="0" w:beforeAutospacing="0" w:after="0" w:afterAutospacing="0"/>
              <w:ind w:firstLine="454"/>
              <w:jc w:val="both"/>
              <w:rPr>
                <w:b/>
                <w:bCs/>
                <w:sz w:val="22"/>
                <w:szCs w:val="22"/>
              </w:rPr>
            </w:pPr>
            <w:r w:rsidRPr="00323EDA">
              <w:rPr>
                <w:sz w:val="22"/>
                <w:szCs w:val="22"/>
              </w:rPr>
              <w:t>(3) Specializēto tūristu transportlīdzekļu izmantošanas nosacījumus, transportlīdzekļa tipu un kustības maršrutu, izvērtējot tā sabiedriskās nepieciešamības un drošības kritērijus, nosaka attiecīgā pašvaldība.</w:t>
            </w:r>
          </w:p>
        </w:tc>
        <w:tc>
          <w:tcPr>
            <w:tcW w:w="3960" w:type="dxa"/>
          </w:tcPr>
          <w:p w:rsidR="00936BF1" w:rsidRPr="00C90F69" w:rsidRDefault="00936BF1" w:rsidP="000E3E75">
            <w:pPr>
              <w:pStyle w:val="tv213"/>
              <w:spacing w:before="0" w:beforeAutospacing="0" w:after="0" w:afterAutospacing="0"/>
              <w:ind w:firstLine="463"/>
              <w:jc w:val="both"/>
              <w:rPr>
                <w:sz w:val="22"/>
                <w:szCs w:val="22"/>
              </w:rPr>
            </w:pPr>
          </w:p>
        </w:tc>
        <w:tc>
          <w:tcPr>
            <w:tcW w:w="567" w:type="dxa"/>
          </w:tcPr>
          <w:p w:rsidR="00936BF1" w:rsidRDefault="00936BF1" w:rsidP="001A7D73">
            <w:pPr>
              <w:jc w:val="center"/>
              <w:rPr>
                <w:b/>
                <w:sz w:val="22"/>
              </w:rPr>
            </w:pPr>
          </w:p>
        </w:tc>
        <w:tc>
          <w:tcPr>
            <w:tcW w:w="3960" w:type="dxa"/>
          </w:tcPr>
          <w:p w:rsidR="00936BF1" w:rsidRPr="00035F85" w:rsidRDefault="00936BF1" w:rsidP="000E3E75">
            <w:pPr>
              <w:ind w:firstLine="472"/>
              <w:jc w:val="both"/>
              <w:rPr>
                <w:b/>
                <w:sz w:val="22"/>
                <w:u w:val="single"/>
              </w:rPr>
            </w:pPr>
          </w:p>
        </w:tc>
        <w:tc>
          <w:tcPr>
            <w:tcW w:w="1420" w:type="dxa"/>
          </w:tcPr>
          <w:p w:rsidR="00936BF1" w:rsidRPr="00035F85" w:rsidRDefault="00936BF1" w:rsidP="001A7D73">
            <w:pPr>
              <w:jc w:val="center"/>
              <w:rPr>
                <w:sz w:val="22"/>
              </w:rPr>
            </w:pPr>
          </w:p>
        </w:tc>
        <w:tc>
          <w:tcPr>
            <w:tcW w:w="1420" w:type="dxa"/>
          </w:tcPr>
          <w:p w:rsidR="00936BF1" w:rsidRPr="00035F85" w:rsidRDefault="00936BF1" w:rsidP="001A7D73">
            <w:pPr>
              <w:jc w:val="center"/>
              <w:rPr>
                <w:sz w:val="22"/>
              </w:rPr>
            </w:pPr>
          </w:p>
        </w:tc>
      </w:tr>
      <w:tr w:rsidR="00C90F69" w:rsidRPr="00035F85" w:rsidTr="001A7D73">
        <w:tc>
          <w:tcPr>
            <w:tcW w:w="3960" w:type="dxa"/>
          </w:tcPr>
          <w:p w:rsidR="00C90F69" w:rsidRPr="00323EDA" w:rsidRDefault="00936BF1" w:rsidP="00323EDA">
            <w:pPr>
              <w:pStyle w:val="tv213"/>
              <w:spacing w:before="0" w:beforeAutospacing="0" w:after="0" w:afterAutospacing="0"/>
              <w:ind w:firstLine="454"/>
              <w:jc w:val="both"/>
              <w:rPr>
                <w:sz w:val="22"/>
                <w:szCs w:val="22"/>
              </w:rPr>
            </w:pPr>
            <w:r w:rsidRPr="00323EDA">
              <w:rPr>
                <w:sz w:val="22"/>
                <w:szCs w:val="22"/>
              </w:rPr>
              <w:t xml:space="preserve"> </w:t>
            </w:r>
            <w:r w:rsidR="00C90F69" w:rsidRPr="00323EDA">
              <w:rPr>
                <w:sz w:val="22"/>
                <w:szCs w:val="22"/>
              </w:rPr>
              <w:t>(4) Personai, kura ir Latvijas pilsonis vai nepilsonis, kā arī tādai personai, kura ir saņēmusi Latvijā izdotu reģistrācijas apliecību, pastāvīgās uzturēšanās apliecību vai uzturēšanās atļauju, aizliegts Latvijas teritorijā ceļu satiksmē vadīt ārvalstīs pastāvīgi reģistrētu vieglo automobili, izņemot šā panta piektajā daļā minētos gadījumus.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(5) Šā panta ceturtajā daļā minētās personas Latvijas teritorijā var vadīt ārvalstīs pastāvīgi reģistrētu vieglo automobili šādos gadījumos: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 xml:space="preserve">1) persona vada vieglo automobili, ko iznomājis (izīrējis) ārvalstīs reģistrēts </w:t>
            </w:r>
            <w:r w:rsidRPr="00323EDA">
              <w:rPr>
                <w:sz w:val="22"/>
                <w:szCs w:val="22"/>
              </w:rPr>
              <w:lastRenderedPageBreak/>
              <w:t>uzņēmējdarbības veicējs, kas nodarbojas ar autoiznomāšanu (autoizīrēšanu), un to transportlīdzekļa vadītājs apliecina ar transportlīdzekļa nomas (īres) līgumu un ārvalstīs izdotu transportlīdzekļa reģistrācijas apliecību, kurā kā īpašnieks (turētājs, valdītājs) norādīts transportlīdzekļa iznomātājs (izīrētājs);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2) persona vada vieglo automobili, klāt</w:t>
            </w:r>
            <w:r w:rsidRPr="00323EDA">
              <w:rPr>
                <w:sz w:val="22"/>
                <w:szCs w:val="22"/>
              </w:rPr>
              <w:softHyphen/>
              <w:t>esot tādam transportlīdzekļa īpašniekam (turētājam, valdītājam) vai viņa pilnvarotai personai, kas nav šā panta ceturtajā daļā minētā persona;</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3) persona strādā algotu darbu ārvalstīs vai mācās tādā mācību iestādē vai uzņēmumā, kurš atrodas ārvalstīs, vai ārvalstīs veic uzņēmējdarbību kā individuālais komersants vai pašnodarbinātā persona;</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4) persona ir tāda ārvalstīs reģistrēta tiesību subjekta īpašnieks (dalībnieks) vai amatpersona, kurš veic uzņēmējdarbību;</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5) persona ieņem vēlētu amatu citas Eiropas Savienības dalībvalsts pašvaldības lēmējinstitūcijā;</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6) personai izsniegta uzturēšanās atļauja (reģistrācijas apliecība) ārvalstīs;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7) vieglo automobili vada tāda persona, kura ir laulātais, pirmās pakāpes radinieks (tai skaitā adoptētais vai adoptētājs) vai otrās pakāpes radinieks tādam attiecīgā vieglā automobiļa īpašniekam (turētājam, valdītājam), kurš saskaņā ar šā panta noteikumiem minēto transportlīdzekli varētu vadīt Latvijas teritorijā;</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 xml:space="preserve">8) gadījumā, kas nav minēts šīs daļas </w:t>
            </w:r>
            <w:hyperlink r:id="rId8" w:anchor="p1" w:tgtFrame="_blank" w:history="1">
              <w:r w:rsidRPr="000E3E75">
                <w:rPr>
                  <w:rStyle w:val="Hyperlink"/>
                  <w:color w:val="auto"/>
                  <w:sz w:val="22"/>
                  <w:szCs w:val="22"/>
                  <w:u w:val="none"/>
                </w:rPr>
                <w:t>1.</w:t>
              </w:r>
            </w:hyperlink>
            <w:r w:rsidRPr="000E3E75">
              <w:rPr>
                <w:sz w:val="22"/>
                <w:szCs w:val="22"/>
              </w:rPr>
              <w:t xml:space="preserve">, </w:t>
            </w:r>
            <w:hyperlink r:id="rId9" w:anchor="p2" w:tgtFrame="_blank" w:history="1">
              <w:r w:rsidRPr="000E3E75">
                <w:rPr>
                  <w:rStyle w:val="Hyperlink"/>
                  <w:color w:val="auto"/>
                  <w:sz w:val="22"/>
                  <w:szCs w:val="22"/>
                  <w:u w:val="none"/>
                </w:rPr>
                <w:t>2.</w:t>
              </w:r>
            </w:hyperlink>
            <w:r w:rsidRPr="000E3E75">
              <w:rPr>
                <w:sz w:val="22"/>
                <w:szCs w:val="22"/>
              </w:rPr>
              <w:t xml:space="preserve">, </w:t>
            </w:r>
            <w:hyperlink r:id="rId10" w:anchor="p3" w:tgtFrame="_blank" w:history="1">
              <w:r w:rsidRPr="000E3E75">
                <w:rPr>
                  <w:rStyle w:val="Hyperlink"/>
                  <w:color w:val="auto"/>
                  <w:sz w:val="22"/>
                  <w:szCs w:val="22"/>
                  <w:u w:val="none"/>
                </w:rPr>
                <w:t>3.</w:t>
              </w:r>
            </w:hyperlink>
            <w:r w:rsidRPr="000E3E75">
              <w:rPr>
                <w:sz w:val="22"/>
                <w:szCs w:val="22"/>
              </w:rPr>
              <w:t xml:space="preserve">, </w:t>
            </w:r>
            <w:hyperlink r:id="rId11" w:anchor="p4" w:tgtFrame="_blank" w:history="1">
              <w:r w:rsidRPr="000E3E75">
                <w:rPr>
                  <w:rStyle w:val="Hyperlink"/>
                  <w:color w:val="auto"/>
                  <w:sz w:val="22"/>
                  <w:szCs w:val="22"/>
                  <w:u w:val="none"/>
                </w:rPr>
                <w:t>4.</w:t>
              </w:r>
            </w:hyperlink>
            <w:r w:rsidRPr="000E3E75">
              <w:rPr>
                <w:sz w:val="22"/>
                <w:szCs w:val="22"/>
              </w:rPr>
              <w:t xml:space="preserve">, </w:t>
            </w:r>
            <w:hyperlink r:id="rId12" w:anchor="p5" w:tgtFrame="_blank" w:history="1">
              <w:r w:rsidRPr="000E3E75">
                <w:rPr>
                  <w:rStyle w:val="Hyperlink"/>
                  <w:color w:val="auto"/>
                  <w:sz w:val="22"/>
                  <w:szCs w:val="22"/>
                  <w:u w:val="none"/>
                </w:rPr>
                <w:t>5.</w:t>
              </w:r>
            </w:hyperlink>
            <w:r w:rsidRPr="000E3E75">
              <w:rPr>
                <w:sz w:val="22"/>
                <w:szCs w:val="22"/>
              </w:rPr>
              <w:t xml:space="preserve">, </w:t>
            </w:r>
            <w:hyperlink r:id="rId13" w:anchor="p6" w:tgtFrame="_blank" w:history="1">
              <w:r w:rsidRPr="000E3E75">
                <w:rPr>
                  <w:rStyle w:val="Hyperlink"/>
                  <w:color w:val="auto"/>
                  <w:sz w:val="22"/>
                  <w:szCs w:val="22"/>
                  <w:u w:val="none"/>
                </w:rPr>
                <w:t xml:space="preserve">6. </w:t>
              </w:r>
            </w:hyperlink>
            <w:r w:rsidRPr="000E3E75">
              <w:rPr>
                <w:sz w:val="22"/>
                <w:szCs w:val="22"/>
              </w:rPr>
              <w:t xml:space="preserve">vai </w:t>
            </w:r>
            <w:hyperlink r:id="rId14" w:anchor="p7" w:tgtFrame="_blank" w:history="1">
              <w:r w:rsidRPr="000E3E75">
                <w:rPr>
                  <w:rStyle w:val="Hyperlink"/>
                  <w:color w:val="auto"/>
                  <w:sz w:val="22"/>
                  <w:szCs w:val="22"/>
                  <w:u w:val="none"/>
                </w:rPr>
                <w:t>7.punktā</w:t>
              </w:r>
            </w:hyperlink>
            <w:r w:rsidRPr="00323EDA">
              <w:rPr>
                <w:sz w:val="22"/>
                <w:szCs w:val="22"/>
              </w:rPr>
              <w:t>, bet ne ilgāk par piecām dienām, skaitot no dienas, kad persona atbilstoši šā panta sestajā daļā minētajiem Ministru kabineta noteikumiem ir saņēmusi atļauju piedalīties ceļu satiksmē un ne biežāk kā divas reizes kalendārajā gadā;</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9) persona vada vieglo automobili, kurš ir reģistrēts ārvalstī, tiek izmantots kā demonstrācijas transportlīdzeklis un kā tāds noteikts vieglā automobiļa ražotāja pilnvarotai personai saistošā līgumā ar vieglā automobiļa ražotāju un kuru ražotāja pilnvarotā persona nodevusi izmantošanai demonstrācijas braucienu nolūkā, to deklarējot Ceļu satiksmes drošības direkcijas uzturētajā transportlīdzekļu un to vadītāju valsts reģistrā. Šajā gadījumā atļauju uz vieglā automobiļa ievešanas laiku Latvijā, bet ne ilgāku par diviem mēnešiem saņem vieglā automobiļa ražotāja pilnvarotā persona;</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10) Latvijā reģistrēta Latvijas Auto nomu asociācijas biedra, kurš pārstāv starptautisku īslaicīgas autoiznomāšanas (autoizīrēšanas) pakalpojumu sniedzēju Latvijā, darbinieks vada ārvalstīs starptautiskam īslaicīgas autoiznomāšanas (autoizīrēšanas) pakalpojumu sniedzējam reģistrētu vieglo automobili. Šādā gadījumā automobiļa izmantošanu Latvijā reģistrētais uzņēmums deklarē Ceļu satiksmes drošības direkcijas uzturētajā transportlīdzekļu un to vadītāju valsts reģistrā.</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(6) Lai šā panta piektās daļas paredzētajos gadījumos ceturtajā daļā minētā persona varētu Latvijas teritorijā ceļu satiksmē vadīt vieglo automobili, tai Ministru kabineta noteiktajos gadījumos Ceļu satiksmes drošības direkcijā jāsaņem atļauja piedalīties ceļu satiksmē. Ministru kabinets nosaka, kādos gadījumos un kādā kārtībā Ceļu satiksmes drošības direkcijā šā panta ceturtajā daļā minētajām personām piešķir un anulē atļauju piedalīties ceļu satiksmē.</w:t>
            </w:r>
          </w:p>
        </w:tc>
        <w:tc>
          <w:tcPr>
            <w:tcW w:w="3960" w:type="dxa"/>
          </w:tcPr>
          <w:p w:rsidR="00C90F69" w:rsidRPr="00C90F69" w:rsidRDefault="00C90F69" w:rsidP="000E3E75">
            <w:pPr>
              <w:pStyle w:val="tv213"/>
              <w:spacing w:before="0" w:beforeAutospacing="0" w:after="0" w:afterAutospacing="0"/>
              <w:ind w:firstLine="463"/>
              <w:jc w:val="both"/>
              <w:rPr>
                <w:spacing w:val="-2"/>
                <w:sz w:val="22"/>
                <w:szCs w:val="22"/>
                <w:shd w:val="clear" w:color="auto" w:fill="FEFEFE"/>
              </w:rPr>
            </w:pPr>
            <w:r w:rsidRPr="00C90F69">
              <w:rPr>
                <w:sz w:val="22"/>
                <w:szCs w:val="22"/>
              </w:rPr>
              <w:lastRenderedPageBreak/>
              <w:t>2. Izslēgt 9. panta ceturto, piekto un sesto daļu.</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C90F69" w:rsidRPr="00323EDA" w:rsidRDefault="00C90F69" w:rsidP="00323EDA">
            <w:pPr>
              <w:pStyle w:val="tv213"/>
              <w:spacing w:before="0" w:beforeAutospacing="0" w:after="0" w:afterAutospacing="0"/>
              <w:ind w:firstLine="454"/>
              <w:jc w:val="both"/>
              <w:rPr>
                <w:sz w:val="22"/>
                <w:szCs w:val="22"/>
              </w:rPr>
            </w:pPr>
            <w:r w:rsidRPr="00323EDA">
              <w:rPr>
                <w:b/>
                <w:bCs/>
                <w:sz w:val="22"/>
                <w:szCs w:val="22"/>
              </w:rPr>
              <w:t xml:space="preserve">10.pants. Transportlīdzekļu reģistrācija </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(1) Ceļu satiksmē iesaistītos transportlīdzekļus reģistrē:</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1) vietējās pašvaldības to noteiktajā kārtībā — tramvajus, trolejbusus un specializētos tūristu transportlīdzekļus;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2) Valsts tehniskās uzraudzības aģentūra — traktortehniku un tās piekabes;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2</w:t>
            </w:r>
            <w:r w:rsidRPr="00323EDA">
              <w:rPr>
                <w:sz w:val="22"/>
                <w:szCs w:val="22"/>
                <w:vertAlign w:val="superscript"/>
              </w:rPr>
              <w:t>1</w:t>
            </w:r>
            <w:r w:rsidRPr="00323EDA">
              <w:rPr>
                <w:sz w:val="22"/>
                <w:szCs w:val="22"/>
              </w:rPr>
              <w:t>) Nacionālie bruņotie spēki — speciālo militāro tehniku;</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3) Ceļu satiksmes drošības direkcija — pārējos mehāniskos transportlīdzekļus un to piekabes.</w:t>
            </w:r>
          </w:p>
          <w:p w:rsidR="00C90F69" w:rsidRPr="00323EDA" w:rsidRDefault="00C90F69" w:rsidP="00323EDA">
            <w:pPr>
              <w:pStyle w:val="tv213"/>
              <w:spacing w:before="0" w:beforeAutospacing="0" w:after="0" w:afterAutospacing="0"/>
              <w:ind w:firstLine="454"/>
              <w:jc w:val="both"/>
              <w:rPr>
                <w:sz w:val="22"/>
                <w:szCs w:val="22"/>
              </w:rPr>
            </w:pPr>
            <w:r w:rsidRPr="00323EDA">
              <w:rPr>
                <w:sz w:val="22"/>
                <w:szCs w:val="22"/>
              </w:rPr>
              <w:t>(1</w:t>
            </w:r>
            <w:r w:rsidRPr="00323EDA">
              <w:rPr>
                <w:sz w:val="22"/>
                <w:szCs w:val="22"/>
                <w:vertAlign w:val="superscript"/>
              </w:rPr>
              <w:t>1</w:t>
            </w:r>
            <w:r w:rsidRPr="00323EDA">
              <w:rPr>
                <w:sz w:val="22"/>
                <w:szCs w:val="22"/>
              </w:rPr>
              <w:t>) Šā panta pirmās daļas 2. un 3.punktā minēto ceļu satiksmē iesaistīto transportlīdzekļu reģistrācija veicama piecu dienu laikā pēc transportlīdzekļu iegādes vai ārvalstīs iegādātu transportlīdzekļu ievešanas dienas.</w:t>
            </w:r>
          </w:p>
        </w:tc>
        <w:tc>
          <w:tcPr>
            <w:tcW w:w="3960" w:type="dxa"/>
          </w:tcPr>
          <w:p w:rsidR="00936BF1" w:rsidRDefault="00936BF1" w:rsidP="000E3E75">
            <w:pPr>
              <w:ind w:firstLine="463"/>
              <w:jc w:val="both"/>
              <w:rPr>
                <w:sz w:val="22"/>
              </w:rPr>
            </w:pPr>
          </w:p>
          <w:p w:rsidR="00936BF1" w:rsidRDefault="00936BF1" w:rsidP="000E3E75">
            <w:pPr>
              <w:ind w:firstLine="463"/>
              <w:jc w:val="both"/>
              <w:rPr>
                <w:sz w:val="22"/>
              </w:rPr>
            </w:pPr>
          </w:p>
          <w:p w:rsidR="00936BF1" w:rsidRDefault="00936BF1" w:rsidP="000E3E75">
            <w:pPr>
              <w:ind w:firstLine="463"/>
              <w:jc w:val="both"/>
              <w:rPr>
                <w:sz w:val="22"/>
              </w:rPr>
            </w:pPr>
          </w:p>
          <w:p w:rsidR="00936BF1" w:rsidRDefault="00936BF1" w:rsidP="000E3E75">
            <w:pPr>
              <w:ind w:firstLine="463"/>
              <w:jc w:val="both"/>
              <w:rPr>
                <w:sz w:val="22"/>
              </w:rPr>
            </w:pPr>
          </w:p>
          <w:p w:rsidR="00936BF1" w:rsidRDefault="00936BF1" w:rsidP="000E3E75">
            <w:pPr>
              <w:ind w:firstLine="463"/>
              <w:jc w:val="both"/>
              <w:rPr>
                <w:sz w:val="22"/>
              </w:rPr>
            </w:pPr>
          </w:p>
          <w:p w:rsidR="00936BF1" w:rsidRDefault="00936BF1" w:rsidP="000E3E75">
            <w:pPr>
              <w:ind w:firstLine="463"/>
              <w:jc w:val="both"/>
              <w:rPr>
                <w:sz w:val="22"/>
              </w:rPr>
            </w:pPr>
          </w:p>
          <w:p w:rsidR="00936BF1" w:rsidRDefault="00936BF1" w:rsidP="000E3E75">
            <w:pPr>
              <w:ind w:firstLine="463"/>
              <w:jc w:val="both"/>
              <w:rPr>
                <w:sz w:val="22"/>
              </w:rPr>
            </w:pPr>
          </w:p>
          <w:p w:rsidR="00C90F69" w:rsidRPr="00C90F69" w:rsidRDefault="00C90F69" w:rsidP="000E3E75">
            <w:pPr>
              <w:ind w:firstLine="463"/>
              <w:jc w:val="both"/>
              <w:rPr>
                <w:sz w:val="22"/>
              </w:rPr>
            </w:pPr>
            <w:r w:rsidRPr="00C90F69">
              <w:rPr>
                <w:sz w:val="22"/>
              </w:rPr>
              <w:t>3.  10. pantā:</w:t>
            </w:r>
          </w:p>
          <w:p w:rsidR="00C90F69" w:rsidRPr="00C90F69" w:rsidRDefault="00C90F69" w:rsidP="000E3E75">
            <w:pPr>
              <w:ind w:firstLine="463"/>
              <w:jc w:val="both"/>
              <w:rPr>
                <w:sz w:val="22"/>
              </w:rPr>
            </w:pPr>
            <w:r w:rsidRPr="00C90F69">
              <w:rPr>
                <w:sz w:val="22"/>
              </w:rPr>
              <w:t>izteikt 1.</w:t>
            </w:r>
            <w:r w:rsidRPr="00C90F69">
              <w:rPr>
                <w:sz w:val="22"/>
                <w:vertAlign w:val="superscript"/>
              </w:rPr>
              <w:t>1 </w:t>
            </w:r>
            <w:r w:rsidRPr="00C90F69">
              <w:rPr>
                <w:sz w:val="22"/>
              </w:rPr>
              <w:t>daļu šādā redakcijā:</w:t>
            </w:r>
          </w:p>
          <w:p w:rsidR="00C90F69" w:rsidRPr="00C90F69" w:rsidRDefault="00C90F69" w:rsidP="000E3E75">
            <w:pPr>
              <w:ind w:firstLine="463"/>
              <w:jc w:val="both"/>
              <w:rPr>
                <w:sz w:val="22"/>
              </w:rPr>
            </w:pPr>
            <w:r w:rsidRPr="00C90F69">
              <w:rPr>
                <w:sz w:val="22"/>
              </w:rPr>
              <w:t>"(1</w:t>
            </w:r>
            <w:r w:rsidRPr="00C90F69">
              <w:rPr>
                <w:sz w:val="22"/>
                <w:vertAlign w:val="superscript"/>
              </w:rPr>
              <w:t>1</w:t>
            </w:r>
            <w:r w:rsidRPr="00C90F69">
              <w:rPr>
                <w:sz w:val="22"/>
              </w:rPr>
              <w:t xml:space="preserve">) Šā panta pirmās daļas 2. un 3. punktā minēto ceļu satiksmē iesaistīto transportlīdzekļu reģistrācija veicama piecu dienu laikā pēc transportlīdzekļa iegādes vai ārvalstīs iegādāta transportlīdzekļa ievešanas dienas, </w:t>
            </w:r>
            <w:r w:rsidRPr="00936BF1">
              <w:rPr>
                <w:sz w:val="22"/>
                <w:u w:val="single"/>
              </w:rPr>
              <w:t>pirms tam to uzrādot transportlīdzekļa agregātu numuru salīdzināšanai. Ja no ārvalsts ievestu transportlīdzekli neizmanto ceļu satiksmē, to var nereģistrēt, taču transport</w:t>
            </w:r>
            <w:r w:rsidRPr="00936BF1">
              <w:rPr>
                <w:sz w:val="22"/>
                <w:u w:val="single"/>
              </w:rPr>
              <w:softHyphen/>
              <w:t>līdzeklis jāuzrāda agregātu numuru salīdzināšanai piecu dienu laikā pēc tā ievešanas Latvijā, bet traktortehnika un tās piekabes – 15 dienu laikā.";</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C90F69" w:rsidRPr="00323EDA" w:rsidRDefault="00C90F69" w:rsidP="00323EDA">
            <w:pPr>
              <w:ind w:firstLine="454"/>
              <w:jc w:val="both"/>
              <w:rPr>
                <w:sz w:val="22"/>
              </w:rPr>
            </w:pPr>
          </w:p>
        </w:tc>
        <w:tc>
          <w:tcPr>
            <w:tcW w:w="3960" w:type="dxa"/>
          </w:tcPr>
          <w:p w:rsidR="00450C6B" w:rsidRDefault="00450C6B" w:rsidP="000E3E75">
            <w:pPr>
              <w:ind w:firstLine="463"/>
              <w:jc w:val="both"/>
              <w:rPr>
                <w:sz w:val="22"/>
              </w:rPr>
            </w:pPr>
          </w:p>
          <w:p w:rsidR="00450C6B" w:rsidRDefault="00450C6B" w:rsidP="000E3E75">
            <w:pPr>
              <w:ind w:firstLine="463"/>
              <w:jc w:val="both"/>
              <w:rPr>
                <w:sz w:val="22"/>
              </w:rPr>
            </w:pPr>
          </w:p>
          <w:p w:rsidR="00450C6B" w:rsidRDefault="00450C6B" w:rsidP="000E3E75">
            <w:pPr>
              <w:ind w:firstLine="463"/>
              <w:jc w:val="both"/>
              <w:rPr>
                <w:sz w:val="22"/>
              </w:rPr>
            </w:pPr>
          </w:p>
          <w:p w:rsidR="00450C6B" w:rsidRDefault="00450C6B" w:rsidP="000E3E75">
            <w:pPr>
              <w:ind w:firstLine="463"/>
              <w:jc w:val="both"/>
              <w:rPr>
                <w:sz w:val="22"/>
              </w:rPr>
            </w:pPr>
          </w:p>
          <w:p w:rsidR="00C90F69" w:rsidRPr="00C90F69" w:rsidRDefault="00C90F69" w:rsidP="000E3E75">
            <w:pPr>
              <w:ind w:firstLine="463"/>
              <w:jc w:val="both"/>
              <w:rPr>
                <w:sz w:val="22"/>
              </w:rPr>
            </w:pPr>
            <w:r w:rsidRPr="00C90F69">
              <w:rPr>
                <w:sz w:val="22"/>
              </w:rPr>
              <w:t>papildināt pantu ar desmito, vienpadsmito, divpadsmito un trīspadsmito daļu šādā redakcijā:</w:t>
            </w:r>
          </w:p>
          <w:p w:rsidR="00C90F69" w:rsidRPr="00C90F69" w:rsidRDefault="00C90F69" w:rsidP="000E3E75">
            <w:pPr>
              <w:ind w:firstLine="463"/>
              <w:jc w:val="both"/>
              <w:rPr>
                <w:sz w:val="22"/>
              </w:rPr>
            </w:pPr>
            <w:r w:rsidRPr="00C90F69">
              <w:rPr>
                <w:sz w:val="22"/>
              </w:rPr>
              <w:t>"(10) Ja juridiska persona savā īpašumā vai turējumā reģistrē transport</w:t>
            </w:r>
            <w:r w:rsidRPr="00C90F69">
              <w:rPr>
                <w:sz w:val="22"/>
              </w:rPr>
              <w:softHyphen/>
              <w:t xml:space="preserve">līdzekli, kura izlaiduma gads ir kārtējais gads vai pieci iepriekšējie gadi un kura kategorija ir </w:t>
            </w:r>
            <w:r w:rsidRPr="00450C6B">
              <w:rPr>
                <w:sz w:val="22"/>
                <w:u w:val="single"/>
              </w:rPr>
              <w:t>M1/M1G vai N1/N1G</w:t>
            </w:r>
            <w:r w:rsidRPr="00C90F69">
              <w:rPr>
                <w:sz w:val="22"/>
              </w:rPr>
              <w:t xml:space="preserve">, un kas iegādāts citā Eiropas Savienības dalībvalstī un tiek pirmoreiz reģistrēts Latvijā vai kas gada laikā pēc tā pirmās reģistrācijas Latvijā atkārtoti iegādāts citā Eiropas Savienības dalībvalstī un tiek atkārtoti reģistrēts Latvijā, Ceļu satiksmes drošības direkcija vienlaikus ar transportlīdzekļa reģistrāciju reģistrē atsavināšanas aizliegumu uz </w:t>
            </w:r>
            <w:r w:rsidRPr="00450C6B">
              <w:rPr>
                <w:sz w:val="22"/>
                <w:u w:val="single"/>
              </w:rPr>
              <w:t>piecām</w:t>
            </w:r>
            <w:r w:rsidRPr="00C90F69">
              <w:rPr>
                <w:sz w:val="22"/>
              </w:rPr>
              <w:t xml:space="preserve"> </w:t>
            </w:r>
            <w:r w:rsidRPr="00450C6B">
              <w:rPr>
                <w:sz w:val="22"/>
                <w:u w:val="single"/>
              </w:rPr>
              <w:t>darbdienām.</w:t>
            </w:r>
            <w:r w:rsidRPr="00C90F69">
              <w:rPr>
                <w:sz w:val="22"/>
              </w:rPr>
              <w:t xml:space="preserve"> Ceļu satiksmes drošības direkcija informāciju par reģistrēto transportlīdzekli elektroniski nodod Valsts ieņēmumu dienestam.</w:t>
            </w:r>
          </w:p>
          <w:p w:rsidR="00C90F69" w:rsidRPr="00C90F69" w:rsidRDefault="00C90F69" w:rsidP="000E3E75">
            <w:pPr>
              <w:ind w:firstLine="463"/>
              <w:jc w:val="both"/>
              <w:rPr>
                <w:sz w:val="22"/>
              </w:rPr>
            </w:pPr>
            <w:r w:rsidRPr="00C90F69">
              <w:rPr>
                <w:sz w:val="22"/>
              </w:rPr>
              <w:t xml:space="preserve">(11) Ja Valsts ieņēmumu dienests saskaņā ar normatīvajiem aktiem par nodokļiem un nodevām saistībā ar reģistrēto transportlīdzekli uzsāk nodokļu administrēšanas pasākumus, tas par attiecīgo transportlīdzekli šā likuma 14. pantā noteiktajā kārtībā reģistrē atsavināšanas aizliegumu transportlīdzekļu un to vadītāju valsts reģistrā. </w:t>
            </w:r>
          </w:p>
          <w:p w:rsidR="00C90F69" w:rsidRPr="00C90F69" w:rsidRDefault="00C90F69" w:rsidP="000E3E75">
            <w:pPr>
              <w:ind w:firstLine="463"/>
              <w:jc w:val="both"/>
              <w:rPr>
                <w:sz w:val="22"/>
              </w:rPr>
            </w:pPr>
            <w:r w:rsidRPr="00C90F69">
              <w:rPr>
                <w:sz w:val="22"/>
              </w:rPr>
              <w:t xml:space="preserve">(12) Ja Valsts ieņēmumu dienests neuzsāk nodokļu administrēšanas pasākumus, </w:t>
            </w:r>
            <w:r w:rsidRPr="00C90F69">
              <w:rPr>
                <w:spacing w:val="-2"/>
                <w:sz w:val="22"/>
              </w:rPr>
              <w:t>šā panta desmitajā daļā minētais atsavināšanas aizliegums tiek dzēsts automātiski</w:t>
            </w:r>
            <w:r w:rsidRPr="00C90F69">
              <w:rPr>
                <w:sz w:val="22"/>
              </w:rPr>
              <w:t xml:space="preserve"> pēc atsavināšanas aizlieguma termiņa beigām.</w:t>
            </w:r>
          </w:p>
          <w:p w:rsidR="00C90F69" w:rsidRPr="00C90F69" w:rsidRDefault="00C90F69" w:rsidP="000E3E75">
            <w:pPr>
              <w:ind w:firstLine="463"/>
              <w:jc w:val="both"/>
              <w:rPr>
                <w:spacing w:val="-2"/>
                <w:sz w:val="22"/>
                <w:shd w:val="clear" w:color="auto" w:fill="FEFEFE"/>
              </w:rPr>
            </w:pPr>
            <w:r w:rsidRPr="00C90F69">
              <w:rPr>
                <w:spacing w:val="-2"/>
                <w:sz w:val="22"/>
              </w:rPr>
              <w:t xml:space="preserve">(13) Valsts ieņēmumu dienests šā panta desmitajā un vienpadsmitajā daļā minēto atsavināšanas aizliegumu dzēš, kad ir pabeigti nodokļu </w:t>
            </w:r>
            <w:r w:rsidRPr="00C90F69">
              <w:rPr>
                <w:sz w:val="22"/>
              </w:rPr>
              <w:t>administrēšanas</w:t>
            </w:r>
            <w:r w:rsidRPr="00C90F69">
              <w:rPr>
                <w:spacing w:val="-2"/>
                <w:sz w:val="22"/>
              </w:rPr>
              <w:t xml:space="preserve"> pasākumi vai</w:t>
            </w:r>
            <w:r w:rsidRPr="00C90F69" w:rsidDel="00B17C32">
              <w:rPr>
                <w:spacing w:val="-2"/>
                <w:sz w:val="22"/>
              </w:rPr>
              <w:t xml:space="preserve"> </w:t>
            </w:r>
            <w:r w:rsidRPr="00C90F69">
              <w:rPr>
                <w:spacing w:val="-2"/>
                <w:sz w:val="22"/>
              </w:rPr>
              <w:t>ja tiek samaksāta drošības nauda. Ministru kabinets nosaka drošības naudas apmēru, iemaksāšanas un atmaksāšanas kārtību."</w:t>
            </w:r>
          </w:p>
        </w:tc>
        <w:tc>
          <w:tcPr>
            <w:tcW w:w="567" w:type="dxa"/>
          </w:tcPr>
          <w:p w:rsidR="00C90F69" w:rsidRDefault="000E3E75" w:rsidP="001A7D73">
            <w:pPr>
              <w:jc w:val="center"/>
              <w:rPr>
                <w:b/>
                <w:sz w:val="22"/>
              </w:rPr>
            </w:pPr>
            <w:r>
              <w:rPr>
                <w:b/>
                <w:sz w:val="22"/>
              </w:rPr>
              <w:t>1</w:t>
            </w: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r>
              <w:rPr>
                <w:b/>
                <w:sz w:val="22"/>
              </w:rPr>
              <w:t>2</w:t>
            </w:r>
          </w:p>
        </w:tc>
        <w:tc>
          <w:tcPr>
            <w:tcW w:w="3960" w:type="dxa"/>
          </w:tcPr>
          <w:p w:rsidR="00C90F69" w:rsidRDefault="000F0D4C" w:rsidP="000E3E75">
            <w:pPr>
              <w:ind w:firstLine="472"/>
              <w:jc w:val="both"/>
              <w:rPr>
                <w:b/>
                <w:sz w:val="22"/>
                <w:u w:val="single"/>
              </w:rPr>
            </w:pPr>
            <w:r>
              <w:rPr>
                <w:b/>
                <w:sz w:val="22"/>
                <w:u w:val="single"/>
              </w:rPr>
              <w:t>Finanšu ministrijas parlamentārais sekretārs E.Putra</w:t>
            </w:r>
          </w:p>
          <w:p w:rsidR="000F0D4C" w:rsidRPr="000F0D4C" w:rsidRDefault="000F0D4C" w:rsidP="000E3E75">
            <w:pPr>
              <w:pStyle w:val="ListParagraph"/>
              <w:tabs>
                <w:tab w:val="left" w:pos="709"/>
                <w:tab w:val="left" w:pos="1560"/>
              </w:tabs>
              <w:spacing w:after="0" w:line="240" w:lineRule="auto"/>
              <w:ind w:left="0" w:firstLine="472"/>
              <w:jc w:val="both"/>
              <w:rPr>
                <w:rFonts w:ascii="Times New Roman" w:hAnsi="Times New Roman"/>
              </w:rPr>
            </w:pPr>
            <w:r w:rsidRPr="000F0D4C">
              <w:rPr>
                <w:rFonts w:ascii="Times New Roman" w:hAnsi="Times New Roman"/>
              </w:rPr>
              <w:t>Likumprojekta 3.panta otro daļu aizstāt ar jaunu otro daļu šādā redakcijā:</w:t>
            </w:r>
          </w:p>
          <w:p w:rsidR="000F0D4C" w:rsidRPr="000F0D4C" w:rsidRDefault="000F0D4C" w:rsidP="000E3E75">
            <w:pPr>
              <w:ind w:firstLine="472"/>
              <w:jc w:val="both"/>
              <w:rPr>
                <w:rFonts w:eastAsia="Times New Roman"/>
                <w:color w:val="000000"/>
                <w:sz w:val="22"/>
                <w:lang w:eastAsia="lv-LV"/>
              </w:rPr>
            </w:pPr>
            <w:r w:rsidRPr="000F0D4C">
              <w:rPr>
                <w:sz w:val="22"/>
              </w:rPr>
              <w:t>“</w:t>
            </w:r>
            <w:r w:rsidRPr="000F0D4C">
              <w:rPr>
                <w:rFonts w:eastAsia="Times New Roman"/>
                <w:color w:val="000000"/>
                <w:sz w:val="22"/>
                <w:lang w:eastAsia="lv-LV"/>
              </w:rPr>
              <w:t>papildināt pantu ar desmito, vienpadsmito, divpadsmito un trīspadsmito daļu šādā redakcijā:</w:t>
            </w:r>
          </w:p>
          <w:p w:rsidR="000F0D4C" w:rsidRPr="000F0D4C" w:rsidRDefault="000F0D4C" w:rsidP="000E3E75">
            <w:pPr>
              <w:ind w:firstLine="472"/>
              <w:jc w:val="both"/>
              <w:rPr>
                <w:rFonts w:eastAsia="Times New Roman"/>
                <w:color w:val="000000"/>
                <w:sz w:val="22"/>
                <w:lang w:eastAsia="lv-LV"/>
              </w:rPr>
            </w:pPr>
            <w:r w:rsidRPr="000F0D4C">
              <w:rPr>
                <w:rFonts w:eastAsia="Times New Roman"/>
                <w:color w:val="000000"/>
                <w:sz w:val="22"/>
                <w:lang w:eastAsia="lv-LV"/>
              </w:rPr>
              <w:t>“(10) Ja juridiska persona savā īpašumā vai turējumā reģistrē transport</w:t>
            </w:r>
            <w:r w:rsidRPr="000F0D4C">
              <w:rPr>
                <w:rFonts w:eastAsia="Times New Roman"/>
                <w:color w:val="000000"/>
                <w:sz w:val="22"/>
                <w:lang w:eastAsia="lv-LV"/>
              </w:rPr>
              <w:softHyphen/>
              <w:t xml:space="preserve">līdzekli, kura izlaiduma gads ir kārtējais gads vai pieci iepriekšējie gadi un kura kategorija ir M1/M1G vai N1/N1G, un kas iegādāts citā Eiropas Savienības dalībvalstī un tiek pirmoreiz reģistrēts Latvijā vai kas gada laikā pēc tā pirmās reģistrācijas Latvijā atkārtoti iegādāts citā Eiropas Savienības dalībvalstī un tiek atkārtoti reģistrēts Latvijā, Ceļu satiksmes drošības direkcija vienlaikus ar transportlīdzekļa reģistrāciju reģistrē atsavināšanas aizliegumu uz </w:t>
            </w:r>
            <w:r w:rsidRPr="00450C6B">
              <w:rPr>
                <w:rFonts w:eastAsia="Times New Roman"/>
                <w:color w:val="000000"/>
                <w:sz w:val="22"/>
                <w:u w:val="single"/>
                <w:lang w:eastAsia="lv-LV"/>
              </w:rPr>
              <w:t>15 dienām</w:t>
            </w:r>
            <w:r w:rsidRPr="000F0D4C">
              <w:rPr>
                <w:rFonts w:eastAsia="Times New Roman"/>
                <w:color w:val="000000"/>
                <w:sz w:val="22"/>
                <w:lang w:eastAsia="lv-LV"/>
              </w:rPr>
              <w:t>. Ceļu satiksmes drošības direkcija informāciju par reģistrēto transportlīdzekli elektroniski nodod Valsts ieņēmumu dienestam.</w:t>
            </w:r>
          </w:p>
          <w:p w:rsidR="000F0D4C" w:rsidRPr="000F0D4C" w:rsidRDefault="000F0D4C" w:rsidP="000E3E75">
            <w:pPr>
              <w:ind w:firstLine="472"/>
              <w:jc w:val="both"/>
              <w:rPr>
                <w:rFonts w:eastAsia="Times New Roman"/>
                <w:color w:val="000000"/>
                <w:sz w:val="22"/>
                <w:lang w:eastAsia="lv-LV"/>
              </w:rPr>
            </w:pPr>
            <w:r w:rsidRPr="000F0D4C">
              <w:rPr>
                <w:rFonts w:eastAsia="Times New Roman"/>
                <w:color w:val="000000"/>
                <w:sz w:val="22"/>
                <w:lang w:eastAsia="lv-LV"/>
              </w:rPr>
              <w:t xml:space="preserve">(11) Ja Valsts ieņēmumu dienests saskaņā ar normatīvajiem aktiem par nodokļiem un nodevām saistībā ar reģistrēto transportlīdzekli uzsāk nodokļu administrēšanas pasākumus, tas par attiecīgo transportlīdzekli šā likuma 14. pantā noteiktajā kārtībā reģistrē atsavināšanas aizliegumu transportlīdzekļu un to vadītāju valsts reģistrā. </w:t>
            </w:r>
          </w:p>
          <w:p w:rsidR="000F0D4C" w:rsidRPr="000F0D4C" w:rsidRDefault="000F0D4C" w:rsidP="000E3E75">
            <w:pPr>
              <w:ind w:firstLine="472"/>
              <w:jc w:val="both"/>
              <w:rPr>
                <w:rFonts w:eastAsia="Times New Roman"/>
                <w:color w:val="000000"/>
                <w:sz w:val="22"/>
                <w:lang w:eastAsia="lv-LV"/>
              </w:rPr>
            </w:pPr>
            <w:r w:rsidRPr="000F0D4C">
              <w:rPr>
                <w:rFonts w:eastAsia="Times New Roman"/>
                <w:color w:val="000000"/>
                <w:sz w:val="22"/>
                <w:lang w:eastAsia="lv-LV"/>
              </w:rPr>
              <w:t xml:space="preserve">(12) Ja Valsts ieņēmumu dienests neuzsāk nodokļu administrēšanas pasākumus, </w:t>
            </w:r>
            <w:r w:rsidRPr="000F0D4C">
              <w:rPr>
                <w:rFonts w:eastAsia="Times New Roman"/>
                <w:color w:val="000000"/>
                <w:spacing w:val="-2"/>
                <w:sz w:val="22"/>
                <w:lang w:eastAsia="lv-LV"/>
              </w:rPr>
              <w:t>šā panta desmitajā daļā minētais atsavināšanas aizliegums tiek dzēsts automātiski</w:t>
            </w:r>
            <w:r w:rsidRPr="000F0D4C">
              <w:rPr>
                <w:rFonts w:eastAsia="Times New Roman"/>
                <w:color w:val="000000"/>
                <w:sz w:val="22"/>
                <w:lang w:eastAsia="lv-LV"/>
              </w:rPr>
              <w:t xml:space="preserve"> pēc atsavināšanas aizlieguma termiņa beigām.</w:t>
            </w:r>
          </w:p>
          <w:p w:rsidR="000F0D4C" w:rsidRDefault="000F0D4C" w:rsidP="000E3E75">
            <w:pPr>
              <w:ind w:firstLine="472"/>
              <w:jc w:val="both"/>
              <w:rPr>
                <w:rFonts w:eastAsia="Times New Roman"/>
                <w:color w:val="000000"/>
                <w:spacing w:val="-2"/>
                <w:sz w:val="22"/>
                <w:lang w:eastAsia="lv-LV"/>
              </w:rPr>
            </w:pPr>
            <w:r w:rsidRPr="000F0D4C">
              <w:rPr>
                <w:rFonts w:eastAsia="Times New Roman"/>
                <w:color w:val="000000"/>
                <w:spacing w:val="-2"/>
                <w:sz w:val="22"/>
                <w:lang w:eastAsia="lv-LV"/>
              </w:rPr>
              <w:t xml:space="preserve">(13) Valsts ieņēmumu dienests šā panta desmitajā un vienpadsmitajā daļā minēto atsavināšanas aizliegumu dzēš, kad ir pabeigti nodokļu </w:t>
            </w:r>
            <w:r w:rsidRPr="000F0D4C">
              <w:rPr>
                <w:rFonts w:eastAsia="Times New Roman"/>
                <w:color w:val="000000"/>
                <w:sz w:val="22"/>
                <w:lang w:eastAsia="lv-LV"/>
              </w:rPr>
              <w:t>administrēšanas</w:t>
            </w:r>
            <w:r w:rsidRPr="000F0D4C">
              <w:rPr>
                <w:rFonts w:eastAsia="Times New Roman"/>
                <w:color w:val="000000"/>
                <w:spacing w:val="-2"/>
                <w:sz w:val="22"/>
                <w:lang w:eastAsia="lv-LV"/>
              </w:rPr>
              <w:t xml:space="preserve"> pasākumi vai ja tiek samaksāta drošības nauda. Ministru kabinets nosaka drošības naudas apmēru, iemaksāšanas un atmaksāšanas kārtību.””</w:t>
            </w:r>
          </w:p>
          <w:p w:rsidR="00450C6B" w:rsidRDefault="00450C6B" w:rsidP="000E3E75">
            <w:pPr>
              <w:ind w:firstLine="472"/>
              <w:jc w:val="both"/>
              <w:rPr>
                <w:rFonts w:eastAsia="Times New Roman"/>
                <w:color w:val="000000"/>
                <w:spacing w:val="-2"/>
                <w:sz w:val="22"/>
                <w:lang w:eastAsia="lv-LV"/>
              </w:rPr>
            </w:pPr>
          </w:p>
          <w:p w:rsidR="00450C6B" w:rsidRPr="00450C6B" w:rsidRDefault="00450C6B" w:rsidP="000E3E75">
            <w:pPr>
              <w:pStyle w:val="ListParagraph"/>
              <w:widowControl/>
              <w:spacing w:after="0" w:line="240" w:lineRule="auto"/>
              <w:ind w:left="0" w:firstLine="472"/>
              <w:jc w:val="both"/>
              <w:rPr>
                <w:rFonts w:ascii="Times New Roman" w:eastAsia="Times New Roman" w:hAnsi="Times New Roman"/>
                <w:b/>
                <w:u w:val="single"/>
              </w:rPr>
            </w:pPr>
            <w:r w:rsidRPr="00450C6B">
              <w:rPr>
                <w:rFonts w:ascii="Times New Roman" w:eastAsia="Times New Roman" w:hAnsi="Times New Roman"/>
                <w:b/>
                <w:u w:val="single"/>
              </w:rPr>
              <w:t xml:space="preserve">Juridiskais birojs </w:t>
            </w:r>
          </w:p>
          <w:p w:rsidR="00450C6B" w:rsidRPr="00035F85" w:rsidRDefault="00450C6B" w:rsidP="000E3E75">
            <w:pPr>
              <w:pStyle w:val="ListParagraph"/>
              <w:widowControl/>
              <w:spacing w:after="0" w:line="240" w:lineRule="auto"/>
              <w:ind w:left="0" w:firstLine="472"/>
              <w:jc w:val="both"/>
              <w:rPr>
                <w:b/>
                <w:u w:val="single"/>
              </w:rPr>
            </w:pPr>
            <w:r w:rsidRPr="00450C6B">
              <w:rPr>
                <w:rFonts w:ascii="Times New Roman" w:eastAsia="Times New Roman" w:hAnsi="Times New Roman"/>
              </w:rPr>
              <w:t>Aizstāt 10. panta desmitajā daļā (likumprojekta 3. pants) simbolus un vārdu „M1/M1G vai N1/N1G” ar simboliem un vārdiem „</w:t>
            </w:r>
            <w:r w:rsidRPr="00450C6B">
              <w:rPr>
                <w:rFonts w:ascii="Times New Roman" w:eastAsia="Times New Roman" w:hAnsi="Times New Roman"/>
                <w:u w:val="single"/>
              </w:rPr>
              <w:t>M1 (tai skait</w:t>
            </w:r>
            <w:r>
              <w:rPr>
                <w:rFonts w:ascii="Times New Roman" w:eastAsia="Times New Roman" w:hAnsi="Times New Roman"/>
                <w:u w:val="single"/>
              </w:rPr>
              <w:t>ā M1G) vai N1 (tai skaitā N1G)”.</w:t>
            </w: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323EDA" w:rsidRPr="00323EDA" w:rsidRDefault="00323EDA" w:rsidP="00323EDA">
            <w:pPr>
              <w:pStyle w:val="tv213"/>
              <w:spacing w:before="0" w:beforeAutospacing="0" w:after="0" w:afterAutospacing="0"/>
              <w:ind w:firstLine="454"/>
              <w:jc w:val="both"/>
              <w:rPr>
                <w:sz w:val="22"/>
                <w:szCs w:val="22"/>
              </w:rPr>
            </w:pPr>
            <w:r w:rsidRPr="00323EDA">
              <w:rPr>
                <w:b/>
                <w:bCs/>
                <w:sz w:val="22"/>
                <w:szCs w:val="22"/>
              </w:rPr>
              <w:t xml:space="preserve">12.pants. Īpašuma tiesības apliecinoši dokumenti </w:t>
            </w:r>
          </w:p>
          <w:p w:rsidR="00C90F69" w:rsidRPr="00323EDA" w:rsidRDefault="00450C6B" w:rsidP="00323EDA">
            <w:pPr>
              <w:pStyle w:val="tv213"/>
              <w:spacing w:before="0" w:beforeAutospacing="0" w:after="0" w:afterAutospacing="0"/>
              <w:ind w:firstLine="454"/>
              <w:jc w:val="both"/>
              <w:rPr>
                <w:sz w:val="22"/>
                <w:szCs w:val="22"/>
              </w:rPr>
            </w:pPr>
            <w:r w:rsidRPr="00323EDA">
              <w:rPr>
                <w:sz w:val="22"/>
                <w:szCs w:val="22"/>
              </w:rPr>
              <w:t xml:space="preserve"> </w:t>
            </w:r>
            <w:r w:rsidR="00323EDA" w:rsidRPr="00323EDA">
              <w:rPr>
                <w:sz w:val="22"/>
                <w:szCs w:val="22"/>
              </w:rPr>
              <w:t>(4) Ja transportlīdzeklis ievests Latvijā no valsts, kas nav Eiropas Savienības dalībvalsts, papildus īpašuma tiesības apliecinošam dokumentam attiecīgi Ceļu satiksmes drošības direkcijā vai Valsts tehniskās uzraudzības aģentūrā jāiesniedz dokuments par to, ka transportlīdzekļa ievešana ir noformēta muitas noteiktajā kārtībā.</w:t>
            </w:r>
          </w:p>
        </w:tc>
        <w:tc>
          <w:tcPr>
            <w:tcW w:w="3960" w:type="dxa"/>
          </w:tcPr>
          <w:p w:rsidR="00936BF1" w:rsidRDefault="00936BF1" w:rsidP="000E3E75">
            <w:pPr>
              <w:ind w:firstLine="463"/>
              <w:jc w:val="both"/>
              <w:rPr>
                <w:sz w:val="22"/>
              </w:rPr>
            </w:pPr>
          </w:p>
          <w:p w:rsidR="00936BF1" w:rsidRDefault="00936BF1" w:rsidP="000E3E75">
            <w:pPr>
              <w:ind w:firstLine="463"/>
              <w:jc w:val="both"/>
              <w:rPr>
                <w:sz w:val="22"/>
              </w:rPr>
            </w:pPr>
          </w:p>
          <w:p w:rsidR="00C90F69" w:rsidRPr="00C90F69" w:rsidRDefault="00C90F69" w:rsidP="000E3E75">
            <w:pPr>
              <w:ind w:firstLine="463"/>
              <w:jc w:val="both"/>
              <w:rPr>
                <w:spacing w:val="-2"/>
                <w:sz w:val="22"/>
                <w:shd w:val="clear" w:color="auto" w:fill="FEFEFE"/>
              </w:rPr>
            </w:pPr>
            <w:r w:rsidRPr="00C90F69">
              <w:rPr>
                <w:sz w:val="22"/>
              </w:rPr>
              <w:t>4. Izslēgt 12. panta ceturto</w:t>
            </w:r>
            <w:r w:rsidRPr="00C90F69">
              <w:rPr>
                <w:sz w:val="22"/>
                <w:vertAlign w:val="superscript"/>
              </w:rPr>
              <w:t xml:space="preserve"> </w:t>
            </w:r>
            <w:r w:rsidRPr="00C90F69">
              <w:rPr>
                <w:sz w:val="22"/>
              </w:rPr>
              <w:t>daļu.</w:t>
            </w:r>
          </w:p>
        </w:tc>
        <w:tc>
          <w:tcPr>
            <w:tcW w:w="567" w:type="dxa"/>
          </w:tcPr>
          <w:p w:rsidR="00C90F69" w:rsidRDefault="000E3E75" w:rsidP="001A7D73">
            <w:pPr>
              <w:jc w:val="center"/>
              <w:rPr>
                <w:b/>
                <w:sz w:val="22"/>
              </w:rPr>
            </w:pPr>
            <w:r>
              <w:rPr>
                <w:b/>
                <w:sz w:val="22"/>
              </w:rPr>
              <w:t>3</w:t>
            </w:r>
          </w:p>
        </w:tc>
        <w:tc>
          <w:tcPr>
            <w:tcW w:w="3960" w:type="dxa"/>
          </w:tcPr>
          <w:p w:rsidR="00450C6B" w:rsidRPr="00450C6B" w:rsidRDefault="00450C6B" w:rsidP="000E3E75">
            <w:pPr>
              <w:ind w:firstLine="472"/>
              <w:jc w:val="both"/>
              <w:rPr>
                <w:b/>
                <w:sz w:val="22"/>
                <w:u w:val="single"/>
              </w:rPr>
            </w:pPr>
            <w:r w:rsidRPr="00450C6B">
              <w:rPr>
                <w:b/>
                <w:sz w:val="22"/>
                <w:u w:val="single"/>
              </w:rPr>
              <w:t xml:space="preserve">Juridiskais birojs </w:t>
            </w:r>
          </w:p>
          <w:p w:rsidR="00450C6B" w:rsidRDefault="00450C6B" w:rsidP="000E3E75">
            <w:pPr>
              <w:pStyle w:val="ListParagraph"/>
              <w:widowControl/>
              <w:spacing w:after="0" w:line="240" w:lineRule="auto"/>
              <w:ind w:left="0" w:firstLine="472"/>
              <w:jc w:val="both"/>
              <w:rPr>
                <w:rFonts w:ascii="Times New Roman" w:eastAsia="Times New Roman" w:hAnsi="Times New Roman"/>
              </w:rPr>
            </w:pPr>
            <w:r w:rsidRPr="00450C6B">
              <w:rPr>
                <w:rFonts w:ascii="Times New Roman" w:eastAsia="Times New Roman" w:hAnsi="Times New Roman"/>
              </w:rPr>
              <w:t xml:space="preserve">Izslēgt likumprojekta 4., 5., 6. un 7. pantu. </w:t>
            </w:r>
          </w:p>
          <w:p w:rsidR="00450C6B" w:rsidRPr="00450C6B" w:rsidRDefault="00450C6B" w:rsidP="000E3E75">
            <w:pPr>
              <w:pStyle w:val="ListParagraph"/>
              <w:widowControl/>
              <w:spacing w:after="0" w:line="240" w:lineRule="auto"/>
              <w:ind w:left="0" w:firstLine="472"/>
              <w:jc w:val="both"/>
              <w:rPr>
                <w:rFonts w:ascii="Times New Roman" w:hAnsi="Times New Roman"/>
                <w:i/>
              </w:rPr>
            </w:pPr>
            <w:r w:rsidRPr="00450C6B">
              <w:rPr>
                <w:rFonts w:ascii="Times New Roman" w:eastAsia="Times New Roman" w:hAnsi="Times New Roman"/>
                <w:i/>
              </w:rPr>
              <w:t xml:space="preserve">Minētie likumprojekta panti satur normas, kas nav saistītas ar likumprojektu „Par valsts budžetu 2017. gadam.” </w:t>
            </w:r>
          </w:p>
          <w:p w:rsidR="00450C6B" w:rsidRPr="00035F85" w:rsidRDefault="00450C6B"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323EDA" w:rsidRPr="00323EDA" w:rsidRDefault="00323EDA" w:rsidP="00323EDA">
            <w:pPr>
              <w:pStyle w:val="tv213"/>
              <w:spacing w:before="0" w:beforeAutospacing="0" w:after="0" w:afterAutospacing="0"/>
              <w:ind w:firstLine="454"/>
              <w:jc w:val="both"/>
              <w:rPr>
                <w:sz w:val="22"/>
                <w:szCs w:val="22"/>
              </w:rPr>
            </w:pPr>
            <w:r w:rsidRPr="00323EDA">
              <w:rPr>
                <w:b/>
                <w:bCs/>
                <w:sz w:val="22"/>
                <w:szCs w:val="22"/>
              </w:rPr>
              <w:t>22.pants. Transportlīdzekļu vadītāju apmācība un vadītāja apliecības izsniegšana</w:t>
            </w:r>
          </w:p>
          <w:p w:rsidR="00323EDA" w:rsidRPr="00323EDA" w:rsidRDefault="000F0D4C" w:rsidP="00323EDA">
            <w:pPr>
              <w:pStyle w:val="tv213"/>
              <w:spacing w:before="0" w:beforeAutospacing="0" w:after="0" w:afterAutospacing="0"/>
              <w:ind w:firstLine="454"/>
              <w:jc w:val="both"/>
              <w:rPr>
                <w:sz w:val="22"/>
                <w:szCs w:val="22"/>
              </w:rPr>
            </w:pPr>
            <w:r w:rsidRPr="00323EDA">
              <w:rPr>
                <w:sz w:val="22"/>
                <w:szCs w:val="22"/>
              </w:rPr>
              <w:t xml:space="preserve"> </w:t>
            </w:r>
            <w:r w:rsidR="00323EDA" w:rsidRPr="00323EDA">
              <w:rPr>
                <w:sz w:val="22"/>
                <w:szCs w:val="22"/>
              </w:rPr>
              <w:t>(1</w:t>
            </w:r>
            <w:r w:rsidR="00323EDA" w:rsidRPr="00323EDA">
              <w:rPr>
                <w:sz w:val="22"/>
                <w:szCs w:val="22"/>
                <w:vertAlign w:val="superscript"/>
              </w:rPr>
              <w:t>1</w:t>
            </w:r>
            <w:r w:rsidR="00323EDA" w:rsidRPr="00323EDA">
              <w:rPr>
                <w:sz w:val="22"/>
                <w:szCs w:val="22"/>
              </w:rPr>
              <w:t>) Transportlīdzekļu vadīšanas tiesības un transportlīdzekļu vadītāja apliecību nevar iegūt un atgūt persona, kura sodīta:</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1) par noziedzīgu nodarījumu pret satiksmes drošību, kas izdarīts alkohola, narkotisko, psihotropo, toksisko vai citu apreibinošu vielu ietekmē;</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2) par narkotisko, psihotropo vai jaunu psihoaktīvu vielu vai to izstrādājumu, kuru aprite ir aizliegta vai ierobežota, lietošanu vai transportlīdzekļa vadīšanu alkohola reibumā vai narkotisko vai citu apreibinošu vielu ietekmē, vai par atteikšanos no medicīniskās pārbaudes alkohola koncentrācijas noteikšanai, narkotisko vai citu apreibinošo vielu ietekmes pārbaudes.</w:t>
            </w:r>
          </w:p>
          <w:p w:rsidR="00C90F69" w:rsidRPr="00323EDA" w:rsidRDefault="00323EDA" w:rsidP="00323EDA">
            <w:pPr>
              <w:pStyle w:val="tv213"/>
              <w:spacing w:before="0" w:beforeAutospacing="0" w:after="0" w:afterAutospacing="0"/>
              <w:ind w:firstLine="454"/>
              <w:jc w:val="both"/>
              <w:rPr>
                <w:sz w:val="22"/>
                <w:szCs w:val="22"/>
              </w:rPr>
            </w:pPr>
            <w:r w:rsidRPr="00323EDA">
              <w:rPr>
                <w:sz w:val="22"/>
                <w:szCs w:val="22"/>
              </w:rPr>
              <w:t>(1</w:t>
            </w:r>
            <w:r w:rsidRPr="00323EDA">
              <w:rPr>
                <w:sz w:val="22"/>
                <w:szCs w:val="22"/>
                <w:vertAlign w:val="superscript"/>
              </w:rPr>
              <w:t>2</w:t>
            </w:r>
            <w:r w:rsidRPr="00323EDA">
              <w:rPr>
                <w:sz w:val="22"/>
                <w:szCs w:val="22"/>
              </w:rPr>
              <w:t>) Ministru kabinets papildus šā panta pirmajā daļā minētajiem noteikumiem paredz nosacījumus transportlīdzekļu vadīšanas tiesību iegūšanai un atgūšanai personām, kurām ir dzēsta vai noņemta kriminālā vai administratīvā sodāmība par šā panta 1.</w:t>
            </w:r>
            <w:r w:rsidRPr="00323EDA">
              <w:rPr>
                <w:sz w:val="22"/>
                <w:szCs w:val="22"/>
                <w:vertAlign w:val="superscript"/>
              </w:rPr>
              <w:t>1</w:t>
            </w:r>
            <w:r w:rsidRPr="00323EDA">
              <w:rPr>
                <w:sz w:val="22"/>
                <w:szCs w:val="22"/>
              </w:rPr>
              <w:t xml:space="preserve"> daļā minētajiem nodarījumiem.</w:t>
            </w:r>
          </w:p>
        </w:tc>
        <w:tc>
          <w:tcPr>
            <w:tcW w:w="3960" w:type="dxa"/>
          </w:tcPr>
          <w:p w:rsidR="00936BF1" w:rsidRDefault="00936BF1" w:rsidP="000E3E75">
            <w:pPr>
              <w:ind w:firstLine="463"/>
              <w:jc w:val="both"/>
              <w:rPr>
                <w:sz w:val="22"/>
              </w:rPr>
            </w:pPr>
          </w:p>
          <w:p w:rsidR="000E3E75" w:rsidRDefault="000E3E75" w:rsidP="000E3E75">
            <w:pPr>
              <w:ind w:firstLine="463"/>
              <w:jc w:val="both"/>
              <w:rPr>
                <w:sz w:val="22"/>
              </w:rPr>
            </w:pPr>
          </w:p>
          <w:p w:rsidR="00936BF1" w:rsidRDefault="00936BF1" w:rsidP="000E3E75">
            <w:pPr>
              <w:ind w:firstLine="463"/>
              <w:jc w:val="both"/>
              <w:rPr>
                <w:sz w:val="22"/>
              </w:rPr>
            </w:pPr>
          </w:p>
          <w:p w:rsidR="00936BF1" w:rsidRDefault="00936BF1" w:rsidP="000E3E75">
            <w:pPr>
              <w:ind w:firstLine="463"/>
              <w:jc w:val="both"/>
              <w:rPr>
                <w:sz w:val="22"/>
              </w:rPr>
            </w:pPr>
          </w:p>
          <w:p w:rsidR="00C90F69" w:rsidRPr="00C90F69" w:rsidRDefault="00C90F69" w:rsidP="000E3E75">
            <w:pPr>
              <w:ind w:firstLine="463"/>
              <w:jc w:val="both"/>
              <w:rPr>
                <w:spacing w:val="-2"/>
                <w:sz w:val="22"/>
                <w:shd w:val="clear" w:color="auto" w:fill="FEFEFE"/>
              </w:rPr>
            </w:pPr>
            <w:r w:rsidRPr="00C90F69">
              <w:rPr>
                <w:sz w:val="22"/>
              </w:rPr>
              <w:t>5. Izslēgt 22. panta 1.</w:t>
            </w:r>
            <w:r w:rsidRPr="00C90F69">
              <w:rPr>
                <w:sz w:val="22"/>
                <w:vertAlign w:val="superscript"/>
              </w:rPr>
              <w:t>1</w:t>
            </w:r>
            <w:r w:rsidRPr="00C90F69">
              <w:rPr>
                <w:sz w:val="22"/>
              </w:rPr>
              <w:t xml:space="preserve"> un 1.</w:t>
            </w:r>
            <w:r w:rsidRPr="00C90F69">
              <w:rPr>
                <w:sz w:val="22"/>
                <w:vertAlign w:val="superscript"/>
              </w:rPr>
              <w:t>2 </w:t>
            </w:r>
            <w:r w:rsidRPr="00C90F69">
              <w:rPr>
                <w:sz w:val="22"/>
              </w:rPr>
              <w:t>daļu.</w:t>
            </w:r>
          </w:p>
        </w:tc>
        <w:tc>
          <w:tcPr>
            <w:tcW w:w="567" w:type="dxa"/>
          </w:tcPr>
          <w:p w:rsidR="00C90F69" w:rsidRDefault="00C90F69"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r>
              <w:rPr>
                <w:b/>
                <w:sz w:val="22"/>
              </w:rPr>
              <w:t>4</w:t>
            </w: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r>
              <w:rPr>
                <w:b/>
                <w:sz w:val="22"/>
              </w:rPr>
              <w:t>5</w:t>
            </w:r>
          </w:p>
          <w:p w:rsidR="000E3E75" w:rsidRDefault="000E3E75" w:rsidP="001A7D73">
            <w:pPr>
              <w:jc w:val="center"/>
              <w:rPr>
                <w:b/>
                <w:sz w:val="22"/>
              </w:rPr>
            </w:pPr>
          </w:p>
          <w:p w:rsidR="000E3E75" w:rsidRDefault="000E3E75" w:rsidP="001A7D73">
            <w:pPr>
              <w:jc w:val="center"/>
              <w:rPr>
                <w:b/>
                <w:sz w:val="22"/>
              </w:rPr>
            </w:pPr>
          </w:p>
          <w:p w:rsidR="000E3E75" w:rsidRDefault="000E3E75" w:rsidP="001A7D73">
            <w:pPr>
              <w:jc w:val="center"/>
              <w:rPr>
                <w:b/>
                <w:sz w:val="22"/>
              </w:rPr>
            </w:pPr>
            <w:r>
              <w:rPr>
                <w:b/>
                <w:sz w:val="22"/>
              </w:rPr>
              <w:t>6</w:t>
            </w:r>
          </w:p>
        </w:tc>
        <w:tc>
          <w:tcPr>
            <w:tcW w:w="3960" w:type="dxa"/>
          </w:tcPr>
          <w:p w:rsidR="00450C6B" w:rsidRDefault="00450C6B" w:rsidP="000E3E75">
            <w:pPr>
              <w:ind w:right="11" w:firstLine="472"/>
              <w:jc w:val="both"/>
              <w:rPr>
                <w:b/>
                <w:sz w:val="22"/>
                <w:u w:val="single"/>
              </w:rPr>
            </w:pPr>
          </w:p>
          <w:p w:rsidR="00450C6B" w:rsidRDefault="00450C6B" w:rsidP="000E3E75">
            <w:pPr>
              <w:ind w:right="11" w:firstLine="472"/>
              <w:jc w:val="both"/>
              <w:rPr>
                <w:b/>
                <w:sz w:val="22"/>
                <w:u w:val="single"/>
              </w:rPr>
            </w:pPr>
          </w:p>
          <w:p w:rsidR="000E3E75" w:rsidRDefault="000E3E75" w:rsidP="000E3E75">
            <w:pPr>
              <w:ind w:right="11" w:firstLine="472"/>
              <w:jc w:val="both"/>
              <w:rPr>
                <w:b/>
                <w:sz w:val="22"/>
                <w:u w:val="single"/>
              </w:rPr>
            </w:pPr>
          </w:p>
          <w:p w:rsidR="00450C6B" w:rsidRDefault="00450C6B" w:rsidP="000E3E75">
            <w:pPr>
              <w:ind w:right="11" w:firstLine="472"/>
              <w:jc w:val="both"/>
              <w:rPr>
                <w:b/>
                <w:sz w:val="22"/>
                <w:u w:val="single"/>
              </w:rPr>
            </w:pPr>
          </w:p>
          <w:p w:rsidR="00450C6B" w:rsidRDefault="00450C6B" w:rsidP="000E3E75">
            <w:pPr>
              <w:ind w:right="11" w:firstLine="472"/>
              <w:jc w:val="both"/>
              <w:rPr>
                <w:b/>
                <w:sz w:val="22"/>
                <w:u w:val="single"/>
              </w:rPr>
            </w:pPr>
            <w:r>
              <w:rPr>
                <w:b/>
                <w:sz w:val="22"/>
                <w:u w:val="single"/>
              </w:rPr>
              <w:t>Juridiskā komisija</w:t>
            </w:r>
          </w:p>
          <w:p w:rsidR="00450C6B" w:rsidRDefault="00450C6B" w:rsidP="000E3E75">
            <w:pPr>
              <w:ind w:right="11" w:firstLine="472"/>
              <w:jc w:val="both"/>
              <w:rPr>
                <w:b/>
                <w:sz w:val="22"/>
                <w:u w:val="single"/>
              </w:rPr>
            </w:pPr>
            <w:r w:rsidRPr="007E7C10">
              <w:rPr>
                <w:rFonts w:eastAsia="Times New Roman"/>
              </w:rPr>
              <w:t xml:space="preserve">Izslēgt likumprojekta 5. pantu par likuma 22. panta </w:t>
            </w:r>
            <w:r w:rsidRPr="00760326">
              <w:t>1.</w:t>
            </w:r>
            <w:r w:rsidRPr="00760326">
              <w:rPr>
                <w:vertAlign w:val="superscript"/>
              </w:rPr>
              <w:t>1</w:t>
            </w:r>
            <w:r w:rsidRPr="00760326">
              <w:t xml:space="preserve"> un 1.</w:t>
            </w:r>
            <w:r w:rsidRPr="00760326">
              <w:rPr>
                <w:vertAlign w:val="superscript"/>
              </w:rPr>
              <w:t>2 </w:t>
            </w:r>
            <w:r w:rsidRPr="00760326">
              <w:t>daļu</w:t>
            </w:r>
            <w:r w:rsidRPr="007E7C10">
              <w:t xml:space="preserve"> izslēgšanu</w:t>
            </w:r>
            <w:r>
              <w:t>.</w:t>
            </w:r>
          </w:p>
          <w:p w:rsidR="00450C6B" w:rsidRDefault="00450C6B" w:rsidP="000E3E75">
            <w:pPr>
              <w:ind w:right="11" w:firstLine="472"/>
              <w:jc w:val="both"/>
              <w:rPr>
                <w:b/>
                <w:sz w:val="22"/>
                <w:u w:val="single"/>
              </w:rPr>
            </w:pPr>
          </w:p>
          <w:p w:rsidR="00450C6B" w:rsidRDefault="00450C6B" w:rsidP="000E3E75">
            <w:pPr>
              <w:ind w:right="11" w:firstLine="472"/>
              <w:jc w:val="both"/>
              <w:rPr>
                <w:b/>
                <w:sz w:val="22"/>
                <w:u w:val="single"/>
              </w:rPr>
            </w:pPr>
            <w:r>
              <w:rPr>
                <w:b/>
                <w:sz w:val="22"/>
                <w:u w:val="single"/>
              </w:rPr>
              <w:t>Deputāts A.Judins</w:t>
            </w:r>
          </w:p>
          <w:p w:rsidR="000E3E75" w:rsidRPr="00030A9A" w:rsidRDefault="000E3E75" w:rsidP="000E3E75">
            <w:pPr>
              <w:ind w:firstLine="472"/>
              <w:rPr>
                <w:rFonts w:eastAsia="Times New Roman"/>
                <w:bCs/>
                <w:szCs w:val="24"/>
              </w:rPr>
            </w:pPr>
            <w:r w:rsidRPr="00030A9A">
              <w:rPr>
                <w:rFonts w:eastAsia="Times New Roman"/>
                <w:bCs/>
                <w:szCs w:val="24"/>
              </w:rPr>
              <w:t>Izslēgt likumprojekta 5. pantu.</w:t>
            </w:r>
          </w:p>
          <w:p w:rsidR="00450C6B" w:rsidRDefault="00450C6B" w:rsidP="000E3E75">
            <w:pPr>
              <w:ind w:right="11" w:firstLine="472"/>
              <w:jc w:val="both"/>
              <w:rPr>
                <w:b/>
                <w:sz w:val="22"/>
                <w:u w:val="single"/>
              </w:rPr>
            </w:pPr>
          </w:p>
          <w:p w:rsidR="000F0D4C" w:rsidRPr="000F0D4C" w:rsidRDefault="000F0D4C" w:rsidP="000E3E75">
            <w:pPr>
              <w:ind w:right="11" w:firstLine="472"/>
              <w:jc w:val="both"/>
              <w:rPr>
                <w:b/>
                <w:sz w:val="22"/>
                <w:u w:val="single"/>
              </w:rPr>
            </w:pPr>
            <w:r w:rsidRPr="000F0D4C">
              <w:rPr>
                <w:b/>
                <w:sz w:val="22"/>
                <w:u w:val="single"/>
              </w:rPr>
              <w:t>Satiksmes ministrijas parlamentārais sekretārs E.Tavars</w:t>
            </w:r>
          </w:p>
          <w:p w:rsidR="000F0D4C" w:rsidRPr="000F0D4C" w:rsidRDefault="000F0D4C" w:rsidP="000E3E75">
            <w:pPr>
              <w:ind w:right="11" w:firstLine="472"/>
              <w:jc w:val="both"/>
              <w:rPr>
                <w:sz w:val="22"/>
              </w:rPr>
            </w:pPr>
            <w:r w:rsidRPr="000F0D4C">
              <w:rPr>
                <w:sz w:val="22"/>
              </w:rPr>
              <w:t>Izslēgt likumprojekta 5., 6. un 7.pantu.</w:t>
            </w:r>
          </w:p>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323EDA" w:rsidRPr="00323EDA" w:rsidRDefault="00323EDA" w:rsidP="00323EDA">
            <w:pPr>
              <w:pStyle w:val="tv213"/>
              <w:spacing w:before="0" w:beforeAutospacing="0" w:after="0" w:afterAutospacing="0"/>
              <w:ind w:firstLine="454"/>
              <w:jc w:val="both"/>
              <w:rPr>
                <w:sz w:val="22"/>
                <w:szCs w:val="22"/>
              </w:rPr>
            </w:pPr>
            <w:r w:rsidRPr="00323EDA">
              <w:rPr>
                <w:b/>
                <w:bCs/>
                <w:sz w:val="22"/>
                <w:szCs w:val="22"/>
              </w:rPr>
              <w:t xml:space="preserve">25.pants. Transportlīdzekļu vadītāja pienākumi </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 xml:space="preserve">(1) Mehāniskā transportlīdzekļa vadītājam jābūt klāt </w:t>
            </w:r>
            <w:r w:rsidRPr="00936BF1">
              <w:rPr>
                <w:sz w:val="22"/>
                <w:szCs w:val="22"/>
                <w:u w:val="single"/>
              </w:rPr>
              <w:t>turpmāk minētajiem</w:t>
            </w:r>
            <w:r w:rsidRPr="00323EDA">
              <w:rPr>
                <w:sz w:val="22"/>
                <w:szCs w:val="22"/>
              </w:rPr>
              <w:t xml:space="preserve"> dokumentiem, kas </w:t>
            </w:r>
            <w:r w:rsidRPr="00E0332E">
              <w:rPr>
                <w:sz w:val="22"/>
                <w:szCs w:val="22"/>
                <w:u w:val="single"/>
              </w:rPr>
              <w:t>jāuzrāda</w:t>
            </w:r>
            <w:r w:rsidRPr="00323EDA">
              <w:rPr>
                <w:sz w:val="22"/>
                <w:szCs w:val="22"/>
              </w:rPr>
              <w:t xml:space="preserve"> pēc policijas darbinieku, robežsargu vai muitas darbinieku pieprasījuma:</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1) vadītāja apliecība;</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2) transportlīdzekļa reģistrācijas dokumenti;</w:t>
            </w:r>
          </w:p>
          <w:p w:rsidR="00323EDA" w:rsidRPr="005B7BC5" w:rsidRDefault="00323EDA" w:rsidP="00323EDA">
            <w:pPr>
              <w:pStyle w:val="tv213"/>
              <w:spacing w:before="0" w:beforeAutospacing="0" w:after="0" w:afterAutospacing="0"/>
              <w:ind w:firstLine="454"/>
              <w:jc w:val="both"/>
              <w:rPr>
                <w:sz w:val="22"/>
                <w:szCs w:val="22"/>
              </w:rPr>
            </w:pPr>
            <w:r w:rsidRPr="005B7BC5">
              <w:rPr>
                <w:sz w:val="22"/>
                <w:szCs w:val="22"/>
              </w:rPr>
              <w:t xml:space="preserve">3) </w:t>
            </w:r>
            <w:r w:rsidRPr="005B7BC5">
              <w:rPr>
                <w:i/>
                <w:iCs/>
                <w:sz w:val="22"/>
                <w:szCs w:val="22"/>
              </w:rPr>
              <w:t xml:space="preserve">(izslēgts ar </w:t>
            </w:r>
            <w:hyperlink r:id="rId15" w:tgtFrame="_blank" w:history="1">
              <w:r w:rsidRPr="005B7BC5">
                <w:rPr>
                  <w:rStyle w:val="Hyperlink"/>
                  <w:i/>
                  <w:iCs/>
                  <w:color w:val="auto"/>
                  <w:sz w:val="22"/>
                  <w:szCs w:val="22"/>
                  <w:u w:val="none"/>
                </w:rPr>
                <w:t>27.09.2007</w:t>
              </w:r>
            </w:hyperlink>
            <w:r w:rsidRPr="005B7BC5">
              <w:rPr>
                <w:i/>
                <w:iCs/>
                <w:sz w:val="22"/>
                <w:szCs w:val="22"/>
              </w:rPr>
              <w:t>. likumu)</w:t>
            </w:r>
            <w:r w:rsidRPr="005B7BC5">
              <w:rPr>
                <w:sz w:val="22"/>
                <w:szCs w:val="22"/>
              </w:rPr>
              <w:t>;</w:t>
            </w:r>
          </w:p>
          <w:p w:rsidR="00323EDA" w:rsidRPr="005B7BC5" w:rsidRDefault="00323EDA" w:rsidP="00323EDA">
            <w:pPr>
              <w:pStyle w:val="tv213"/>
              <w:spacing w:before="0" w:beforeAutospacing="0" w:after="0" w:afterAutospacing="0"/>
              <w:ind w:firstLine="454"/>
              <w:jc w:val="both"/>
              <w:rPr>
                <w:sz w:val="22"/>
                <w:szCs w:val="22"/>
              </w:rPr>
            </w:pPr>
            <w:r w:rsidRPr="005B7BC5">
              <w:rPr>
                <w:sz w:val="22"/>
                <w:szCs w:val="22"/>
              </w:rPr>
              <w:t>4) dokumenti, kuri saskaņā ar šo likumu un citiem normatīvajiem aktiem vadītājam nepieciešami, lai vadītu attiecīgu transportlīdzekli (operatīvo transportlīdzekli vai tamlīdzīgu transportlīdzekli) vai pārvadātu attiecīgu kravu (bīstamu, lielgabarīta, smagsvara un tamlīdzīgu kravu);</w:t>
            </w:r>
          </w:p>
          <w:p w:rsidR="00323EDA" w:rsidRPr="005B7BC5" w:rsidRDefault="00323EDA" w:rsidP="00323EDA">
            <w:pPr>
              <w:pStyle w:val="tv213"/>
              <w:spacing w:before="0" w:beforeAutospacing="0" w:after="0" w:afterAutospacing="0"/>
              <w:ind w:firstLine="454"/>
              <w:jc w:val="both"/>
              <w:rPr>
                <w:sz w:val="22"/>
                <w:szCs w:val="22"/>
              </w:rPr>
            </w:pPr>
            <w:r w:rsidRPr="005B7BC5">
              <w:rPr>
                <w:sz w:val="22"/>
                <w:szCs w:val="22"/>
              </w:rPr>
              <w:t xml:space="preserve">5) </w:t>
            </w:r>
            <w:r w:rsidRPr="005B7BC5">
              <w:rPr>
                <w:i/>
                <w:iCs/>
                <w:sz w:val="22"/>
                <w:szCs w:val="22"/>
              </w:rPr>
              <w:t xml:space="preserve">(izslēgts ar </w:t>
            </w:r>
            <w:hyperlink r:id="rId16" w:tgtFrame="_blank" w:history="1">
              <w:r w:rsidRPr="005B7BC5">
                <w:rPr>
                  <w:rStyle w:val="Hyperlink"/>
                  <w:i/>
                  <w:iCs/>
                  <w:color w:val="auto"/>
                  <w:sz w:val="22"/>
                  <w:szCs w:val="22"/>
                  <w:u w:val="none"/>
                </w:rPr>
                <w:t>15.12.2005</w:t>
              </w:r>
            </w:hyperlink>
            <w:r w:rsidRPr="005B7BC5">
              <w:rPr>
                <w:i/>
                <w:iCs/>
                <w:sz w:val="22"/>
                <w:szCs w:val="22"/>
              </w:rPr>
              <w:t>. likumu)</w:t>
            </w:r>
            <w:r w:rsidRPr="005B7BC5">
              <w:rPr>
                <w:sz w:val="22"/>
                <w:szCs w:val="22"/>
              </w:rPr>
              <w:t>;</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6) kāds no turpmāk minētajiem dokumentiem (uzlīmēm):</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a) vizuāla informācija (uzlīme) ar atļaujas piedalīties ceļu satiksmē derīguma termiņu, uzlīmēta uz automobiļa vai traktortehnikas vējstikla vai uz speciālas pamatnes motocikla, piekabes (puspiekabes), sporta automobiļu, traktortehnikas vai speciālā militārā transportlīdzekļa gadījumā,</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b) vizuāla informācija (uzlīme) ar pagaidu atļaujas piedalīties ceļu satiksmē derīguma termiņu, uzlīmēta uz automobiļa vai traktortehnikas vējstikla vai uz speciālas pamatnes motocikla, piekabes (puspiekabes), sporta automobiļu, traktortehnikas vai speciālā militārā transportlīdzekļa gadījumā,</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c) dokuments par veikto transportlīdzekļa tehnisko kontroli uz ceļiem,</w:t>
            </w:r>
          </w:p>
          <w:p w:rsidR="00C90F69" w:rsidRPr="00323EDA" w:rsidRDefault="00323EDA" w:rsidP="00323EDA">
            <w:pPr>
              <w:pStyle w:val="tv213"/>
              <w:spacing w:before="0" w:beforeAutospacing="0" w:after="0" w:afterAutospacing="0"/>
              <w:ind w:firstLine="454"/>
              <w:jc w:val="both"/>
              <w:rPr>
                <w:sz w:val="22"/>
                <w:szCs w:val="22"/>
              </w:rPr>
            </w:pPr>
            <w:r w:rsidRPr="00323EDA">
              <w:rPr>
                <w:sz w:val="22"/>
                <w:szCs w:val="22"/>
              </w:rPr>
              <w:t>d) Ceļu satiksmes drošības direkcijā elektroniski noformēta vienas dienas atļauja piedalīties ceļu satiksmē, lai veiktu tehnisko apskati.</w:t>
            </w:r>
          </w:p>
        </w:tc>
        <w:tc>
          <w:tcPr>
            <w:tcW w:w="3960" w:type="dxa"/>
          </w:tcPr>
          <w:p w:rsidR="00C90F69" w:rsidRPr="00C90F69" w:rsidRDefault="00C90F69" w:rsidP="000E3E75">
            <w:pPr>
              <w:ind w:firstLine="463"/>
              <w:jc w:val="both"/>
              <w:rPr>
                <w:sz w:val="22"/>
              </w:rPr>
            </w:pPr>
            <w:r w:rsidRPr="00C90F69">
              <w:rPr>
                <w:sz w:val="22"/>
              </w:rPr>
              <w:t>6.  25. pantā:</w:t>
            </w:r>
          </w:p>
          <w:p w:rsidR="00C90F69" w:rsidRPr="00C90F69" w:rsidRDefault="00C90F69" w:rsidP="000E3E75">
            <w:pPr>
              <w:ind w:firstLine="463"/>
              <w:jc w:val="both"/>
              <w:rPr>
                <w:sz w:val="22"/>
              </w:rPr>
            </w:pPr>
            <w:r w:rsidRPr="00C90F69">
              <w:rPr>
                <w:sz w:val="22"/>
              </w:rPr>
              <w:t>izteikt pirmās daļas ievaddaļu šādā redakcijā:</w:t>
            </w:r>
          </w:p>
          <w:p w:rsidR="00C90F69" w:rsidRPr="00C90F69" w:rsidRDefault="00C90F69" w:rsidP="000E3E75">
            <w:pPr>
              <w:ind w:firstLine="463"/>
              <w:jc w:val="both"/>
              <w:rPr>
                <w:sz w:val="22"/>
              </w:rPr>
            </w:pPr>
            <w:r w:rsidRPr="00C90F69">
              <w:rPr>
                <w:spacing w:val="-3"/>
                <w:sz w:val="22"/>
              </w:rPr>
              <w:t xml:space="preserve">"(1) Mehāniskā transportlīdzekļa vadītājam jābūt klāt </w:t>
            </w:r>
            <w:r w:rsidRPr="00936BF1">
              <w:rPr>
                <w:spacing w:val="-3"/>
                <w:sz w:val="22"/>
                <w:u w:val="single"/>
              </w:rPr>
              <w:t>šādiem</w:t>
            </w:r>
            <w:r w:rsidRPr="00C90F69">
              <w:rPr>
                <w:spacing w:val="-3"/>
                <w:sz w:val="22"/>
              </w:rPr>
              <w:t xml:space="preserve"> dokumentiem, kas pēc policijas darbinieku, robežsargu vai muitas amatpersonu </w:t>
            </w:r>
            <w:r w:rsidRPr="00E0332E">
              <w:rPr>
                <w:spacing w:val="-3"/>
                <w:sz w:val="22"/>
                <w:u w:val="single"/>
              </w:rPr>
              <w:t>pieprasījuma jāiedod tiem pārbaudei:";</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 xml:space="preserve"> (2</w:t>
            </w:r>
            <w:r w:rsidRPr="00323EDA">
              <w:rPr>
                <w:sz w:val="22"/>
                <w:szCs w:val="22"/>
                <w:vertAlign w:val="superscript"/>
              </w:rPr>
              <w:t>1</w:t>
            </w:r>
            <w:r w:rsidRPr="00323EDA">
              <w:rPr>
                <w:sz w:val="22"/>
                <w:szCs w:val="22"/>
              </w:rPr>
              <w:t>) Transportlīdzekļa vadītājam ir aizliegts:</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1) lietot tālruni, ja transportlīdzeklis atrodas kustībā, izņemot gadījumus, kad tālruņa aparāts tiek izmantots brīvroku režīmā;</w:t>
            </w:r>
          </w:p>
          <w:p w:rsidR="00323EDA" w:rsidRPr="00323EDA" w:rsidRDefault="00323EDA" w:rsidP="00323EDA">
            <w:pPr>
              <w:pStyle w:val="tv213"/>
              <w:spacing w:before="0" w:beforeAutospacing="0" w:after="0" w:afterAutospacing="0"/>
              <w:ind w:firstLine="454"/>
              <w:jc w:val="both"/>
              <w:rPr>
                <w:sz w:val="22"/>
                <w:szCs w:val="22"/>
              </w:rPr>
            </w:pPr>
            <w:r w:rsidRPr="00323EDA">
              <w:rPr>
                <w:sz w:val="22"/>
                <w:szCs w:val="22"/>
              </w:rPr>
              <w:t>2) lietot piezīmjdatorus, planšetdatorus un viedierīces, ja transportlīdzeklis atrodas kustībā;</w:t>
            </w:r>
          </w:p>
          <w:p w:rsidR="00C90F69" w:rsidRPr="00323EDA" w:rsidRDefault="00323EDA" w:rsidP="00323EDA">
            <w:pPr>
              <w:pStyle w:val="tv213"/>
              <w:spacing w:before="0" w:beforeAutospacing="0" w:after="0" w:afterAutospacing="0"/>
              <w:ind w:firstLine="454"/>
              <w:jc w:val="both"/>
              <w:rPr>
                <w:sz w:val="22"/>
                <w:szCs w:val="22"/>
              </w:rPr>
            </w:pPr>
            <w:r w:rsidRPr="00323EDA">
              <w:rPr>
                <w:sz w:val="22"/>
                <w:szCs w:val="22"/>
              </w:rPr>
              <w:t>3) atvērt apturēta transportlīdzekļa durvis, ja tas apdraud ceļu satiksmes drošību vai traucē citus ceļu satiksmes dalībniekus.</w:t>
            </w:r>
          </w:p>
        </w:tc>
        <w:tc>
          <w:tcPr>
            <w:tcW w:w="3960" w:type="dxa"/>
          </w:tcPr>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C90F69" w:rsidRPr="00C90F69" w:rsidRDefault="00C90F69" w:rsidP="000E3E75">
            <w:pPr>
              <w:ind w:firstLine="463"/>
              <w:jc w:val="both"/>
              <w:rPr>
                <w:sz w:val="22"/>
              </w:rPr>
            </w:pPr>
            <w:r w:rsidRPr="00C90F69">
              <w:rPr>
                <w:sz w:val="22"/>
              </w:rPr>
              <w:t xml:space="preserve">papildināt </w:t>
            </w:r>
            <w:r w:rsidRPr="00C90F69">
              <w:rPr>
                <w:rFonts w:eastAsia="Times New Roman"/>
                <w:sz w:val="22"/>
              </w:rPr>
              <w:t>2</w:t>
            </w:r>
            <w:r w:rsidRPr="00C90F69">
              <w:rPr>
                <w:sz w:val="22"/>
              </w:rPr>
              <w:t>.</w:t>
            </w:r>
            <w:r w:rsidRPr="00C90F69">
              <w:rPr>
                <w:sz w:val="22"/>
                <w:vertAlign w:val="superscript"/>
              </w:rPr>
              <w:t>1 </w:t>
            </w:r>
            <w:r w:rsidRPr="00C90F69">
              <w:rPr>
                <w:rFonts w:eastAsia="Times New Roman"/>
                <w:sz w:val="22"/>
              </w:rPr>
              <w:t>daļu ar 4</w:t>
            </w:r>
            <w:r w:rsidRPr="00C90F69">
              <w:rPr>
                <w:sz w:val="22"/>
              </w:rPr>
              <w:t>. </w:t>
            </w:r>
            <w:r w:rsidRPr="00C90F69">
              <w:rPr>
                <w:rFonts w:eastAsia="Times New Roman"/>
                <w:sz w:val="22"/>
              </w:rPr>
              <w:t>punktu šādā redakcijā:</w:t>
            </w:r>
          </w:p>
          <w:p w:rsidR="00C90F69" w:rsidRPr="00C90F69" w:rsidRDefault="00C90F69" w:rsidP="000E3E75">
            <w:pPr>
              <w:ind w:firstLine="463"/>
              <w:jc w:val="both"/>
              <w:rPr>
                <w:spacing w:val="-2"/>
                <w:sz w:val="22"/>
                <w:shd w:val="clear" w:color="auto" w:fill="FEFEFE"/>
              </w:rPr>
            </w:pPr>
            <w:r w:rsidRPr="00C90F69">
              <w:rPr>
                <w:sz w:val="22"/>
              </w:rPr>
              <w:t>"4) lietot alkoholiskos dzērienus, narkotiskas vai psihotropas vielas pēc tam, kad transportlīdzeklis tiek apturēts pēc policijas darbinieka vai robežsarga pieprasījuma, līdz reibuma stāvokļa konstatēšanai nepieciešamās pārbaudes izdarīšanai vai atbrīvošanai no šādas pārbaudes, kā arī atteikties no šādas pārbaudes."</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C90F69" w:rsidRPr="00323EDA" w:rsidRDefault="00323EDA" w:rsidP="00323EDA">
            <w:pPr>
              <w:ind w:firstLine="454"/>
              <w:jc w:val="both"/>
              <w:rPr>
                <w:b/>
                <w:bCs/>
                <w:sz w:val="22"/>
              </w:rPr>
            </w:pPr>
            <w:r w:rsidRPr="00323EDA">
              <w:rPr>
                <w:b/>
                <w:bCs/>
                <w:sz w:val="22"/>
              </w:rPr>
              <w:t>27.pants. Ceļu satiksmes dalībnieku rīcība ceļu satiksmes negadījumos</w:t>
            </w:r>
          </w:p>
          <w:p w:rsidR="00323EDA" w:rsidRPr="00323EDA" w:rsidRDefault="00323EDA" w:rsidP="00323EDA">
            <w:pPr>
              <w:ind w:firstLine="454"/>
              <w:jc w:val="both"/>
              <w:rPr>
                <w:sz w:val="22"/>
              </w:rPr>
            </w:pPr>
            <w:r w:rsidRPr="00323EDA">
              <w:rPr>
                <w:sz w:val="22"/>
              </w:rPr>
              <w:t xml:space="preserve">(6) Transportlīdzekļa vadītājam pēc ceļu satiksmes negadījuma līdz reibuma stāvokļa konstatēšanai nepieciešamās pārbaudes izdarīšanai vai atbrīvošanai noteiktā kārtībā no šādas pārbaudes aizliegts lietot alkoholiskus dzērienus, narkotiskas vai psihotropas </w:t>
            </w:r>
            <w:r w:rsidRPr="00E0332E">
              <w:rPr>
                <w:sz w:val="22"/>
                <w:u w:val="single"/>
              </w:rPr>
              <w:t>vielas.</w:t>
            </w:r>
          </w:p>
        </w:tc>
        <w:tc>
          <w:tcPr>
            <w:tcW w:w="3960" w:type="dxa"/>
          </w:tcPr>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E0332E" w:rsidRDefault="00E0332E" w:rsidP="000E3E75">
            <w:pPr>
              <w:ind w:firstLine="463"/>
              <w:jc w:val="both"/>
              <w:rPr>
                <w:sz w:val="22"/>
              </w:rPr>
            </w:pPr>
          </w:p>
          <w:p w:rsidR="00C90F69" w:rsidRPr="00C90F69" w:rsidRDefault="00C90F69" w:rsidP="000E3E75">
            <w:pPr>
              <w:ind w:firstLine="463"/>
              <w:jc w:val="both"/>
              <w:rPr>
                <w:spacing w:val="-2"/>
                <w:sz w:val="22"/>
                <w:shd w:val="clear" w:color="auto" w:fill="FEFEFE"/>
              </w:rPr>
            </w:pPr>
            <w:r w:rsidRPr="00C90F69">
              <w:rPr>
                <w:sz w:val="22"/>
              </w:rPr>
              <w:t xml:space="preserve">7. Papildināt </w:t>
            </w:r>
            <w:r w:rsidRPr="00C90F69">
              <w:rPr>
                <w:rFonts w:eastAsia="Times New Roman"/>
                <w:sz w:val="22"/>
              </w:rPr>
              <w:t>27</w:t>
            </w:r>
            <w:r w:rsidRPr="00C90F69">
              <w:rPr>
                <w:sz w:val="22"/>
              </w:rPr>
              <w:t>. </w:t>
            </w:r>
            <w:r w:rsidRPr="00C90F69">
              <w:rPr>
                <w:rFonts w:eastAsia="Times New Roman"/>
                <w:sz w:val="22"/>
              </w:rPr>
              <w:t>panta sesto daļu pēc vārda "vielas" ar vārdiem "</w:t>
            </w:r>
            <w:r w:rsidRPr="00E0332E">
              <w:rPr>
                <w:rFonts w:eastAsia="Times New Roman"/>
                <w:sz w:val="22"/>
                <w:u w:val="single"/>
              </w:rPr>
              <w:t>kā arī atteikties no šādas pārbaudes".</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r w:rsidR="00C90F69" w:rsidRPr="00035F85" w:rsidTr="001A7D73">
        <w:tc>
          <w:tcPr>
            <w:tcW w:w="3960" w:type="dxa"/>
          </w:tcPr>
          <w:p w:rsidR="00C90F69" w:rsidRPr="00323EDA" w:rsidRDefault="00C90F69" w:rsidP="00323EDA">
            <w:pPr>
              <w:ind w:firstLine="454"/>
              <w:jc w:val="both"/>
              <w:rPr>
                <w:sz w:val="22"/>
              </w:rPr>
            </w:pPr>
          </w:p>
        </w:tc>
        <w:tc>
          <w:tcPr>
            <w:tcW w:w="3960" w:type="dxa"/>
          </w:tcPr>
          <w:p w:rsidR="00C90F69" w:rsidRPr="00C90F69" w:rsidRDefault="00C90F69" w:rsidP="000E3E75">
            <w:pPr>
              <w:ind w:firstLine="463"/>
              <w:jc w:val="both"/>
              <w:rPr>
                <w:sz w:val="22"/>
              </w:rPr>
            </w:pPr>
            <w:r w:rsidRPr="00C90F69">
              <w:rPr>
                <w:sz w:val="22"/>
              </w:rPr>
              <w:t>Likums stājas spēkā 2017. gada 1. janvārī.</w:t>
            </w:r>
          </w:p>
        </w:tc>
        <w:tc>
          <w:tcPr>
            <w:tcW w:w="567" w:type="dxa"/>
          </w:tcPr>
          <w:p w:rsidR="00C90F69" w:rsidRDefault="00C90F69" w:rsidP="001A7D73">
            <w:pPr>
              <w:jc w:val="center"/>
              <w:rPr>
                <w:b/>
                <w:sz w:val="22"/>
              </w:rPr>
            </w:pPr>
          </w:p>
        </w:tc>
        <w:tc>
          <w:tcPr>
            <w:tcW w:w="3960" w:type="dxa"/>
          </w:tcPr>
          <w:p w:rsidR="00C90F69" w:rsidRPr="00035F85" w:rsidRDefault="00C90F69" w:rsidP="000E3E75">
            <w:pPr>
              <w:ind w:firstLine="472"/>
              <w:jc w:val="both"/>
              <w:rPr>
                <w:b/>
                <w:sz w:val="22"/>
                <w:u w:val="single"/>
              </w:rPr>
            </w:pPr>
          </w:p>
        </w:tc>
        <w:tc>
          <w:tcPr>
            <w:tcW w:w="1420" w:type="dxa"/>
          </w:tcPr>
          <w:p w:rsidR="00C90F69" w:rsidRPr="00035F85" w:rsidRDefault="00C90F69" w:rsidP="001A7D73">
            <w:pPr>
              <w:jc w:val="center"/>
              <w:rPr>
                <w:sz w:val="22"/>
              </w:rPr>
            </w:pPr>
          </w:p>
        </w:tc>
        <w:tc>
          <w:tcPr>
            <w:tcW w:w="1420" w:type="dxa"/>
          </w:tcPr>
          <w:p w:rsidR="00C90F69" w:rsidRPr="00035F85" w:rsidRDefault="00C90F69" w:rsidP="001A7D73">
            <w:pPr>
              <w:jc w:val="center"/>
              <w:rPr>
                <w:sz w:val="22"/>
              </w:rPr>
            </w:pPr>
          </w:p>
        </w:tc>
      </w:tr>
    </w:tbl>
    <w:p w:rsidR="0039514B" w:rsidRPr="00035F85" w:rsidRDefault="0039514B" w:rsidP="0039514B">
      <w:pPr>
        <w:rPr>
          <w:sz w:val="22"/>
        </w:rPr>
      </w:pPr>
    </w:p>
    <w:sectPr w:rsidR="0039514B" w:rsidRPr="00035F85" w:rsidSect="00C71E28">
      <w:footerReference w:type="even" r:id="rId17"/>
      <w:footerReference w:type="default" r:id="rId18"/>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36" w:rsidRDefault="00047F36">
      <w:r>
        <w:separator/>
      </w:r>
    </w:p>
  </w:endnote>
  <w:endnote w:type="continuationSeparator" w:id="0">
    <w:p w:rsidR="00047F36" w:rsidRDefault="0004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8A73F2"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3F2">
      <w:rPr>
        <w:rStyle w:val="PageNumber"/>
        <w:noProof/>
      </w:rPr>
      <w:t>2</w:t>
    </w:r>
    <w:r>
      <w:rPr>
        <w:rStyle w:val="PageNumber"/>
      </w:rPr>
      <w:fldChar w:fldCharType="end"/>
    </w:r>
  </w:p>
  <w:p w:rsidR="00C71E28" w:rsidRDefault="008A73F2"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36" w:rsidRDefault="00047F36">
      <w:r>
        <w:separator/>
      </w:r>
    </w:p>
  </w:footnote>
  <w:footnote w:type="continuationSeparator" w:id="0">
    <w:p w:rsidR="00047F36" w:rsidRDefault="00047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87518CC"/>
    <w:multiLevelType w:val="hybridMultilevel"/>
    <w:tmpl w:val="28BE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35F85"/>
    <w:rsid w:val="00047F36"/>
    <w:rsid w:val="000B7636"/>
    <w:rsid w:val="000E3E75"/>
    <w:rsid w:val="000F0D4C"/>
    <w:rsid w:val="00175C0E"/>
    <w:rsid w:val="002164F7"/>
    <w:rsid w:val="00323EDA"/>
    <w:rsid w:val="0039514B"/>
    <w:rsid w:val="003B47B2"/>
    <w:rsid w:val="00405509"/>
    <w:rsid w:val="00450C6B"/>
    <w:rsid w:val="004D7945"/>
    <w:rsid w:val="005B7BC5"/>
    <w:rsid w:val="007A4333"/>
    <w:rsid w:val="007D26F0"/>
    <w:rsid w:val="007E6BB8"/>
    <w:rsid w:val="00863BE0"/>
    <w:rsid w:val="008A73F2"/>
    <w:rsid w:val="00936BF1"/>
    <w:rsid w:val="009F3627"/>
    <w:rsid w:val="00A670A9"/>
    <w:rsid w:val="00AA55B8"/>
    <w:rsid w:val="00AE62EE"/>
    <w:rsid w:val="00BE7E65"/>
    <w:rsid w:val="00BF4C7F"/>
    <w:rsid w:val="00C90F69"/>
    <w:rsid w:val="00DB29C6"/>
    <w:rsid w:val="00DE0D38"/>
    <w:rsid w:val="00E03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 w:type="paragraph" w:customStyle="1" w:styleId="tv213">
    <w:name w:val="tv213"/>
    <w:basedOn w:val="Normal"/>
    <w:rsid w:val="00C90F69"/>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C90F69"/>
    <w:rPr>
      <w:color w:val="0000FF"/>
      <w:u w:val="single"/>
    </w:rPr>
  </w:style>
  <w:style w:type="character" w:customStyle="1" w:styleId="fontsize2">
    <w:name w:val="fontsize2"/>
    <w:basedOn w:val="DefaultParagraphFont"/>
    <w:rsid w:val="00323EDA"/>
  </w:style>
  <w:style w:type="paragraph" w:styleId="BalloonText">
    <w:name w:val="Balloon Text"/>
    <w:basedOn w:val="Normal"/>
    <w:link w:val="BalloonTextChar"/>
    <w:uiPriority w:val="99"/>
    <w:semiHidden/>
    <w:unhideWhenUsed/>
    <w:rsid w:val="008A7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9370">
      <w:bodyDiv w:val="1"/>
      <w:marLeft w:val="0"/>
      <w:marRight w:val="0"/>
      <w:marTop w:val="0"/>
      <w:marBottom w:val="0"/>
      <w:divBdr>
        <w:top w:val="none" w:sz="0" w:space="0" w:color="auto"/>
        <w:left w:val="none" w:sz="0" w:space="0" w:color="auto"/>
        <w:bottom w:val="none" w:sz="0" w:space="0" w:color="auto"/>
        <w:right w:val="none" w:sz="0" w:space="0" w:color="auto"/>
      </w:divBdr>
    </w:div>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92258">
      <w:bodyDiv w:val="1"/>
      <w:marLeft w:val="0"/>
      <w:marRight w:val="0"/>
      <w:marTop w:val="0"/>
      <w:marBottom w:val="0"/>
      <w:divBdr>
        <w:top w:val="none" w:sz="0" w:space="0" w:color="auto"/>
        <w:left w:val="none" w:sz="0" w:space="0" w:color="auto"/>
        <w:bottom w:val="none" w:sz="0" w:space="0" w:color="auto"/>
        <w:right w:val="none" w:sz="0" w:space="0" w:color="auto"/>
      </w:divBdr>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9291">
      <w:bodyDiv w:val="1"/>
      <w:marLeft w:val="0"/>
      <w:marRight w:val="0"/>
      <w:marTop w:val="0"/>
      <w:marBottom w:val="0"/>
      <w:divBdr>
        <w:top w:val="none" w:sz="0" w:space="0" w:color="auto"/>
        <w:left w:val="none" w:sz="0" w:space="0" w:color="auto"/>
        <w:bottom w:val="none" w:sz="0" w:space="0" w:color="auto"/>
        <w:right w:val="none" w:sz="0" w:space="0" w:color="auto"/>
      </w:divBdr>
    </w:div>
    <w:div w:id="546138973">
      <w:bodyDiv w:val="1"/>
      <w:marLeft w:val="0"/>
      <w:marRight w:val="0"/>
      <w:marTop w:val="0"/>
      <w:marBottom w:val="0"/>
      <w:divBdr>
        <w:top w:val="none" w:sz="0" w:space="0" w:color="auto"/>
        <w:left w:val="none" w:sz="0" w:space="0" w:color="auto"/>
        <w:bottom w:val="none" w:sz="0" w:space="0" w:color="auto"/>
        <w:right w:val="none" w:sz="0" w:space="0" w:color="auto"/>
      </w:divBdr>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155">
      <w:bodyDiv w:val="1"/>
      <w:marLeft w:val="0"/>
      <w:marRight w:val="0"/>
      <w:marTop w:val="0"/>
      <w:marBottom w:val="0"/>
      <w:divBdr>
        <w:top w:val="none" w:sz="0" w:space="0" w:color="auto"/>
        <w:left w:val="none" w:sz="0" w:space="0" w:color="auto"/>
        <w:bottom w:val="none" w:sz="0" w:space="0" w:color="auto"/>
        <w:right w:val="none" w:sz="0" w:space="0" w:color="auto"/>
      </w:divBdr>
    </w:div>
    <w:div w:id="1562447745">
      <w:bodyDiv w:val="1"/>
      <w:marLeft w:val="0"/>
      <w:marRight w:val="0"/>
      <w:marTop w:val="0"/>
      <w:marBottom w:val="0"/>
      <w:divBdr>
        <w:top w:val="none" w:sz="0" w:space="0" w:color="auto"/>
        <w:left w:val="none" w:sz="0" w:space="0" w:color="auto"/>
        <w:bottom w:val="none" w:sz="0" w:space="0" w:color="auto"/>
        <w:right w:val="none" w:sz="0" w:space="0" w:color="auto"/>
      </w:divBdr>
    </w:div>
    <w:div w:id="20430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5467" TargetMode="External"/><Relationship Id="rId13" Type="http://schemas.openxmlformats.org/officeDocument/2006/relationships/hyperlink" Target="http://likumi.lv/doc.php?id=4546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454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ta/id/124713-grozijumi-celu-satiksmes-liku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5467" TargetMode="External"/><Relationship Id="rId5" Type="http://schemas.openxmlformats.org/officeDocument/2006/relationships/webSettings" Target="webSettings.xml"/><Relationship Id="rId15" Type="http://schemas.openxmlformats.org/officeDocument/2006/relationships/hyperlink" Target="http://likumi.lv/ta/id/164144-grozijums-celu-satiksmes-likuma" TargetMode="External"/><Relationship Id="rId10" Type="http://schemas.openxmlformats.org/officeDocument/2006/relationships/hyperlink" Target="http://likumi.lv/doc.php?id=454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45467" TargetMode="External"/><Relationship Id="rId14" Type="http://schemas.openxmlformats.org/officeDocument/2006/relationships/hyperlink" Target="http://likumi.lv/doc.php?id=45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4AFA-42B3-4E8B-BB4B-F9D658AF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11349</Words>
  <Characters>6470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Arnis Krustiņš</cp:lastModifiedBy>
  <cp:revision>2</cp:revision>
  <cp:lastPrinted>2016-11-04T16:01:00Z</cp:lastPrinted>
  <dcterms:created xsi:type="dcterms:W3CDTF">2016-11-04T16:02:00Z</dcterms:created>
  <dcterms:modified xsi:type="dcterms:W3CDTF">2016-11-04T16:02:00Z</dcterms:modified>
</cp:coreProperties>
</file>