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D3735"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Likumprojekta „</w:t>
      </w:r>
      <w:r w:rsidR="00E14BB4" w:rsidRPr="002D3735">
        <w:rPr>
          <w:rFonts w:ascii="Times New Roman" w:eastAsia="Times New Roman" w:hAnsi="Times New Roman" w:cs="Times New Roman"/>
          <w:b/>
          <w:bCs/>
          <w:sz w:val="24"/>
          <w:szCs w:val="24"/>
          <w:lang w:eastAsia="lv-LV"/>
        </w:rPr>
        <w:t xml:space="preserve">Grozījumi </w:t>
      </w:r>
      <w:r w:rsidR="00094AC5">
        <w:rPr>
          <w:rFonts w:ascii="Times New Roman" w:eastAsia="Times New Roman" w:hAnsi="Times New Roman" w:cs="Times New Roman"/>
          <w:b/>
          <w:bCs/>
          <w:sz w:val="24"/>
          <w:szCs w:val="24"/>
          <w:lang w:eastAsia="lv-LV"/>
        </w:rPr>
        <w:t>Finanšu instrumentu tirgus likumā</w:t>
      </w:r>
      <w:r w:rsidRPr="002D3735">
        <w:rPr>
          <w:rFonts w:ascii="Times New Roman" w:eastAsia="Times New Roman" w:hAnsi="Times New Roman" w:cs="Times New Roman"/>
          <w:b/>
          <w:bCs/>
          <w:sz w:val="24"/>
          <w:szCs w:val="24"/>
          <w:lang w:eastAsia="lv-LV"/>
        </w:rPr>
        <w:t>”</w:t>
      </w:r>
      <w:r w:rsidR="004D15A9" w:rsidRPr="002D3735">
        <w:rPr>
          <w:rFonts w:ascii="Times New Roman" w:eastAsia="Times New Roman" w:hAnsi="Times New Roman" w:cs="Times New Roman"/>
          <w:b/>
          <w:bCs/>
          <w:sz w:val="24"/>
          <w:szCs w:val="24"/>
          <w:lang w:eastAsia="lv-LV"/>
        </w:rPr>
        <w:t xml:space="preserve"> sākotnējās ietekmes novērtējuma ziņojums (anotācija)</w:t>
      </w:r>
    </w:p>
    <w:p w:rsidR="00DA596D" w:rsidRPr="002D373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2D3735" w:rsidTr="00C3192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D37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I. Tiesību akta projekta izstrādes nepieciešamība</w:t>
            </w:r>
          </w:p>
        </w:tc>
      </w:tr>
      <w:tr w:rsidR="002D3735" w:rsidRPr="002D3735" w:rsidTr="00C3192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FC67B2" w:rsidRPr="00FC67B2" w:rsidRDefault="00FC67B2" w:rsidP="00094AC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Ekonomiskās sadarbības un attīstības organizācijas </w:t>
            </w:r>
            <w:r w:rsidR="00094AC5">
              <w:rPr>
                <w:rFonts w:ascii="Times New Roman" w:eastAsia="Times New Roman" w:hAnsi="Times New Roman" w:cs="Times New Roman"/>
                <w:sz w:val="24"/>
                <w:szCs w:val="24"/>
                <w:lang w:eastAsia="lv-LV"/>
              </w:rPr>
              <w:t xml:space="preserve">(OECD) </w:t>
            </w:r>
            <w:r>
              <w:rPr>
                <w:rFonts w:ascii="Times New Roman" w:eastAsia="Times New Roman" w:hAnsi="Times New Roman" w:cs="Times New Roman"/>
                <w:sz w:val="24"/>
                <w:szCs w:val="24"/>
                <w:lang w:eastAsia="lv-LV"/>
              </w:rPr>
              <w:t xml:space="preserve">izteiktā rekomendācija par </w:t>
            </w:r>
            <w:r w:rsidR="00094AC5">
              <w:rPr>
                <w:rFonts w:ascii="Times New Roman" w:eastAsia="Times New Roman" w:hAnsi="Times New Roman" w:cs="Times New Roman"/>
                <w:sz w:val="24"/>
                <w:szCs w:val="24"/>
                <w:lang w:eastAsia="lv-LV"/>
              </w:rPr>
              <w:t xml:space="preserve">nepieciešamību pārskatīt </w:t>
            </w:r>
            <w:r>
              <w:rPr>
                <w:rFonts w:ascii="Times New Roman" w:eastAsia="Times New Roman" w:hAnsi="Times New Roman" w:cs="Times New Roman"/>
                <w:sz w:val="24"/>
                <w:szCs w:val="24"/>
                <w:lang w:eastAsia="lv-LV"/>
              </w:rPr>
              <w:t>normatīv</w:t>
            </w:r>
            <w:r w:rsidR="00094AC5">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regulējum</w:t>
            </w:r>
            <w:r w:rsidR="00094AC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par saistīto </w:t>
            </w:r>
            <w:r w:rsidR="00094AC5">
              <w:rPr>
                <w:rFonts w:ascii="Times New Roman" w:eastAsia="Times New Roman" w:hAnsi="Times New Roman" w:cs="Times New Roman"/>
                <w:sz w:val="24"/>
                <w:szCs w:val="24"/>
                <w:lang w:eastAsia="lv-LV"/>
              </w:rPr>
              <w:t>pušu</w:t>
            </w:r>
            <w:r>
              <w:rPr>
                <w:rFonts w:ascii="Times New Roman" w:eastAsia="Times New Roman" w:hAnsi="Times New Roman" w:cs="Times New Roman"/>
                <w:sz w:val="24"/>
                <w:szCs w:val="24"/>
                <w:lang w:eastAsia="lv-LV"/>
              </w:rPr>
              <w:t xml:space="preserve"> darījumu </w:t>
            </w:r>
            <w:r w:rsidRPr="00FC67B2">
              <w:rPr>
                <w:rFonts w:ascii="Times New Roman" w:eastAsia="Times New Roman" w:hAnsi="Times New Roman" w:cs="Times New Roman"/>
                <w:sz w:val="24"/>
                <w:szCs w:val="24"/>
                <w:lang w:eastAsia="lv-LV"/>
              </w:rPr>
              <w:t>izvērtēšanu, saskaņošanu un atklāšanu</w:t>
            </w:r>
            <w:r>
              <w:rPr>
                <w:rFonts w:ascii="Times New Roman" w:eastAsia="Times New Roman" w:hAnsi="Times New Roman" w:cs="Times New Roman"/>
                <w:sz w:val="24"/>
                <w:szCs w:val="24"/>
                <w:lang w:eastAsia="lv-LV"/>
              </w:rPr>
              <w:t>.</w:t>
            </w:r>
          </w:p>
        </w:tc>
      </w:tr>
      <w:tr w:rsidR="002D3735" w:rsidRPr="002D3735" w:rsidTr="00C3192D">
        <w:trPr>
          <w:trHeight w:val="664"/>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9138EA" w:rsidRDefault="006B7952" w:rsidP="009138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Darījumu slēgšana ar kapitālsabiedrības dibinātāju, dalībnieku, valdes vai padomes locekli vai ar šīm personām saistītu personu ir regulēta Komerclikuma XI sadaļas 1.</w:t>
            </w:r>
            <w:r w:rsidRPr="006B7952">
              <w:rPr>
                <w:rFonts w:ascii="Times New Roman" w:eastAsia="Calibri" w:hAnsi="Times New Roman" w:cs="Times New Roman"/>
                <w:color w:val="000000"/>
                <w:sz w:val="24"/>
                <w:szCs w:val="24"/>
                <w:vertAlign w:val="superscript"/>
              </w:rPr>
              <w:t>1</w:t>
            </w:r>
            <w:r>
              <w:rPr>
                <w:rFonts w:ascii="Times New Roman" w:eastAsia="Calibri" w:hAnsi="Times New Roman" w:cs="Times New Roman"/>
                <w:color w:val="000000"/>
                <w:sz w:val="24"/>
                <w:szCs w:val="24"/>
              </w:rPr>
              <w:t xml:space="preserve"> nodaļā. </w:t>
            </w:r>
            <w:r w:rsidR="009138EA">
              <w:rPr>
                <w:rFonts w:ascii="Times New Roman" w:eastAsia="Calibri" w:hAnsi="Times New Roman" w:cs="Times New Roman"/>
                <w:color w:val="000000"/>
                <w:sz w:val="24"/>
                <w:szCs w:val="24"/>
              </w:rPr>
              <w:t xml:space="preserve">Savukārt Gada pārskatu un konsolidēto gada pārskatu likums </w:t>
            </w:r>
            <w:r w:rsidR="00714E44">
              <w:rPr>
                <w:rFonts w:ascii="Times New Roman" w:eastAsia="Calibri" w:hAnsi="Times New Roman" w:cs="Times New Roman"/>
                <w:color w:val="000000"/>
                <w:sz w:val="24"/>
                <w:szCs w:val="24"/>
              </w:rPr>
              <w:t>ietver saistīto pušu darījumu atklāšanas pienākumu (53.</w:t>
            </w:r>
            <w:r w:rsidR="00370DF7">
              <w:rPr>
                <w:rFonts w:ascii="Times New Roman" w:eastAsia="Calibri" w:hAnsi="Times New Roman" w:cs="Times New Roman"/>
                <w:color w:val="000000"/>
                <w:sz w:val="24"/>
                <w:szCs w:val="24"/>
              </w:rPr>
              <w:t> </w:t>
            </w:r>
            <w:r w:rsidR="00714E44">
              <w:rPr>
                <w:rFonts w:ascii="Times New Roman" w:eastAsia="Calibri" w:hAnsi="Times New Roman" w:cs="Times New Roman"/>
                <w:color w:val="000000"/>
                <w:sz w:val="24"/>
                <w:szCs w:val="24"/>
              </w:rPr>
              <w:t>panta pirmās daļas 14.</w:t>
            </w:r>
            <w:r w:rsidR="00370DF7">
              <w:rPr>
                <w:rFonts w:ascii="Times New Roman" w:eastAsia="Calibri" w:hAnsi="Times New Roman" w:cs="Times New Roman"/>
                <w:color w:val="000000"/>
                <w:sz w:val="24"/>
                <w:szCs w:val="24"/>
              </w:rPr>
              <w:t> </w:t>
            </w:r>
            <w:r w:rsidR="00714E44">
              <w:rPr>
                <w:rFonts w:ascii="Times New Roman" w:eastAsia="Calibri" w:hAnsi="Times New Roman" w:cs="Times New Roman"/>
                <w:color w:val="000000"/>
                <w:sz w:val="24"/>
                <w:szCs w:val="24"/>
              </w:rPr>
              <w:t>punkts). Proti, informācija</w:t>
            </w:r>
            <w:r w:rsidR="009138EA">
              <w:rPr>
                <w:rFonts w:ascii="Times New Roman" w:eastAsia="Calibri" w:hAnsi="Times New Roman" w:cs="Times New Roman"/>
                <w:color w:val="000000"/>
                <w:sz w:val="24"/>
                <w:szCs w:val="24"/>
              </w:rPr>
              <w:t xml:space="preserve"> par darījumiem ar saistītajām pusēm, ja šie darījumi ir būtiski un neatbilst </w:t>
            </w:r>
            <w:r w:rsidR="00714E44">
              <w:rPr>
                <w:rFonts w:ascii="Times New Roman" w:eastAsia="Calibri" w:hAnsi="Times New Roman" w:cs="Times New Roman"/>
                <w:color w:val="000000"/>
                <w:sz w:val="24"/>
                <w:szCs w:val="24"/>
              </w:rPr>
              <w:t xml:space="preserve">parastajiem tirgus nosacījumiem, ir iekļaujama finanšu pārskata pielikumā. </w:t>
            </w:r>
          </w:p>
          <w:p w:rsidR="00F23AC0" w:rsidRDefault="00F23AC0" w:rsidP="009138EA">
            <w:pPr>
              <w:spacing w:after="0" w:line="240" w:lineRule="auto"/>
              <w:jc w:val="both"/>
              <w:rPr>
                <w:rFonts w:ascii="Times New Roman" w:eastAsia="Calibri" w:hAnsi="Times New Roman" w:cs="Times New Roman"/>
                <w:color w:val="000000"/>
                <w:sz w:val="24"/>
                <w:szCs w:val="24"/>
              </w:rPr>
            </w:pPr>
          </w:p>
          <w:p w:rsidR="00F23AC0" w:rsidRDefault="00F23AC0" w:rsidP="009138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Minētais regulējums nav uzskatāms par pietiekami efektīvu sabiedrības mazākumakcionāru aizsardzību (piemēram, Komerclikuma regulējums paredz laika ierobežojumu tādu saistīto darījumu saskaņošanas pienākumam, kas noslēgts ar sabiedrības dalībnieku; informācija par saistīto pušu darījumiem ir jāatklāj tikai reizi gadā, nevis regulāri u.tml.). </w:t>
            </w:r>
            <w:r w:rsidR="00297CB9">
              <w:rPr>
                <w:rFonts w:ascii="Times New Roman" w:eastAsia="Calibri" w:hAnsi="Times New Roman" w:cs="Times New Roman"/>
                <w:color w:val="000000"/>
                <w:sz w:val="24"/>
                <w:szCs w:val="24"/>
              </w:rPr>
              <w:t>Turklāt ir vērojama nekonsekvence attiecībā uz saistīto pušu darījumu saskaņošanas procedūras piemērošanu un saistīto pušu darījumu atklāšanas pienākumu – tā kā Komerclikumā un Gada pārskatu un konsolidēto gada pārskatu likumā tiek lietotas dažādas saistīto pušu definīcijas, tad šajos likumos ietvertie pienākumi attiecas uz atšķirīgu saistīto pušu darījumu loku.</w:t>
            </w:r>
          </w:p>
          <w:p w:rsidR="00F23AC0" w:rsidRDefault="00F23AC0" w:rsidP="009138EA">
            <w:pPr>
              <w:spacing w:after="0" w:line="240" w:lineRule="auto"/>
              <w:jc w:val="both"/>
              <w:rPr>
                <w:rFonts w:ascii="Times New Roman" w:eastAsia="Calibri" w:hAnsi="Times New Roman" w:cs="Times New Roman"/>
                <w:color w:val="000000"/>
                <w:sz w:val="24"/>
                <w:szCs w:val="24"/>
              </w:rPr>
            </w:pPr>
          </w:p>
          <w:p w:rsidR="00F23AC0" w:rsidRDefault="00297CB9" w:rsidP="009138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Likumprojekts</w:t>
            </w:r>
            <w:r w:rsidR="00370DF7">
              <w:rPr>
                <w:rFonts w:ascii="Times New Roman" w:eastAsia="Calibri" w:hAnsi="Times New Roman" w:cs="Times New Roman"/>
                <w:color w:val="000000"/>
                <w:sz w:val="24"/>
                <w:szCs w:val="24"/>
              </w:rPr>
              <w:t xml:space="preserve"> ietver saistītās puses definīciju, kas ir identiska Gada pārskatu un konsolidēto gada pārskatu likumā lietotajai. Tādējādi uz vieniem un tiem pašiem saistīto pušu darījumiem būs attiecināmas gan Komerclikumā un Finanšu instrumentu tirgus likumā ietvertās darījumu noslēgšanas un atklāšanas prasības, gan Gada pārskatu un konsolidēto gada pārskatu likumā noteiktās atklāšanas prasības. </w:t>
            </w:r>
            <w:r w:rsidR="00701A61">
              <w:rPr>
                <w:rFonts w:ascii="Times New Roman" w:eastAsia="Calibri" w:hAnsi="Times New Roman" w:cs="Times New Roman"/>
                <w:color w:val="000000"/>
                <w:sz w:val="24"/>
                <w:szCs w:val="24"/>
              </w:rPr>
              <w:t>Lai identificētu, kuri darījumi ir pakļaujami Finanšu instrumentu tirgus likumā un Komerclikumā noteiktajām prasībā</w:t>
            </w:r>
            <w:r w:rsidR="00891097">
              <w:rPr>
                <w:rFonts w:ascii="Times New Roman" w:eastAsia="Calibri" w:hAnsi="Times New Roman" w:cs="Times New Roman"/>
                <w:color w:val="000000"/>
                <w:sz w:val="24"/>
                <w:szCs w:val="24"/>
              </w:rPr>
              <w:t>m</w:t>
            </w:r>
            <w:r w:rsidR="00701A61">
              <w:rPr>
                <w:rFonts w:ascii="Times New Roman" w:eastAsia="Calibri" w:hAnsi="Times New Roman" w:cs="Times New Roman"/>
                <w:color w:val="000000"/>
                <w:sz w:val="24"/>
                <w:szCs w:val="24"/>
              </w:rPr>
              <w:t>, akciju sabiedrībai, kuras akcijas ir iekļautas regulētajā tirgū, ir jāvadās pēc likumprojektā ietvertās definīcijas (nevis Komerclikuma definīcijas par saistīto personu).</w:t>
            </w:r>
          </w:p>
          <w:p w:rsidR="00701A61" w:rsidRDefault="00701A61" w:rsidP="009138EA">
            <w:pPr>
              <w:spacing w:after="0" w:line="240" w:lineRule="auto"/>
              <w:jc w:val="both"/>
              <w:rPr>
                <w:rFonts w:ascii="Times New Roman" w:eastAsia="Calibri" w:hAnsi="Times New Roman" w:cs="Times New Roman"/>
                <w:color w:val="000000"/>
                <w:sz w:val="24"/>
                <w:szCs w:val="24"/>
              </w:rPr>
            </w:pPr>
          </w:p>
          <w:p w:rsidR="006D693D" w:rsidRDefault="006F66F1" w:rsidP="006D693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Likumprojekts izšķir div</w:t>
            </w:r>
            <w:r w:rsidR="00115062">
              <w:rPr>
                <w:rFonts w:ascii="Times New Roman" w:eastAsia="Calibri" w:hAnsi="Times New Roman" w:cs="Times New Roman"/>
                <w:color w:val="000000"/>
                <w:sz w:val="24"/>
                <w:szCs w:val="24"/>
              </w:rPr>
              <w:t xml:space="preserve">u veidu saistīto pušu darījumus: </w:t>
            </w:r>
            <w:r>
              <w:rPr>
                <w:rFonts w:ascii="Times New Roman" w:eastAsia="Calibri" w:hAnsi="Times New Roman" w:cs="Times New Roman"/>
                <w:color w:val="000000"/>
                <w:sz w:val="24"/>
                <w:szCs w:val="24"/>
              </w:rPr>
              <w:t xml:space="preserve">netipiski darījumi </w:t>
            </w:r>
            <w:r w:rsidR="00125EEC">
              <w:rPr>
                <w:rFonts w:ascii="Times New Roman" w:eastAsia="Calibri" w:hAnsi="Times New Roman" w:cs="Times New Roman"/>
                <w:color w:val="000000"/>
                <w:sz w:val="24"/>
                <w:szCs w:val="24"/>
              </w:rPr>
              <w:t xml:space="preserve">(tādi, kas nav slēgti akciju sabiedrības parasti veicamās komercdarbības ietvaros vai neatbilst parastajiem tirgus nosacījumiem) </w:t>
            </w:r>
            <w:r>
              <w:rPr>
                <w:rFonts w:ascii="Times New Roman" w:eastAsia="Calibri" w:hAnsi="Times New Roman" w:cs="Times New Roman"/>
                <w:color w:val="000000"/>
                <w:sz w:val="24"/>
                <w:szCs w:val="24"/>
              </w:rPr>
              <w:t>un nozīmīga apjoma darījumi</w:t>
            </w:r>
            <w:r w:rsidR="00125EEC">
              <w:rPr>
                <w:rFonts w:ascii="Times New Roman" w:eastAsia="Calibri" w:hAnsi="Times New Roman" w:cs="Times New Roman"/>
                <w:color w:val="000000"/>
                <w:sz w:val="24"/>
                <w:szCs w:val="24"/>
              </w:rPr>
              <w:t xml:space="preserve"> (tādi, kas atbilst likumā noteiktajiem kvantitatīvajiem kritērijiem)</w:t>
            </w:r>
            <w:r>
              <w:rPr>
                <w:rFonts w:ascii="Times New Roman" w:eastAsia="Calibri" w:hAnsi="Times New Roman" w:cs="Times New Roman"/>
                <w:color w:val="000000"/>
                <w:sz w:val="24"/>
                <w:szCs w:val="24"/>
              </w:rPr>
              <w:t xml:space="preserve">. </w:t>
            </w:r>
          </w:p>
          <w:p w:rsidR="006D693D" w:rsidRDefault="006D693D" w:rsidP="006D693D">
            <w:pPr>
              <w:spacing w:after="0" w:line="240" w:lineRule="auto"/>
              <w:jc w:val="both"/>
              <w:rPr>
                <w:rFonts w:ascii="Times New Roman" w:eastAsia="Calibri" w:hAnsi="Times New Roman" w:cs="Times New Roman"/>
                <w:color w:val="000000"/>
                <w:sz w:val="24"/>
                <w:szCs w:val="24"/>
              </w:rPr>
            </w:pPr>
          </w:p>
          <w:p w:rsidR="006D693D" w:rsidRDefault="00115062" w:rsidP="006D693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Saskaņā ar likumprojekta noteikumiem abu veidu darījumiem ir piemērojamas nedaudz atšķirīgas procedūras. Proti, netipiski saistīto pušu darījumi ir slēdzami Komerclikumā noteiktajā kārtībā (šādu </w:t>
            </w:r>
            <w:r>
              <w:rPr>
                <w:rFonts w:ascii="Times New Roman" w:eastAsia="Calibri" w:hAnsi="Times New Roman" w:cs="Times New Roman"/>
                <w:color w:val="000000"/>
                <w:sz w:val="24"/>
                <w:szCs w:val="24"/>
              </w:rPr>
              <w:lastRenderedPageBreak/>
              <w:t>darījumu noslēgšanai ir nepieciešama padomes piekrišana</w:t>
            </w:r>
            <w:r w:rsidR="00BC2728">
              <w:rPr>
                <w:rFonts w:ascii="Times New Roman" w:eastAsia="Calibri" w:hAnsi="Times New Roman" w:cs="Times New Roman"/>
                <w:color w:val="000000"/>
                <w:sz w:val="24"/>
                <w:szCs w:val="24"/>
              </w:rPr>
              <w:t xml:space="preserve"> vai akcionāru sapulces piekrišana, ja nevienam no padomes locekļiem nav balsstiesību</w:t>
            </w:r>
            <w:r>
              <w:rPr>
                <w:rFonts w:ascii="Times New Roman" w:eastAsia="Calibri" w:hAnsi="Times New Roman" w:cs="Times New Roman"/>
                <w:color w:val="000000"/>
                <w:sz w:val="24"/>
                <w:szCs w:val="24"/>
              </w:rPr>
              <w:t xml:space="preserve">) un pēc darījuma noslēgšanas tie ir atklājami likumprojektā noteiktajā kārtībā. </w:t>
            </w:r>
            <w:r w:rsidR="006D693D">
              <w:rPr>
                <w:rFonts w:ascii="Times New Roman" w:eastAsia="Calibri" w:hAnsi="Times New Roman" w:cs="Times New Roman"/>
                <w:color w:val="000000"/>
                <w:sz w:val="24"/>
                <w:szCs w:val="24"/>
              </w:rPr>
              <w:t xml:space="preserve">Netipiska darījuma izvērtēšanai sabiedrības padome var piesaistīt sabiedrības revīzijas komiteju vai ārējo ekspertu. Tāpat sabiedrībai ir jānodrošina iekšējā procedūra un ikgadējs novērtējums, lai identificētu netipiskus saistīto pušu darījumus un pārliecinātos, ka sabiedrībā tiek ievērota netipisko saistīto pušu darījumu noslēgšanas kārtība un atklāšanas prasības. Ja nav ievērota netipisku saistīto pušu darījumu noslēgšanas kārtība, tad atbilstoši Komerclikuma regulējumam darījums var tikt atzīts par spēkā neesošu. </w:t>
            </w:r>
          </w:p>
          <w:p w:rsidR="006D693D" w:rsidRDefault="006D693D" w:rsidP="006D693D">
            <w:pPr>
              <w:spacing w:after="0" w:line="240" w:lineRule="auto"/>
              <w:jc w:val="both"/>
              <w:rPr>
                <w:rFonts w:ascii="Times New Roman" w:eastAsia="Calibri" w:hAnsi="Times New Roman" w:cs="Times New Roman"/>
                <w:color w:val="000000"/>
                <w:sz w:val="24"/>
                <w:szCs w:val="24"/>
              </w:rPr>
            </w:pPr>
          </w:p>
          <w:p w:rsidR="003E600A" w:rsidRPr="00CF2EE1" w:rsidRDefault="00DA5C6D" w:rsidP="00DA5C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Atšķirībā no netipiskiem darījumiem,</w:t>
            </w:r>
            <w:r w:rsidR="0011506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uz </w:t>
            </w:r>
            <w:r w:rsidR="00115062">
              <w:rPr>
                <w:rFonts w:ascii="Times New Roman" w:eastAsia="Calibri" w:hAnsi="Times New Roman" w:cs="Times New Roman"/>
                <w:color w:val="000000"/>
                <w:sz w:val="24"/>
                <w:szCs w:val="24"/>
              </w:rPr>
              <w:t xml:space="preserve">nozīmīga apjoma darījumiem ir attiecināmas tikai </w:t>
            </w:r>
            <w:r>
              <w:rPr>
                <w:rFonts w:ascii="Times New Roman" w:eastAsia="Calibri" w:hAnsi="Times New Roman" w:cs="Times New Roman"/>
                <w:color w:val="000000"/>
                <w:sz w:val="24"/>
                <w:szCs w:val="24"/>
              </w:rPr>
              <w:t xml:space="preserve">likumprojektā noteiktās </w:t>
            </w:r>
            <w:r w:rsidR="00115062">
              <w:rPr>
                <w:rFonts w:ascii="Times New Roman" w:eastAsia="Calibri" w:hAnsi="Times New Roman" w:cs="Times New Roman"/>
                <w:color w:val="000000"/>
                <w:sz w:val="24"/>
                <w:szCs w:val="24"/>
              </w:rPr>
              <w:t>atklāšanas prasības, bet šiem darījumiem nav piemērojama Komerclikumā noteiktā darījumu noslēgšanas kārtība.</w:t>
            </w:r>
          </w:p>
        </w:tc>
      </w:tr>
      <w:tr w:rsidR="002D3735" w:rsidRPr="002D3735" w:rsidTr="00C319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Projekta izstrādē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B46D90" w:rsidP="00BB452D">
            <w:pPr>
              <w:spacing w:after="0" w:line="240" w:lineRule="auto"/>
              <w:jc w:val="both"/>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 xml:space="preserve">Tieslietu ministrija, </w:t>
            </w:r>
            <w:r w:rsidR="00094AC5">
              <w:rPr>
                <w:rFonts w:ascii="Times New Roman" w:eastAsia="Times New Roman" w:hAnsi="Times New Roman" w:cs="Times New Roman"/>
                <w:sz w:val="24"/>
                <w:szCs w:val="24"/>
                <w:lang w:eastAsia="lv-LV"/>
              </w:rPr>
              <w:t xml:space="preserve">Finanšu un kapitāla tirgus komisija, </w:t>
            </w:r>
            <w:r w:rsidR="00700281">
              <w:rPr>
                <w:rFonts w:ascii="Times New Roman" w:eastAsia="Times New Roman" w:hAnsi="Times New Roman" w:cs="Times New Roman"/>
                <w:sz w:val="24"/>
                <w:szCs w:val="24"/>
                <w:lang w:eastAsia="lv-LV"/>
              </w:rPr>
              <w:t>AS </w:t>
            </w:r>
            <w:r w:rsidR="00094AC5">
              <w:rPr>
                <w:rFonts w:ascii="Times New Roman" w:eastAsia="Times New Roman" w:hAnsi="Times New Roman" w:cs="Times New Roman"/>
                <w:sz w:val="24"/>
                <w:szCs w:val="24"/>
                <w:lang w:eastAsia="lv-LV"/>
              </w:rPr>
              <w:t>N</w:t>
            </w:r>
            <w:r w:rsidR="00BB452D">
              <w:rPr>
                <w:rFonts w:ascii="Times New Roman" w:eastAsia="Times New Roman" w:hAnsi="Times New Roman" w:cs="Times New Roman"/>
                <w:sz w:val="24"/>
                <w:szCs w:val="24"/>
                <w:lang w:eastAsia="lv-LV"/>
              </w:rPr>
              <w:t>asdaq</w:t>
            </w:r>
            <w:r w:rsidR="00094AC5">
              <w:rPr>
                <w:rFonts w:ascii="Times New Roman" w:eastAsia="Times New Roman" w:hAnsi="Times New Roman" w:cs="Times New Roman"/>
                <w:sz w:val="24"/>
                <w:szCs w:val="24"/>
                <w:lang w:eastAsia="lv-LV"/>
              </w:rPr>
              <w:t xml:space="preserve"> Riga</w:t>
            </w:r>
            <w:r w:rsidR="004B3910" w:rsidRPr="002D3735">
              <w:rPr>
                <w:rFonts w:ascii="Times New Roman" w:eastAsia="Times New Roman" w:hAnsi="Times New Roman" w:cs="Times New Roman"/>
                <w:sz w:val="24"/>
                <w:szCs w:val="24"/>
                <w:lang w:eastAsia="lv-LV"/>
              </w:rPr>
              <w:t>.</w:t>
            </w:r>
          </w:p>
        </w:tc>
      </w:tr>
      <w:tr w:rsidR="002D3735" w:rsidRPr="002D3735" w:rsidTr="00C3192D">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F16C4C" w:rsidP="00094AC5">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Nav.</w:t>
            </w:r>
          </w:p>
        </w:tc>
      </w:tr>
      <w:tr w:rsidR="005D4E8A" w:rsidRPr="002D3735" w:rsidTr="00C3192D">
        <w:trPr>
          <w:trHeight w:val="128"/>
        </w:trPr>
        <w:tc>
          <w:tcPr>
            <w:tcW w:w="5000" w:type="pct"/>
            <w:gridSpan w:val="3"/>
            <w:tcBorders>
              <w:top w:val="outset" w:sz="6" w:space="0" w:color="414142"/>
              <w:left w:val="nil"/>
              <w:bottom w:val="outset" w:sz="6" w:space="0" w:color="414142"/>
              <w:right w:val="nil"/>
            </w:tcBorders>
          </w:tcPr>
          <w:p w:rsidR="00031256" w:rsidRPr="002D373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ab/>
            </w:r>
          </w:p>
        </w:tc>
      </w:tr>
    </w:tbl>
    <w:p w:rsidR="004D15A9" w:rsidRPr="002D373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2D373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2D37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D3735" w:rsidRPr="002D3735" w:rsidTr="008A787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726C82" w:rsidRPr="002D3735" w:rsidRDefault="00DA47DE" w:rsidP="00094A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Akciju sabiedrības, kuru akcijas ir iekļautas regulētajā tirgū Latvijā.</w:t>
            </w:r>
          </w:p>
        </w:tc>
      </w:tr>
      <w:tr w:rsidR="002D3735" w:rsidRPr="002D3735" w:rsidTr="008A787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094AC5">
              <w:rPr>
                <w:rFonts w:ascii="Times New Roman" w:eastAsia="Times New Roman" w:hAnsi="Times New Roman" w:cs="Times New Roman"/>
                <w:sz w:val="24"/>
                <w:szCs w:val="24"/>
                <w:lang w:eastAsia="lv-LV"/>
              </w:rPr>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23047" w:rsidRDefault="001C1EA4" w:rsidP="0079287F">
            <w:pPr>
              <w:spacing w:after="0" w:line="240" w:lineRule="auto"/>
              <w:jc w:val="both"/>
              <w:rPr>
                <w:rFonts w:ascii="Times New Roman" w:eastAsia="Times New Roman" w:hAnsi="Times New Roman" w:cs="Times New Roman"/>
                <w:sz w:val="24"/>
                <w:szCs w:val="24"/>
                <w:lang w:eastAsia="lv-LV"/>
              </w:rPr>
            </w:pPr>
            <w:r w:rsidRPr="00623047">
              <w:rPr>
                <w:rFonts w:ascii="Times New Roman" w:eastAsia="Times New Roman" w:hAnsi="Times New Roman" w:cs="Times New Roman"/>
                <w:sz w:val="24"/>
                <w:szCs w:val="24"/>
                <w:lang w:eastAsia="lv-LV"/>
              </w:rPr>
              <w:t>Likumprojekts stiprinās mazākumakcionāru aizsardzību, kā ar</w:t>
            </w:r>
            <w:r w:rsidR="0079287F">
              <w:rPr>
                <w:rFonts w:ascii="Times New Roman" w:eastAsia="Times New Roman" w:hAnsi="Times New Roman" w:cs="Times New Roman"/>
                <w:sz w:val="24"/>
                <w:szCs w:val="24"/>
                <w:lang w:eastAsia="lv-LV"/>
              </w:rPr>
              <w:t>ī</w:t>
            </w:r>
            <w:r w:rsidRPr="00623047">
              <w:rPr>
                <w:rFonts w:ascii="Times New Roman" w:eastAsia="Times New Roman" w:hAnsi="Times New Roman" w:cs="Times New Roman"/>
                <w:sz w:val="24"/>
                <w:szCs w:val="24"/>
                <w:lang w:eastAsia="lv-LV"/>
              </w:rPr>
              <w:t xml:space="preserve"> nodrošinās lielāku caurspīdīgumu </w:t>
            </w:r>
            <w:r w:rsidR="00623047" w:rsidRPr="00623047">
              <w:rPr>
                <w:rFonts w:ascii="Times New Roman" w:eastAsia="Times New Roman" w:hAnsi="Times New Roman" w:cs="Times New Roman"/>
                <w:sz w:val="24"/>
                <w:szCs w:val="24"/>
                <w:lang w:eastAsia="lv-LV"/>
              </w:rPr>
              <w:t>sabiedrības darījumu noslēgšan</w:t>
            </w:r>
            <w:r w:rsidR="0079287F">
              <w:rPr>
                <w:rFonts w:ascii="Times New Roman" w:eastAsia="Times New Roman" w:hAnsi="Times New Roman" w:cs="Times New Roman"/>
                <w:sz w:val="24"/>
                <w:szCs w:val="24"/>
                <w:lang w:eastAsia="lv-LV"/>
              </w:rPr>
              <w:t>ā</w:t>
            </w:r>
            <w:r w:rsidR="00623047" w:rsidRPr="00623047">
              <w:rPr>
                <w:rFonts w:ascii="Times New Roman" w:eastAsia="Times New Roman" w:hAnsi="Times New Roman" w:cs="Times New Roman"/>
                <w:sz w:val="24"/>
                <w:szCs w:val="24"/>
                <w:lang w:eastAsia="lv-LV"/>
              </w:rPr>
              <w:t>, kas labvēlīgi ietekmēs investīciju vidi.</w:t>
            </w:r>
          </w:p>
        </w:tc>
      </w:tr>
      <w:tr w:rsidR="002D3735" w:rsidRPr="002D3735" w:rsidTr="008A787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6A1492" w:rsidRDefault="006A1492" w:rsidP="006A14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3D000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pants (</w:t>
            </w:r>
            <w:r w:rsidR="003D0000">
              <w:rPr>
                <w:rFonts w:ascii="Times New Roman" w:eastAsia="Times New Roman" w:hAnsi="Times New Roman" w:cs="Times New Roman"/>
                <w:sz w:val="24"/>
                <w:szCs w:val="24"/>
                <w:lang w:eastAsia="lv-LV"/>
              </w:rPr>
              <w:t>Finanšu instrumentu tirgus likuma jaunā 59.</w:t>
            </w:r>
            <w:r w:rsidR="003D0000" w:rsidRPr="003D0000">
              <w:rPr>
                <w:rFonts w:ascii="Times New Roman" w:eastAsia="Times New Roman" w:hAnsi="Times New Roman" w:cs="Times New Roman"/>
                <w:sz w:val="24"/>
                <w:szCs w:val="24"/>
                <w:vertAlign w:val="superscript"/>
                <w:lang w:eastAsia="lv-LV"/>
              </w:rPr>
              <w:t>1</w:t>
            </w:r>
            <w:r w:rsidR="003D0000">
              <w:rPr>
                <w:rFonts w:ascii="Times New Roman" w:eastAsia="Times New Roman" w:hAnsi="Times New Roman" w:cs="Times New Roman"/>
                <w:sz w:val="24"/>
                <w:szCs w:val="24"/>
                <w:lang w:eastAsia="lv-LV"/>
              </w:rPr>
              <w:t xml:space="preserve"> panta ceturt</w:t>
            </w:r>
            <w:r w:rsidR="00177208">
              <w:rPr>
                <w:rFonts w:ascii="Times New Roman" w:eastAsia="Times New Roman" w:hAnsi="Times New Roman" w:cs="Times New Roman"/>
                <w:sz w:val="24"/>
                <w:szCs w:val="24"/>
                <w:lang w:eastAsia="lv-LV"/>
              </w:rPr>
              <w:t xml:space="preserve">ā un </w:t>
            </w:r>
            <w:r w:rsidR="003D0000">
              <w:rPr>
                <w:rFonts w:ascii="Times New Roman" w:eastAsia="Times New Roman" w:hAnsi="Times New Roman" w:cs="Times New Roman"/>
                <w:sz w:val="24"/>
                <w:szCs w:val="24"/>
                <w:lang w:eastAsia="lv-LV"/>
              </w:rPr>
              <w:t xml:space="preserve">devītā </w:t>
            </w:r>
            <w:r w:rsidR="003D0000" w:rsidRPr="00177208">
              <w:rPr>
                <w:rFonts w:ascii="Times New Roman" w:eastAsia="Times New Roman" w:hAnsi="Times New Roman" w:cs="Times New Roman"/>
                <w:sz w:val="24"/>
                <w:szCs w:val="24"/>
                <w:lang w:eastAsia="lv-LV"/>
              </w:rPr>
              <w:t>daļa</w:t>
            </w:r>
            <w:r w:rsidRPr="00177208">
              <w:rPr>
                <w:rFonts w:ascii="Times New Roman" w:eastAsia="Times New Roman" w:hAnsi="Times New Roman" w:cs="Times New Roman"/>
                <w:sz w:val="24"/>
                <w:szCs w:val="24"/>
                <w:lang w:eastAsia="lv-LV"/>
              </w:rPr>
              <w:t>) paredz</w:t>
            </w:r>
            <w:r>
              <w:rPr>
                <w:rFonts w:ascii="Times New Roman" w:eastAsia="Times New Roman" w:hAnsi="Times New Roman" w:cs="Times New Roman"/>
                <w:sz w:val="24"/>
                <w:szCs w:val="24"/>
                <w:lang w:eastAsia="lv-LV"/>
              </w:rPr>
              <w:t xml:space="preserve"> informācijas sniegšanas pienākumu. Proti, kapitālsabiedrības valdei ir jāsniedz informācija </w:t>
            </w:r>
            <w:r w:rsidR="00350308">
              <w:rPr>
                <w:rFonts w:ascii="Times New Roman" w:eastAsia="Times New Roman" w:hAnsi="Times New Roman" w:cs="Times New Roman"/>
                <w:sz w:val="24"/>
                <w:szCs w:val="24"/>
                <w:lang w:eastAsia="lv-LV"/>
              </w:rPr>
              <w:t>revīzijas komitejai</w:t>
            </w:r>
            <w:r>
              <w:rPr>
                <w:rFonts w:ascii="Times New Roman" w:eastAsia="Times New Roman" w:hAnsi="Times New Roman" w:cs="Times New Roman"/>
                <w:sz w:val="24"/>
                <w:szCs w:val="24"/>
                <w:lang w:eastAsia="lv-LV"/>
              </w:rPr>
              <w:t xml:space="preserve"> par plānoto darījumu ar saistīto pusi. Ņemot vērā, ka minētais informācijas sniegšanas pienākums iestājas tikai tad, ja, pirmkārt, kapitālsabiedrība slēdz darījumu ar konkrētu subjektu (saistīto personu) un, otrkārt, darījums atbilst noteikt</w:t>
            </w:r>
            <w:r w:rsidR="0078008F">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kritērijiem (nav slēgts kapitālsabiedrības parasti veica</w:t>
            </w:r>
            <w:r w:rsidR="00350308">
              <w:rPr>
                <w:rFonts w:ascii="Times New Roman" w:eastAsia="Times New Roman" w:hAnsi="Times New Roman" w:cs="Times New Roman"/>
                <w:sz w:val="24"/>
                <w:szCs w:val="24"/>
                <w:lang w:eastAsia="lv-LV"/>
              </w:rPr>
              <w:t xml:space="preserve">mās komercdarbības ietvaros, </w:t>
            </w:r>
            <w:r>
              <w:rPr>
                <w:rFonts w:ascii="Times New Roman" w:eastAsia="Times New Roman" w:hAnsi="Times New Roman" w:cs="Times New Roman"/>
                <w:sz w:val="24"/>
                <w:szCs w:val="24"/>
                <w:lang w:eastAsia="lv-LV"/>
              </w:rPr>
              <w:t>nav slēgts uz tirgus nosacījumiem</w:t>
            </w:r>
            <w:r w:rsidR="00350308">
              <w:rPr>
                <w:rFonts w:ascii="Times New Roman" w:eastAsia="Times New Roman" w:hAnsi="Times New Roman" w:cs="Times New Roman"/>
                <w:sz w:val="24"/>
                <w:szCs w:val="24"/>
                <w:lang w:eastAsia="lv-LV"/>
              </w:rPr>
              <w:t xml:space="preserve"> vai ir nozīmīga apjoma darījums</w:t>
            </w:r>
            <w:r>
              <w:rPr>
                <w:rFonts w:ascii="Times New Roman" w:eastAsia="Times New Roman" w:hAnsi="Times New Roman" w:cs="Times New Roman"/>
                <w:sz w:val="24"/>
                <w:szCs w:val="24"/>
                <w:lang w:eastAsia="lv-LV"/>
              </w:rPr>
              <w:t>), prezumējams, ka šādi darījumi netiek slēgti regulāri un ka šādus darījumus neslēdz visas kapitālsabiedrības</w:t>
            </w:r>
            <w:r w:rsidR="00350308">
              <w:rPr>
                <w:rFonts w:ascii="Times New Roman" w:eastAsia="Times New Roman" w:hAnsi="Times New Roman" w:cs="Times New Roman"/>
                <w:sz w:val="24"/>
                <w:szCs w:val="24"/>
                <w:lang w:eastAsia="lv-LV"/>
              </w:rPr>
              <w:t>, kuru akcijas ir iekļautas regulētajā tirgū</w:t>
            </w:r>
            <w:r>
              <w:rPr>
                <w:rFonts w:ascii="Times New Roman" w:eastAsia="Times New Roman" w:hAnsi="Times New Roman" w:cs="Times New Roman"/>
                <w:sz w:val="24"/>
                <w:szCs w:val="24"/>
                <w:lang w:eastAsia="lv-LV"/>
              </w:rPr>
              <w:t xml:space="preserve">. Līdz ar to nav iespējams precīzi noteikt, cik liela ir likumprojekta </w:t>
            </w:r>
            <w:r w:rsidR="0035030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panta mērķauditorija un cik regulāri šāda informācija būtu sagatavojama. Ņemot vērā minēto, administratīvo izmaksu monetārais izvērtējums ir balstīts uz administratīvo izmaksu aprēķinu vienam informācijas sniegšanas gadījumam.</w:t>
            </w:r>
          </w:p>
          <w:p w:rsidR="006A1492" w:rsidRDefault="006A1492" w:rsidP="006A14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Valde, plānojot un gatavojot darījuma slēgšanu, izvērtē darījuma noteikumus, darījuma nepieciešamību, darījuma ietekmi uz tās pārstāvēto kapitālsabiedrību un citus ar darījuma noslēgšanu saistītos aspektus. Līdz ar to likumprojekta </w:t>
            </w:r>
            <w:r w:rsidR="00C05CC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pants pēc būtības paredz nevis pienākumu veikt iepriekšminēto izvērtējumu, bet gan šo informāciju sniegt </w:t>
            </w:r>
            <w:r w:rsidR="00350308">
              <w:rPr>
                <w:rFonts w:ascii="Times New Roman" w:eastAsia="Times New Roman" w:hAnsi="Times New Roman" w:cs="Times New Roman"/>
                <w:sz w:val="24"/>
                <w:szCs w:val="24"/>
                <w:lang w:eastAsia="lv-LV"/>
              </w:rPr>
              <w:t>revīzijas komitejas</w:t>
            </w:r>
            <w:r>
              <w:rPr>
                <w:rFonts w:ascii="Times New Roman" w:eastAsia="Times New Roman" w:hAnsi="Times New Roman" w:cs="Times New Roman"/>
                <w:sz w:val="24"/>
                <w:szCs w:val="24"/>
                <w:lang w:eastAsia="lv-LV"/>
              </w:rPr>
              <w:t xml:space="preserve"> locekļiem. Informācijas sniegšana var notikt gan mutvārdos (piemēram, piedaloties </w:t>
            </w:r>
            <w:r w:rsidR="00350308">
              <w:rPr>
                <w:rFonts w:ascii="Times New Roman" w:eastAsia="Times New Roman" w:hAnsi="Times New Roman" w:cs="Times New Roman"/>
                <w:sz w:val="24"/>
                <w:szCs w:val="24"/>
                <w:lang w:eastAsia="lv-LV"/>
              </w:rPr>
              <w:t>revīzijas komitejas</w:t>
            </w:r>
            <w:r>
              <w:rPr>
                <w:rFonts w:ascii="Times New Roman" w:eastAsia="Times New Roman" w:hAnsi="Times New Roman" w:cs="Times New Roman"/>
                <w:sz w:val="24"/>
                <w:szCs w:val="24"/>
                <w:lang w:eastAsia="lv-LV"/>
              </w:rPr>
              <w:t xml:space="preserve"> sēdē), gan rakstveidā (piemēram, sagatavojot informāciju papīra formā un nosūtot to </w:t>
            </w:r>
            <w:r w:rsidR="00350308">
              <w:rPr>
                <w:rFonts w:ascii="Times New Roman" w:eastAsia="Times New Roman" w:hAnsi="Times New Roman" w:cs="Times New Roman"/>
                <w:sz w:val="24"/>
                <w:szCs w:val="24"/>
                <w:lang w:eastAsia="lv-LV"/>
              </w:rPr>
              <w:t>revīzijas komitejas</w:t>
            </w:r>
            <w:r>
              <w:rPr>
                <w:rFonts w:ascii="Times New Roman" w:eastAsia="Times New Roman" w:hAnsi="Times New Roman" w:cs="Times New Roman"/>
                <w:sz w:val="24"/>
                <w:szCs w:val="24"/>
                <w:lang w:eastAsia="lv-LV"/>
              </w:rPr>
              <w:t xml:space="preserve"> locekļiem pa pastu, pa e-pastu vai nododot personīgi). Ņemot vērā dažādos veidus, kādos valde var sniegt </w:t>
            </w:r>
            <w:r w:rsidR="00350308">
              <w:rPr>
                <w:rFonts w:ascii="Times New Roman" w:eastAsia="Times New Roman" w:hAnsi="Times New Roman" w:cs="Times New Roman"/>
                <w:sz w:val="24"/>
                <w:szCs w:val="24"/>
                <w:lang w:eastAsia="lv-LV"/>
              </w:rPr>
              <w:t>revīzijas komitejai</w:t>
            </w:r>
            <w:r>
              <w:rPr>
                <w:rFonts w:ascii="Times New Roman" w:eastAsia="Times New Roman" w:hAnsi="Times New Roman" w:cs="Times New Roman"/>
                <w:sz w:val="24"/>
                <w:szCs w:val="24"/>
                <w:lang w:eastAsia="lv-LV"/>
              </w:rPr>
              <w:t xml:space="preserve"> likumprojekta </w:t>
            </w:r>
            <w:r w:rsidR="00C05CC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pantā noteikto informāciju, administratīvās izmaksas aprēķinātas potenciālam standarta gadījumam – informācijas sagatavošanai </w:t>
            </w:r>
            <w:r w:rsidR="00BE5032">
              <w:rPr>
                <w:rFonts w:ascii="Times New Roman" w:eastAsia="Times New Roman" w:hAnsi="Times New Roman" w:cs="Times New Roman"/>
                <w:sz w:val="24"/>
                <w:szCs w:val="24"/>
                <w:lang w:eastAsia="lv-LV"/>
              </w:rPr>
              <w:t>rakstveidā</w:t>
            </w:r>
            <w:r>
              <w:rPr>
                <w:rFonts w:ascii="Times New Roman" w:eastAsia="Times New Roman" w:hAnsi="Times New Roman" w:cs="Times New Roman"/>
                <w:sz w:val="24"/>
                <w:szCs w:val="24"/>
                <w:lang w:eastAsia="lv-LV"/>
              </w:rPr>
              <w:t xml:space="preserve"> un nosūtīšanai uz </w:t>
            </w:r>
            <w:r w:rsidR="00350308">
              <w:rPr>
                <w:rFonts w:ascii="Times New Roman" w:eastAsia="Times New Roman" w:hAnsi="Times New Roman" w:cs="Times New Roman"/>
                <w:sz w:val="24"/>
                <w:szCs w:val="24"/>
                <w:lang w:eastAsia="lv-LV"/>
              </w:rPr>
              <w:t>revīzijas komitejas</w:t>
            </w:r>
            <w:r>
              <w:rPr>
                <w:rFonts w:ascii="Times New Roman" w:eastAsia="Times New Roman" w:hAnsi="Times New Roman" w:cs="Times New Roman"/>
                <w:sz w:val="24"/>
                <w:szCs w:val="24"/>
                <w:lang w:eastAsia="lv-LV"/>
              </w:rPr>
              <w:t xml:space="preserve"> locekļu e-pastu adresēm.</w:t>
            </w:r>
          </w:p>
          <w:p w:rsidR="006A1492" w:rsidRDefault="006A1492" w:rsidP="006A14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Informācijas sniegšanas pienākums attiecas uz dažāda lieluma kapitālsabiedrībām, kuras darbojas dažādās nozarēs. Turklāt informāciju par darījumu var sagatavot gan pati valde (piemēram, mazās kapitālsabiedrībās, kurās ir neliels nodarbināto skaits), gan arī dažādi speciālisti (piemēram, juristi, finansisti). Līdz ar to stundas samaksas likmei ņemti </w:t>
            </w:r>
            <w:r w:rsidRPr="00D44BF5">
              <w:rPr>
                <w:rFonts w:ascii="Times New Roman" w:eastAsia="Times New Roman" w:hAnsi="Times New Roman" w:cs="Times New Roman"/>
                <w:sz w:val="24"/>
                <w:szCs w:val="24"/>
                <w:lang w:eastAsia="lv-LV"/>
              </w:rPr>
              <w:t>dat</w:t>
            </w:r>
            <w:r>
              <w:rPr>
                <w:rFonts w:ascii="Times New Roman" w:eastAsia="Times New Roman" w:hAnsi="Times New Roman" w:cs="Times New Roman"/>
                <w:sz w:val="24"/>
                <w:szCs w:val="24"/>
                <w:lang w:eastAsia="lv-LV"/>
              </w:rPr>
              <w:t>i</w:t>
            </w:r>
            <w:r w:rsidRPr="00D44BF5">
              <w:rPr>
                <w:rFonts w:ascii="Times New Roman" w:eastAsia="Times New Roman" w:hAnsi="Times New Roman" w:cs="Times New Roman"/>
                <w:sz w:val="24"/>
                <w:szCs w:val="24"/>
                <w:lang w:eastAsia="lv-LV"/>
              </w:rPr>
              <w:t xml:space="preserve"> par</w:t>
            </w:r>
            <w:r>
              <w:rPr>
                <w:sz w:val="23"/>
                <w:szCs w:val="23"/>
              </w:rPr>
              <w:t xml:space="preserve"> </w:t>
            </w:r>
            <w:r w:rsidRPr="006F743F">
              <w:rPr>
                <w:rFonts w:ascii="Times New Roman" w:eastAsia="Times New Roman" w:hAnsi="Times New Roman" w:cs="Times New Roman"/>
                <w:sz w:val="24"/>
                <w:szCs w:val="24"/>
                <w:lang w:eastAsia="lv-LV"/>
              </w:rPr>
              <w:t>valstī vidējām darbaspēka izmaksām vienā stundā</w:t>
            </w:r>
            <w:r>
              <w:rPr>
                <w:rFonts w:ascii="Times New Roman" w:eastAsia="Times New Roman" w:hAnsi="Times New Roman" w:cs="Times New Roman"/>
                <w:sz w:val="24"/>
                <w:szCs w:val="24"/>
                <w:lang w:eastAsia="lv-LV"/>
              </w:rPr>
              <w:t>.</w:t>
            </w:r>
          </w:p>
          <w:p w:rsidR="006A1492" w:rsidRPr="007A709F" w:rsidRDefault="006A1492" w:rsidP="006A149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lv-LV"/>
              </w:rPr>
            </w:pPr>
            <w:bookmarkStart w:id="0" w:name="OLE_LINK1"/>
            <w:bookmarkStart w:id="1" w:name="OLE_LINK14"/>
            <w:bookmarkStart w:id="2" w:name="OLE_LINK13"/>
            <w:r w:rsidRPr="007A709F">
              <w:rPr>
                <w:rFonts w:ascii="Times New Roman" w:eastAsia="Times New Roman" w:hAnsi="Times New Roman" w:cs="Times New Roman"/>
                <w:color w:val="000000"/>
                <w:sz w:val="24"/>
                <w:szCs w:val="24"/>
                <w:lang w:eastAsia="lv-LV"/>
              </w:rPr>
              <w:t>C = (f x l) x (n x b) = (</w:t>
            </w:r>
            <w:r>
              <w:rPr>
                <w:rFonts w:ascii="Times New Roman" w:eastAsia="Times New Roman" w:hAnsi="Times New Roman" w:cs="Times New Roman"/>
                <w:color w:val="000000"/>
                <w:sz w:val="24"/>
                <w:szCs w:val="24"/>
                <w:lang w:eastAsia="lv-LV"/>
              </w:rPr>
              <w:t>6,95</w:t>
            </w:r>
            <w:r w:rsidRPr="007A709F">
              <w:rPr>
                <w:rFonts w:ascii="Times New Roman" w:eastAsia="Times New Roman" w:hAnsi="Times New Roman" w:cs="Times New Roman"/>
                <w:color w:val="000000"/>
                <w:sz w:val="24"/>
                <w:szCs w:val="24"/>
                <w:lang w:eastAsia="lv-LV"/>
              </w:rPr>
              <w:t> x </w:t>
            </w:r>
            <w:r>
              <w:rPr>
                <w:rFonts w:ascii="Times New Roman" w:eastAsia="Times New Roman" w:hAnsi="Times New Roman" w:cs="Times New Roman"/>
                <w:color w:val="000000"/>
                <w:sz w:val="24"/>
                <w:szCs w:val="24"/>
                <w:lang w:eastAsia="lv-LV"/>
              </w:rPr>
              <w:t>4</w:t>
            </w:r>
            <w:r w:rsidRPr="007A709F">
              <w:rPr>
                <w:rFonts w:ascii="Times New Roman" w:eastAsia="Times New Roman" w:hAnsi="Times New Roman" w:cs="Times New Roman"/>
                <w:color w:val="000000"/>
                <w:sz w:val="24"/>
                <w:szCs w:val="24"/>
                <w:lang w:eastAsia="lv-LV"/>
              </w:rPr>
              <w:t>) x (</w:t>
            </w:r>
            <w:r>
              <w:rPr>
                <w:rFonts w:ascii="Times New Roman" w:eastAsia="Times New Roman" w:hAnsi="Times New Roman" w:cs="Times New Roman"/>
                <w:color w:val="000000"/>
                <w:sz w:val="24"/>
                <w:szCs w:val="24"/>
                <w:lang w:eastAsia="lv-LV"/>
              </w:rPr>
              <w:t>1</w:t>
            </w:r>
            <w:r w:rsidRPr="007A709F">
              <w:rPr>
                <w:rFonts w:ascii="Times New Roman" w:eastAsia="Times New Roman" w:hAnsi="Times New Roman" w:cs="Times New Roman"/>
                <w:color w:val="000000"/>
                <w:sz w:val="24"/>
                <w:szCs w:val="24"/>
                <w:lang w:eastAsia="lv-LV"/>
              </w:rPr>
              <w:t> x 1) = </w:t>
            </w:r>
            <w:r>
              <w:rPr>
                <w:rFonts w:ascii="Times New Roman" w:eastAsia="Times New Roman" w:hAnsi="Times New Roman" w:cs="Times New Roman"/>
                <w:color w:val="000000"/>
                <w:sz w:val="24"/>
                <w:szCs w:val="24"/>
                <w:lang w:eastAsia="lv-LV"/>
              </w:rPr>
              <w:t xml:space="preserve">27,80 </w:t>
            </w:r>
            <w:proofErr w:type="spellStart"/>
            <w:r w:rsidR="00C05CCC" w:rsidRPr="00C05CCC">
              <w:rPr>
                <w:rFonts w:ascii="Times New Roman" w:eastAsia="Times New Roman" w:hAnsi="Times New Roman" w:cs="Times New Roman"/>
                <w:i/>
                <w:color w:val="000000"/>
                <w:sz w:val="24"/>
                <w:szCs w:val="24"/>
                <w:lang w:eastAsia="lv-LV"/>
              </w:rPr>
              <w:t>euro</w:t>
            </w:r>
            <w:proofErr w:type="spellEnd"/>
          </w:p>
          <w:p w:rsidR="006A1492" w:rsidRPr="007A709F" w:rsidRDefault="006A1492" w:rsidP="006A149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C – informācijas sniegšanas pienākuma radītās izmaksas jeb administratīvās izmaksas;</w:t>
            </w:r>
          </w:p>
          <w:p w:rsidR="006A1492" w:rsidRPr="007A709F" w:rsidRDefault="006A1492" w:rsidP="006A149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rsidR="006A1492" w:rsidRPr="007A709F" w:rsidRDefault="006A1492" w:rsidP="006A149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l – laika patēriņš, kas nepieciešams, lai sagatavotu informāciju, kuras sniegšanu paredz projekts;</w:t>
            </w:r>
          </w:p>
          <w:p w:rsidR="006A1492" w:rsidRPr="007A709F" w:rsidRDefault="006A1492" w:rsidP="006A149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n – subjektu skaits, uz ko attiecas projektā paredzētās informācijas sniegšanas prasības;</w:t>
            </w:r>
          </w:p>
          <w:p w:rsidR="004D15A9" w:rsidRDefault="006A1492" w:rsidP="006A1492">
            <w:pPr>
              <w:spacing w:after="0"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b – cik bieži gada laikā projekts paredz informācijas sniegšanu.</w:t>
            </w:r>
            <w:bookmarkEnd w:id="0"/>
            <w:bookmarkEnd w:id="1"/>
            <w:bookmarkEnd w:id="2"/>
          </w:p>
          <w:p w:rsidR="00350308" w:rsidRDefault="00350308" w:rsidP="006A1492">
            <w:pPr>
              <w:spacing w:after="0" w:line="240" w:lineRule="auto"/>
              <w:jc w:val="both"/>
              <w:rPr>
                <w:rFonts w:ascii="Times New Roman" w:eastAsia="Times New Roman" w:hAnsi="Times New Roman" w:cs="Times New Roman"/>
                <w:color w:val="000000"/>
                <w:sz w:val="24"/>
                <w:szCs w:val="24"/>
                <w:lang w:eastAsia="lv-LV"/>
              </w:rPr>
            </w:pPr>
          </w:p>
          <w:p w:rsidR="00C05CCC" w:rsidRDefault="00350308" w:rsidP="00C05CCC">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augstākminētajam informācijas sniegšanas pienākumam </w:t>
            </w:r>
            <w:r w:rsidRPr="005871AA">
              <w:rPr>
                <w:rFonts w:ascii="Times New Roman" w:eastAsia="Times New Roman" w:hAnsi="Times New Roman" w:cs="Times New Roman"/>
                <w:sz w:val="24"/>
                <w:szCs w:val="24"/>
                <w:lang w:eastAsia="lv-LV"/>
              </w:rPr>
              <w:t>likumprojekts (Finanšu instrumentu tirgus likuma jaunā 59.</w:t>
            </w:r>
            <w:r w:rsidRPr="005871AA">
              <w:rPr>
                <w:rFonts w:ascii="Times New Roman" w:eastAsia="Times New Roman" w:hAnsi="Times New Roman" w:cs="Times New Roman"/>
                <w:sz w:val="24"/>
                <w:szCs w:val="24"/>
                <w:vertAlign w:val="superscript"/>
                <w:lang w:eastAsia="lv-LV"/>
              </w:rPr>
              <w:t>1</w:t>
            </w:r>
            <w:r w:rsidRPr="005871AA">
              <w:rPr>
                <w:rFonts w:ascii="Times New Roman" w:eastAsia="Times New Roman" w:hAnsi="Times New Roman" w:cs="Times New Roman"/>
                <w:sz w:val="24"/>
                <w:szCs w:val="24"/>
                <w:lang w:eastAsia="lv-LV"/>
              </w:rPr>
              <w:t xml:space="preserve"> panta desmitā </w:t>
            </w:r>
            <w:r w:rsidR="00177208">
              <w:rPr>
                <w:rFonts w:ascii="Times New Roman" w:eastAsia="Times New Roman" w:hAnsi="Times New Roman" w:cs="Times New Roman"/>
                <w:sz w:val="24"/>
                <w:szCs w:val="24"/>
                <w:lang w:eastAsia="lv-LV"/>
              </w:rPr>
              <w:t xml:space="preserve">un vienpadsmitā </w:t>
            </w:r>
            <w:r w:rsidRPr="005871AA">
              <w:rPr>
                <w:rFonts w:ascii="Times New Roman" w:eastAsia="Times New Roman" w:hAnsi="Times New Roman" w:cs="Times New Roman"/>
                <w:sz w:val="24"/>
                <w:szCs w:val="24"/>
                <w:lang w:eastAsia="lv-LV"/>
              </w:rPr>
              <w:t xml:space="preserve">daļa) paredz informācijas atklāšanas pienākumu. Minētais regulējums </w:t>
            </w:r>
            <w:r w:rsidR="007A0CAE" w:rsidRPr="005871AA">
              <w:rPr>
                <w:rFonts w:ascii="Times New Roman" w:eastAsia="Times New Roman" w:hAnsi="Times New Roman" w:cs="Times New Roman"/>
                <w:sz w:val="24"/>
                <w:szCs w:val="24"/>
                <w:lang w:eastAsia="lv-LV"/>
              </w:rPr>
              <w:t xml:space="preserve">paredz, ka informācija par </w:t>
            </w:r>
            <w:r w:rsidR="00177208">
              <w:rPr>
                <w:rFonts w:ascii="Times New Roman" w:eastAsia="Times New Roman" w:hAnsi="Times New Roman" w:cs="Times New Roman"/>
                <w:sz w:val="24"/>
                <w:szCs w:val="24"/>
                <w:lang w:eastAsia="lv-LV"/>
              </w:rPr>
              <w:t xml:space="preserve">netipisku vai </w:t>
            </w:r>
            <w:r w:rsidR="007A0CAE" w:rsidRPr="005871AA">
              <w:rPr>
                <w:rFonts w:ascii="Times New Roman" w:eastAsia="Times New Roman" w:hAnsi="Times New Roman" w:cs="Times New Roman"/>
                <w:sz w:val="24"/>
                <w:szCs w:val="24"/>
                <w:lang w:eastAsia="lv-LV"/>
              </w:rPr>
              <w:t>nozīmīga apjoma darījum</w:t>
            </w:r>
            <w:r w:rsidR="00177208">
              <w:rPr>
                <w:rFonts w:ascii="Times New Roman" w:eastAsia="Times New Roman" w:hAnsi="Times New Roman" w:cs="Times New Roman"/>
                <w:sz w:val="24"/>
                <w:szCs w:val="24"/>
                <w:lang w:eastAsia="lv-LV"/>
              </w:rPr>
              <w:t>u</w:t>
            </w:r>
            <w:r w:rsidR="007A0CAE" w:rsidRPr="005871AA">
              <w:rPr>
                <w:rFonts w:ascii="Times New Roman" w:eastAsia="Times New Roman" w:hAnsi="Times New Roman" w:cs="Times New Roman"/>
                <w:sz w:val="24"/>
                <w:szCs w:val="24"/>
                <w:lang w:eastAsia="lv-LV"/>
              </w:rPr>
              <w:t xml:space="preserve"> </w:t>
            </w:r>
            <w:r w:rsidR="00177208">
              <w:rPr>
                <w:rFonts w:ascii="Times New Roman" w:eastAsia="Times New Roman" w:hAnsi="Times New Roman" w:cs="Times New Roman"/>
                <w:sz w:val="24"/>
                <w:szCs w:val="24"/>
                <w:lang w:eastAsia="lv-LV"/>
              </w:rPr>
              <w:t xml:space="preserve">ar saistīto pusi </w:t>
            </w:r>
            <w:r w:rsidR="007A0CAE" w:rsidRPr="005871AA">
              <w:rPr>
                <w:rFonts w:ascii="Times New Roman" w:eastAsia="Times New Roman" w:hAnsi="Times New Roman" w:cs="Times New Roman"/>
                <w:sz w:val="24"/>
                <w:szCs w:val="24"/>
                <w:lang w:eastAsia="lv-LV"/>
              </w:rPr>
              <w:t xml:space="preserve">ir atklājama Oficiālajā obligātās informācijas centralizētās glabāšanas sistēmā (turpmāk – ORICGS). Proti, </w:t>
            </w:r>
            <w:r w:rsidR="00177208">
              <w:rPr>
                <w:rFonts w:ascii="Times New Roman" w:eastAsia="Times New Roman" w:hAnsi="Times New Roman" w:cs="Times New Roman"/>
                <w:sz w:val="24"/>
                <w:szCs w:val="24"/>
                <w:lang w:eastAsia="lv-LV"/>
              </w:rPr>
              <w:t xml:space="preserve">augstākminētā </w:t>
            </w:r>
            <w:r w:rsidR="007A0CAE" w:rsidRPr="005871AA">
              <w:rPr>
                <w:rFonts w:ascii="Times New Roman" w:eastAsia="Times New Roman" w:hAnsi="Times New Roman" w:cs="Times New Roman"/>
                <w:sz w:val="24"/>
                <w:szCs w:val="24"/>
                <w:lang w:eastAsia="lv-LV"/>
              </w:rPr>
              <w:t xml:space="preserve">informācija par </w:t>
            </w:r>
            <w:r w:rsidR="00177208">
              <w:rPr>
                <w:rFonts w:ascii="Times New Roman" w:eastAsia="Times New Roman" w:hAnsi="Times New Roman" w:cs="Times New Roman"/>
                <w:sz w:val="24"/>
                <w:szCs w:val="24"/>
                <w:lang w:eastAsia="lv-LV"/>
              </w:rPr>
              <w:t>saistītās puses</w:t>
            </w:r>
            <w:r w:rsidR="007A0CAE" w:rsidRPr="005871AA">
              <w:rPr>
                <w:rFonts w:ascii="Times New Roman" w:eastAsia="Times New Roman" w:hAnsi="Times New Roman" w:cs="Times New Roman"/>
                <w:sz w:val="24"/>
                <w:szCs w:val="24"/>
                <w:lang w:eastAsia="lv-LV"/>
              </w:rPr>
              <w:t xml:space="preserve"> darījumu, kas sagatavota rakstveidā, ir ievietojama ORICGS.</w:t>
            </w:r>
            <w:r w:rsidR="00EB15C5">
              <w:rPr>
                <w:rFonts w:ascii="Times New Roman" w:eastAsia="Times New Roman" w:hAnsi="Times New Roman" w:cs="Times New Roman"/>
                <w:sz w:val="24"/>
                <w:szCs w:val="24"/>
                <w:lang w:eastAsia="lv-LV"/>
              </w:rPr>
              <w:t xml:space="preserve"> Šai informācijai var būt nepieciešams pievienot papildu ziņas, taču šīs informācijas apjoms ir mazāks nekā augstākminētās pamatinformācijas par saistītās puses darījumu apjoms. Līdz ar to tās </w:t>
            </w:r>
            <w:r w:rsidR="00EB15C5">
              <w:rPr>
                <w:rFonts w:ascii="Times New Roman" w:eastAsia="Times New Roman" w:hAnsi="Times New Roman" w:cs="Times New Roman"/>
                <w:sz w:val="24"/>
                <w:szCs w:val="24"/>
                <w:lang w:eastAsia="lv-LV"/>
              </w:rPr>
              <w:lastRenderedPageBreak/>
              <w:t>sagatavošanai ir nepieciešams mazāks laika patēriņš (nepārsniedzot 2 h). Savukārt, l</w:t>
            </w:r>
            <w:r w:rsidR="007A0CAE">
              <w:rPr>
                <w:rFonts w:ascii="Times New Roman" w:eastAsia="Times New Roman" w:hAnsi="Times New Roman" w:cs="Times New Roman"/>
                <w:sz w:val="24"/>
                <w:szCs w:val="24"/>
                <w:lang w:eastAsia="lv-LV"/>
              </w:rPr>
              <w:t xml:space="preserve">ai informāciju ievietotu ORICGS, sistēmas lietotājam ir jāpieslēdzas sistēmai un jāielādē tajā iepriekš sagatavotais papīra formas dokuments. Šo darbību veikšanai ir nepieciešamas apmēram 0,25 h. </w:t>
            </w:r>
          </w:p>
          <w:p w:rsidR="00EB15C5" w:rsidRPr="007A709F" w:rsidRDefault="00EB15C5" w:rsidP="00EB15C5">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C = (f x l) x (n x b) = (</w:t>
            </w:r>
            <w:r>
              <w:rPr>
                <w:rFonts w:ascii="Times New Roman" w:eastAsia="Times New Roman" w:hAnsi="Times New Roman" w:cs="Times New Roman"/>
                <w:color w:val="000000"/>
                <w:sz w:val="24"/>
                <w:szCs w:val="24"/>
                <w:lang w:eastAsia="lv-LV"/>
              </w:rPr>
              <w:t>6,95</w:t>
            </w:r>
            <w:r w:rsidRPr="007A709F">
              <w:rPr>
                <w:rFonts w:ascii="Times New Roman" w:eastAsia="Times New Roman" w:hAnsi="Times New Roman" w:cs="Times New Roman"/>
                <w:color w:val="000000"/>
                <w:sz w:val="24"/>
                <w:szCs w:val="24"/>
                <w:lang w:eastAsia="lv-LV"/>
              </w:rPr>
              <w:t> x </w:t>
            </w:r>
            <w:r>
              <w:rPr>
                <w:rFonts w:ascii="Times New Roman" w:eastAsia="Times New Roman" w:hAnsi="Times New Roman" w:cs="Times New Roman"/>
                <w:color w:val="000000"/>
                <w:sz w:val="24"/>
                <w:szCs w:val="24"/>
                <w:lang w:eastAsia="lv-LV"/>
              </w:rPr>
              <w:t>2,25</w:t>
            </w:r>
            <w:r w:rsidRPr="007A709F">
              <w:rPr>
                <w:rFonts w:ascii="Times New Roman" w:eastAsia="Times New Roman" w:hAnsi="Times New Roman" w:cs="Times New Roman"/>
                <w:color w:val="000000"/>
                <w:sz w:val="24"/>
                <w:szCs w:val="24"/>
                <w:lang w:eastAsia="lv-LV"/>
              </w:rPr>
              <w:t>) x (</w:t>
            </w:r>
            <w:r>
              <w:rPr>
                <w:rFonts w:ascii="Times New Roman" w:eastAsia="Times New Roman" w:hAnsi="Times New Roman" w:cs="Times New Roman"/>
                <w:color w:val="000000"/>
                <w:sz w:val="24"/>
                <w:szCs w:val="24"/>
                <w:lang w:eastAsia="lv-LV"/>
              </w:rPr>
              <w:t>1</w:t>
            </w:r>
            <w:r w:rsidRPr="007A709F">
              <w:rPr>
                <w:rFonts w:ascii="Times New Roman" w:eastAsia="Times New Roman" w:hAnsi="Times New Roman" w:cs="Times New Roman"/>
                <w:color w:val="000000"/>
                <w:sz w:val="24"/>
                <w:szCs w:val="24"/>
                <w:lang w:eastAsia="lv-LV"/>
              </w:rPr>
              <w:t> x 1) = </w:t>
            </w:r>
            <w:r w:rsidR="006A69E1">
              <w:rPr>
                <w:rFonts w:ascii="Times New Roman" w:eastAsia="Times New Roman" w:hAnsi="Times New Roman" w:cs="Times New Roman"/>
                <w:color w:val="000000"/>
                <w:sz w:val="24"/>
                <w:szCs w:val="24"/>
                <w:lang w:eastAsia="lv-LV"/>
              </w:rPr>
              <w:t>15</w:t>
            </w:r>
            <w:r>
              <w:rPr>
                <w:rFonts w:ascii="Times New Roman" w:eastAsia="Times New Roman" w:hAnsi="Times New Roman" w:cs="Times New Roman"/>
                <w:color w:val="000000"/>
                <w:sz w:val="24"/>
                <w:szCs w:val="24"/>
                <w:lang w:eastAsia="lv-LV"/>
              </w:rPr>
              <w:t>,</w:t>
            </w:r>
            <w:r w:rsidR="006A69E1">
              <w:rPr>
                <w:rFonts w:ascii="Times New Roman" w:eastAsia="Times New Roman" w:hAnsi="Times New Roman" w:cs="Times New Roman"/>
                <w:color w:val="000000"/>
                <w:sz w:val="24"/>
                <w:szCs w:val="24"/>
                <w:lang w:eastAsia="lv-LV"/>
              </w:rPr>
              <w:t>64</w:t>
            </w:r>
            <w:r>
              <w:rPr>
                <w:rFonts w:ascii="Times New Roman" w:eastAsia="Times New Roman" w:hAnsi="Times New Roman" w:cs="Times New Roman"/>
                <w:color w:val="000000"/>
                <w:sz w:val="24"/>
                <w:szCs w:val="24"/>
                <w:lang w:eastAsia="lv-LV"/>
              </w:rPr>
              <w:t xml:space="preserve"> </w:t>
            </w:r>
            <w:proofErr w:type="spellStart"/>
            <w:r w:rsidRPr="00C05CCC">
              <w:rPr>
                <w:rFonts w:ascii="Times New Roman" w:eastAsia="Times New Roman" w:hAnsi="Times New Roman" w:cs="Times New Roman"/>
                <w:i/>
                <w:color w:val="000000"/>
                <w:sz w:val="24"/>
                <w:szCs w:val="24"/>
                <w:lang w:eastAsia="lv-LV"/>
              </w:rPr>
              <w:t>euro</w:t>
            </w:r>
            <w:proofErr w:type="spellEnd"/>
          </w:p>
          <w:p w:rsidR="00C05CCC" w:rsidRPr="00BF5F7E" w:rsidRDefault="00E90E8D" w:rsidP="00E90E8D">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augstākminētos aprēķinus, k</w:t>
            </w:r>
            <w:r w:rsidR="00D5787B">
              <w:rPr>
                <w:rFonts w:ascii="Times New Roman" w:eastAsia="Times New Roman" w:hAnsi="Times New Roman" w:cs="Times New Roman"/>
                <w:sz w:val="24"/>
                <w:szCs w:val="24"/>
                <w:lang w:eastAsia="lv-LV"/>
              </w:rPr>
              <w:t>opējās administratīvās izmaksas par informācijas sagatavošanu un sniegšanu par netipisk</w:t>
            </w:r>
            <w:r w:rsidR="00BF5F7E">
              <w:rPr>
                <w:rFonts w:ascii="Times New Roman" w:eastAsia="Times New Roman" w:hAnsi="Times New Roman" w:cs="Times New Roman"/>
                <w:sz w:val="24"/>
                <w:szCs w:val="24"/>
                <w:lang w:eastAsia="lv-LV"/>
              </w:rPr>
              <w:t>u</w:t>
            </w:r>
            <w:r w:rsidR="00D578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nozīmīga apjoma </w:t>
            </w:r>
            <w:r w:rsidR="00D5787B">
              <w:rPr>
                <w:rFonts w:ascii="Times New Roman" w:eastAsia="Times New Roman" w:hAnsi="Times New Roman" w:cs="Times New Roman"/>
                <w:sz w:val="24"/>
                <w:szCs w:val="24"/>
                <w:lang w:eastAsia="lv-LV"/>
              </w:rPr>
              <w:t xml:space="preserve">saistīto </w:t>
            </w:r>
            <w:r w:rsidR="00BF5F7E">
              <w:rPr>
                <w:rFonts w:ascii="Times New Roman" w:eastAsia="Times New Roman" w:hAnsi="Times New Roman" w:cs="Times New Roman"/>
                <w:sz w:val="24"/>
                <w:szCs w:val="24"/>
                <w:lang w:eastAsia="lv-LV"/>
              </w:rPr>
              <w:t xml:space="preserve">pušu darījumu ir </w:t>
            </w:r>
            <w:r>
              <w:rPr>
                <w:rFonts w:ascii="Times New Roman" w:eastAsia="Times New Roman" w:hAnsi="Times New Roman" w:cs="Times New Roman"/>
                <w:color w:val="000000"/>
                <w:sz w:val="24"/>
                <w:szCs w:val="24"/>
                <w:lang w:eastAsia="lv-LV"/>
              </w:rPr>
              <w:t>43</w:t>
            </w:r>
            <w:r w:rsidR="00BF5F7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43</w:t>
            </w:r>
            <w:r w:rsidR="00BF5F7E">
              <w:rPr>
                <w:rFonts w:ascii="Times New Roman" w:eastAsia="Times New Roman" w:hAnsi="Times New Roman" w:cs="Times New Roman"/>
                <w:color w:val="000000"/>
                <w:sz w:val="24"/>
                <w:szCs w:val="24"/>
                <w:lang w:eastAsia="lv-LV"/>
              </w:rPr>
              <w:t xml:space="preserve"> </w:t>
            </w:r>
            <w:proofErr w:type="spellStart"/>
            <w:r w:rsidR="00BF5F7E" w:rsidRPr="00C05CCC">
              <w:rPr>
                <w:rFonts w:ascii="Times New Roman" w:eastAsia="Times New Roman" w:hAnsi="Times New Roman" w:cs="Times New Roman"/>
                <w:i/>
                <w:color w:val="000000"/>
                <w:sz w:val="24"/>
                <w:szCs w:val="24"/>
                <w:lang w:eastAsia="lv-LV"/>
              </w:rPr>
              <w:t>euro</w:t>
            </w:r>
            <w:proofErr w:type="spellEnd"/>
            <w:r w:rsidR="00BF5F7E">
              <w:rPr>
                <w:rFonts w:ascii="Times New Roman" w:eastAsia="Times New Roman" w:hAnsi="Times New Roman" w:cs="Times New Roman"/>
                <w:color w:val="000000"/>
                <w:sz w:val="24"/>
                <w:szCs w:val="24"/>
                <w:lang w:eastAsia="lv-LV"/>
              </w:rPr>
              <w:t>.</w:t>
            </w:r>
          </w:p>
        </w:tc>
      </w:tr>
      <w:tr w:rsidR="002D3735" w:rsidRPr="002D3735" w:rsidTr="008A787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094AC5" w:rsidP="00094A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7878" w:rsidRPr="004D6870" w:rsidTr="00412265">
        <w:trPr>
          <w:trHeight w:val="345"/>
        </w:trPr>
        <w:tc>
          <w:tcPr>
            <w:tcW w:w="5000" w:type="pct"/>
            <w:gridSpan w:val="3"/>
            <w:tcBorders>
              <w:top w:val="nil"/>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A7878" w:rsidRPr="004D6870" w:rsidTr="00412265">
              <w:trPr>
                <w:trHeight w:val="345"/>
              </w:trPr>
              <w:tc>
                <w:tcPr>
                  <w:tcW w:w="5000" w:type="pct"/>
                  <w:tcBorders>
                    <w:top w:val="nil"/>
                    <w:left w:val="nil"/>
                    <w:bottom w:val="nil"/>
                    <w:right w:val="nil"/>
                  </w:tcBorders>
                </w:tcPr>
                <w:p w:rsidR="008A7878" w:rsidRPr="004D6870" w:rsidRDefault="008A7878" w:rsidP="004122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8A7878" w:rsidRPr="004D6870" w:rsidTr="008A7878">
                    <w:tc>
                      <w:tcPr>
                        <w:tcW w:w="5000" w:type="pct"/>
                        <w:tcBorders>
                          <w:top w:val="outset" w:sz="6" w:space="0" w:color="414142"/>
                          <w:left w:val="outset" w:sz="6" w:space="0" w:color="414142"/>
                          <w:bottom w:val="outset" w:sz="6" w:space="0" w:color="414142"/>
                          <w:right w:val="outset" w:sz="6" w:space="0" w:color="414142"/>
                        </w:tcBorders>
                        <w:vAlign w:val="center"/>
                        <w:hideMark/>
                      </w:tcPr>
                      <w:p w:rsidR="008A7878" w:rsidRPr="004D6870" w:rsidRDefault="008A7878" w:rsidP="00412265">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III. Tiesību akta projekta ietekme uz valsts budžetu un pašvaldību budžetiem</w:t>
                        </w:r>
                      </w:p>
                    </w:tc>
                  </w:tr>
                  <w:tr w:rsidR="008A7878" w:rsidRPr="004D6870" w:rsidTr="008A7878">
                    <w:tc>
                      <w:tcPr>
                        <w:tcW w:w="5000" w:type="pct"/>
                        <w:tcBorders>
                          <w:top w:val="outset" w:sz="6" w:space="0" w:color="414142"/>
                          <w:left w:val="outset" w:sz="6" w:space="0" w:color="414142"/>
                          <w:bottom w:val="outset" w:sz="6" w:space="0" w:color="414142"/>
                          <w:right w:val="single" w:sz="4" w:space="0" w:color="auto"/>
                        </w:tcBorders>
                        <w:hideMark/>
                      </w:tcPr>
                      <w:p w:rsidR="008A7878" w:rsidRPr="004D6870" w:rsidRDefault="008A7878" w:rsidP="00412265">
                        <w:pPr>
                          <w:spacing w:after="0" w:line="240" w:lineRule="auto"/>
                          <w:jc w:val="center"/>
                          <w:rPr>
                            <w:rFonts w:ascii="Times New Roman" w:eastAsia="Times New Roman" w:hAnsi="Times New Roman" w:cs="Times New Roman"/>
                            <w:i/>
                            <w:sz w:val="24"/>
                            <w:szCs w:val="24"/>
                            <w:lang w:eastAsia="lv-LV"/>
                          </w:rPr>
                        </w:pPr>
                        <w:r w:rsidRPr="004D6870">
                          <w:rPr>
                            <w:rFonts w:ascii="Times New Roman" w:eastAsia="Times New Roman" w:hAnsi="Times New Roman" w:cs="Times New Roman"/>
                            <w:i/>
                            <w:sz w:val="24"/>
                            <w:szCs w:val="24"/>
                            <w:lang w:eastAsia="lv-LV"/>
                          </w:rPr>
                          <w:t>Likumprojekts šo jomu neskar.</w:t>
                        </w:r>
                      </w:p>
                    </w:tc>
                  </w:tr>
                </w:tbl>
                <w:p w:rsidR="008A7878" w:rsidRPr="004D6870" w:rsidRDefault="008A7878" w:rsidP="00412265">
                  <w:pPr>
                    <w:spacing w:after="0" w:line="240" w:lineRule="auto"/>
                    <w:rPr>
                      <w:rFonts w:ascii="Times New Roman" w:eastAsia="Times New Roman" w:hAnsi="Times New Roman" w:cs="Times New Roman"/>
                      <w:sz w:val="24"/>
                      <w:szCs w:val="24"/>
                      <w:lang w:eastAsia="lv-LV"/>
                    </w:rPr>
                  </w:pPr>
                </w:p>
              </w:tc>
            </w:tr>
          </w:tbl>
          <w:p w:rsidR="008A7878" w:rsidRPr="004D6870" w:rsidRDefault="008A7878" w:rsidP="00412265">
            <w:pPr>
              <w:spacing w:after="0" w:line="240" w:lineRule="auto"/>
              <w:rPr>
                <w:rFonts w:ascii="Times New Roman" w:eastAsia="Times New Roman" w:hAnsi="Times New Roman" w:cs="Times New Roman"/>
                <w:sz w:val="24"/>
                <w:szCs w:val="24"/>
                <w:lang w:eastAsia="lv-LV"/>
              </w:rPr>
            </w:pPr>
          </w:p>
        </w:tc>
      </w:tr>
    </w:tbl>
    <w:p w:rsidR="004D15A9" w:rsidRPr="002D3735" w:rsidRDefault="004D15A9" w:rsidP="00DA596D">
      <w:pPr>
        <w:spacing w:after="0" w:line="240" w:lineRule="auto"/>
        <w:rPr>
          <w:rFonts w:ascii="Times New Roman" w:eastAsia="Times New Roman" w:hAnsi="Times New Roman" w:cs="Times New Roman"/>
          <w:vanish/>
          <w:sz w:val="24"/>
          <w:szCs w:val="24"/>
          <w:lang w:eastAsia="lv-LV"/>
        </w:rPr>
      </w:pPr>
    </w:p>
    <w:p w:rsidR="004D15A9" w:rsidRPr="002D373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2D3735"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D37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IV. Tiesību akta projekta ietekme uz spēkā esošo tiesību normu sistēmu</w:t>
            </w:r>
          </w:p>
        </w:tc>
      </w:tr>
      <w:tr w:rsidR="002D3735" w:rsidRPr="002D3735" w:rsidTr="008A7878">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hideMark/>
          </w:tcPr>
          <w:p w:rsidR="00550372" w:rsidRPr="00550372" w:rsidRDefault="001C1EA4" w:rsidP="00094AC5">
            <w:pPr>
              <w:spacing w:after="0" w:line="240" w:lineRule="auto"/>
              <w:jc w:val="both"/>
              <w:rPr>
                <w:lang w:eastAsia="lv-LV"/>
              </w:rPr>
            </w:pPr>
            <w:r w:rsidRPr="001C1EA4">
              <w:rPr>
                <w:rFonts w:ascii="Times New Roman" w:eastAsia="Times New Roman" w:hAnsi="Times New Roman" w:cs="Times New Roman"/>
                <w:sz w:val="24"/>
                <w:szCs w:val="24"/>
                <w:lang w:eastAsia="lv-LV"/>
              </w:rPr>
              <w:t>Likump</w:t>
            </w:r>
            <w:r>
              <w:rPr>
                <w:rFonts w:ascii="Times New Roman" w:eastAsia="Times New Roman" w:hAnsi="Times New Roman" w:cs="Times New Roman"/>
                <w:sz w:val="24"/>
                <w:szCs w:val="24"/>
                <w:lang w:eastAsia="lv-LV"/>
              </w:rPr>
              <w:t xml:space="preserve">rojekts saistīts ar likumprojektu „Grozījumi Komerclikumā”, kas izsaka jaunā redakcijā </w:t>
            </w:r>
            <w:r w:rsidR="001719E7">
              <w:rPr>
                <w:rFonts w:ascii="Times New Roman" w:eastAsia="Times New Roman" w:hAnsi="Times New Roman" w:cs="Times New Roman"/>
                <w:sz w:val="24"/>
                <w:szCs w:val="24"/>
                <w:lang w:eastAsia="lv-LV"/>
              </w:rPr>
              <w:t xml:space="preserve">Komerclikuma </w:t>
            </w:r>
            <w:r>
              <w:rPr>
                <w:rFonts w:ascii="Times New Roman" w:eastAsia="Times New Roman" w:hAnsi="Times New Roman" w:cs="Times New Roman"/>
                <w:sz w:val="24"/>
                <w:szCs w:val="24"/>
                <w:lang w:eastAsia="lv-LV"/>
              </w:rPr>
              <w:t>normas par saistīto personu darījumiem. Likumprojekti Ministru kabinetā un Saeimā skatāmi vienlaicīgi.</w:t>
            </w:r>
          </w:p>
        </w:tc>
      </w:tr>
      <w:tr w:rsidR="002D3735" w:rsidRPr="002D3735" w:rsidTr="008A7878">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Atbildīgā institūcija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1719E7" w:rsidP="001719E7">
            <w:pPr>
              <w:spacing w:after="0" w:line="240" w:lineRule="auto"/>
              <w:rPr>
                <w:rFonts w:ascii="Times New Roman" w:eastAsia="Times New Roman" w:hAnsi="Times New Roman" w:cs="Times New Roman"/>
                <w:sz w:val="24"/>
                <w:szCs w:val="24"/>
                <w:lang w:eastAsia="lv-LV"/>
              </w:rPr>
            </w:pPr>
            <w:r w:rsidRPr="001719E7">
              <w:rPr>
                <w:rFonts w:ascii="Times New Roman" w:eastAsia="Times New Roman" w:hAnsi="Times New Roman" w:cs="Times New Roman"/>
                <w:sz w:val="24"/>
                <w:szCs w:val="24"/>
                <w:lang w:eastAsia="lv-LV"/>
              </w:rPr>
              <w:t>Tieslietu ministrija</w:t>
            </w:r>
            <w:r w:rsidR="004B3910" w:rsidRPr="001719E7">
              <w:rPr>
                <w:rFonts w:ascii="Times New Roman" w:eastAsia="Times New Roman" w:hAnsi="Times New Roman" w:cs="Times New Roman"/>
                <w:sz w:val="24"/>
                <w:szCs w:val="24"/>
                <w:lang w:eastAsia="lv-LV"/>
              </w:rPr>
              <w:t>.</w:t>
            </w:r>
          </w:p>
        </w:tc>
      </w:tr>
      <w:tr w:rsidR="00AD056A" w:rsidRPr="002D3735" w:rsidTr="008A7878">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094AC5" w:rsidP="00094A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2D373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D3735" w:rsidRPr="002D3735" w:rsidTr="00514756">
        <w:tc>
          <w:tcPr>
            <w:tcW w:w="5000" w:type="pct"/>
            <w:tcBorders>
              <w:top w:val="outset" w:sz="6" w:space="0" w:color="414142"/>
              <w:left w:val="outset" w:sz="6" w:space="0" w:color="414142"/>
              <w:bottom w:val="outset" w:sz="6" w:space="0" w:color="414142"/>
              <w:right w:val="outset" w:sz="6" w:space="0" w:color="414142"/>
            </w:tcBorders>
            <w:vAlign w:val="center"/>
            <w:hideMark/>
          </w:tcPr>
          <w:p w:rsidR="00514756" w:rsidRPr="002D3735" w:rsidRDefault="00514756" w:rsidP="00AD056A">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V. Tiesību akta projekta atbilstība Latvijas Republikas starptautiskajām saistībām</w:t>
            </w:r>
          </w:p>
        </w:tc>
      </w:tr>
      <w:tr w:rsidR="00AD056A" w:rsidRPr="002D3735" w:rsidTr="00514756">
        <w:tc>
          <w:tcPr>
            <w:tcW w:w="5000" w:type="pct"/>
            <w:tcBorders>
              <w:top w:val="outset" w:sz="6" w:space="0" w:color="414142"/>
              <w:left w:val="outset" w:sz="6" w:space="0" w:color="414142"/>
              <w:bottom w:val="outset" w:sz="6" w:space="0" w:color="414142"/>
              <w:right w:val="single" w:sz="4" w:space="0" w:color="auto"/>
            </w:tcBorders>
            <w:hideMark/>
          </w:tcPr>
          <w:p w:rsidR="00514756" w:rsidRPr="002D3735" w:rsidRDefault="00514756" w:rsidP="00AD056A">
            <w:pPr>
              <w:spacing w:after="0" w:line="240" w:lineRule="auto"/>
              <w:jc w:val="center"/>
              <w:rPr>
                <w:rFonts w:ascii="Times New Roman" w:eastAsia="Times New Roman" w:hAnsi="Times New Roman" w:cs="Times New Roman"/>
                <w:i/>
                <w:sz w:val="24"/>
                <w:szCs w:val="24"/>
                <w:lang w:eastAsia="lv-LV"/>
              </w:rPr>
            </w:pPr>
            <w:r w:rsidRPr="002D3735">
              <w:rPr>
                <w:rFonts w:ascii="Times New Roman" w:eastAsia="Times New Roman" w:hAnsi="Times New Roman" w:cs="Times New Roman"/>
                <w:i/>
                <w:sz w:val="24"/>
                <w:szCs w:val="24"/>
                <w:lang w:eastAsia="lv-LV"/>
              </w:rPr>
              <w:t>Likumprojekts šo jomu neskar.</w:t>
            </w:r>
          </w:p>
        </w:tc>
      </w:tr>
    </w:tbl>
    <w:p w:rsidR="00514756" w:rsidRPr="002D3735" w:rsidRDefault="00514756"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2D3735"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D37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VI. Sabiedrības līdzdalība un komunikācijas aktivitātes</w:t>
            </w:r>
          </w:p>
        </w:tc>
      </w:tr>
      <w:tr w:rsidR="002D3735" w:rsidRPr="002D3735" w:rsidTr="008A787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AD056A" w:rsidRPr="002D3735" w:rsidRDefault="007202D6" w:rsidP="007202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labas korporatīvās pārvaldības piemērošanu Latvijā, Tieslietu ministrija organizēs apaļā galda diskusijas un konferenci par korporatīvo pārvaldību Latvijā. Diskusiju un konferences darba kārtībā tiks iekļauts arī jautājums par saistīto pušu darījumiem un to jauno regulējumu.</w:t>
            </w:r>
          </w:p>
        </w:tc>
      </w:tr>
      <w:tr w:rsidR="002D3735" w:rsidRPr="002D3735" w:rsidTr="008A787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026D0F">
              <w:rPr>
                <w:rFonts w:ascii="Times New Roman" w:eastAsia="Times New Roman" w:hAnsi="Times New Roman" w:cs="Times New Roman"/>
                <w:sz w:val="24"/>
                <w:szCs w:val="24"/>
                <w:lang w:eastAsia="lv-LV"/>
              </w:rPr>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3B750A" w:rsidRDefault="003B750A" w:rsidP="003B75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 gada 5. aprīlī </w:t>
            </w:r>
            <w:r w:rsidR="00462953">
              <w:rPr>
                <w:rFonts w:ascii="Times New Roman" w:eastAsia="Times New Roman" w:hAnsi="Times New Roman" w:cs="Times New Roman"/>
                <w:sz w:val="24"/>
                <w:szCs w:val="24"/>
                <w:lang w:eastAsia="lv-LV"/>
              </w:rPr>
              <w:t xml:space="preserve">Tieslietu ministrijas mājaslapā sadaļā „Sabiedrības līdzdalība” tika </w:t>
            </w:r>
            <w:r w:rsidR="00686A9F">
              <w:rPr>
                <w:rFonts w:ascii="Times New Roman" w:eastAsia="Times New Roman" w:hAnsi="Times New Roman" w:cs="Times New Roman"/>
                <w:sz w:val="24"/>
                <w:szCs w:val="24"/>
                <w:lang w:eastAsia="lv-LV"/>
              </w:rPr>
              <w:t xml:space="preserve">publicēts paziņojums par līdzdalības procesu </w:t>
            </w:r>
            <w:r w:rsidR="00026D0F">
              <w:rPr>
                <w:rFonts w:ascii="Times New Roman" w:eastAsia="Times New Roman" w:hAnsi="Times New Roman" w:cs="Times New Roman"/>
                <w:sz w:val="24"/>
                <w:szCs w:val="24"/>
                <w:lang w:eastAsia="lv-LV"/>
              </w:rPr>
              <w:t>likumprojekta izstrādē.</w:t>
            </w:r>
            <w:bookmarkStart w:id="3" w:name="_GoBack"/>
            <w:bookmarkEnd w:id="3"/>
            <w:r w:rsidR="00462953">
              <w:rPr>
                <w:rFonts w:ascii="Times New Roman" w:eastAsia="Times New Roman" w:hAnsi="Times New Roman" w:cs="Times New Roman"/>
                <w:sz w:val="24"/>
                <w:szCs w:val="24"/>
                <w:lang w:eastAsia="lv-LV"/>
              </w:rPr>
              <w:t xml:space="preserve"> </w:t>
            </w:r>
          </w:p>
          <w:p w:rsidR="003B750A" w:rsidRDefault="003B750A" w:rsidP="003B750A">
            <w:pPr>
              <w:spacing w:after="0" w:line="240" w:lineRule="auto"/>
              <w:jc w:val="both"/>
              <w:rPr>
                <w:rFonts w:ascii="Times New Roman" w:eastAsia="Times New Roman" w:hAnsi="Times New Roman" w:cs="Times New Roman"/>
                <w:sz w:val="24"/>
                <w:szCs w:val="24"/>
                <w:lang w:eastAsia="lv-LV"/>
              </w:rPr>
            </w:pPr>
          </w:p>
          <w:p w:rsidR="00291D91" w:rsidRPr="002D3735" w:rsidRDefault="009633F4" w:rsidP="00700281">
            <w:pPr>
              <w:spacing w:after="0" w:line="240" w:lineRule="auto"/>
              <w:jc w:val="both"/>
              <w:rPr>
                <w:rFonts w:ascii="Times New Roman" w:eastAsia="Times New Roman" w:hAnsi="Times New Roman" w:cs="Times New Roman"/>
                <w:sz w:val="24"/>
                <w:szCs w:val="24"/>
                <w:lang w:eastAsia="lv-LV"/>
              </w:rPr>
            </w:pPr>
            <w:r w:rsidRPr="009633F4">
              <w:rPr>
                <w:rFonts w:ascii="Times New Roman" w:eastAsia="Times New Roman" w:hAnsi="Times New Roman" w:cs="Times New Roman"/>
                <w:sz w:val="24"/>
                <w:szCs w:val="24"/>
                <w:lang w:eastAsia="lv-LV"/>
              </w:rPr>
              <w:t xml:space="preserve">Likumprojekts tika izskatīts un saskaņots Pastāvīgajā darba grupā Komerclikuma grozījumu izstrādei. Minētās darba grupas sastāvā ir komerctiesību eksperti un praktiķi, Latvijas Universitātes mācībspēki, kā arī pārstāvji no sociālajiem partneriem. </w:t>
            </w:r>
          </w:p>
        </w:tc>
      </w:tr>
      <w:tr w:rsidR="002D3735" w:rsidRPr="002D3735" w:rsidTr="008A787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291D91" w:rsidP="00026D0F">
            <w:pPr>
              <w:spacing w:after="0" w:line="240" w:lineRule="auto"/>
              <w:jc w:val="both"/>
              <w:rPr>
                <w:rFonts w:ascii="Times New Roman" w:eastAsia="Times New Roman" w:hAnsi="Times New Roman" w:cs="Times New Roman"/>
                <w:sz w:val="24"/>
                <w:szCs w:val="24"/>
                <w:lang w:eastAsia="lv-LV"/>
              </w:rPr>
            </w:pPr>
            <w:r w:rsidRPr="00026D0F">
              <w:rPr>
                <w:rFonts w:ascii="Times New Roman" w:eastAsia="Times New Roman" w:hAnsi="Times New Roman" w:cs="Times New Roman"/>
                <w:sz w:val="24"/>
                <w:szCs w:val="24"/>
                <w:lang w:eastAsia="lv-LV"/>
              </w:rPr>
              <w:t>Līdz 201</w:t>
            </w:r>
            <w:r w:rsidR="00026D0F" w:rsidRPr="00026D0F">
              <w:rPr>
                <w:rFonts w:ascii="Times New Roman" w:eastAsia="Times New Roman" w:hAnsi="Times New Roman" w:cs="Times New Roman"/>
                <w:sz w:val="24"/>
                <w:szCs w:val="24"/>
                <w:lang w:eastAsia="lv-LV"/>
              </w:rPr>
              <w:t>6</w:t>
            </w:r>
            <w:r w:rsidRPr="00026D0F">
              <w:rPr>
                <w:rFonts w:ascii="Times New Roman" w:eastAsia="Times New Roman" w:hAnsi="Times New Roman" w:cs="Times New Roman"/>
                <w:sz w:val="24"/>
                <w:szCs w:val="24"/>
                <w:lang w:eastAsia="lv-LV"/>
              </w:rPr>
              <w:t xml:space="preserve">. gada </w:t>
            </w:r>
            <w:r w:rsidR="00026D0F" w:rsidRPr="00026D0F">
              <w:rPr>
                <w:rFonts w:ascii="Times New Roman" w:eastAsia="Times New Roman" w:hAnsi="Times New Roman" w:cs="Times New Roman"/>
                <w:sz w:val="24"/>
                <w:szCs w:val="24"/>
                <w:lang w:eastAsia="lv-LV"/>
              </w:rPr>
              <w:t>20</w:t>
            </w:r>
            <w:r w:rsidRPr="00026D0F">
              <w:rPr>
                <w:rFonts w:ascii="Times New Roman" w:eastAsia="Times New Roman" w:hAnsi="Times New Roman" w:cs="Times New Roman"/>
                <w:sz w:val="24"/>
                <w:szCs w:val="24"/>
                <w:lang w:eastAsia="lv-LV"/>
              </w:rPr>
              <w:t>. </w:t>
            </w:r>
            <w:r w:rsidR="00026D0F" w:rsidRPr="00026D0F">
              <w:rPr>
                <w:rFonts w:ascii="Times New Roman" w:eastAsia="Times New Roman" w:hAnsi="Times New Roman" w:cs="Times New Roman"/>
                <w:sz w:val="24"/>
                <w:szCs w:val="24"/>
                <w:lang w:eastAsia="lv-LV"/>
              </w:rPr>
              <w:t>aprīlim</w:t>
            </w:r>
            <w:r w:rsidR="00AD056A" w:rsidRPr="00026D0F">
              <w:rPr>
                <w:rFonts w:ascii="Times New Roman" w:eastAsia="Times New Roman" w:hAnsi="Times New Roman" w:cs="Times New Roman"/>
                <w:sz w:val="24"/>
                <w:szCs w:val="24"/>
                <w:lang w:eastAsia="lv-LV"/>
              </w:rPr>
              <w:t xml:space="preserve"> nav saņemts neviens iebildums vai priekšlikums par likumprojekt</w:t>
            </w:r>
            <w:r w:rsidR="00026D0F" w:rsidRPr="00026D0F">
              <w:rPr>
                <w:rFonts w:ascii="Times New Roman" w:eastAsia="Times New Roman" w:hAnsi="Times New Roman" w:cs="Times New Roman"/>
                <w:sz w:val="24"/>
                <w:szCs w:val="24"/>
                <w:lang w:eastAsia="lv-LV"/>
              </w:rPr>
              <w:t>u</w:t>
            </w:r>
            <w:r w:rsidR="00AD056A" w:rsidRPr="00026D0F">
              <w:rPr>
                <w:rFonts w:ascii="Times New Roman" w:eastAsia="Times New Roman" w:hAnsi="Times New Roman" w:cs="Times New Roman"/>
                <w:sz w:val="24"/>
                <w:szCs w:val="24"/>
                <w:lang w:eastAsia="lv-LV"/>
              </w:rPr>
              <w:t>.</w:t>
            </w:r>
          </w:p>
        </w:tc>
      </w:tr>
      <w:tr w:rsidR="004D15A9" w:rsidRPr="002D3735" w:rsidTr="008A787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D3735" w:rsidRDefault="00AD056A" w:rsidP="00094AC5">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Nav.</w:t>
            </w:r>
          </w:p>
        </w:tc>
      </w:tr>
    </w:tbl>
    <w:p w:rsidR="004D15A9" w:rsidRPr="002D373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2D3735" w:rsidRPr="002D373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D37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D3735">
              <w:rPr>
                <w:rFonts w:ascii="Times New Roman" w:eastAsia="Times New Roman" w:hAnsi="Times New Roman" w:cs="Times New Roman"/>
                <w:b/>
                <w:bCs/>
                <w:sz w:val="24"/>
                <w:szCs w:val="24"/>
                <w:lang w:eastAsia="lv-LV"/>
              </w:rPr>
              <w:t>VII. Tiesību akta projekta izpildes nodrošināšana un tās ietekme uz institūcijām</w:t>
            </w:r>
          </w:p>
        </w:tc>
      </w:tr>
      <w:tr w:rsidR="002D3735" w:rsidRPr="002D3735" w:rsidTr="00531B4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2D3735" w:rsidRDefault="00BC63CE" w:rsidP="00BC63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un kapitāla tirgus komisija.</w:t>
            </w:r>
          </w:p>
        </w:tc>
      </w:tr>
      <w:tr w:rsidR="002D3735" w:rsidRPr="002D3735" w:rsidTr="00531B4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2D3735" w:rsidRDefault="004D15A9" w:rsidP="00BC63CE">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2D3735" w:rsidRDefault="00BC63CE" w:rsidP="00094AC5">
            <w:pPr>
              <w:spacing w:after="0" w:line="240" w:lineRule="auto"/>
              <w:jc w:val="both"/>
              <w:rPr>
                <w:rFonts w:ascii="Times New Roman" w:eastAsia="Times New Roman" w:hAnsi="Times New Roman" w:cs="Times New Roman"/>
                <w:sz w:val="24"/>
                <w:szCs w:val="24"/>
                <w:lang w:eastAsia="lv-LV"/>
              </w:rPr>
            </w:pPr>
            <w:r w:rsidRPr="00BC63CE">
              <w:rPr>
                <w:rFonts w:ascii="Times New Roman" w:eastAsia="Times New Roman" w:hAnsi="Times New Roman" w:cs="Times New Roman"/>
                <w:sz w:val="24"/>
                <w:szCs w:val="24"/>
                <w:lang w:eastAsia="lv-LV"/>
              </w:rPr>
              <w:t>Likumprojekta izpildei nav nepieciešams reorganizēt esošās institūcijas, veidot jaunas institūcijas vai likvidēt esošās institūcijas.</w:t>
            </w:r>
          </w:p>
        </w:tc>
      </w:tr>
      <w:tr w:rsidR="004D15A9" w:rsidRPr="002D3735" w:rsidTr="00531B4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2D3735" w:rsidRDefault="004D15A9" w:rsidP="00DA596D">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2D3735" w:rsidRDefault="00AD056A" w:rsidP="00094AC5">
            <w:pPr>
              <w:spacing w:after="0" w:line="240" w:lineRule="auto"/>
              <w:rPr>
                <w:rFonts w:ascii="Times New Roman" w:eastAsia="Times New Roman" w:hAnsi="Times New Roman" w:cs="Times New Roman"/>
                <w:sz w:val="24"/>
                <w:szCs w:val="24"/>
                <w:lang w:eastAsia="lv-LV"/>
              </w:rPr>
            </w:pPr>
            <w:r w:rsidRPr="002D3735">
              <w:rPr>
                <w:rFonts w:ascii="Times New Roman" w:eastAsia="Times New Roman" w:hAnsi="Times New Roman" w:cs="Times New Roman"/>
                <w:sz w:val="24"/>
                <w:szCs w:val="24"/>
                <w:lang w:eastAsia="lv-LV"/>
              </w:rPr>
              <w:t>Nav.</w:t>
            </w:r>
          </w:p>
        </w:tc>
      </w:tr>
    </w:tbl>
    <w:p w:rsidR="004D15A9" w:rsidRPr="002D3735" w:rsidRDefault="004D15A9" w:rsidP="00DA596D">
      <w:pPr>
        <w:spacing w:after="0" w:line="240" w:lineRule="auto"/>
        <w:rPr>
          <w:rFonts w:ascii="Times New Roman" w:hAnsi="Times New Roman" w:cs="Times New Roman"/>
          <w:sz w:val="24"/>
          <w:szCs w:val="24"/>
        </w:rPr>
      </w:pPr>
    </w:p>
    <w:p w:rsidR="004D15A9" w:rsidRPr="002D3735" w:rsidRDefault="004D15A9" w:rsidP="00DA596D">
      <w:pPr>
        <w:pStyle w:val="StyleRight"/>
        <w:spacing w:after="0"/>
        <w:ind w:firstLine="0"/>
        <w:jc w:val="both"/>
        <w:rPr>
          <w:sz w:val="24"/>
          <w:szCs w:val="24"/>
        </w:rPr>
      </w:pPr>
      <w:r w:rsidRPr="002D3735">
        <w:rPr>
          <w:sz w:val="24"/>
          <w:szCs w:val="24"/>
        </w:rPr>
        <w:t>Iesniedzējs:</w:t>
      </w:r>
    </w:p>
    <w:p w:rsidR="00096634" w:rsidRPr="00096634" w:rsidRDefault="00C61835" w:rsidP="00096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96634" w:rsidRPr="00096634">
        <w:rPr>
          <w:rFonts w:ascii="Times New Roman" w:hAnsi="Times New Roman" w:cs="Times New Roman"/>
          <w:sz w:val="24"/>
          <w:szCs w:val="24"/>
        </w:rPr>
        <w:t>ieslietu ministrs</w:t>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r>
      <w:r w:rsidR="00096634" w:rsidRPr="00096634">
        <w:rPr>
          <w:rFonts w:ascii="Times New Roman" w:hAnsi="Times New Roman" w:cs="Times New Roman"/>
          <w:sz w:val="24"/>
          <w:szCs w:val="24"/>
        </w:rPr>
        <w:tab/>
        <w:t>Dzintars Rasnačs</w:t>
      </w:r>
    </w:p>
    <w:p w:rsidR="004D15A9" w:rsidRPr="002D3735" w:rsidRDefault="004D15A9" w:rsidP="00DA596D">
      <w:pPr>
        <w:pStyle w:val="StyleRight"/>
        <w:spacing w:after="0"/>
        <w:ind w:firstLine="0"/>
        <w:jc w:val="both"/>
        <w:rPr>
          <w:sz w:val="24"/>
          <w:szCs w:val="24"/>
        </w:rPr>
      </w:pPr>
    </w:p>
    <w:p w:rsidR="003A2A0B" w:rsidRPr="009A30B3" w:rsidRDefault="003A2A0B" w:rsidP="00DA596D">
      <w:pPr>
        <w:pStyle w:val="StyleRight"/>
        <w:spacing w:after="0"/>
        <w:ind w:firstLine="0"/>
        <w:jc w:val="both"/>
        <w:rPr>
          <w:sz w:val="24"/>
          <w:szCs w:val="24"/>
        </w:rPr>
      </w:pPr>
    </w:p>
    <w:p w:rsidR="004D15A9" w:rsidRPr="009A30B3" w:rsidRDefault="0009663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22.08</w:t>
      </w:r>
      <w:r w:rsidR="00173E38" w:rsidRPr="009A30B3">
        <w:rPr>
          <w:rFonts w:ascii="Times New Roman" w:hAnsi="Times New Roman" w:cs="Times New Roman"/>
          <w:sz w:val="20"/>
          <w:szCs w:val="20"/>
        </w:rPr>
        <w:t xml:space="preserve">.2016. </w:t>
      </w:r>
      <w:r>
        <w:rPr>
          <w:rFonts w:ascii="Times New Roman" w:hAnsi="Times New Roman" w:cs="Times New Roman"/>
          <w:sz w:val="20"/>
          <w:szCs w:val="20"/>
        </w:rPr>
        <w:t>10</w:t>
      </w:r>
      <w:r w:rsidR="00774247">
        <w:rPr>
          <w:rFonts w:ascii="Times New Roman" w:hAnsi="Times New Roman" w:cs="Times New Roman"/>
          <w:sz w:val="20"/>
          <w:szCs w:val="20"/>
        </w:rPr>
        <w:t>:</w:t>
      </w:r>
      <w:r>
        <w:rPr>
          <w:rFonts w:ascii="Times New Roman" w:hAnsi="Times New Roman" w:cs="Times New Roman"/>
          <w:sz w:val="20"/>
          <w:szCs w:val="20"/>
        </w:rPr>
        <w:t>15</w:t>
      </w:r>
    </w:p>
    <w:p w:rsidR="00EC6BD3" w:rsidRDefault="00BE503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096634">
        <w:rPr>
          <w:rFonts w:ascii="Times New Roman" w:hAnsi="Times New Roman" w:cs="Times New Roman"/>
          <w:sz w:val="20"/>
          <w:szCs w:val="20"/>
        </w:rPr>
        <w:t>69</w:t>
      </w:r>
    </w:p>
    <w:p w:rsidR="007C1202" w:rsidRDefault="007C120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B.Lielkalne</w:t>
      </w:r>
    </w:p>
    <w:p w:rsidR="004D15A9" w:rsidRPr="002D3735" w:rsidRDefault="007C1202"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67036949, Baiba.Lielkalne@tm.gov.lv</w:t>
      </w:r>
    </w:p>
    <w:sectPr w:rsidR="004D15A9" w:rsidRPr="002D3735" w:rsidSect="008A7878">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66" w:rsidRDefault="001E1C66" w:rsidP="004D15A9">
      <w:pPr>
        <w:spacing w:after="0" w:line="240" w:lineRule="auto"/>
      </w:pPr>
      <w:r>
        <w:separator/>
      </w:r>
    </w:p>
  </w:endnote>
  <w:endnote w:type="continuationSeparator" w:id="0">
    <w:p w:rsidR="001E1C66" w:rsidRDefault="001E1C6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A" w:rsidRPr="00D827B5" w:rsidRDefault="00D827B5" w:rsidP="00D827B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74247">
      <w:rPr>
        <w:rFonts w:ascii="Times New Roman" w:hAnsi="Times New Roman" w:cs="Times New Roman"/>
        <w:color w:val="000000" w:themeColor="text1"/>
        <w:sz w:val="20"/>
        <w:szCs w:val="20"/>
      </w:rPr>
      <w:t>2</w:t>
    </w:r>
    <w:r w:rsidR="00096634">
      <w:rPr>
        <w:rFonts w:ascii="Times New Roman" w:hAnsi="Times New Roman" w:cs="Times New Roman"/>
        <w:color w:val="000000" w:themeColor="text1"/>
        <w:sz w:val="20"/>
        <w:szCs w:val="20"/>
      </w:rPr>
      <w:t>208</w:t>
    </w:r>
    <w:r w:rsidR="00E025EC">
      <w:rPr>
        <w:rFonts w:ascii="Times New Roman" w:hAnsi="Times New Roman" w:cs="Times New Roman"/>
        <w:color w:val="000000" w:themeColor="text1"/>
        <w:sz w:val="20"/>
        <w:szCs w:val="20"/>
      </w:rPr>
      <w:t>16</w:t>
    </w:r>
    <w:r w:rsidR="00A23203">
      <w:rPr>
        <w:rFonts w:ascii="Times New Roman" w:hAnsi="Times New Roman" w:cs="Times New Roman"/>
        <w:color w:val="000000" w:themeColor="text1"/>
        <w:sz w:val="20"/>
        <w:szCs w:val="20"/>
      </w:rPr>
      <w:t>_</w:t>
    </w:r>
    <w:r w:rsidR="00094AC5">
      <w:rPr>
        <w:rFonts w:ascii="Times New Roman" w:hAnsi="Times New Roman" w:cs="Times New Roman"/>
        <w:color w:val="000000" w:themeColor="text1"/>
        <w:sz w:val="20"/>
        <w:szCs w:val="20"/>
      </w:rPr>
      <w:t>FITLgroz</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E14BB4">
      <w:rPr>
        <w:rFonts w:ascii="Times New Roman" w:hAnsi="Times New Roman" w:cs="Times New Roman"/>
        <w:color w:val="000000" w:themeColor="text1"/>
        <w:sz w:val="20"/>
        <w:szCs w:val="20"/>
      </w:rPr>
      <w:t xml:space="preserve">Grozījumi </w:t>
    </w:r>
    <w:r w:rsidR="00094AC5">
      <w:rPr>
        <w:rFonts w:ascii="Times New Roman" w:hAnsi="Times New Roman" w:cs="Times New Roman"/>
        <w:color w:val="000000" w:themeColor="text1"/>
        <w:sz w:val="20"/>
        <w:szCs w:val="20"/>
      </w:rPr>
      <w:t xml:space="preserve">Finanšu instrumentu tirgus </w:t>
    </w:r>
    <w:r w:rsidRPr="00E14BB4">
      <w:rPr>
        <w:rFonts w:ascii="Times New Roman" w:hAnsi="Times New Roman" w:cs="Times New Roman"/>
        <w:color w:val="000000" w:themeColor="text1"/>
        <w:sz w:val="20"/>
        <w:szCs w:val="20"/>
      </w:rPr>
      <w:t>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C5" w:rsidRPr="00D827B5" w:rsidRDefault="00094AC5" w:rsidP="00094AC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74247">
      <w:rPr>
        <w:rFonts w:ascii="Times New Roman" w:hAnsi="Times New Roman" w:cs="Times New Roman"/>
        <w:color w:val="000000" w:themeColor="text1"/>
        <w:sz w:val="20"/>
        <w:szCs w:val="20"/>
      </w:rPr>
      <w:t>2</w:t>
    </w:r>
    <w:r w:rsidR="00096634">
      <w:rPr>
        <w:rFonts w:ascii="Times New Roman" w:hAnsi="Times New Roman" w:cs="Times New Roman"/>
        <w:color w:val="000000" w:themeColor="text1"/>
        <w:sz w:val="20"/>
        <w:szCs w:val="20"/>
      </w:rPr>
      <w:t>208</w:t>
    </w:r>
    <w:r>
      <w:rPr>
        <w:rFonts w:ascii="Times New Roman" w:hAnsi="Times New Roman" w:cs="Times New Roman"/>
        <w:color w:val="000000" w:themeColor="text1"/>
        <w:sz w:val="20"/>
        <w:szCs w:val="20"/>
      </w:rPr>
      <w:t>16_FITLgroz</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E14BB4">
      <w:rPr>
        <w:rFonts w:ascii="Times New Roman" w:hAnsi="Times New Roman" w:cs="Times New Roman"/>
        <w:color w:val="000000" w:themeColor="text1"/>
        <w:sz w:val="20"/>
        <w:szCs w:val="20"/>
      </w:rPr>
      <w:t xml:space="preserve">Grozījumi </w:t>
    </w:r>
    <w:r>
      <w:rPr>
        <w:rFonts w:ascii="Times New Roman" w:hAnsi="Times New Roman" w:cs="Times New Roman"/>
        <w:color w:val="000000" w:themeColor="text1"/>
        <w:sz w:val="20"/>
        <w:szCs w:val="20"/>
      </w:rPr>
      <w:t xml:space="preserve">Finanšu instrumentu tirgus </w:t>
    </w:r>
    <w:r w:rsidRPr="00E14BB4">
      <w:rPr>
        <w:rFonts w:ascii="Times New Roman" w:hAnsi="Times New Roman" w:cs="Times New Roman"/>
        <w:color w:val="000000" w:themeColor="text1"/>
        <w:sz w:val="20"/>
        <w:szCs w:val="20"/>
      </w:rPr>
      <w:t>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p w:rsidR="00AD056A" w:rsidRPr="00094AC5" w:rsidRDefault="00AD056A" w:rsidP="00094AC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66" w:rsidRDefault="001E1C66" w:rsidP="004D15A9">
      <w:pPr>
        <w:spacing w:after="0" w:line="240" w:lineRule="auto"/>
      </w:pPr>
      <w:r>
        <w:separator/>
      </w:r>
    </w:p>
  </w:footnote>
  <w:footnote w:type="continuationSeparator" w:id="0">
    <w:p w:rsidR="001E1C66" w:rsidRDefault="001E1C6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D056A" w:rsidRPr="004D15A9" w:rsidRDefault="00AD056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87FE5">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AD056A" w:rsidRDefault="00AD05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4A249D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CF3"/>
    <w:rsid w:val="00026612"/>
    <w:rsid w:val="00026D0F"/>
    <w:rsid w:val="00031256"/>
    <w:rsid w:val="000366BF"/>
    <w:rsid w:val="000557DC"/>
    <w:rsid w:val="00063E75"/>
    <w:rsid w:val="00094AC5"/>
    <w:rsid w:val="00096634"/>
    <w:rsid w:val="000D59EC"/>
    <w:rsid w:val="00101CD5"/>
    <w:rsid w:val="00115062"/>
    <w:rsid w:val="00125EEC"/>
    <w:rsid w:val="00131386"/>
    <w:rsid w:val="00131B21"/>
    <w:rsid w:val="001417D9"/>
    <w:rsid w:val="001677EC"/>
    <w:rsid w:val="001719E7"/>
    <w:rsid w:val="00173E38"/>
    <w:rsid w:val="00177208"/>
    <w:rsid w:val="001A7DBF"/>
    <w:rsid w:val="001C1EA4"/>
    <w:rsid w:val="001C4D56"/>
    <w:rsid w:val="001E1C66"/>
    <w:rsid w:val="001E74E7"/>
    <w:rsid w:val="001F5185"/>
    <w:rsid w:val="00220537"/>
    <w:rsid w:val="00257000"/>
    <w:rsid w:val="002626E0"/>
    <w:rsid w:val="00274265"/>
    <w:rsid w:val="00290277"/>
    <w:rsid w:val="00291D91"/>
    <w:rsid w:val="00297CB9"/>
    <w:rsid w:val="002D1582"/>
    <w:rsid w:val="002D3735"/>
    <w:rsid w:val="00350308"/>
    <w:rsid w:val="00370DF7"/>
    <w:rsid w:val="003922B0"/>
    <w:rsid w:val="00393CCF"/>
    <w:rsid w:val="003A0A49"/>
    <w:rsid w:val="003A2A0B"/>
    <w:rsid w:val="003A532A"/>
    <w:rsid w:val="003B750A"/>
    <w:rsid w:val="003B7D86"/>
    <w:rsid w:val="003D0000"/>
    <w:rsid w:val="003E600A"/>
    <w:rsid w:val="00444146"/>
    <w:rsid w:val="00462953"/>
    <w:rsid w:val="00465320"/>
    <w:rsid w:val="004674F5"/>
    <w:rsid w:val="0047733D"/>
    <w:rsid w:val="004B3910"/>
    <w:rsid w:val="004C65D8"/>
    <w:rsid w:val="004D15A9"/>
    <w:rsid w:val="004D6C41"/>
    <w:rsid w:val="004E0F2C"/>
    <w:rsid w:val="004E6852"/>
    <w:rsid w:val="004F512C"/>
    <w:rsid w:val="00510C78"/>
    <w:rsid w:val="00514756"/>
    <w:rsid w:val="00531B47"/>
    <w:rsid w:val="005323D3"/>
    <w:rsid w:val="005336DD"/>
    <w:rsid w:val="00550372"/>
    <w:rsid w:val="005567CF"/>
    <w:rsid w:val="00572CD5"/>
    <w:rsid w:val="005871AA"/>
    <w:rsid w:val="005C516F"/>
    <w:rsid w:val="005D4E8A"/>
    <w:rsid w:val="00610688"/>
    <w:rsid w:val="00621FA3"/>
    <w:rsid w:val="00622B01"/>
    <w:rsid w:val="00623047"/>
    <w:rsid w:val="0063747A"/>
    <w:rsid w:val="00665C1C"/>
    <w:rsid w:val="00673DE8"/>
    <w:rsid w:val="00686A9F"/>
    <w:rsid w:val="006A1492"/>
    <w:rsid w:val="006A69E1"/>
    <w:rsid w:val="006B7952"/>
    <w:rsid w:val="006D693D"/>
    <w:rsid w:val="006F4BAF"/>
    <w:rsid w:val="006F66F1"/>
    <w:rsid w:val="00700281"/>
    <w:rsid w:val="00701A61"/>
    <w:rsid w:val="00710D14"/>
    <w:rsid w:val="00714E44"/>
    <w:rsid w:val="007202D6"/>
    <w:rsid w:val="00726C82"/>
    <w:rsid w:val="00744ED4"/>
    <w:rsid w:val="00746085"/>
    <w:rsid w:val="0075159F"/>
    <w:rsid w:val="00774247"/>
    <w:rsid w:val="0078008F"/>
    <w:rsid w:val="00787FE5"/>
    <w:rsid w:val="0079287F"/>
    <w:rsid w:val="007A0CAE"/>
    <w:rsid w:val="007A1B2B"/>
    <w:rsid w:val="007C1202"/>
    <w:rsid w:val="007E2718"/>
    <w:rsid w:val="007F0F52"/>
    <w:rsid w:val="0081203F"/>
    <w:rsid w:val="008164A7"/>
    <w:rsid w:val="00836A10"/>
    <w:rsid w:val="0085000A"/>
    <w:rsid w:val="0085617E"/>
    <w:rsid w:val="00876577"/>
    <w:rsid w:val="008765F2"/>
    <w:rsid w:val="00891097"/>
    <w:rsid w:val="0089677E"/>
    <w:rsid w:val="008A7878"/>
    <w:rsid w:val="008B60A5"/>
    <w:rsid w:val="008D1F97"/>
    <w:rsid w:val="008F246C"/>
    <w:rsid w:val="009138EA"/>
    <w:rsid w:val="00915C4B"/>
    <w:rsid w:val="00935538"/>
    <w:rsid w:val="00951CA5"/>
    <w:rsid w:val="00952AD5"/>
    <w:rsid w:val="009633F4"/>
    <w:rsid w:val="00991040"/>
    <w:rsid w:val="009A30B3"/>
    <w:rsid w:val="009C6804"/>
    <w:rsid w:val="009F2B0B"/>
    <w:rsid w:val="009F2EF2"/>
    <w:rsid w:val="00A23203"/>
    <w:rsid w:val="00A308FB"/>
    <w:rsid w:val="00A46605"/>
    <w:rsid w:val="00A52A47"/>
    <w:rsid w:val="00A64D24"/>
    <w:rsid w:val="00A738F2"/>
    <w:rsid w:val="00A77CD6"/>
    <w:rsid w:val="00AD056A"/>
    <w:rsid w:val="00AD39D7"/>
    <w:rsid w:val="00AE06DA"/>
    <w:rsid w:val="00B04BFA"/>
    <w:rsid w:val="00B25832"/>
    <w:rsid w:val="00B46D90"/>
    <w:rsid w:val="00B46F72"/>
    <w:rsid w:val="00B4712F"/>
    <w:rsid w:val="00B857C0"/>
    <w:rsid w:val="00BA5517"/>
    <w:rsid w:val="00BB1F46"/>
    <w:rsid w:val="00BB452D"/>
    <w:rsid w:val="00BC2728"/>
    <w:rsid w:val="00BC55BD"/>
    <w:rsid w:val="00BC63CE"/>
    <w:rsid w:val="00BE5032"/>
    <w:rsid w:val="00BF4BBB"/>
    <w:rsid w:val="00BF5F7E"/>
    <w:rsid w:val="00C0202C"/>
    <w:rsid w:val="00C05CCC"/>
    <w:rsid w:val="00C14120"/>
    <w:rsid w:val="00C31233"/>
    <w:rsid w:val="00C3192D"/>
    <w:rsid w:val="00C54748"/>
    <w:rsid w:val="00C61835"/>
    <w:rsid w:val="00C7338B"/>
    <w:rsid w:val="00CD2C06"/>
    <w:rsid w:val="00CD3372"/>
    <w:rsid w:val="00CF0F25"/>
    <w:rsid w:val="00CF2EE1"/>
    <w:rsid w:val="00D0621A"/>
    <w:rsid w:val="00D313D5"/>
    <w:rsid w:val="00D5214D"/>
    <w:rsid w:val="00D5787B"/>
    <w:rsid w:val="00D827B5"/>
    <w:rsid w:val="00D86219"/>
    <w:rsid w:val="00D8669D"/>
    <w:rsid w:val="00D94959"/>
    <w:rsid w:val="00D97587"/>
    <w:rsid w:val="00DA47DE"/>
    <w:rsid w:val="00DA596D"/>
    <w:rsid w:val="00DA5C6D"/>
    <w:rsid w:val="00DE3EDC"/>
    <w:rsid w:val="00E025EC"/>
    <w:rsid w:val="00E14BB4"/>
    <w:rsid w:val="00E1750D"/>
    <w:rsid w:val="00E337D1"/>
    <w:rsid w:val="00E50989"/>
    <w:rsid w:val="00E5464A"/>
    <w:rsid w:val="00E75DBD"/>
    <w:rsid w:val="00E90E8D"/>
    <w:rsid w:val="00EA5FB5"/>
    <w:rsid w:val="00EB15C5"/>
    <w:rsid w:val="00EC6BD3"/>
    <w:rsid w:val="00ED21BD"/>
    <w:rsid w:val="00EF0572"/>
    <w:rsid w:val="00EF35EC"/>
    <w:rsid w:val="00F10BCA"/>
    <w:rsid w:val="00F16C4C"/>
    <w:rsid w:val="00F23AC0"/>
    <w:rsid w:val="00F65022"/>
    <w:rsid w:val="00F70202"/>
    <w:rsid w:val="00F82358"/>
    <w:rsid w:val="00FA3163"/>
    <w:rsid w:val="00FB7684"/>
    <w:rsid w:val="00FC236D"/>
    <w:rsid w:val="00FC67B2"/>
    <w:rsid w:val="00FD4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6F4BAF"/>
    <w:pPr>
      <w:ind w:left="720"/>
      <w:contextualSpacing/>
    </w:pPr>
  </w:style>
  <w:style w:type="character" w:styleId="Komentraatsauce">
    <w:name w:val="annotation reference"/>
    <w:basedOn w:val="Noklusjumarindkopasfonts"/>
    <w:uiPriority w:val="99"/>
    <w:semiHidden/>
    <w:unhideWhenUsed/>
    <w:rsid w:val="00E337D1"/>
    <w:rPr>
      <w:sz w:val="16"/>
      <w:szCs w:val="16"/>
    </w:rPr>
  </w:style>
  <w:style w:type="paragraph" w:styleId="Komentrateksts">
    <w:name w:val="annotation text"/>
    <w:basedOn w:val="Parasts"/>
    <w:link w:val="KomentratekstsRakstz"/>
    <w:uiPriority w:val="99"/>
    <w:semiHidden/>
    <w:unhideWhenUsed/>
    <w:rsid w:val="00E337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7D1"/>
    <w:rPr>
      <w:sz w:val="20"/>
      <w:szCs w:val="20"/>
    </w:rPr>
  </w:style>
  <w:style w:type="paragraph" w:styleId="Komentratma">
    <w:name w:val="annotation subject"/>
    <w:basedOn w:val="Komentrateksts"/>
    <w:next w:val="Komentrateksts"/>
    <w:link w:val="KomentratmaRakstz"/>
    <w:uiPriority w:val="99"/>
    <w:semiHidden/>
    <w:unhideWhenUsed/>
    <w:rsid w:val="00E337D1"/>
    <w:rPr>
      <w:b/>
      <w:bCs/>
    </w:rPr>
  </w:style>
  <w:style w:type="character" w:customStyle="1" w:styleId="KomentratmaRakstz">
    <w:name w:val="Komentāra tēma Rakstz."/>
    <w:basedOn w:val="KomentratekstsRakstz"/>
    <w:link w:val="Komentratma"/>
    <w:uiPriority w:val="99"/>
    <w:semiHidden/>
    <w:rsid w:val="00E337D1"/>
    <w:rPr>
      <w:b/>
      <w:bCs/>
      <w:sz w:val="20"/>
      <w:szCs w:val="20"/>
    </w:rPr>
  </w:style>
  <w:style w:type="character" w:styleId="Hipersaite">
    <w:name w:val="Hyperlink"/>
    <w:basedOn w:val="Noklusjumarindkopasfonts"/>
    <w:uiPriority w:val="99"/>
    <w:unhideWhenUsed/>
    <w:rsid w:val="007C1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6F4BAF"/>
    <w:pPr>
      <w:ind w:left="720"/>
      <w:contextualSpacing/>
    </w:pPr>
  </w:style>
  <w:style w:type="character" w:styleId="Komentraatsauce">
    <w:name w:val="annotation reference"/>
    <w:basedOn w:val="Noklusjumarindkopasfonts"/>
    <w:uiPriority w:val="99"/>
    <w:semiHidden/>
    <w:unhideWhenUsed/>
    <w:rsid w:val="00E337D1"/>
    <w:rPr>
      <w:sz w:val="16"/>
      <w:szCs w:val="16"/>
    </w:rPr>
  </w:style>
  <w:style w:type="paragraph" w:styleId="Komentrateksts">
    <w:name w:val="annotation text"/>
    <w:basedOn w:val="Parasts"/>
    <w:link w:val="KomentratekstsRakstz"/>
    <w:uiPriority w:val="99"/>
    <w:semiHidden/>
    <w:unhideWhenUsed/>
    <w:rsid w:val="00E337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7D1"/>
    <w:rPr>
      <w:sz w:val="20"/>
      <w:szCs w:val="20"/>
    </w:rPr>
  </w:style>
  <w:style w:type="paragraph" w:styleId="Komentratma">
    <w:name w:val="annotation subject"/>
    <w:basedOn w:val="Komentrateksts"/>
    <w:next w:val="Komentrateksts"/>
    <w:link w:val="KomentratmaRakstz"/>
    <w:uiPriority w:val="99"/>
    <w:semiHidden/>
    <w:unhideWhenUsed/>
    <w:rsid w:val="00E337D1"/>
    <w:rPr>
      <w:b/>
      <w:bCs/>
    </w:rPr>
  </w:style>
  <w:style w:type="character" w:customStyle="1" w:styleId="KomentratmaRakstz">
    <w:name w:val="Komentāra tēma Rakstz."/>
    <w:basedOn w:val="KomentratekstsRakstz"/>
    <w:link w:val="Komentratma"/>
    <w:uiPriority w:val="99"/>
    <w:semiHidden/>
    <w:rsid w:val="00E337D1"/>
    <w:rPr>
      <w:b/>
      <w:bCs/>
      <w:sz w:val="20"/>
      <w:szCs w:val="20"/>
    </w:rPr>
  </w:style>
  <w:style w:type="character" w:styleId="Hipersaite">
    <w:name w:val="Hyperlink"/>
    <w:basedOn w:val="Noklusjumarindkopasfonts"/>
    <w:uiPriority w:val="99"/>
    <w:unhideWhenUsed/>
    <w:rsid w:val="007C1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98148936">
      <w:bodyDiv w:val="1"/>
      <w:marLeft w:val="0"/>
      <w:marRight w:val="0"/>
      <w:marTop w:val="0"/>
      <w:marBottom w:val="0"/>
      <w:divBdr>
        <w:top w:val="none" w:sz="0" w:space="0" w:color="auto"/>
        <w:left w:val="none" w:sz="0" w:space="0" w:color="auto"/>
        <w:bottom w:val="none" w:sz="0" w:space="0" w:color="auto"/>
        <w:right w:val="none" w:sz="0" w:space="0" w:color="auto"/>
      </w:divBdr>
    </w:div>
    <w:div w:id="9880939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77F0-7242-43F1-8279-2F2C27FA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7123</Words>
  <Characters>4061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Likumprojekta „Grozījumi Finanšu instrumentu tirgus likumā” sākotnējās ietekmes novērtējuma ziņojums (anotācija)</vt:lpstr>
    </vt:vector>
  </TitlesOfParts>
  <Company>Tieslietu Sektors</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B.Lielkalne</dc:creator>
  <dc:description>67036949, Baiba.Lielkalne@tm.gov.lv</dc:description>
  <cp:lastModifiedBy>Baiba Lielkalne</cp:lastModifiedBy>
  <cp:revision>5</cp:revision>
  <cp:lastPrinted>2016-04-21T13:13:00Z</cp:lastPrinted>
  <dcterms:created xsi:type="dcterms:W3CDTF">2016-08-22T07:12:00Z</dcterms:created>
  <dcterms:modified xsi:type="dcterms:W3CDTF">2016-08-23T07:22:00Z</dcterms:modified>
</cp:coreProperties>
</file>