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A8" w:rsidRPr="005C44EB" w:rsidRDefault="00BC1FA8" w:rsidP="005C44EB">
      <w:pPr>
        <w:pStyle w:val="Nosaukums"/>
        <w:keepLines/>
        <w:rPr>
          <w:sz w:val="26"/>
          <w:szCs w:val="26"/>
        </w:rPr>
      </w:pPr>
      <w:bookmarkStart w:id="0" w:name="OLE_LINK7"/>
      <w:bookmarkStart w:id="1" w:name="OLE_LINK8"/>
      <w:r w:rsidRPr="005C44EB">
        <w:rPr>
          <w:sz w:val="26"/>
          <w:szCs w:val="26"/>
        </w:rPr>
        <w:t>Informatīvais ziņojums</w:t>
      </w:r>
      <w:bookmarkEnd w:id="0"/>
      <w:bookmarkEnd w:id="1"/>
    </w:p>
    <w:p w:rsidR="00BC1FA8" w:rsidRPr="005C44EB" w:rsidRDefault="00C110CF" w:rsidP="0099632B">
      <w:pPr>
        <w:jc w:val="center"/>
        <w:rPr>
          <w:rFonts w:ascii="Times New Roman" w:hAnsi="Times New Roman" w:cs="Times New Roman"/>
          <w:b/>
          <w:sz w:val="26"/>
          <w:szCs w:val="26"/>
        </w:rPr>
      </w:pPr>
      <w:bookmarkStart w:id="2" w:name="OLE_LINK43"/>
      <w:bookmarkStart w:id="3" w:name="OLE_LINK44"/>
      <w:bookmarkStart w:id="4" w:name="OLE_LINK3"/>
      <w:bookmarkStart w:id="5" w:name="OLE_LINK4"/>
      <w:r>
        <w:rPr>
          <w:rFonts w:ascii="Times New Roman" w:hAnsi="Times New Roman" w:cs="Times New Roman"/>
          <w:b/>
          <w:sz w:val="26"/>
          <w:szCs w:val="26"/>
        </w:rPr>
        <w:t>"</w:t>
      </w:r>
      <w:r w:rsidR="0099632B" w:rsidRPr="0099632B">
        <w:rPr>
          <w:rFonts w:ascii="Times New Roman" w:hAnsi="Times New Roman" w:cs="Times New Roman"/>
          <w:b/>
          <w:sz w:val="26"/>
          <w:szCs w:val="26"/>
        </w:rPr>
        <w:t>Par Latvijas pārstāvību Eiropas Tiesību akadēmijas fondā</w:t>
      </w:r>
      <w:r w:rsidR="0099632B" w:rsidRPr="005C44EB" w:rsidDel="0099632B">
        <w:rPr>
          <w:rFonts w:ascii="Times New Roman" w:hAnsi="Times New Roman" w:cs="Times New Roman"/>
          <w:b/>
          <w:sz w:val="26"/>
          <w:szCs w:val="26"/>
        </w:rPr>
        <w:t xml:space="preserve"> </w:t>
      </w:r>
      <w:r>
        <w:rPr>
          <w:rFonts w:ascii="Times New Roman" w:hAnsi="Times New Roman" w:cs="Times New Roman"/>
          <w:b/>
          <w:sz w:val="26"/>
          <w:szCs w:val="26"/>
        </w:rPr>
        <w:t>"</w:t>
      </w:r>
    </w:p>
    <w:bookmarkEnd w:id="2"/>
    <w:bookmarkEnd w:id="3"/>
    <w:p w:rsidR="00BC1FA8" w:rsidRPr="00BA6CF8" w:rsidRDefault="00BC1FA8" w:rsidP="006A3A24">
      <w:pPr>
        <w:pStyle w:val="Pamatteksts"/>
        <w:keepLines/>
        <w:spacing w:after="120"/>
        <w:rPr>
          <w:sz w:val="28"/>
          <w:szCs w:val="28"/>
        </w:rPr>
      </w:pPr>
    </w:p>
    <w:bookmarkEnd w:id="4"/>
    <w:bookmarkEnd w:id="5"/>
    <w:p w:rsidR="006E759E" w:rsidRPr="00662F48" w:rsidRDefault="005D39DE" w:rsidP="006E759E">
      <w:pPr>
        <w:tabs>
          <w:tab w:val="left" w:pos="789"/>
        </w:tabs>
        <w:spacing w:after="0" w:line="240" w:lineRule="auto"/>
        <w:jc w:val="both"/>
        <w:rPr>
          <w:rFonts w:ascii="Times New Roman" w:hAnsi="Times New Roman" w:cs="Times New Roman"/>
          <w:sz w:val="26"/>
          <w:szCs w:val="26"/>
        </w:rPr>
      </w:pPr>
      <w:r>
        <w:rPr>
          <w:rFonts w:ascii="Times New Roman" w:hAnsi="Times New Roman" w:cs="Times New Roman"/>
          <w:sz w:val="24"/>
          <w:szCs w:val="24"/>
        </w:rPr>
        <w:tab/>
      </w:r>
      <w:r w:rsidR="0077525C" w:rsidRPr="00662F48">
        <w:rPr>
          <w:rFonts w:ascii="Times New Roman" w:hAnsi="Times New Roman" w:cs="Times New Roman"/>
          <w:sz w:val="26"/>
          <w:szCs w:val="26"/>
        </w:rPr>
        <w:t>Ar Ministru kabineta 2015. gada 9. marta rīkojumu Nr. </w:t>
      </w:r>
      <w:r w:rsidR="006E759E" w:rsidRPr="00662F48">
        <w:rPr>
          <w:rFonts w:ascii="Times New Roman" w:hAnsi="Times New Roman" w:cs="Times New Roman"/>
          <w:sz w:val="26"/>
          <w:szCs w:val="26"/>
        </w:rPr>
        <w:t>115 apstiprināts Tiesu varas un tiesībaizsardzības iestāžu darbinieku cilvēkresursu kapacitātes stiprināšanas un kompetenču attīstīšanas plā</w:t>
      </w:r>
      <w:r w:rsidR="0077525C" w:rsidRPr="00662F48">
        <w:rPr>
          <w:rFonts w:ascii="Times New Roman" w:hAnsi="Times New Roman" w:cs="Times New Roman"/>
          <w:sz w:val="26"/>
          <w:szCs w:val="26"/>
        </w:rPr>
        <w:t>ns 2015.–2020. </w:t>
      </w:r>
      <w:r w:rsidR="00C110CF">
        <w:rPr>
          <w:rFonts w:ascii="Times New Roman" w:hAnsi="Times New Roman" w:cs="Times New Roman"/>
          <w:sz w:val="26"/>
          <w:szCs w:val="26"/>
        </w:rPr>
        <w:t>gadam (turpmāk - Plāns). Plānā</w:t>
      </w:r>
      <w:r w:rsidR="006E759E" w:rsidRPr="00662F48">
        <w:rPr>
          <w:rFonts w:ascii="Times New Roman" w:hAnsi="Times New Roman" w:cs="Times New Roman"/>
          <w:sz w:val="26"/>
          <w:szCs w:val="26"/>
        </w:rPr>
        <w:t xml:space="preserve"> secināts, ka, īstenojot Tiesu iekārtas attīstīb</w:t>
      </w:r>
      <w:r w:rsidR="0077525C" w:rsidRPr="00662F48">
        <w:rPr>
          <w:rFonts w:ascii="Times New Roman" w:hAnsi="Times New Roman" w:cs="Times New Roman"/>
          <w:sz w:val="26"/>
          <w:szCs w:val="26"/>
        </w:rPr>
        <w:t>as pamatnostādnēs 2009.–2015. </w:t>
      </w:r>
      <w:r w:rsidR="006E759E" w:rsidRPr="00662F48">
        <w:rPr>
          <w:rFonts w:ascii="Times New Roman" w:hAnsi="Times New Roman" w:cs="Times New Roman"/>
          <w:sz w:val="26"/>
          <w:szCs w:val="26"/>
        </w:rPr>
        <w:t>gadam minēto</w:t>
      </w:r>
      <w:r w:rsidR="00B708A6" w:rsidRPr="00662F48">
        <w:rPr>
          <w:rFonts w:ascii="Times New Roman" w:hAnsi="Times New Roman" w:cs="Times New Roman"/>
          <w:sz w:val="26"/>
          <w:szCs w:val="26"/>
        </w:rPr>
        <w:t>s</w:t>
      </w:r>
      <w:r w:rsidR="006E759E" w:rsidRPr="00662F48">
        <w:rPr>
          <w:rFonts w:ascii="Times New Roman" w:hAnsi="Times New Roman" w:cs="Times New Roman"/>
          <w:sz w:val="26"/>
          <w:szCs w:val="26"/>
        </w:rPr>
        <w:t xml:space="preserve"> politikas apakšmērķos paredzētos uzdevumus, būtiski nav izpildīti uzdevumi, kas saistīti ar cilvēkresursu kapacitātes celšanu tiesu varā. Līdz ar to cilvēkresursu attīstība tiesu varā ir izvirzīta par prioritāti, jo, stiprinot tiesu varas un tiesībaizsardzības iestāžu darbinieku profesionālo kvalifikāciju, tiks veicināta stipra, kompetenta un neatkarīga tiesu vara un tiesībaizsardzības iestādes, kas ir tiesiskas valsts stūrakmens.</w:t>
      </w:r>
    </w:p>
    <w:p w:rsidR="006E759E" w:rsidRPr="00662F48" w:rsidRDefault="006E759E" w:rsidP="006E759E">
      <w:pPr>
        <w:tabs>
          <w:tab w:val="left" w:pos="789"/>
        </w:tabs>
        <w:spacing w:after="0" w:line="240" w:lineRule="auto"/>
        <w:jc w:val="both"/>
        <w:rPr>
          <w:rFonts w:ascii="Times New Roman" w:hAnsi="Times New Roman" w:cs="Times New Roman"/>
          <w:sz w:val="26"/>
          <w:szCs w:val="26"/>
        </w:rPr>
      </w:pPr>
      <w:r w:rsidRPr="00662F48">
        <w:rPr>
          <w:rFonts w:ascii="Times New Roman" w:hAnsi="Times New Roman" w:cs="Times New Roman"/>
          <w:sz w:val="26"/>
          <w:szCs w:val="26"/>
        </w:rPr>
        <w:tab/>
        <w:t xml:space="preserve">Lai īstenotu cilvēkresursu kapacitātes stiprināšanu tiesu varā, Tiesu administrācija ar Eiropas Sociālā fonda atbalstu īsteno projektu </w:t>
      </w:r>
      <w:r w:rsidR="006F303F" w:rsidRPr="00662F48">
        <w:rPr>
          <w:rFonts w:ascii="Times New Roman" w:hAnsi="Times New Roman" w:cs="Times New Roman"/>
          <w:sz w:val="26"/>
          <w:szCs w:val="26"/>
        </w:rPr>
        <w:t>"</w:t>
      </w:r>
      <w:r w:rsidRPr="00662F48">
        <w:rPr>
          <w:rFonts w:ascii="Times New Roman" w:hAnsi="Times New Roman" w:cs="Times New Roman"/>
          <w:sz w:val="26"/>
          <w:szCs w:val="26"/>
        </w:rPr>
        <w:t>Justīcija attīstībai</w:t>
      </w:r>
      <w:r w:rsidR="006F303F" w:rsidRPr="00662F48">
        <w:rPr>
          <w:rFonts w:ascii="Times New Roman" w:hAnsi="Times New Roman" w:cs="Times New Roman"/>
          <w:sz w:val="26"/>
          <w:szCs w:val="26"/>
        </w:rPr>
        <w:t>"</w:t>
      </w:r>
      <w:r w:rsidRPr="00662F48">
        <w:rPr>
          <w:rFonts w:ascii="Times New Roman" w:hAnsi="Times New Roman" w:cs="Times New Roman"/>
          <w:sz w:val="26"/>
          <w:szCs w:val="26"/>
        </w:rPr>
        <w:t>. Tieslietu ministrija ir atbildīga par projektā plānoto rezultātu sasniegšanu. Projekta pasākumi, kas aptvers plaša mēroga apmācības, stažēšanos un labākās prakses apmaiņas aktivitāt</w:t>
      </w:r>
      <w:r w:rsidR="006F303F" w:rsidRPr="00662F48">
        <w:rPr>
          <w:rFonts w:ascii="Times New Roman" w:hAnsi="Times New Roman" w:cs="Times New Roman"/>
          <w:sz w:val="26"/>
          <w:szCs w:val="26"/>
        </w:rPr>
        <w:t>es</w:t>
      </w:r>
      <w:r w:rsidRPr="00662F48">
        <w:rPr>
          <w:rFonts w:ascii="Times New Roman" w:hAnsi="Times New Roman" w:cs="Times New Roman"/>
          <w:sz w:val="26"/>
          <w:szCs w:val="26"/>
        </w:rPr>
        <w:t xml:space="preserve"> tiesnešiem, prokuroriem, izmeklētājiem, kā arī citu juridisko profesiju pārstāvjie</w:t>
      </w:r>
      <w:r w:rsidR="0077525C" w:rsidRPr="00662F48">
        <w:rPr>
          <w:rFonts w:ascii="Times New Roman" w:hAnsi="Times New Roman" w:cs="Times New Roman"/>
          <w:sz w:val="26"/>
          <w:szCs w:val="26"/>
        </w:rPr>
        <w:t>m, ir īstenojami līdz 2022. gada 31. </w:t>
      </w:r>
      <w:r w:rsidRPr="00662F48">
        <w:rPr>
          <w:rFonts w:ascii="Times New Roman" w:hAnsi="Times New Roman" w:cs="Times New Roman"/>
          <w:sz w:val="26"/>
          <w:szCs w:val="26"/>
        </w:rPr>
        <w:t xml:space="preserve">decembrim. Tāpat projekta ietvaros paredzēts īstenot vērienīgus sistēmas modernizācijas pasākumus, kam Latvijā ir bezprecedenta raksturs. Projekta </w:t>
      </w:r>
      <w:r w:rsidR="006F303F" w:rsidRPr="00662F48">
        <w:rPr>
          <w:sz w:val="26"/>
          <w:szCs w:val="26"/>
        </w:rPr>
        <w:t>"</w:t>
      </w:r>
      <w:r w:rsidRPr="00662F48">
        <w:rPr>
          <w:rFonts w:ascii="Times New Roman" w:hAnsi="Times New Roman" w:cs="Times New Roman"/>
          <w:sz w:val="26"/>
          <w:szCs w:val="26"/>
        </w:rPr>
        <w:t>Justīcija attīstībai</w:t>
      </w:r>
      <w:r w:rsidR="006F303F" w:rsidRPr="00662F48">
        <w:rPr>
          <w:sz w:val="26"/>
          <w:szCs w:val="26"/>
        </w:rPr>
        <w:t>"</w:t>
      </w:r>
      <w:r w:rsidRPr="00662F48">
        <w:rPr>
          <w:rFonts w:ascii="Times New Roman" w:hAnsi="Times New Roman" w:cs="Times New Roman"/>
          <w:sz w:val="26"/>
          <w:szCs w:val="26"/>
        </w:rPr>
        <w:t xml:space="preserve"> ietvaros aktīvi apmācību procesu plānots uzsākt 2</w:t>
      </w:r>
      <w:r w:rsidR="0077525C" w:rsidRPr="00662F48">
        <w:rPr>
          <w:rFonts w:ascii="Times New Roman" w:hAnsi="Times New Roman" w:cs="Times New Roman"/>
          <w:sz w:val="26"/>
          <w:szCs w:val="26"/>
        </w:rPr>
        <w:t>017. </w:t>
      </w:r>
      <w:r w:rsidRPr="00662F48">
        <w:rPr>
          <w:rFonts w:ascii="Times New Roman" w:hAnsi="Times New Roman" w:cs="Times New Roman"/>
          <w:sz w:val="26"/>
          <w:szCs w:val="26"/>
        </w:rPr>
        <w:t>gada sākumā un apmācību realizēšanā iecerēts piesaistīt arī vadošās Eiropas profesionālās apmācību iestādes.</w:t>
      </w:r>
    </w:p>
    <w:p w:rsidR="005C44EB" w:rsidRPr="00662F48" w:rsidRDefault="006E759E" w:rsidP="006E759E">
      <w:pPr>
        <w:tabs>
          <w:tab w:val="left" w:pos="789"/>
        </w:tabs>
        <w:spacing w:after="0" w:line="240" w:lineRule="auto"/>
        <w:jc w:val="both"/>
        <w:rPr>
          <w:rFonts w:ascii="Times New Roman" w:eastAsia="Times New Roman" w:hAnsi="Times New Roman" w:cs="Times New Roman"/>
          <w:sz w:val="26"/>
          <w:szCs w:val="26"/>
        </w:rPr>
      </w:pPr>
      <w:r w:rsidRPr="00662F48">
        <w:rPr>
          <w:rFonts w:ascii="Times New Roman" w:hAnsi="Times New Roman" w:cs="Times New Roman"/>
          <w:sz w:val="26"/>
          <w:szCs w:val="26"/>
        </w:rPr>
        <w:tab/>
      </w:r>
      <w:r w:rsidR="005C44EB" w:rsidRPr="00662F48">
        <w:rPr>
          <w:rFonts w:ascii="Times New Roman" w:hAnsi="Times New Roman" w:cs="Times New Roman"/>
          <w:sz w:val="26"/>
          <w:szCs w:val="26"/>
        </w:rPr>
        <w:t>Eiropas Tiesību akadēmija (turpmāk – ETA) ir bezpeļņas nevalstiskā organizācija, kuru 1991.</w:t>
      </w:r>
      <w:r w:rsidR="00574C98">
        <w:rPr>
          <w:rFonts w:ascii="Times New Roman" w:hAnsi="Times New Roman" w:cs="Times New Roman"/>
          <w:sz w:val="26"/>
          <w:szCs w:val="26"/>
        </w:rPr>
        <w:t> </w:t>
      </w:r>
      <w:r w:rsidR="005C44EB" w:rsidRPr="00662F48">
        <w:rPr>
          <w:rFonts w:ascii="Times New Roman" w:hAnsi="Times New Roman" w:cs="Times New Roman"/>
          <w:sz w:val="26"/>
          <w:szCs w:val="26"/>
        </w:rPr>
        <w:t xml:space="preserve">gadā dibināja Luksemburga, </w:t>
      </w:r>
      <w:proofErr w:type="spellStart"/>
      <w:r w:rsidR="005C44EB" w:rsidRPr="00662F48">
        <w:rPr>
          <w:rFonts w:ascii="Times New Roman" w:hAnsi="Times New Roman" w:cs="Times New Roman"/>
          <w:i/>
          <w:sz w:val="26"/>
          <w:szCs w:val="26"/>
        </w:rPr>
        <w:t>Rhineland</w:t>
      </w:r>
      <w:proofErr w:type="spellEnd"/>
      <w:r w:rsidR="005C44EB" w:rsidRPr="00662F48">
        <w:rPr>
          <w:rFonts w:ascii="Times New Roman" w:hAnsi="Times New Roman" w:cs="Times New Roman"/>
          <w:i/>
          <w:sz w:val="26"/>
          <w:szCs w:val="26"/>
        </w:rPr>
        <w:t xml:space="preserve"> – </w:t>
      </w:r>
      <w:proofErr w:type="spellStart"/>
      <w:r w:rsidR="005C44EB" w:rsidRPr="00662F48">
        <w:rPr>
          <w:rFonts w:ascii="Times New Roman" w:hAnsi="Times New Roman" w:cs="Times New Roman"/>
          <w:i/>
          <w:sz w:val="26"/>
          <w:szCs w:val="26"/>
        </w:rPr>
        <w:t>Palantine</w:t>
      </w:r>
      <w:proofErr w:type="spellEnd"/>
      <w:r w:rsidR="005C44EB" w:rsidRPr="00662F48">
        <w:rPr>
          <w:rFonts w:ascii="Times New Roman" w:hAnsi="Times New Roman" w:cs="Times New Roman"/>
          <w:sz w:val="26"/>
          <w:szCs w:val="26"/>
        </w:rPr>
        <w:t xml:space="preserve"> Federālā zeme, </w:t>
      </w:r>
      <w:proofErr w:type="spellStart"/>
      <w:r w:rsidR="005C44EB" w:rsidRPr="00662F48">
        <w:rPr>
          <w:rFonts w:ascii="Times New Roman" w:hAnsi="Times New Roman" w:cs="Times New Roman"/>
          <w:sz w:val="26"/>
          <w:szCs w:val="26"/>
        </w:rPr>
        <w:t>Trīre</w:t>
      </w:r>
      <w:proofErr w:type="spellEnd"/>
      <w:r w:rsidR="005C44EB" w:rsidRPr="00662F48">
        <w:rPr>
          <w:rFonts w:ascii="Times New Roman" w:hAnsi="Times New Roman" w:cs="Times New Roman"/>
          <w:sz w:val="26"/>
          <w:szCs w:val="26"/>
        </w:rPr>
        <w:t xml:space="preserve"> un ETA izveidošanas asociācija. </w:t>
      </w:r>
      <w:r w:rsidRPr="00662F48">
        <w:rPr>
          <w:rFonts w:ascii="Times New Roman" w:hAnsi="Times New Roman" w:cs="Times New Roman"/>
          <w:sz w:val="26"/>
          <w:szCs w:val="26"/>
        </w:rPr>
        <w:t xml:space="preserve">ETA jau iepriekš ir veikusi valsts pārvaldes darbinieku un tiesu varas pārstāvju apmācības, tostarp, Latvijas Republikas dalībai Eiropas Savienības </w:t>
      </w:r>
      <w:r w:rsidR="006F303F" w:rsidRPr="00662F48">
        <w:rPr>
          <w:rFonts w:ascii="Times New Roman" w:hAnsi="Times New Roman" w:cs="Times New Roman"/>
          <w:sz w:val="26"/>
          <w:szCs w:val="26"/>
        </w:rPr>
        <w:t xml:space="preserve">(turpmāk – ES) </w:t>
      </w:r>
      <w:r w:rsidRPr="00662F48">
        <w:rPr>
          <w:rFonts w:ascii="Times New Roman" w:hAnsi="Times New Roman" w:cs="Times New Roman"/>
          <w:sz w:val="26"/>
          <w:szCs w:val="26"/>
        </w:rPr>
        <w:t>prezidentūrā</w:t>
      </w:r>
      <w:r w:rsidR="005561C0" w:rsidRPr="00662F48">
        <w:rPr>
          <w:rFonts w:ascii="Times New Roman" w:hAnsi="Times New Roman" w:cs="Times New Roman"/>
          <w:sz w:val="26"/>
          <w:szCs w:val="26"/>
        </w:rPr>
        <w:t>.</w:t>
      </w:r>
    </w:p>
    <w:p w:rsidR="005C44EB" w:rsidRPr="00662F48" w:rsidRDefault="005D39DE" w:rsidP="005C44EB">
      <w:pPr>
        <w:tabs>
          <w:tab w:val="left" w:pos="789"/>
        </w:tabs>
        <w:spacing w:after="0" w:line="240" w:lineRule="auto"/>
        <w:jc w:val="both"/>
        <w:rPr>
          <w:rFonts w:ascii="Times New Roman" w:hAnsi="Times New Roman" w:cs="Times New Roman"/>
          <w:sz w:val="26"/>
          <w:szCs w:val="26"/>
        </w:rPr>
      </w:pPr>
      <w:r w:rsidRPr="00662F48">
        <w:rPr>
          <w:rFonts w:ascii="Times New Roman" w:hAnsi="Times New Roman" w:cs="Times New Roman"/>
          <w:sz w:val="26"/>
          <w:szCs w:val="26"/>
        </w:rPr>
        <w:tab/>
      </w:r>
      <w:r w:rsidR="005C44EB" w:rsidRPr="00662F48">
        <w:rPr>
          <w:rFonts w:ascii="Times New Roman" w:hAnsi="Times New Roman" w:cs="Times New Roman"/>
          <w:sz w:val="26"/>
          <w:szCs w:val="26"/>
        </w:rPr>
        <w:t>Apmācības tiek nodrošinātas gandrīz visās ES tiesību jomās, ņemot vērā konkrētās jomas aktualitāti ES darba kartībā. ETA piedāvā apmācību programmas komerctiesībās, intelektuālā īpašuma, patērētāju aizsardzības un nodokļu tiesībās, tiesu iestāžu sadarbībā civillietās un krimināllietās u.c. jomās. To mērķis ir nodrošināt ES tiesību vienveidīgu piemērošanu, kā arī praktiķu un valsts pārvaldes darbinieku kompetences paaugstināšanu ES jautājumos. Mācību programmu sastādīšanā un realizācijā ETA cieši sadarbojas ar ES institūcijām.</w:t>
      </w:r>
    </w:p>
    <w:p w:rsidR="005C44EB" w:rsidRPr="00662F48" w:rsidRDefault="005D39DE" w:rsidP="005C44EB">
      <w:pPr>
        <w:tabs>
          <w:tab w:val="left" w:pos="789"/>
        </w:tabs>
        <w:spacing w:after="0" w:line="240" w:lineRule="auto"/>
        <w:jc w:val="both"/>
        <w:rPr>
          <w:rFonts w:ascii="Times New Roman" w:hAnsi="Times New Roman" w:cs="Times New Roman"/>
          <w:sz w:val="26"/>
          <w:szCs w:val="26"/>
        </w:rPr>
      </w:pPr>
      <w:r w:rsidRPr="00662F48">
        <w:rPr>
          <w:rFonts w:ascii="Times New Roman" w:hAnsi="Times New Roman" w:cs="Times New Roman"/>
          <w:sz w:val="26"/>
          <w:szCs w:val="26"/>
        </w:rPr>
        <w:tab/>
      </w:r>
      <w:r w:rsidR="005C44EB" w:rsidRPr="00662F48">
        <w:rPr>
          <w:rFonts w:ascii="Times New Roman" w:hAnsi="Times New Roman" w:cs="Times New Roman"/>
          <w:sz w:val="26"/>
          <w:szCs w:val="26"/>
        </w:rPr>
        <w:t xml:space="preserve">ETA budžetu veido ES institūciju atbalsts, </w:t>
      </w:r>
      <w:proofErr w:type="spellStart"/>
      <w:r w:rsidR="005C44EB" w:rsidRPr="00662F48">
        <w:rPr>
          <w:rFonts w:ascii="Times New Roman" w:hAnsi="Times New Roman" w:cs="Times New Roman"/>
          <w:i/>
          <w:sz w:val="26"/>
          <w:szCs w:val="26"/>
        </w:rPr>
        <w:t>Rhineland</w:t>
      </w:r>
      <w:proofErr w:type="spellEnd"/>
      <w:r w:rsidR="005C44EB" w:rsidRPr="00662F48">
        <w:rPr>
          <w:rFonts w:ascii="Times New Roman" w:hAnsi="Times New Roman" w:cs="Times New Roman"/>
          <w:i/>
          <w:sz w:val="26"/>
          <w:szCs w:val="26"/>
        </w:rPr>
        <w:t xml:space="preserve"> – </w:t>
      </w:r>
      <w:proofErr w:type="spellStart"/>
      <w:r w:rsidR="005C44EB" w:rsidRPr="00662F48">
        <w:rPr>
          <w:rFonts w:ascii="Times New Roman" w:hAnsi="Times New Roman" w:cs="Times New Roman"/>
          <w:i/>
          <w:sz w:val="26"/>
          <w:szCs w:val="26"/>
        </w:rPr>
        <w:t>Palantine</w:t>
      </w:r>
      <w:proofErr w:type="spellEnd"/>
      <w:r w:rsidR="005C44EB" w:rsidRPr="00662F48">
        <w:rPr>
          <w:rFonts w:ascii="Times New Roman" w:hAnsi="Times New Roman" w:cs="Times New Roman"/>
          <w:sz w:val="26"/>
          <w:szCs w:val="26"/>
        </w:rPr>
        <w:t xml:space="preserve"> Federālās zemes, kur ETA atrodas, atbalsts un ienākumi no ETA rīkotajiem pasākumiem. Papildu finansējuma avots ir valstu vienreizējie maksājumi, kuri tiek veikti pievienojoties ETA. </w:t>
      </w:r>
    </w:p>
    <w:p w:rsidR="005C44EB" w:rsidRPr="00662F48" w:rsidRDefault="005D39DE" w:rsidP="005C44EB">
      <w:pPr>
        <w:tabs>
          <w:tab w:val="left" w:pos="789"/>
        </w:tabs>
        <w:spacing w:after="0" w:line="240" w:lineRule="auto"/>
        <w:jc w:val="both"/>
        <w:rPr>
          <w:rFonts w:ascii="Times New Roman" w:hAnsi="Times New Roman" w:cs="Times New Roman"/>
          <w:b/>
          <w:bCs/>
          <w:sz w:val="26"/>
          <w:szCs w:val="26"/>
        </w:rPr>
      </w:pPr>
      <w:r w:rsidRPr="00662F48">
        <w:rPr>
          <w:rFonts w:ascii="Times New Roman" w:hAnsi="Times New Roman" w:cs="Times New Roman"/>
          <w:sz w:val="26"/>
          <w:szCs w:val="26"/>
        </w:rPr>
        <w:tab/>
      </w:r>
      <w:r w:rsidR="005C44EB" w:rsidRPr="00662F48">
        <w:rPr>
          <w:rFonts w:ascii="Times New Roman" w:hAnsi="Times New Roman" w:cs="Times New Roman"/>
          <w:sz w:val="26"/>
          <w:szCs w:val="26"/>
        </w:rPr>
        <w:t xml:space="preserve">ETA ir vadošā mācību iestāde Eiropā, kas nodrošina apmācības ES tiesību jautājumos juridisko profesiju pārstāvjiem. </w:t>
      </w:r>
      <w:r w:rsidR="005C44EB" w:rsidRPr="00662F48">
        <w:rPr>
          <w:rFonts w:ascii="Times New Roman" w:hAnsi="Times New Roman" w:cs="Times New Roman"/>
          <w:b/>
          <w:bCs/>
          <w:sz w:val="26"/>
          <w:szCs w:val="26"/>
        </w:rPr>
        <w:t xml:space="preserve">Šobrīd Latvija ir </w:t>
      </w:r>
      <w:r w:rsidR="00812E19" w:rsidRPr="00662F48">
        <w:rPr>
          <w:rFonts w:ascii="Times New Roman" w:hAnsi="Times New Roman" w:cs="Times New Roman"/>
          <w:b/>
          <w:bCs/>
          <w:sz w:val="26"/>
          <w:szCs w:val="26"/>
        </w:rPr>
        <w:t>viena no pāris ES dalībvalstīm</w:t>
      </w:r>
      <w:r w:rsidR="005C44EB" w:rsidRPr="00662F48">
        <w:rPr>
          <w:rFonts w:ascii="Times New Roman" w:hAnsi="Times New Roman" w:cs="Times New Roman"/>
          <w:b/>
          <w:bCs/>
          <w:sz w:val="26"/>
          <w:szCs w:val="26"/>
        </w:rPr>
        <w:t xml:space="preserve">, kas </w:t>
      </w:r>
      <w:r w:rsidR="00812E19" w:rsidRPr="00662F48">
        <w:rPr>
          <w:rFonts w:ascii="Times New Roman" w:hAnsi="Times New Roman" w:cs="Times New Roman"/>
          <w:b/>
          <w:bCs/>
          <w:sz w:val="26"/>
          <w:szCs w:val="26"/>
        </w:rPr>
        <w:t>nav</w:t>
      </w:r>
      <w:r w:rsidR="005C44EB" w:rsidRPr="00662F48">
        <w:rPr>
          <w:rFonts w:ascii="Times New Roman" w:hAnsi="Times New Roman" w:cs="Times New Roman"/>
          <w:b/>
          <w:bCs/>
          <w:sz w:val="26"/>
          <w:szCs w:val="26"/>
        </w:rPr>
        <w:t xml:space="preserve"> pārstāvēta</w:t>
      </w:r>
      <w:r w:rsidR="00812E19" w:rsidRPr="00662F48">
        <w:rPr>
          <w:rFonts w:ascii="Times New Roman" w:hAnsi="Times New Roman" w:cs="Times New Roman"/>
          <w:b/>
          <w:bCs/>
          <w:sz w:val="26"/>
          <w:szCs w:val="26"/>
        </w:rPr>
        <w:t>s</w:t>
      </w:r>
      <w:r w:rsidR="005C44EB" w:rsidRPr="00662F48">
        <w:rPr>
          <w:rFonts w:ascii="Times New Roman" w:hAnsi="Times New Roman" w:cs="Times New Roman"/>
          <w:b/>
          <w:bCs/>
          <w:sz w:val="26"/>
          <w:szCs w:val="26"/>
        </w:rPr>
        <w:t xml:space="preserve"> ETA fondā. </w:t>
      </w:r>
    </w:p>
    <w:p w:rsidR="002C4E7B" w:rsidRPr="00662F48" w:rsidRDefault="005D39DE" w:rsidP="005C44EB">
      <w:pPr>
        <w:tabs>
          <w:tab w:val="left" w:pos="789"/>
        </w:tabs>
        <w:spacing w:after="0" w:line="240" w:lineRule="auto"/>
        <w:jc w:val="both"/>
        <w:rPr>
          <w:rFonts w:ascii="Times New Roman" w:hAnsi="Times New Roman" w:cs="Times New Roman"/>
          <w:sz w:val="26"/>
          <w:szCs w:val="26"/>
        </w:rPr>
      </w:pPr>
      <w:r w:rsidRPr="00662F48">
        <w:rPr>
          <w:rFonts w:ascii="Times New Roman" w:hAnsi="Times New Roman" w:cs="Times New Roman"/>
          <w:sz w:val="26"/>
          <w:szCs w:val="26"/>
        </w:rPr>
        <w:tab/>
      </w:r>
      <w:r w:rsidR="002C4E7B" w:rsidRPr="00662F48">
        <w:rPr>
          <w:rFonts w:ascii="Times New Roman" w:hAnsi="Times New Roman" w:cs="Times New Roman"/>
          <w:sz w:val="26"/>
          <w:szCs w:val="26"/>
        </w:rPr>
        <w:t>Tai pat laikā kopš 2014.</w:t>
      </w:r>
      <w:r w:rsidR="00574C98" w:rsidRPr="00662F48">
        <w:rPr>
          <w:rFonts w:ascii="Times New Roman" w:hAnsi="Times New Roman" w:cs="Times New Roman"/>
          <w:sz w:val="26"/>
          <w:szCs w:val="26"/>
        </w:rPr>
        <w:t> </w:t>
      </w:r>
      <w:r w:rsidR="002C4E7B" w:rsidRPr="00662F48">
        <w:rPr>
          <w:rFonts w:ascii="Times New Roman" w:hAnsi="Times New Roman" w:cs="Times New Roman"/>
          <w:sz w:val="26"/>
          <w:szCs w:val="26"/>
        </w:rPr>
        <w:t>gada ETA mācības tiesneši no Latvijas ir apmeklējuši 229</w:t>
      </w:r>
      <w:r w:rsidR="00574C98" w:rsidRPr="00662F48">
        <w:rPr>
          <w:rFonts w:ascii="Times New Roman" w:hAnsi="Times New Roman" w:cs="Times New Roman"/>
          <w:sz w:val="26"/>
          <w:szCs w:val="26"/>
        </w:rPr>
        <w:t> </w:t>
      </w:r>
      <w:r w:rsidR="002C4E7B" w:rsidRPr="00662F48">
        <w:rPr>
          <w:rFonts w:ascii="Times New Roman" w:hAnsi="Times New Roman" w:cs="Times New Roman"/>
          <w:sz w:val="26"/>
          <w:szCs w:val="26"/>
        </w:rPr>
        <w:t>reizes, prokurori – 65</w:t>
      </w:r>
      <w:r w:rsidR="00574C98" w:rsidRPr="00662F48">
        <w:rPr>
          <w:rFonts w:ascii="Times New Roman" w:hAnsi="Times New Roman" w:cs="Times New Roman"/>
          <w:sz w:val="26"/>
          <w:szCs w:val="26"/>
        </w:rPr>
        <w:t> </w:t>
      </w:r>
      <w:r w:rsidR="002C4E7B" w:rsidRPr="00662F48">
        <w:rPr>
          <w:rFonts w:ascii="Times New Roman" w:hAnsi="Times New Roman" w:cs="Times New Roman"/>
          <w:sz w:val="26"/>
          <w:szCs w:val="26"/>
        </w:rPr>
        <w:t>reizes, bet ierēdniecības pārstāvji – 174</w:t>
      </w:r>
      <w:r w:rsidR="00574C98" w:rsidRPr="00662F48">
        <w:rPr>
          <w:rFonts w:ascii="Times New Roman" w:hAnsi="Times New Roman" w:cs="Times New Roman"/>
          <w:sz w:val="26"/>
          <w:szCs w:val="26"/>
        </w:rPr>
        <w:t> </w:t>
      </w:r>
      <w:r w:rsidR="002C4E7B" w:rsidRPr="00662F48">
        <w:rPr>
          <w:rFonts w:ascii="Times New Roman" w:hAnsi="Times New Roman" w:cs="Times New Roman"/>
          <w:sz w:val="26"/>
          <w:szCs w:val="26"/>
        </w:rPr>
        <w:t>reizes. Kopumā kopš 2004.</w:t>
      </w:r>
      <w:r w:rsidR="0077525C" w:rsidRPr="00662F48">
        <w:rPr>
          <w:rFonts w:ascii="Times New Roman" w:hAnsi="Times New Roman" w:cs="Times New Roman"/>
          <w:sz w:val="26"/>
          <w:szCs w:val="26"/>
        </w:rPr>
        <w:t> </w:t>
      </w:r>
      <w:r w:rsidR="002C4E7B" w:rsidRPr="00662F48">
        <w:rPr>
          <w:rFonts w:ascii="Times New Roman" w:hAnsi="Times New Roman" w:cs="Times New Roman"/>
          <w:sz w:val="26"/>
          <w:szCs w:val="26"/>
        </w:rPr>
        <w:t>gada ETA mācības pārstāvji no Latvijas ir apmeklējuši 468</w:t>
      </w:r>
      <w:r w:rsidR="00574C98" w:rsidRPr="00662F48">
        <w:rPr>
          <w:rFonts w:ascii="Times New Roman" w:hAnsi="Times New Roman" w:cs="Times New Roman"/>
          <w:sz w:val="26"/>
          <w:szCs w:val="26"/>
        </w:rPr>
        <w:t> </w:t>
      </w:r>
      <w:r w:rsidR="002C4E7B" w:rsidRPr="00662F48">
        <w:rPr>
          <w:rFonts w:ascii="Times New Roman" w:hAnsi="Times New Roman" w:cs="Times New Roman"/>
          <w:sz w:val="26"/>
          <w:szCs w:val="26"/>
        </w:rPr>
        <w:t xml:space="preserve">reizes. </w:t>
      </w:r>
    </w:p>
    <w:p w:rsidR="005C44EB" w:rsidRPr="00662F48" w:rsidRDefault="002C4E7B" w:rsidP="005C44EB">
      <w:pPr>
        <w:tabs>
          <w:tab w:val="left" w:pos="789"/>
        </w:tabs>
        <w:spacing w:after="0" w:line="240" w:lineRule="auto"/>
        <w:jc w:val="both"/>
        <w:rPr>
          <w:rFonts w:ascii="Times New Roman" w:hAnsi="Times New Roman" w:cs="Times New Roman"/>
          <w:sz w:val="26"/>
          <w:szCs w:val="26"/>
        </w:rPr>
      </w:pPr>
      <w:r w:rsidRPr="00662F48">
        <w:rPr>
          <w:rFonts w:ascii="Times New Roman" w:hAnsi="Times New Roman" w:cs="Times New Roman"/>
          <w:sz w:val="26"/>
          <w:szCs w:val="26"/>
        </w:rPr>
        <w:lastRenderedPageBreak/>
        <w:tab/>
        <w:t>T</w:t>
      </w:r>
      <w:r w:rsidR="005C44EB" w:rsidRPr="00662F48">
        <w:rPr>
          <w:rFonts w:ascii="Times New Roman" w:hAnsi="Times New Roman" w:cs="Times New Roman"/>
          <w:sz w:val="26"/>
          <w:szCs w:val="26"/>
        </w:rPr>
        <w:t xml:space="preserve">ām valstīm, kuras ir pārstāvētas ETA fondā, iegūstot </w:t>
      </w:r>
      <w:r w:rsidR="005C44EB" w:rsidRPr="00172981">
        <w:rPr>
          <w:rFonts w:ascii="Times New Roman" w:hAnsi="Times New Roman" w:cs="Times New Roman"/>
          <w:sz w:val="26"/>
          <w:szCs w:val="26"/>
        </w:rPr>
        <w:t>patron</w:t>
      </w:r>
      <w:r w:rsidR="002B26A4">
        <w:rPr>
          <w:rFonts w:ascii="Times New Roman" w:hAnsi="Times New Roman" w:cs="Times New Roman"/>
          <w:sz w:val="26"/>
          <w:szCs w:val="26"/>
        </w:rPr>
        <w:t>a</w:t>
      </w:r>
      <w:r w:rsidR="005C44EB" w:rsidRPr="002B26A4">
        <w:rPr>
          <w:rFonts w:ascii="Times New Roman" w:hAnsi="Times New Roman" w:cs="Times New Roman"/>
          <w:sz w:val="26"/>
          <w:szCs w:val="26"/>
        </w:rPr>
        <w:t xml:space="preserve"> valsts</w:t>
      </w:r>
      <w:r w:rsidR="005C44EB" w:rsidRPr="00662F48">
        <w:rPr>
          <w:rFonts w:ascii="Times New Roman" w:hAnsi="Times New Roman" w:cs="Times New Roman"/>
          <w:sz w:val="26"/>
          <w:szCs w:val="26"/>
        </w:rPr>
        <w:t xml:space="preserve"> statusu, </w:t>
      </w:r>
      <w:r w:rsidRPr="00662F48">
        <w:rPr>
          <w:rFonts w:ascii="Times New Roman" w:hAnsi="Times New Roman" w:cs="Times New Roman"/>
          <w:sz w:val="26"/>
          <w:szCs w:val="26"/>
        </w:rPr>
        <w:t xml:space="preserve">ETA piedāvā vairākas būtiskas priekšrocības attiecībā uz piedāvātajām apmācībām un konferencēm </w:t>
      </w:r>
      <w:r w:rsidR="005C44EB" w:rsidRPr="00662F48">
        <w:rPr>
          <w:rFonts w:ascii="Times New Roman" w:hAnsi="Times New Roman" w:cs="Times New Roman"/>
          <w:sz w:val="26"/>
          <w:szCs w:val="26"/>
        </w:rPr>
        <w:t xml:space="preserve">proti: </w:t>
      </w:r>
    </w:p>
    <w:p w:rsidR="005C44EB" w:rsidRPr="00662F48" w:rsidRDefault="005C44EB" w:rsidP="005D39DE">
      <w:pPr>
        <w:numPr>
          <w:ilvl w:val="0"/>
          <w:numId w:val="1"/>
        </w:numPr>
        <w:spacing w:after="0" w:line="240" w:lineRule="auto"/>
        <w:ind w:left="1276"/>
        <w:jc w:val="both"/>
        <w:rPr>
          <w:rFonts w:ascii="Times New Roman" w:hAnsi="Times New Roman" w:cs="Times New Roman"/>
          <w:sz w:val="26"/>
          <w:szCs w:val="26"/>
        </w:rPr>
      </w:pPr>
      <w:r w:rsidRPr="00662F48">
        <w:rPr>
          <w:rFonts w:ascii="Times New Roman" w:hAnsi="Times New Roman" w:cs="Times New Roman"/>
          <w:sz w:val="26"/>
          <w:szCs w:val="26"/>
        </w:rPr>
        <w:t>40</w:t>
      </w:r>
      <w:r w:rsidR="0077525C" w:rsidRPr="00662F48">
        <w:rPr>
          <w:rFonts w:ascii="Times New Roman" w:hAnsi="Times New Roman" w:cs="Times New Roman"/>
          <w:sz w:val="26"/>
          <w:szCs w:val="26"/>
        </w:rPr>
        <w:t> </w:t>
      </w:r>
      <w:r w:rsidRPr="00662F48">
        <w:rPr>
          <w:rFonts w:ascii="Times New Roman" w:hAnsi="Times New Roman" w:cs="Times New Roman"/>
          <w:sz w:val="26"/>
          <w:szCs w:val="26"/>
        </w:rPr>
        <w:t>% atlaidi dalībai ETA rīkotajos pasākumos (atlaide var būt savienota ar 10</w:t>
      </w:r>
      <w:r w:rsidR="0077525C" w:rsidRPr="00662F48">
        <w:rPr>
          <w:rFonts w:ascii="Times New Roman" w:hAnsi="Times New Roman" w:cs="Times New Roman"/>
          <w:sz w:val="26"/>
          <w:szCs w:val="26"/>
        </w:rPr>
        <w:t> </w:t>
      </w:r>
      <w:r w:rsidRPr="00662F48">
        <w:rPr>
          <w:rFonts w:ascii="Times New Roman" w:hAnsi="Times New Roman" w:cs="Times New Roman"/>
          <w:sz w:val="26"/>
          <w:szCs w:val="26"/>
        </w:rPr>
        <w:t>% atlaidi par savlaicīgu reģistrāciju);</w:t>
      </w:r>
    </w:p>
    <w:p w:rsidR="005C44EB" w:rsidRPr="00662F48" w:rsidRDefault="002B26A4" w:rsidP="005D39DE">
      <w:pPr>
        <w:numPr>
          <w:ilvl w:val="0"/>
          <w:numId w:val="1"/>
        </w:numPr>
        <w:spacing w:after="0" w:line="240" w:lineRule="auto"/>
        <w:ind w:left="1276"/>
        <w:jc w:val="both"/>
        <w:rPr>
          <w:rFonts w:ascii="Times New Roman" w:hAnsi="Times New Roman" w:cs="Times New Roman"/>
          <w:sz w:val="26"/>
          <w:szCs w:val="26"/>
        </w:rPr>
      </w:pPr>
      <w:r>
        <w:rPr>
          <w:rFonts w:ascii="Times New Roman" w:hAnsi="Times New Roman" w:cs="Times New Roman"/>
          <w:sz w:val="26"/>
          <w:szCs w:val="26"/>
        </w:rPr>
        <w:t>patrona</w:t>
      </w:r>
      <w:r w:rsidR="005C44EB" w:rsidRPr="002B26A4">
        <w:rPr>
          <w:rFonts w:ascii="Times New Roman" w:hAnsi="Times New Roman" w:cs="Times New Roman"/>
          <w:sz w:val="26"/>
          <w:szCs w:val="26"/>
        </w:rPr>
        <w:t xml:space="preserve"> valsts</w:t>
      </w:r>
      <w:r w:rsidR="005C44EB" w:rsidRPr="00662F48">
        <w:rPr>
          <w:rFonts w:ascii="Times New Roman" w:hAnsi="Times New Roman" w:cs="Times New Roman"/>
          <w:sz w:val="26"/>
          <w:szCs w:val="26"/>
        </w:rPr>
        <w:t xml:space="preserve"> iegūst dalības tiesības ETA Vadības padomē, kas ietekmē ETA darbības politikas attīstību; </w:t>
      </w:r>
    </w:p>
    <w:p w:rsidR="005C44EB" w:rsidRPr="00662F48" w:rsidRDefault="002B26A4" w:rsidP="005D39DE">
      <w:pPr>
        <w:numPr>
          <w:ilvl w:val="0"/>
          <w:numId w:val="1"/>
        </w:numPr>
        <w:spacing w:after="0" w:line="240" w:lineRule="auto"/>
        <w:ind w:left="1276"/>
        <w:jc w:val="both"/>
        <w:rPr>
          <w:rFonts w:ascii="Times New Roman" w:hAnsi="Times New Roman" w:cs="Times New Roman"/>
          <w:sz w:val="26"/>
          <w:szCs w:val="26"/>
        </w:rPr>
      </w:pPr>
      <w:r w:rsidRPr="002B26A4">
        <w:rPr>
          <w:rFonts w:ascii="Times New Roman" w:hAnsi="Times New Roman" w:cs="Times New Roman"/>
          <w:sz w:val="26"/>
          <w:szCs w:val="26"/>
        </w:rPr>
        <w:t>patrona</w:t>
      </w:r>
      <w:r w:rsidR="005C44EB" w:rsidRPr="002B26A4">
        <w:rPr>
          <w:rFonts w:ascii="Times New Roman" w:hAnsi="Times New Roman" w:cs="Times New Roman"/>
          <w:sz w:val="26"/>
          <w:szCs w:val="26"/>
        </w:rPr>
        <w:t xml:space="preserve"> valsts</w:t>
      </w:r>
      <w:r w:rsidR="005C44EB" w:rsidRPr="00662F48">
        <w:rPr>
          <w:rFonts w:ascii="Times New Roman" w:hAnsi="Times New Roman" w:cs="Times New Roman"/>
          <w:sz w:val="26"/>
          <w:szCs w:val="26"/>
        </w:rPr>
        <w:t xml:space="preserve"> iegūst dalības tiesības ETA uzticības personu padomē, kas ietekmē ETA apmācību programmu izveidi (Latvijai tika piešķirtas izņēmuma kārtā); </w:t>
      </w:r>
    </w:p>
    <w:p w:rsidR="005C44EB" w:rsidRPr="00662F48" w:rsidRDefault="005C44EB" w:rsidP="005D39DE">
      <w:pPr>
        <w:numPr>
          <w:ilvl w:val="0"/>
          <w:numId w:val="1"/>
        </w:numPr>
        <w:spacing w:after="0" w:line="240" w:lineRule="auto"/>
        <w:ind w:left="1276"/>
        <w:jc w:val="both"/>
        <w:rPr>
          <w:rFonts w:ascii="Times New Roman" w:hAnsi="Times New Roman" w:cs="Times New Roman"/>
          <w:sz w:val="26"/>
          <w:szCs w:val="26"/>
        </w:rPr>
      </w:pPr>
      <w:r w:rsidRPr="00662F48">
        <w:rPr>
          <w:rFonts w:ascii="Times New Roman" w:hAnsi="Times New Roman" w:cs="Times New Roman"/>
          <w:sz w:val="26"/>
          <w:szCs w:val="26"/>
        </w:rPr>
        <w:t>ETA piedāvā iespēju rīkot seminārus un apmācības Latvijā par bāzes izmaksām (kas būtu nozīmīgi Tiesu administrācijas īstenotā E</w:t>
      </w:r>
      <w:r w:rsidR="002B26A4">
        <w:rPr>
          <w:rFonts w:ascii="Times New Roman" w:hAnsi="Times New Roman" w:cs="Times New Roman"/>
          <w:sz w:val="26"/>
          <w:szCs w:val="26"/>
        </w:rPr>
        <w:t>iropas Sociālā fonda</w:t>
      </w:r>
      <w:r w:rsidRPr="00662F48">
        <w:rPr>
          <w:rFonts w:ascii="Times New Roman" w:hAnsi="Times New Roman" w:cs="Times New Roman"/>
          <w:sz w:val="26"/>
          <w:szCs w:val="26"/>
        </w:rPr>
        <w:t xml:space="preserve"> projekta </w:t>
      </w:r>
      <w:r w:rsidR="006F303F" w:rsidRPr="00662F48">
        <w:rPr>
          <w:rFonts w:ascii="Times New Roman" w:hAnsi="Times New Roman" w:cs="Times New Roman"/>
          <w:sz w:val="26"/>
          <w:szCs w:val="26"/>
        </w:rPr>
        <w:t>"</w:t>
      </w:r>
      <w:r w:rsidRPr="00662F48">
        <w:rPr>
          <w:rFonts w:ascii="Times New Roman" w:hAnsi="Times New Roman" w:cs="Times New Roman"/>
          <w:iCs/>
          <w:sz w:val="26"/>
          <w:szCs w:val="26"/>
        </w:rPr>
        <w:t>Justīcija attīstībai</w:t>
      </w:r>
      <w:r w:rsidR="006F303F" w:rsidRPr="00662F48">
        <w:rPr>
          <w:rFonts w:ascii="Times New Roman" w:hAnsi="Times New Roman" w:cs="Times New Roman"/>
          <w:sz w:val="26"/>
          <w:szCs w:val="26"/>
        </w:rPr>
        <w:t>"</w:t>
      </w:r>
      <w:r w:rsidRPr="00662F48">
        <w:rPr>
          <w:rFonts w:ascii="Times New Roman" w:hAnsi="Times New Roman" w:cs="Times New Roman"/>
          <w:sz w:val="26"/>
          <w:szCs w:val="26"/>
        </w:rPr>
        <w:t xml:space="preserve"> īstenošanā).</w:t>
      </w:r>
    </w:p>
    <w:p w:rsidR="005C44EB" w:rsidRPr="00662F48" w:rsidRDefault="005C44EB" w:rsidP="005C44EB">
      <w:pPr>
        <w:tabs>
          <w:tab w:val="left" w:pos="789"/>
        </w:tabs>
        <w:spacing w:after="0" w:line="240" w:lineRule="auto"/>
        <w:jc w:val="both"/>
        <w:rPr>
          <w:rFonts w:ascii="Times New Roman" w:hAnsi="Times New Roman" w:cs="Times New Roman"/>
          <w:sz w:val="26"/>
          <w:szCs w:val="26"/>
        </w:rPr>
      </w:pPr>
    </w:p>
    <w:p w:rsidR="005C44EB" w:rsidRPr="00662F48" w:rsidRDefault="005D39DE" w:rsidP="005C44EB">
      <w:pPr>
        <w:tabs>
          <w:tab w:val="left" w:pos="789"/>
        </w:tabs>
        <w:spacing w:after="0" w:line="240" w:lineRule="auto"/>
        <w:jc w:val="both"/>
        <w:rPr>
          <w:rFonts w:ascii="Times New Roman" w:hAnsi="Times New Roman" w:cs="Times New Roman"/>
          <w:b/>
          <w:bCs/>
          <w:sz w:val="26"/>
          <w:szCs w:val="26"/>
        </w:rPr>
      </w:pPr>
      <w:r w:rsidRPr="00662F48">
        <w:rPr>
          <w:rFonts w:ascii="Times New Roman" w:hAnsi="Times New Roman" w:cs="Times New Roman"/>
          <w:sz w:val="26"/>
          <w:szCs w:val="26"/>
        </w:rPr>
        <w:tab/>
      </w:r>
      <w:r w:rsidR="005C44EB" w:rsidRPr="00662F48">
        <w:rPr>
          <w:rFonts w:ascii="Times New Roman" w:hAnsi="Times New Roman" w:cs="Times New Roman"/>
          <w:sz w:val="26"/>
          <w:szCs w:val="26"/>
        </w:rPr>
        <w:t>Tā kā ETA piedāvā ES tiesību apmācības tiesnešiem un tiesu darbiniekiem, kā arī</w:t>
      </w:r>
      <w:r w:rsidR="00574C98">
        <w:rPr>
          <w:rFonts w:ascii="Times New Roman" w:hAnsi="Times New Roman" w:cs="Times New Roman"/>
          <w:sz w:val="26"/>
          <w:szCs w:val="26"/>
        </w:rPr>
        <w:t>,</w:t>
      </w:r>
      <w:r w:rsidR="005C44EB" w:rsidRPr="00662F48">
        <w:rPr>
          <w:rFonts w:ascii="Times New Roman" w:hAnsi="Times New Roman" w:cs="Times New Roman"/>
          <w:sz w:val="26"/>
          <w:szCs w:val="26"/>
        </w:rPr>
        <w:t xml:space="preserve"> ņemot vērā to, ka tās atbalstītāji ir gandrīz visas ES dalībvalstis, </w:t>
      </w:r>
      <w:r w:rsidR="005C44EB" w:rsidRPr="00662F48">
        <w:rPr>
          <w:rFonts w:ascii="Times New Roman" w:hAnsi="Times New Roman" w:cs="Times New Roman"/>
          <w:b/>
          <w:sz w:val="26"/>
          <w:szCs w:val="26"/>
        </w:rPr>
        <w:t xml:space="preserve">ir nepieciešams izvērtēt </w:t>
      </w:r>
      <w:r w:rsidR="005C44EB" w:rsidRPr="00662F48">
        <w:rPr>
          <w:rFonts w:ascii="Times New Roman" w:hAnsi="Times New Roman" w:cs="Times New Roman"/>
          <w:b/>
          <w:bCs/>
          <w:sz w:val="26"/>
          <w:szCs w:val="26"/>
        </w:rPr>
        <w:t>arī Latvijas iespējamo pārstāvību ETA fondā.</w:t>
      </w:r>
    </w:p>
    <w:p w:rsidR="005C44EB" w:rsidRPr="00662F48" w:rsidRDefault="005D39DE" w:rsidP="005C44EB">
      <w:pPr>
        <w:tabs>
          <w:tab w:val="left" w:pos="789"/>
        </w:tabs>
        <w:spacing w:after="0" w:line="240" w:lineRule="auto"/>
        <w:jc w:val="both"/>
        <w:rPr>
          <w:rFonts w:ascii="Times New Roman" w:hAnsi="Times New Roman" w:cs="Times New Roman"/>
          <w:sz w:val="26"/>
          <w:szCs w:val="26"/>
        </w:rPr>
      </w:pPr>
      <w:r w:rsidRPr="00662F48">
        <w:rPr>
          <w:rFonts w:ascii="Times New Roman" w:hAnsi="Times New Roman" w:cs="Times New Roman"/>
          <w:b/>
          <w:bCs/>
          <w:sz w:val="26"/>
          <w:szCs w:val="26"/>
        </w:rPr>
        <w:tab/>
      </w:r>
      <w:r w:rsidR="002B26A4">
        <w:rPr>
          <w:rFonts w:ascii="Times New Roman" w:hAnsi="Times New Roman" w:cs="Times New Roman"/>
          <w:b/>
          <w:bCs/>
          <w:sz w:val="26"/>
          <w:szCs w:val="26"/>
        </w:rPr>
        <w:t>Patrona</w:t>
      </w:r>
      <w:r w:rsidR="005C44EB" w:rsidRPr="002B26A4">
        <w:rPr>
          <w:rFonts w:ascii="Times New Roman" w:hAnsi="Times New Roman" w:cs="Times New Roman"/>
          <w:b/>
          <w:bCs/>
          <w:sz w:val="26"/>
          <w:szCs w:val="26"/>
        </w:rPr>
        <w:t xml:space="preserve"> valsts</w:t>
      </w:r>
      <w:r w:rsidR="005C44EB" w:rsidRPr="00662F48">
        <w:rPr>
          <w:rFonts w:ascii="Times New Roman" w:hAnsi="Times New Roman" w:cs="Times New Roman"/>
          <w:b/>
          <w:bCs/>
          <w:sz w:val="26"/>
          <w:szCs w:val="26"/>
        </w:rPr>
        <w:t xml:space="preserve"> statusu var iegūt, veicot vienreizēju maksājumu ETA fondā vismaz 50</w:t>
      </w:r>
      <w:r w:rsidR="00574C98" w:rsidRPr="00662F48">
        <w:rPr>
          <w:rFonts w:ascii="Times New Roman" w:hAnsi="Times New Roman" w:cs="Times New Roman"/>
          <w:b/>
          <w:bCs/>
          <w:sz w:val="26"/>
          <w:szCs w:val="26"/>
        </w:rPr>
        <w:t> </w:t>
      </w:r>
      <w:r w:rsidR="005C44EB" w:rsidRPr="00662F48">
        <w:rPr>
          <w:rFonts w:ascii="Times New Roman" w:hAnsi="Times New Roman" w:cs="Times New Roman"/>
          <w:b/>
          <w:bCs/>
          <w:sz w:val="26"/>
          <w:szCs w:val="26"/>
        </w:rPr>
        <w:t>000</w:t>
      </w:r>
      <w:r w:rsidR="00574C98" w:rsidRPr="00662F48">
        <w:rPr>
          <w:rFonts w:ascii="Times New Roman" w:hAnsi="Times New Roman" w:cs="Times New Roman"/>
          <w:b/>
          <w:bCs/>
          <w:sz w:val="26"/>
          <w:szCs w:val="26"/>
        </w:rPr>
        <w:t> </w:t>
      </w:r>
      <w:proofErr w:type="spellStart"/>
      <w:r w:rsidR="005C44EB" w:rsidRPr="00662F48">
        <w:rPr>
          <w:rFonts w:ascii="Times New Roman" w:hAnsi="Times New Roman" w:cs="Times New Roman"/>
          <w:b/>
          <w:bCs/>
          <w:i/>
          <w:sz w:val="26"/>
          <w:szCs w:val="26"/>
        </w:rPr>
        <w:t>e</w:t>
      </w:r>
      <w:r w:rsidR="0077525C" w:rsidRPr="00662F48">
        <w:rPr>
          <w:rFonts w:ascii="Times New Roman" w:hAnsi="Times New Roman" w:cs="Times New Roman"/>
          <w:b/>
          <w:bCs/>
          <w:i/>
          <w:sz w:val="26"/>
          <w:szCs w:val="26"/>
        </w:rPr>
        <w:t>u</w:t>
      </w:r>
      <w:r w:rsidR="005C44EB" w:rsidRPr="00662F48">
        <w:rPr>
          <w:rFonts w:ascii="Times New Roman" w:hAnsi="Times New Roman" w:cs="Times New Roman"/>
          <w:b/>
          <w:bCs/>
          <w:i/>
          <w:sz w:val="26"/>
          <w:szCs w:val="26"/>
        </w:rPr>
        <w:t>ro</w:t>
      </w:r>
      <w:proofErr w:type="spellEnd"/>
      <w:r w:rsidR="005C44EB" w:rsidRPr="00662F48">
        <w:rPr>
          <w:rFonts w:ascii="Times New Roman" w:hAnsi="Times New Roman" w:cs="Times New Roman"/>
          <w:b/>
          <w:bCs/>
          <w:sz w:val="26"/>
          <w:szCs w:val="26"/>
        </w:rPr>
        <w:t xml:space="preserve"> apmērā.</w:t>
      </w:r>
      <w:r w:rsidR="005C44EB" w:rsidRPr="00662F48">
        <w:rPr>
          <w:rFonts w:ascii="Times New Roman" w:hAnsi="Times New Roman" w:cs="Times New Roman"/>
          <w:sz w:val="26"/>
          <w:szCs w:val="26"/>
        </w:rPr>
        <w:t xml:space="preserve"> Maksājums var tikt veikts kā, pārskaitot pilnu summu ETA, tā arī pa daļām līdz pieciem maksājumiem piecu gadu laikā. Maksājumu grafiks ir atrunājams pievienošanās līgumā</w:t>
      </w:r>
      <w:r w:rsidR="00574C98">
        <w:rPr>
          <w:rFonts w:ascii="Times New Roman" w:hAnsi="Times New Roman" w:cs="Times New Roman"/>
          <w:sz w:val="26"/>
          <w:szCs w:val="26"/>
        </w:rPr>
        <w:t>,</w:t>
      </w:r>
      <w:r w:rsidR="005C44EB" w:rsidRPr="00662F48">
        <w:rPr>
          <w:rFonts w:ascii="Times New Roman" w:hAnsi="Times New Roman" w:cs="Times New Roman"/>
          <w:sz w:val="26"/>
          <w:szCs w:val="26"/>
        </w:rPr>
        <w:t xml:space="preserve"> un pirmais maksājums var tikt veikts arī pēc līguma parakstīšanas. Tajā pašā laikā, tiesības izmantot </w:t>
      </w:r>
      <w:r w:rsidR="002B26A4" w:rsidRPr="002B26A4">
        <w:rPr>
          <w:rFonts w:ascii="Times New Roman" w:hAnsi="Times New Roman" w:cs="Times New Roman"/>
          <w:sz w:val="26"/>
          <w:szCs w:val="26"/>
        </w:rPr>
        <w:t>patrona</w:t>
      </w:r>
      <w:r w:rsidR="005C44EB" w:rsidRPr="002B26A4">
        <w:rPr>
          <w:rFonts w:ascii="Times New Roman" w:hAnsi="Times New Roman" w:cs="Times New Roman"/>
          <w:sz w:val="26"/>
          <w:szCs w:val="26"/>
        </w:rPr>
        <w:t xml:space="preserve"> valsts</w:t>
      </w:r>
      <w:r w:rsidR="005C44EB" w:rsidRPr="00662F48">
        <w:rPr>
          <w:rFonts w:ascii="Times New Roman" w:hAnsi="Times New Roman" w:cs="Times New Roman"/>
          <w:sz w:val="26"/>
          <w:szCs w:val="26"/>
        </w:rPr>
        <w:t xml:space="preserve"> priekšrocības, valsts iegūst jau ar līguma parakstīšanas brīdi. </w:t>
      </w:r>
    </w:p>
    <w:p w:rsidR="005C44EB" w:rsidRPr="00662F48" w:rsidRDefault="005D39DE" w:rsidP="00B4060D">
      <w:pPr>
        <w:tabs>
          <w:tab w:val="left" w:pos="789"/>
        </w:tabs>
        <w:spacing w:after="0" w:line="240" w:lineRule="auto"/>
        <w:jc w:val="both"/>
        <w:rPr>
          <w:rFonts w:ascii="Times New Roman" w:eastAsia="Times New Roman" w:hAnsi="Times New Roman" w:cs="Times New Roman"/>
          <w:sz w:val="26"/>
          <w:szCs w:val="26"/>
        </w:rPr>
      </w:pPr>
      <w:r w:rsidRPr="00662F48">
        <w:rPr>
          <w:rFonts w:ascii="Times New Roman" w:hAnsi="Times New Roman" w:cs="Times New Roman"/>
          <w:sz w:val="26"/>
          <w:szCs w:val="26"/>
        </w:rPr>
        <w:tab/>
      </w:r>
      <w:r w:rsidR="005C44EB" w:rsidRPr="00662F48">
        <w:rPr>
          <w:rFonts w:ascii="Times New Roman" w:hAnsi="Times New Roman" w:cs="Times New Roman"/>
          <w:sz w:val="26"/>
          <w:szCs w:val="26"/>
        </w:rPr>
        <w:t xml:space="preserve">Līguma slēgšana uzskatāma par Tiesu administrācijai piekritīgu jautājumu, jo ETA nodrošina apmācības ES tiesību jautājumos tiesnešiem un tiesu darbiniekiem. </w:t>
      </w:r>
    </w:p>
    <w:p w:rsidR="005C44EB" w:rsidRPr="00662F48" w:rsidRDefault="005C44EB" w:rsidP="005D39DE">
      <w:pPr>
        <w:spacing w:after="0" w:line="240" w:lineRule="auto"/>
        <w:ind w:firstLine="720"/>
        <w:jc w:val="both"/>
        <w:rPr>
          <w:rFonts w:ascii="Times New Roman" w:eastAsia="Times New Roman" w:hAnsi="Times New Roman" w:cs="Times New Roman"/>
          <w:sz w:val="26"/>
          <w:szCs w:val="26"/>
        </w:rPr>
      </w:pPr>
      <w:r w:rsidRPr="00662F48">
        <w:rPr>
          <w:rFonts w:ascii="Times New Roman" w:hAnsi="Times New Roman" w:cs="Times New Roman"/>
          <w:sz w:val="26"/>
          <w:szCs w:val="26"/>
        </w:rPr>
        <w:t xml:space="preserve">Ņemot vērā Tiesu administrācijas funkcijas, nodrošināt tiesnešu un tiesu darbinieku apmācību, </w:t>
      </w:r>
      <w:r w:rsidRPr="00662F48">
        <w:rPr>
          <w:rFonts w:ascii="Times New Roman" w:hAnsi="Times New Roman" w:cs="Times New Roman"/>
          <w:b/>
          <w:bCs/>
          <w:sz w:val="26"/>
          <w:szCs w:val="26"/>
        </w:rPr>
        <w:t>Tiesu administrācija varētu nodrošināt Latvijas pārstāvību ETA.</w:t>
      </w:r>
    </w:p>
    <w:p w:rsidR="005C44EB" w:rsidRPr="00662F48" w:rsidRDefault="005C44EB" w:rsidP="005C44EB">
      <w:pPr>
        <w:spacing w:after="0" w:line="240" w:lineRule="auto"/>
        <w:jc w:val="both"/>
        <w:rPr>
          <w:rFonts w:ascii="Times New Roman" w:hAnsi="Times New Roman" w:cs="Times New Roman"/>
          <w:sz w:val="26"/>
          <w:szCs w:val="26"/>
        </w:rPr>
      </w:pPr>
      <w:r w:rsidRPr="00662F48">
        <w:rPr>
          <w:rFonts w:ascii="Times New Roman" w:hAnsi="Times New Roman" w:cs="Times New Roman"/>
          <w:sz w:val="26"/>
          <w:szCs w:val="26"/>
        </w:rPr>
        <w:t xml:space="preserve">Tiesu administrācijai nepieciešams nodrošināt: </w:t>
      </w:r>
    </w:p>
    <w:p w:rsidR="005C44EB" w:rsidRPr="00662F48" w:rsidRDefault="005C44EB" w:rsidP="005C44EB">
      <w:pPr>
        <w:pStyle w:val="Sarakstarindkopa"/>
        <w:numPr>
          <w:ilvl w:val="0"/>
          <w:numId w:val="2"/>
        </w:numPr>
        <w:contextualSpacing w:val="0"/>
        <w:jc w:val="both"/>
        <w:rPr>
          <w:sz w:val="26"/>
          <w:szCs w:val="26"/>
          <w:lang w:eastAsia="en-US"/>
        </w:rPr>
      </w:pPr>
      <w:r w:rsidRPr="00662F48">
        <w:rPr>
          <w:sz w:val="26"/>
          <w:szCs w:val="26"/>
          <w:lang w:eastAsia="en-US"/>
        </w:rPr>
        <w:t xml:space="preserve">līguma noslēgšanu ar ETA, </w:t>
      </w:r>
    </w:p>
    <w:p w:rsidR="005C44EB" w:rsidRPr="00662F48" w:rsidRDefault="005C44EB" w:rsidP="005C44EB">
      <w:pPr>
        <w:pStyle w:val="Sarakstarindkopa"/>
        <w:numPr>
          <w:ilvl w:val="0"/>
          <w:numId w:val="2"/>
        </w:numPr>
        <w:contextualSpacing w:val="0"/>
        <w:jc w:val="both"/>
        <w:rPr>
          <w:sz w:val="26"/>
          <w:szCs w:val="26"/>
          <w:lang w:eastAsia="en-US"/>
        </w:rPr>
      </w:pPr>
      <w:r w:rsidRPr="00662F48">
        <w:rPr>
          <w:sz w:val="26"/>
          <w:szCs w:val="26"/>
          <w:lang w:eastAsia="en-US"/>
        </w:rPr>
        <w:t>vienreizējās iemaksas veikšanu ETA budžetā 50</w:t>
      </w:r>
      <w:r w:rsidR="00150CEB" w:rsidRPr="00662F48">
        <w:rPr>
          <w:sz w:val="26"/>
          <w:szCs w:val="26"/>
          <w:lang w:eastAsia="en-US"/>
        </w:rPr>
        <w:t> </w:t>
      </w:r>
      <w:r w:rsidRPr="00662F48">
        <w:rPr>
          <w:sz w:val="26"/>
          <w:szCs w:val="26"/>
          <w:lang w:eastAsia="en-US"/>
        </w:rPr>
        <w:t>000</w:t>
      </w:r>
      <w:r w:rsidR="00150CEB" w:rsidRPr="00662F48">
        <w:rPr>
          <w:sz w:val="26"/>
          <w:szCs w:val="26"/>
          <w:lang w:eastAsia="en-US"/>
        </w:rPr>
        <w:t> </w:t>
      </w:r>
      <w:proofErr w:type="spellStart"/>
      <w:r w:rsidR="0077525C" w:rsidRPr="00662F48">
        <w:rPr>
          <w:i/>
          <w:sz w:val="26"/>
          <w:szCs w:val="26"/>
          <w:lang w:eastAsia="en-US"/>
        </w:rPr>
        <w:t>euro</w:t>
      </w:r>
      <w:proofErr w:type="spellEnd"/>
      <w:r w:rsidRPr="00662F48">
        <w:rPr>
          <w:sz w:val="26"/>
          <w:szCs w:val="26"/>
          <w:lang w:eastAsia="en-US"/>
        </w:rPr>
        <w:t xml:space="preserve"> apmērā,</w:t>
      </w:r>
    </w:p>
    <w:p w:rsidR="005C44EB" w:rsidRPr="00662F48" w:rsidRDefault="005C44EB" w:rsidP="005C44EB">
      <w:pPr>
        <w:pStyle w:val="Sarakstarindkopa"/>
        <w:numPr>
          <w:ilvl w:val="0"/>
          <w:numId w:val="2"/>
        </w:numPr>
        <w:contextualSpacing w:val="0"/>
        <w:jc w:val="both"/>
        <w:rPr>
          <w:sz w:val="26"/>
          <w:szCs w:val="26"/>
          <w:lang w:eastAsia="en-US"/>
        </w:rPr>
      </w:pPr>
      <w:r w:rsidRPr="00662F48">
        <w:rPr>
          <w:sz w:val="26"/>
          <w:szCs w:val="26"/>
          <w:lang w:eastAsia="en-US"/>
        </w:rPr>
        <w:t xml:space="preserve">pārstāvja deleģēšanu dalībai ETA Vadības padomē, </w:t>
      </w:r>
    </w:p>
    <w:p w:rsidR="005C44EB" w:rsidRPr="00662F48" w:rsidRDefault="005C44EB" w:rsidP="005C44EB">
      <w:pPr>
        <w:pStyle w:val="Sarakstarindkopa"/>
        <w:numPr>
          <w:ilvl w:val="0"/>
          <w:numId w:val="2"/>
        </w:numPr>
        <w:contextualSpacing w:val="0"/>
        <w:jc w:val="both"/>
        <w:rPr>
          <w:sz w:val="26"/>
          <w:szCs w:val="26"/>
          <w:lang w:eastAsia="en-US"/>
        </w:rPr>
      </w:pPr>
      <w:r w:rsidRPr="00662F48">
        <w:rPr>
          <w:sz w:val="26"/>
          <w:szCs w:val="26"/>
          <w:lang w:eastAsia="en-US"/>
        </w:rPr>
        <w:t xml:space="preserve">kā arī Latvijas interešu turpmāko pārstāvību ETA, pēc patrona valsts statusa iegūšanas. </w:t>
      </w:r>
    </w:p>
    <w:p w:rsidR="005C44EB" w:rsidRPr="00662F48" w:rsidRDefault="005C44EB" w:rsidP="005C44EB">
      <w:pPr>
        <w:spacing w:after="0" w:line="240" w:lineRule="auto"/>
        <w:jc w:val="both"/>
        <w:rPr>
          <w:rFonts w:ascii="Times New Roman" w:eastAsia="Times New Roman" w:hAnsi="Times New Roman" w:cs="Times New Roman"/>
          <w:sz w:val="26"/>
          <w:szCs w:val="26"/>
        </w:rPr>
      </w:pPr>
      <w:r w:rsidRPr="00662F48">
        <w:rPr>
          <w:rFonts w:ascii="Times New Roman" w:hAnsi="Times New Roman" w:cs="Times New Roman"/>
          <w:sz w:val="26"/>
          <w:szCs w:val="26"/>
        </w:rPr>
        <w:t xml:space="preserve"> </w:t>
      </w:r>
    </w:p>
    <w:p w:rsidR="00674FDB" w:rsidRPr="00674FDB" w:rsidRDefault="00674FDB" w:rsidP="00674FDB">
      <w:pPr>
        <w:spacing w:after="0" w:line="240" w:lineRule="auto"/>
        <w:ind w:firstLine="851"/>
        <w:jc w:val="both"/>
        <w:rPr>
          <w:rFonts w:ascii="Times New Roman" w:hAnsi="Times New Roman" w:cs="Times New Roman"/>
          <w:bCs/>
          <w:sz w:val="26"/>
          <w:szCs w:val="26"/>
        </w:rPr>
      </w:pPr>
      <w:r w:rsidRPr="00414ACF">
        <w:rPr>
          <w:rFonts w:ascii="Times New Roman" w:hAnsi="Times New Roman" w:cs="Times New Roman"/>
          <w:b/>
          <w:sz w:val="26"/>
          <w:szCs w:val="26"/>
        </w:rPr>
        <w:t>Līguma noslēgšanai ar ETA netiek piemērota Publisko iepirkumu likumā noteiktā procedūra</w:t>
      </w:r>
      <w:r w:rsidRPr="00414ACF">
        <w:rPr>
          <w:rFonts w:ascii="Times New Roman" w:hAnsi="Times New Roman" w:cs="Times New Roman"/>
          <w:bCs/>
          <w:sz w:val="26"/>
          <w:szCs w:val="26"/>
        </w:rPr>
        <w:t>, jo ko</w:t>
      </w:r>
      <w:r w:rsidR="0073498E" w:rsidRPr="00414ACF">
        <w:rPr>
          <w:rFonts w:ascii="Times New Roman" w:hAnsi="Times New Roman" w:cs="Times New Roman"/>
          <w:bCs/>
          <w:sz w:val="26"/>
          <w:szCs w:val="26"/>
        </w:rPr>
        <w:t>nkrētajā gadījumā ETA neatbilst</w:t>
      </w:r>
      <w:r w:rsidRPr="00414ACF">
        <w:rPr>
          <w:rFonts w:ascii="Times New Roman" w:hAnsi="Times New Roman" w:cs="Times New Roman"/>
          <w:bCs/>
          <w:sz w:val="26"/>
          <w:szCs w:val="26"/>
        </w:rPr>
        <w:t xml:space="preserve"> piegādātāja definīcijai Publisko iepirkumu likuma izpratnē. Līgums ar ETA tiek noslēgts</w:t>
      </w:r>
      <w:r w:rsidR="0073498E" w:rsidRPr="00414ACF">
        <w:rPr>
          <w:rFonts w:ascii="Times New Roman" w:hAnsi="Times New Roman" w:cs="Times New Roman"/>
          <w:bCs/>
          <w:sz w:val="26"/>
          <w:szCs w:val="26"/>
        </w:rPr>
        <w:t>,</w:t>
      </w:r>
      <w:r w:rsidRPr="00414ACF">
        <w:rPr>
          <w:rFonts w:ascii="Times New Roman" w:hAnsi="Times New Roman" w:cs="Times New Roman"/>
          <w:bCs/>
          <w:sz w:val="26"/>
          <w:szCs w:val="26"/>
        </w:rPr>
        <w:t xml:space="preserve"> pamatojoties uz ETA statūtiem</w:t>
      </w:r>
      <w:r w:rsidR="0073498E" w:rsidRPr="00414ACF">
        <w:rPr>
          <w:rFonts w:ascii="Times New Roman" w:hAnsi="Times New Roman" w:cs="Times New Roman"/>
          <w:bCs/>
          <w:sz w:val="26"/>
          <w:szCs w:val="26"/>
        </w:rPr>
        <w:t>.  Līgumā noteiktā</w:t>
      </w:r>
      <w:r w:rsidR="001F4516" w:rsidRPr="00414ACF">
        <w:rPr>
          <w:rFonts w:ascii="Times New Roman" w:hAnsi="Times New Roman" w:cs="Times New Roman"/>
          <w:bCs/>
          <w:sz w:val="26"/>
          <w:szCs w:val="26"/>
        </w:rPr>
        <w:t xml:space="preserve">s patrona </w:t>
      </w:r>
      <w:r w:rsidR="0099632B" w:rsidRPr="00414ACF">
        <w:rPr>
          <w:rFonts w:ascii="Times New Roman" w:hAnsi="Times New Roman" w:cs="Times New Roman"/>
          <w:bCs/>
          <w:sz w:val="26"/>
          <w:szCs w:val="26"/>
        </w:rPr>
        <w:t xml:space="preserve">jeb donora </w:t>
      </w:r>
      <w:r w:rsidR="001F4516" w:rsidRPr="00414ACF">
        <w:rPr>
          <w:rFonts w:ascii="Times New Roman" w:hAnsi="Times New Roman" w:cs="Times New Roman"/>
          <w:bCs/>
          <w:sz w:val="26"/>
          <w:szCs w:val="26"/>
        </w:rPr>
        <w:t>valsts priekšrocības, piemēram, dalība Vadības padomē, nav pakalpojums Publisko iepirkumu likuma izpratnē.</w:t>
      </w:r>
      <w:r w:rsidR="001F4516">
        <w:rPr>
          <w:rFonts w:ascii="Times New Roman" w:hAnsi="Times New Roman" w:cs="Times New Roman"/>
          <w:bCs/>
          <w:sz w:val="26"/>
          <w:szCs w:val="26"/>
        </w:rPr>
        <w:t xml:space="preserve"> </w:t>
      </w:r>
    </w:p>
    <w:p w:rsidR="001E70FA" w:rsidRPr="00662F48" w:rsidRDefault="005C44EB" w:rsidP="00597644">
      <w:pPr>
        <w:spacing w:after="0" w:line="240" w:lineRule="auto"/>
        <w:ind w:firstLine="851"/>
        <w:jc w:val="both"/>
        <w:rPr>
          <w:rFonts w:ascii="Times New Roman" w:hAnsi="Times New Roman"/>
          <w:sz w:val="26"/>
          <w:szCs w:val="26"/>
        </w:rPr>
      </w:pPr>
      <w:r w:rsidRPr="00662F48">
        <w:rPr>
          <w:rFonts w:ascii="Times New Roman" w:hAnsi="Times New Roman" w:cs="Times New Roman"/>
          <w:b/>
          <w:sz w:val="26"/>
          <w:szCs w:val="26"/>
        </w:rPr>
        <w:t>Prognozējamā finansiālā ietekme uz budžetu</w:t>
      </w:r>
      <w:r w:rsidRPr="00662F48">
        <w:rPr>
          <w:rFonts w:ascii="Times New Roman" w:hAnsi="Times New Roman" w:cs="Times New Roman"/>
          <w:sz w:val="26"/>
          <w:szCs w:val="26"/>
        </w:rPr>
        <w:t xml:space="preserve"> 50 000 </w:t>
      </w:r>
      <w:proofErr w:type="spellStart"/>
      <w:r w:rsidR="0077525C" w:rsidRPr="00662F48">
        <w:rPr>
          <w:rFonts w:ascii="Times New Roman" w:hAnsi="Times New Roman" w:cs="Times New Roman"/>
          <w:i/>
          <w:sz w:val="26"/>
          <w:szCs w:val="26"/>
        </w:rPr>
        <w:t>euro</w:t>
      </w:r>
      <w:proofErr w:type="spellEnd"/>
      <w:r w:rsidRPr="00662F48">
        <w:rPr>
          <w:rFonts w:ascii="Times New Roman" w:hAnsi="Times New Roman" w:cs="Times New Roman"/>
          <w:sz w:val="26"/>
          <w:szCs w:val="26"/>
        </w:rPr>
        <w:t xml:space="preserve"> (kā vienreizējā iemaksa ETA budžetā)</w:t>
      </w:r>
      <w:r w:rsidR="004012A9" w:rsidRPr="00662F48">
        <w:rPr>
          <w:rFonts w:ascii="Times New Roman" w:hAnsi="Times New Roman" w:cs="Times New Roman"/>
          <w:sz w:val="26"/>
          <w:szCs w:val="26"/>
        </w:rPr>
        <w:t>.</w:t>
      </w:r>
      <w:r w:rsidRPr="00662F48">
        <w:rPr>
          <w:rFonts w:ascii="Times New Roman" w:hAnsi="Times New Roman" w:cs="Times New Roman"/>
          <w:sz w:val="26"/>
          <w:szCs w:val="26"/>
        </w:rPr>
        <w:t xml:space="preserve"> </w:t>
      </w:r>
      <w:r w:rsidR="005561C0" w:rsidRPr="00662F48">
        <w:rPr>
          <w:rFonts w:ascii="Times New Roman" w:hAnsi="Times New Roman" w:cs="Times New Roman"/>
          <w:sz w:val="26"/>
          <w:szCs w:val="26"/>
        </w:rPr>
        <w:t xml:space="preserve">Kā iespējamais </w:t>
      </w:r>
      <w:r w:rsidR="005561C0" w:rsidRPr="00662F48">
        <w:rPr>
          <w:rFonts w:ascii="Times New Roman" w:hAnsi="Times New Roman" w:cs="Times New Roman"/>
          <w:b/>
          <w:sz w:val="26"/>
          <w:szCs w:val="26"/>
        </w:rPr>
        <w:t>finansēšanas avots</w:t>
      </w:r>
      <w:r w:rsidR="005561C0" w:rsidRPr="00662F48">
        <w:rPr>
          <w:rFonts w:ascii="Times New Roman" w:hAnsi="Times New Roman" w:cs="Times New Roman"/>
          <w:sz w:val="26"/>
          <w:szCs w:val="26"/>
        </w:rPr>
        <w:t xml:space="preserve"> </w:t>
      </w:r>
      <w:r w:rsidR="00E75459" w:rsidRPr="00662F48">
        <w:rPr>
          <w:rFonts w:ascii="Times New Roman" w:hAnsi="Times New Roman" w:cs="Times New Roman"/>
          <w:sz w:val="26"/>
          <w:szCs w:val="26"/>
        </w:rPr>
        <w:t>varētu būt līdzekļu atlikums</w:t>
      </w:r>
      <w:r w:rsidR="00D83019" w:rsidRPr="00662F48">
        <w:rPr>
          <w:rFonts w:ascii="Times New Roman" w:hAnsi="Times New Roman" w:cs="Times New Roman"/>
          <w:sz w:val="26"/>
          <w:szCs w:val="26"/>
        </w:rPr>
        <w:t xml:space="preserve"> </w:t>
      </w:r>
      <w:r w:rsidR="00E75459" w:rsidRPr="00662F48">
        <w:rPr>
          <w:rFonts w:ascii="Times New Roman" w:hAnsi="Times New Roman" w:cs="Times New Roman"/>
          <w:sz w:val="26"/>
          <w:szCs w:val="26"/>
        </w:rPr>
        <w:t>budžeta apakšprogrammā 03.02.00</w:t>
      </w:r>
      <w:r w:rsidR="00574C98" w:rsidRPr="00662F48">
        <w:rPr>
          <w:rFonts w:ascii="Times New Roman" w:hAnsi="Times New Roman" w:cs="Times New Roman"/>
          <w:sz w:val="26"/>
          <w:szCs w:val="26"/>
        </w:rPr>
        <w:t> </w:t>
      </w:r>
      <w:r w:rsidR="0077525C" w:rsidRPr="00662F48">
        <w:rPr>
          <w:rFonts w:ascii="Times New Roman" w:hAnsi="Times New Roman" w:cs="Times New Roman"/>
          <w:sz w:val="26"/>
          <w:szCs w:val="26"/>
        </w:rPr>
        <w:t>"</w:t>
      </w:r>
      <w:r w:rsidR="00E75459" w:rsidRPr="00662F48">
        <w:rPr>
          <w:rFonts w:ascii="Times New Roman" w:hAnsi="Times New Roman" w:cs="Times New Roman"/>
          <w:sz w:val="26"/>
          <w:szCs w:val="26"/>
        </w:rPr>
        <w:t>Apgabaltiesas un rajonu (pilsētu) tiesas</w:t>
      </w:r>
      <w:r w:rsidR="0077525C" w:rsidRPr="00662F48">
        <w:rPr>
          <w:rFonts w:ascii="Times New Roman" w:hAnsi="Times New Roman" w:cs="Times New Roman"/>
          <w:sz w:val="26"/>
          <w:szCs w:val="26"/>
        </w:rPr>
        <w:t>"</w:t>
      </w:r>
      <w:r w:rsidR="00E75459" w:rsidRPr="00662F48">
        <w:rPr>
          <w:rFonts w:ascii="Times New Roman" w:hAnsi="Times New Roman" w:cs="Times New Roman"/>
          <w:sz w:val="26"/>
          <w:szCs w:val="26"/>
        </w:rPr>
        <w:t xml:space="preserve"> tulkošanas pakalpojumiem</w:t>
      </w:r>
      <w:r w:rsidR="001F17B8" w:rsidRPr="00662F48">
        <w:rPr>
          <w:rFonts w:ascii="Times New Roman" w:hAnsi="Times New Roman" w:cs="Times New Roman"/>
          <w:sz w:val="26"/>
          <w:szCs w:val="26"/>
        </w:rPr>
        <w:t>,</w:t>
      </w:r>
      <w:r w:rsidR="001F17B8" w:rsidRPr="00662F48">
        <w:rPr>
          <w:rFonts w:ascii="Times New Roman" w:hAnsi="Times New Roman"/>
          <w:sz w:val="26"/>
          <w:szCs w:val="26"/>
        </w:rPr>
        <w:t xml:space="preserve"> jo prognozējams </w:t>
      </w:r>
      <w:r w:rsidR="00597644" w:rsidRPr="00662F48">
        <w:rPr>
          <w:rFonts w:ascii="Times New Roman" w:hAnsi="Times New Roman"/>
          <w:sz w:val="26"/>
          <w:szCs w:val="26"/>
        </w:rPr>
        <w:t>2014.</w:t>
      </w:r>
      <w:r w:rsidR="0077525C" w:rsidRPr="00662F48">
        <w:rPr>
          <w:rFonts w:ascii="Times New Roman" w:hAnsi="Times New Roman"/>
          <w:sz w:val="26"/>
          <w:szCs w:val="26"/>
        </w:rPr>
        <w:t> </w:t>
      </w:r>
      <w:r w:rsidR="00597644" w:rsidRPr="00662F48">
        <w:rPr>
          <w:rFonts w:ascii="Times New Roman" w:hAnsi="Times New Roman"/>
          <w:sz w:val="26"/>
          <w:szCs w:val="26"/>
        </w:rPr>
        <w:t xml:space="preserve">gada </w:t>
      </w:r>
      <w:r w:rsidR="001F17B8" w:rsidRPr="00662F48">
        <w:rPr>
          <w:rFonts w:ascii="Times New Roman" w:hAnsi="Times New Roman"/>
          <w:sz w:val="26"/>
          <w:szCs w:val="26"/>
        </w:rPr>
        <w:t xml:space="preserve">jaunās politikas iniciatīvas (turpmāk – JPI) </w:t>
      </w:r>
      <w:r w:rsidR="0077525C" w:rsidRPr="00662F48">
        <w:rPr>
          <w:rFonts w:ascii="Times New Roman" w:hAnsi="Times New Roman"/>
          <w:sz w:val="26"/>
          <w:szCs w:val="26"/>
        </w:rPr>
        <w:t>"</w:t>
      </w:r>
      <w:r w:rsidR="001F17B8" w:rsidRPr="00662F48">
        <w:rPr>
          <w:rFonts w:ascii="Times New Roman" w:hAnsi="Times New Roman"/>
          <w:sz w:val="26"/>
          <w:szCs w:val="26"/>
        </w:rPr>
        <w:t>Mutvārdu un procesuālo dokumentu tulkošana atbilstoši Kriminālprocesa likumam</w:t>
      </w:r>
      <w:r w:rsidR="00597644" w:rsidRPr="00662F48">
        <w:rPr>
          <w:rFonts w:ascii="Times New Roman" w:hAnsi="Times New Roman"/>
          <w:sz w:val="26"/>
          <w:szCs w:val="26"/>
        </w:rPr>
        <w:t>"</w:t>
      </w:r>
      <w:r w:rsidR="001F17B8" w:rsidRPr="00662F48">
        <w:rPr>
          <w:rFonts w:ascii="Times New Roman" w:hAnsi="Times New Roman"/>
          <w:sz w:val="26"/>
          <w:szCs w:val="26"/>
        </w:rPr>
        <w:t xml:space="preserve"> 2016. gadam piešķirtās apropriācijas </w:t>
      </w:r>
      <w:r w:rsidR="001E70FA" w:rsidRPr="00662F48">
        <w:rPr>
          <w:rFonts w:ascii="Times New Roman" w:hAnsi="Times New Roman"/>
          <w:sz w:val="26"/>
          <w:szCs w:val="26"/>
        </w:rPr>
        <w:t>357</w:t>
      </w:r>
      <w:r w:rsidR="00574C98" w:rsidRPr="00662F48">
        <w:rPr>
          <w:rFonts w:ascii="Times New Roman" w:hAnsi="Times New Roman"/>
          <w:sz w:val="26"/>
          <w:szCs w:val="26"/>
        </w:rPr>
        <w:t> </w:t>
      </w:r>
      <w:r w:rsidR="001E70FA" w:rsidRPr="00662F48">
        <w:rPr>
          <w:rFonts w:ascii="Times New Roman" w:hAnsi="Times New Roman"/>
          <w:sz w:val="26"/>
          <w:szCs w:val="26"/>
        </w:rPr>
        <w:t>366</w:t>
      </w:r>
      <w:r w:rsidR="00574C98" w:rsidRPr="00662F48">
        <w:rPr>
          <w:rFonts w:ascii="Times New Roman" w:hAnsi="Times New Roman"/>
          <w:sz w:val="26"/>
          <w:szCs w:val="26"/>
        </w:rPr>
        <w:t> </w:t>
      </w:r>
      <w:proofErr w:type="spellStart"/>
      <w:r w:rsidR="001E70FA" w:rsidRPr="00662F48">
        <w:rPr>
          <w:rFonts w:ascii="Times New Roman" w:hAnsi="Times New Roman"/>
          <w:i/>
          <w:sz w:val="26"/>
          <w:szCs w:val="26"/>
        </w:rPr>
        <w:t>euro</w:t>
      </w:r>
      <w:proofErr w:type="spellEnd"/>
      <w:r w:rsidR="001E70FA" w:rsidRPr="00662F48">
        <w:rPr>
          <w:rFonts w:ascii="Times New Roman" w:hAnsi="Times New Roman"/>
          <w:sz w:val="26"/>
          <w:szCs w:val="26"/>
        </w:rPr>
        <w:t xml:space="preserve"> </w:t>
      </w:r>
      <w:r w:rsidR="001F17B8" w:rsidRPr="00662F48">
        <w:rPr>
          <w:rFonts w:ascii="Times New Roman" w:hAnsi="Times New Roman"/>
          <w:sz w:val="26"/>
          <w:szCs w:val="26"/>
        </w:rPr>
        <w:t>atlikums 130</w:t>
      </w:r>
      <w:r w:rsidR="00574C98" w:rsidRPr="00662F48">
        <w:rPr>
          <w:rFonts w:ascii="Times New Roman" w:hAnsi="Times New Roman"/>
          <w:sz w:val="26"/>
          <w:szCs w:val="26"/>
        </w:rPr>
        <w:t> </w:t>
      </w:r>
      <w:r w:rsidR="001F17B8" w:rsidRPr="00662F48">
        <w:rPr>
          <w:rFonts w:ascii="Times New Roman" w:hAnsi="Times New Roman"/>
          <w:sz w:val="26"/>
          <w:szCs w:val="26"/>
        </w:rPr>
        <w:t>690</w:t>
      </w:r>
      <w:r w:rsidR="00574C98" w:rsidRPr="00662F48">
        <w:rPr>
          <w:rFonts w:ascii="Times New Roman" w:hAnsi="Times New Roman"/>
          <w:sz w:val="26"/>
          <w:szCs w:val="26"/>
        </w:rPr>
        <w:t> </w:t>
      </w:r>
      <w:proofErr w:type="spellStart"/>
      <w:r w:rsidR="001F17B8" w:rsidRPr="00662F48">
        <w:rPr>
          <w:rFonts w:ascii="Times New Roman" w:hAnsi="Times New Roman"/>
          <w:i/>
          <w:sz w:val="26"/>
          <w:szCs w:val="26"/>
        </w:rPr>
        <w:t>euro</w:t>
      </w:r>
      <w:proofErr w:type="spellEnd"/>
      <w:r w:rsidR="001F17B8" w:rsidRPr="00662F48">
        <w:rPr>
          <w:rFonts w:ascii="Times New Roman" w:hAnsi="Times New Roman"/>
          <w:sz w:val="26"/>
          <w:szCs w:val="26"/>
        </w:rPr>
        <w:t xml:space="preserve"> apmērā. </w:t>
      </w:r>
    </w:p>
    <w:p w:rsidR="001F17B8" w:rsidRPr="00381CD0" w:rsidRDefault="001F17B8" w:rsidP="00597644">
      <w:pPr>
        <w:spacing w:after="0" w:line="240" w:lineRule="auto"/>
        <w:ind w:firstLine="720"/>
        <w:jc w:val="both"/>
        <w:rPr>
          <w:rFonts w:ascii="Times New Roman" w:hAnsi="Times New Roman"/>
          <w:sz w:val="26"/>
          <w:szCs w:val="26"/>
        </w:rPr>
      </w:pPr>
      <w:r w:rsidRPr="00662F48">
        <w:rPr>
          <w:rFonts w:ascii="Times New Roman" w:hAnsi="Times New Roman"/>
          <w:sz w:val="26"/>
          <w:szCs w:val="26"/>
        </w:rPr>
        <w:lastRenderedPageBreak/>
        <w:t>Sagatavojot aprēķinus par papildu nepieciešamo finansējumu grozījumiem Kriminālprocesa likuma 11.</w:t>
      </w:r>
      <w:r w:rsidR="0077525C" w:rsidRPr="00662F48">
        <w:rPr>
          <w:rFonts w:ascii="Times New Roman" w:hAnsi="Times New Roman"/>
          <w:sz w:val="26"/>
          <w:szCs w:val="26"/>
        </w:rPr>
        <w:t> </w:t>
      </w:r>
      <w:r w:rsidRPr="00662F48">
        <w:rPr>
          <w:rFonts w:ascii="Times New Roman" w:hAnsi="Times New Roman"/>
          <w:sz w:val="26"/>
          <w:szCs w:val="26"/>
        </w:rPr>
        <w:t>pantā, kas paredz no valsts budžeta segt izdevumus par tulka pakalpojumiem personai tiekoties ar aizstāvi, tika prognozēts, ka</w:t>
      </w:r>
      <w:r w:rsidR="00F847C6" w:rsidRPr="00662F48">
        <w:rPr>
          <w:rFonts w:ascii="Times New Roman" w:hAnsi="Times New Roman"/>
          <w:sz w:val="26"/>
          <w:szCs w:val="26"/>
        </w:rPr>
        <w:t xml:space="preserve"> gadā būs 3</w:t>
      </w:r>
      <w:r w:rsidR="0077525C" w:rsidRPr="00662F48">
        <w:rPr>
          <w:rFonts w:ascii="Times New Roman" w:hAnsi="Times New Roman"/>
          <w:sz w:val="26"/>
          <w:szCs w:val="26"/>
        </w:rPr>
        <w:t> </w:t>
      </w:r>
      <w:r w:rsidR="00F847C6" w:rsidRPr="00662F48">
        <w:rPr>
          <w:rFonts w:ascii="Times New Roman" w:hAnsi="Times New Roman"/>
          <w:sz w:val="26"/>
          <w:szCs w:val="26"/>
        </w:rPr>
        <w:t xml:space="preserve">401 šāds gadījums (aptuveni </w:t>
      </w:r>
      <w:r w:rsidRPr="00662F48">
        <w:rPr>
          <w:rFonts w:ascii="Times New Roman" w:hAnsi="Times New Roman"/>
          <w:sz w:val="26"/>
          <w:szCs w:val="26"/>
        </w:rPr>
        <w:t>30</w:t>
      </w:r>
      <w:r w:rsidR="00F847C6" w:rsidRPr="00662F48">
        <w:rPr>
          <w:rFonts w:ascii="Times New Roman" w:hAnsi="Times New Roman"/>
          <w:sz w:val="26"/>
          <w:szCs w:val="26"/>
        </w:rPr>
        <w:t> </w:t>
      </w:r>
      <w:r w:rsidRPr="00662F48">
        <w:rPr>
          <w:rFonts w:ascii="Times New Roman" w:hAnsi="Times New Roman"/>
          <w:sz w:val="26"/>
          <w:szCs w:val="26"/>
        </w:rPr>
        <w:t>% no gadā pabeigtajām krimināllietām), bet faktiski 2016.</w:t>
      </w:r>
      <w:r w:rsidR="0077525C" w:rsidRPr="00662F48">
        <w:rPr>
          <w:rFonts w:ascii="Times New Roman" w:hAnsi="Times New Roman"/>
          <w:sz w:val="26"/>
          <w:szCs w:val="26"/>
        </w:rPr>
        <w:t> </w:t>
      </w:r>
      <w:r w:rsidRPr="00662F48">
        <w:rPr>
          <w:rFonts w:ascii="Times New Roman" w:hAnsi="Times New Roman"/>
          <w:sz w:val="26"/>
          <w:szCs w:val="26"/>
        </w:rPr>
        <w:t>gada 9</w:t>
      </w:r>
      <w:r w:rsidR="00150CEB" w:rsidRPr="00662F48">
        <w:rPr>
          <w:rFonts w:ascii="Times New Roman" w:hAnsi="Times New Roman"/>
          <w:sz w:val="26"/>
          <w:szCs w:val="26"/>
        </w:rPr>
        <w:t> </w:t>
      </w:r>
      <w:r w:rsidRPr="00662F48">
        <w:rPr>
          <w:rFonts w:ascii="Times New Roman" w:hAnsi="Times New Roman"/>
          <w:sz w:val="26"/>
          <w:szCs w:val="26"/>
        </w:rPr>
        <w:t>mēnešos tiesnesim, kā procesa virzītājam, nav iesniegts neviens personas vai viņas aizstāvja iesniegums par tulkojuma nodrošināšanu</w:t>
      </w:r>
      <w:r w:rsidR="006F303F" w:rsidRPr="00662F48">
        <w:rPr>
          <w:rFonts w:ascii="Times New Roman" w:hAnsi="Times New Roman"/>
          <w:sz w:val="26"/>
          <w:szCs w:val="26"/>
        </w:rPr>
        <w:t>,</w:t>
      </w:r>
      <w:r w:rsidRPr="00662F48">
        <w:rPr>
          <w:rFonts w:ascii="Times New Roman" w:hAnsi="Times New Roman"/>
          <w:sz w:val="26"/>
          <w:szCs w:val="26"/>
        </w:rPr>
        <w:t xml:space="preserve"> un izdevumi ir saistīti tikai ar lēmuma rakstveida tulkojuma izsniegšanu aizdomās turētajam vai apsūdzētajam viņam saprotamā valodā.</w:t>
      </w:r>
      <w:r w:rsidRPr="00662F48">
        <w:rPr>
          <w:rFonts w:ascii="Times New Roman" w:eastAsia="Times New Roman" w:hAnsi="Times New Roman"/>
          <w:sz w:val="26"/>
          <w:szCs w:val="26"/>
          <w:lang w:eastAsia="lv-LV"/>
        </w:rPr>
        <w:t xml:space="preserve"> </w:t>
      </w:r>
      <w:r w:rsidRPr="00662F48">
        <w:rPr>
          <w:rFonts w:ascii="Times New Roman" w:hAnsi="Times New Roman"/>
          <w:sz w:val="26"/>
          <w:szCs w:val="26"/>
        </w:rPr>
        <w:t xml:space="preserve">Faktiski </w:t>
      </w:r>
      <w:r w:rsidR="00D3338E" w:rsidRPr="00662F48">
        <w:rPr>
          <w:rFonts w:ascii="Times New Roman" w:hAnsi="Times New Roman"/>
          <w:sz w:val="26"/>
          <w:szCs w:val="26"/>
        </w:rPr>
        <w:t>2016.</w:t>
      </w:r>
      <w:r w:rsidR="0077525C" w:rsidRPr="00662F48">
        <w:rPr>
          <w:rFonts w:ascii="Times New Roman" w:hAnsi="Times New Roman"/>
          <w:sz w:val="26"/>
          <w:szCs w:val="26"/>
        </w:rPr>
        <w:t> </w:t>
      </w:r>
      <w:r w:rsidR="00D3338E" w:rsidRPr="00662F48">
        <w:rPr>
          <w:rFonts w:ascii="Times New Roman" w:hAnsi="Times New Roman"/>
          <w:sz w:val="26"/>
          <w:szCs w:val="26"/>
        </w:rPr>
        <w:t>gada 9 mēnešos tulkošanai kriminālprocesā</w:t>
      </w:r>
      <w:r w:rsidRPr="00662F48">
        <w:rPr>
          <w:rFonts w:ascii="Times New Roman" w:hAnsi="Times New Roman"/>
          <w:sz w:val="26"/>
          <w:szCs w:val="26"/>
        </w:rPr>
        <w:t xml:space="preserve"> </w:t>
      </w:r>
      <w:r w:rsidR="00D3338E" w:rsidRPr="00662F48">
        <w:rPr>
          <w:rFonts w:ascii="Times New Roman" w:hAnsi="Times New Roman"/>
          <w:sz w:val="26"/>
          <w:szCs w:val="26"/>
        </w:rPr>
        <w:t xml:space="preserve">izlietoti 101 930 </w:t>
      </w:r>
      <w:proofErr w:type="spellStart"/>
      <w:r w:rsidR="00D3338E" w:rsidRPr="00662F48">
        <w:rPr>
          <w:rFonts w:ascii="Times New Roman" w:hAnsi="Times New Roman"/>
          <w:i/>
          <w:sz w:val="26"/>
          <w:szCs w:val="26"/>
        </w:rPr>
        <w:t>euro</w:t>
      </w:r>
      <w:proofErr w:type="spellEnd"/>
      <w:r w:rsidR="001E70FA" w:rsidRPr="00662F48">
        <w:rPr>
          <w:rFonts w:ascii="Times New Roman" w:hAnsi="Times New Roman"/>
          <w:sz w:val="26"/>
          <w:szCs w:val="26"/>
        </w:rPr>
        <w:t xml:space="preserve"> un plāno</w:t>
      </w:r>
      <w:r w:rsidR="006F303F" w:rsidRPr="00662F48">
        <w:rPr>
          <w:rFonts w:ascii="Times New Roman" w:hAnsi="Times New Roman"/>
          <w:sz w:val="26"/>
          <w:szCs w:val="26"/>
        </w:rPr>
        <w:t>ts</w:t>
      </w:r>
      <w:r w:rsidR="001E70FA" w:rsidRPr="00662F48">
        <w:rPr>
          <w:rFonts w:ascii="Times New Roman" w:hAnsi="Times New Roman"/>
          <w:sz w:val="26"/>
          <w:szCs w:val="26"/>
        </w:rPr>
        <w:t xml:space="preserve">, ka līdz gada beigām tiks apgūti 140 344 </w:t>
      </w:r>
      <w:proofErr w:type="spellStart"/>
      <w:r w:rsidR="001E70FA" w:rsidRPr="00662F48">
        <w:rPr>
          <w:rFonts w:ascii="Times New Roman" w:hAnsi="Times New Roman"/>
          <w:i/>
          <w:sz w:val="26"/>
          <w:szCs w:val="26"/>
        </w:rPr>
        <w:t>euro</w:t>
      </w:r>
      <w:proofErr w:type="spellEnd"/>
      <w:r w:rsidR="00597644" w:rsidRPr="00662F48">
        <w:rPr>
          <w:rFonts w:ascii="Times New Roman" w:hAnsi="Times New Roman"/>
          <w:sz w:val="26"/>
          <w:szCs w:val="26"/>
        </w:rPr>
        <w:t xml:space="preserve">. Savukārt </w:t>
      </w:r>
      <w:r w:rsidR="00F847C6" w:rsidRPr="00662F48">
        <w:rPr>
          <w:rFonts w:ascii="Times New Roman" w:hAnsi="Times New Roman"/>
          <w:sz w:val="26"/>
          <w:szCs w:val="26"/>
        </w:rPr>
        <w:t xml:space="preserve">minētās JPI līdzekļi 86 332 </w:t>
      </w:r>
      <w:proofErr w:type="spellStart"/>
      <w:r w:rsidR="00F847C6" w:rsidRPr="00662F48">
        <w:rPr>
          <w:rFonts w:ascii="Times New Roman" w:hAnsi="Times New Roman"/>
          <w:i/>
          <w:sz w:val="26"/>
          <w:szCs w:val="26"/>
        </w:rPr>
        <w:t>euro</w:t>
      </w:r>
      <w:proofErr w:type="spellEnd"/>
      <w:r w:rsidR="00F847C6" w:rsidRPr="00662F48">
        <w:rPr>
          <w:rFonts w:ascii="Times New Roman" w:hAnsi="Times New Roman"/>
          <w:sz w:val="26"/>
          <w:szCs w:val="26"/>
        </w:rPr>
        <w:t xml:space="preserve"> apmērā novirzīti Zolitūdes traģēdijas krimināllietas iztiesāšanai, tai skaitā 65 261 </w:t>
      </w:r>
      <w:proofErr w:type="spellStart"/>
      <w:r w:rsidR="00F847C6" w:rsidRPr="00662F48">
        <w:rPr>
          <w:rFonts w:ascii="Times New Roman" w:hAnsi="Times New Roman"/>
          <w:i/>
          <w:sz w:val="26"/>
          <w:szCs w:val="26"/>
        </w:rPr>
        <w:t>euro</w:t>
      </w:r>
      <w:proofErr w:type="spellEnd"/>
      <w:r w:rsidR="00F847C6" w:rsidRPr="00662F48">
        <w:rPr>
          <w:rFonts w:ascii="Times New Roman" w:hAnsi="Times New Roman"/>
          <w:sz w:val="26"/>
          <w:szCs w:val="26"/>
        </w:rPr>
        <w:t xml:space="preserve"> ar Finanšu ministrijas 2016.</w:t>
      </w:r>
      <w:r w:rsidR="00462A84">
        <w:rPr>
          <w:rFonts w:ascii="Times New Roman" w:hAnsi="Times New Roman"/>
          <w:sz w:val="26"/>
          <w:szCs w:val="26"/>
        </w:rPr>
        <w:t> </w:t>
      </w:r>
      <w:r w:rsidR="006F303F" w:rsidRPr="00381CD0">
        <w:rPr>
          <w:rFonts w:ascii="Times New Roman" w:hAnsi="Times New Roman"/>
          <w:sz w:val="26"/>
          <w:szCs w:val="26"/>
        </w:rPr>
        <w:t>gada 27.</w:t>
      </w:r>
      <w:r w:rsidR="00462A84">
        <w:rPr>
          <w:rFonts w:ascii="Times New Roman" w:hAnsi="Times New Roman"/>
          <w:sz w:val="26"/>
          <w:szCs w:val="26"/>
        </w:rPr>
        <w:t> </w:t>
      </w:r>
      <w:r w:rsidR="006F303F" w:rsidRPr="00381CD0">
        <w:rPr>
          <w:rFonts w:ascii="Times New Roman" w:hAnsi="Times New Roman"/>
          <w:sz w:val="26"/>
          <w:szCs w:val="26"/>
        </w:rPr>
        <w:t>maija</w:t>
      </w:r>
      <w:r w:rsidR="00F847C6" w:rsidRPr="00381CD0">
        <w:rPr>
          <w:rFonts w:ascii="Times New Roman" w:hAnsi="Times New Roman"/>
          <w:sz w:val="26"/>
          <w:szCs w:val="26"/>
        </w:rPr>
        <w:t xml:space="preserve"> rīkojumu Nr.</w:t>
      </w:r>
      <w:r w:rsidR="00462A84">
        <w:rPr>
          <w:rFonts w:ascii="Times New Roman" w:hAnsi="Times New Roman"/>
          <w:sz w:val="26"/>
          <w:szCs w:val="26"/>
        </w:rPr>
        <w:t> </w:t>
      </w:r>
      <w:r w:rsidR="00F847C6" w:rsidRPr="00381CD0">
        <w:rPr>
          <w:rFonts w:ascii="Times New Roman" w:hAnsi="Times New Roman"/>
          <w:sz w:val="26"/>
          <w:szCs w:val="26"/>
        </w:rPr>
        <w:t xml:space="preserve">244 "Par pamatbudžeta apropriācijas pārdali starp programmām, apakšprogrammām un budžeta izdevumu kodiem atbilstoši ekonomiskajām kategorijām" pārdalīti uz kapitālajiem izdevumiem. </w:t>
      </w:r>
      <w:r w:rsidRPr="00381CD0">
        <w:rPr>
          <w:rFonts w:ascii="Times New Roman" w:hAnsi="Times New Roman"/>
          <w:sz w:val="26"/>
          <w:szCs w:val="26"/>
        </w:rPr>
        <w:t>Līdz ar to paredzams, ka JPI 2016.</w:t>
      </w:r>
      <w:r w:rsidR="0077525C" w:rsidRPr="00381CD0">
        <w:rPr>
          <w:rFonts w:ascii="Times New Roman" w:hAnsi="Times New Roman"/>
          <w:sz w:val="26"/>
          <w:szCs w:val="26"/>
        </w:rPr>
        <w:t> </w:t>
      </w:r>
      <w:r w:rsidRPr="00381CD0">
        <w:rPr>
          <w:rFonts w:ascii="Times New Roman" w:hAnsi="Times New Roman"/>
          <w:sz w:val="26"/>
          <w:szCs w:val="26"/>
        </w:rPr>
        <w:t xml:space="preserve">gadam piešķirtās apropriācijas atlikums būs </w:t>
      </w:r>
      <w:r w:rsidR="00F847C6" w:rsidRPr="00381CD0">
        <w:rPr>
          <w:rFonts w:ascii="Times New Roman" w:hAnsi="Times New Roman"/>
          <w:sz w:val="26"/>
          <w:szCs w:val="26"/>
        </w:rPr>
        <w:t xml:space="preserve">130 690 </w:t>
      </w:r>
      <w:proofErr w:type="spellStart"/>
      <w:r w:rsidR="00F847C6" w:rsidRPr="00381CD0">
        <w:rPr>
          <w:rFonts w:ascii="Times New Roman" w:hAnsi="Times New Roman"/>
          <w:i/>
          <w:sz w:val="26"/>
          <w:szCs w:val="26"/>
        </w:rPr>
        <w:t>euro</w:t>
      </w:r>
      <w:proofErr w:type="spellEnd"/>
      <w:r w:rsidRPr="00381CD0">
        <w:rPr>
          <w:rFonts w:ascii="Times New Roman" w:hAnsi="Times New Roman"/>
          <w:sz w:val="26"/>
          <w:szCs w:val="26"/>
        </w:rPr>
        <w:t xml:space="preserve">. </w:t>
      </w:r>
    </w:p>
    <w:p w:rsidR="004012A9" w:rsidRDefault="004012A9" w:rsidP="005C44EB">
      <w:pPr>
        <w:spacing w:after="0" w:line="240" w:lineRule="auto"/>
        <w:jc w:val="both"/>
        <w:rPr>
          <w:rFonts w:ascii="Times New Roman" w:hAnsi="Times New Roman" w:cs="Times New Roman"/>
          <w:sz w:val="26"/>
          <w:szCs w:val="26"/>
        </w:rPr>
      </w:pPr>
    </w:p>
    <w:p w:rsidR="003D3599" w:rsidRPr="00381CD0" w:rsidRDefault="003D3599" w:rsidP="005C44EB">
      <w:pPr>
        <w:spacing w:after="0" w:line="240" w:lineRule="auto"/>
        <w:jc w:val="both"/>
        <w:rPr>
          <w:rFonts w:ascii="Times New Roman" w:hAnsi="Times New Roman" w:cs="Times New Roman"/>
          <w:sz w:val="26"/>
          <w:szCs w:val="26"/>
        </w:rPr>
      </w:pPr>
    </w:p>
    <w:p w:rsidR="00BB4919" w:rsidRPr="00381CD0" w:rsidRDefault="00032610" w:rsidP="00381CD0">
      <w:pPr>
        <w:tabs>
          <w:tab w:val="left" w:pos="6379"/>
          <w:tab w:val="left" w:pos="7938"/>
        </w:tabs>
        <w:spacing w:after="0" w:line="240" w:lineRule="auto"/>
        <w:jc w:val="both"/>
        <w:rPr>
          <w:rFonts w:ascii="Times New Roman" w:hAnsi="Times New Roman" w:cs="Times New Roman"/>
          <w:sz w:val="26"/>
          <w:szCs w:val="26"/>
        </w:rPr>
      </w:pPr>
      <w:r w:rsidRPr="00381CD0">
        <w:rPr>
          <w:rFonts w:ascii="Times New Roman" w:hAnsi="Times New Roman" w:cs="Times New Roman"/>
          <w:sz w:val="26"/>
          <w:szCs w:val="26"/>
        </w:rPr>
        <w:t>Tieslietu</w:t>
      </w:r>
      <w:r w:rsidR="00150CEB" w:rsidRPr="00381CD0">
        <w:rPr>
          <w:rFonts w:ascii="Times New Roman" w:hAnsi="Times New Roman" w:cs="Times New Roman"/>
          <w:sz w:val="26"/>
          <w:szCs w:val="26"/>
        </w:rPr>
        <w:t xml:space="preserve"> </w:t>
      </w:r>
      <w:r w:rsidRPr="00381CD0">
        <w:rPr>
          <w:rFonts w:ascii="Times New Roman" w:hAnsi="Times New Roman" w:cs="Times New Roman"/>
          <w:sz w:val="26"/>
          <w:szCs w:val="26"/>
        </w:rPr>
        <w:t>ministrs</w:t>
      </w:r>
      <w:r w:rsidR="00DF4BDA" w:rsidRPr="00381CD0">
        <w:rPr>
          <w:rFonts w:ascii="Times New Roman" w:hAnsi="Times New Roman" w:cs="Times New Roman"/>
          <w:sz w:val="26"/>
          <w:szCs w:val="26"/>
        </w:rPr>
        <w:tab/>
      </w:r>
      <w:r w:rsidRPr="00381CD0">
        <w:rPr>
          <w:rFonts w:ascii="Times New Roman" w:hAnsi="Times New Roman" w:cs="Times New Roman"/>
          <w:sz w:val="26"/>
          <w:szCs w:val="26"/>
        </w:rPr>
        <w:t>Dz</w:t>
      </w:r>
      <w:r w:rsidR="00150CEB" w:rsidRPr="00381CD0">
        <w:rPr>
          <w:rFonts w:ascii="Times New Roman" w:hAnsi="Times New Roman" w:cs="Times New Roman"/>
          <w:sz w:val="26"/>
          <w:szCs w:val="26"/>
        </w:rPr>
        <w:t xml:space="preserve">intars </w:t>
      </w:r>
      <w:r w:rsidRPr="00381CD0">
        <w:rPr>
          <w:rFonts w:ascii="Times New Roman" w:hAnsi="Times New Roman" w:cs="Times New Roman"/>
          <w:sz w:val="26"/>
          <w:szCs w:val="26"/>
        </w:rPr>
        <w:t>Rasnačs</w:t>
      </w:r>
    </w:p>
    <w:p w:rsidR="00BB4919" w:rsidRPr="00381CD0" w:rsidRDefault="00BB4919" w:rsidP="005C44EB">
      <w:pPr>
        <w:spacing w:after="0" w:line="240" w:lineRule="auto"/>
        <w:jc w:val="both"/>
        <w:rPr>
          <w:rFonts w:ascii="Times New Roman" w:hAnsi="Times New Roman" w:cs="Times New Roman"/>
          <w:sz w:val="26"/>
          <w:szCs w:val="26"/>
        </w:rPr>
      </w:pPr>
    </w:p>
    <w:p w:rsidR="00B4060D" w:rsidRPr="00381CD0" w:rsidRDefault="00B4060D" w:rsidP="005C44EB">
      <w:pPr>
        <w:spacing w:after="0" w:line="240" w:lineRule="auto"/>
        <w:jc w:val="both"/>
        <w:rPr>
          <w:rFonts w:ascii="Times New Roman" w:hAnsi="Times New Roman" w:cs="Times New Roman"/>
          <w:sz w:val="26"/>
          <w:szCs w:val="26"/>
        </w:rPr>
      </w:pPr>
    </w:p>
    <w:p w:rsidR="00BB4919" w:rsidRPr="002650B4" w:rsidRDefault="002B26A4" w:rsidP="005C44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414ACF">
        <w:rPr>
          <w:rFonts w:ascii="Times New Roman" w:hAnsi="Times New Roman" w:cs="Times New Roman"/>
          <w:sz w:val="20"/>
          <w:szCs w:val="20"/>
        </w:rPr>
        <w:t>7</w:t>
      </w:r>
      <w:r>
        <w:rPr>
          <w:rFonts w:ascii="Times New Roman" w:hAnsi="Times New Roman" w:cs="Times New Roman"/>
          <w:sz w:val="20"/>
          <w:szCs w:val="20"/>
        </w:rPr>
        <w:t>.11</w:t>
      </w:r>
      <w:r w:rsidR="005C44EB" w:rsidRPr="002650B4">
        <w:rPr>
          <w:rFonts w:ascii="Times New Roman" w:hAnsi="Times New Roman" w:cs="Times New Roman"/>
          <w:sz w:val="20"/>
          <w:szCs w:val="20"/>
        </w:rPr>
        <w:t>.2016.</w:t>
      </w:r>
      <w:r w:rsidR="00AF4B0F">
        <w:rPr>
          <w:rFonts w:ascii="Times New Roman" w:hAnsi="Times New Roman" w:cs="Times New Roman"/>
          <w:sz w:val="20"/>
          <w:szCs w:val="20"/>
        </w:rPr>
        <w:t xml:space="preserve"> </w:t>
      </w:r>
      <w:r w:rsidR="00414ACF">
        <w:rPr>
          <w:rFonts w:ascii="Times New Roman" w:hAnsi="Times New Roman" w:cs="Times New Roman"/>
          <w:sz w:val="20"/>
          <w:szCs w:val="20"/>
        </w:rPr>
        <w:t>15:15</w:t>
      </w:r>
    </w:p>
    <w:p w:rsidR="005C44EB" w:rsidRPr="002650B4" w:rsidRDefault="00DF4BDA" w:rsidP="005C44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414ACF">
        <w:rPr>
          <w:rFonts w:ascii="Times New Roman" w:hAnsi="Times New Roman" w:cs="Times New Roman"/>
          <w:sz w:val="20"/>
          <w:szCs w:val="20"/>
        </w:rPr>
        <w:t>6</w:t>
      </w:r>
      <w:bookmarkStart w:id="6" w:name="_GoBack"/>
      <w:bookmarkEnd w:id="6"/>
      <w:r w:rsidR="00C110CF">
        <w:rPr>
          <w:rFonts w:ascii="Times New Roman" w:hAnsi="Times New Roman" w:cs="Times New Roman"/>
          <w:sz w:val="20"/>
          <w:szCs w:val="20"/>
        </w:rPr>
        <w:t>5</w:t>
      </w:r>
    </w:p>
    <w:p w:rsidR="00150CEB" w:rsidRDefault="00AF4B0F" w:rsidP="00381C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Skr</w:t>
      </w:r>
      <w:r w:rsidR="002650B4">
        <w:rPr>
          <w:rFonts w:ascii="Times New Roman" w:hAnsi="Times New Roman" w:cs="Times New Roman"/>
          <w:sz w:val="20"/>
          <w:szCs w:val="20"/>
        </w:rPr>
        <w:t>j</w:t>
      </w:r>
      <w:r>
        <w:rPr>
          <w:rFonts w:ascii="Times New Roman" w:hAnsi="Times New Roman" w:cs="Times New Roman"/>
          <w:sz w:val="20"/>
          <w:szCs w:val="20"/>
        </w:rPr>
        <w:t>a</w:t>
      </w:r>
      <w:r w:rsidR="002650B4">
        <w:rPr>
          <w:rFonts w:ascii="Times New Roman" w:hAnsi="Times New Roman" w:cs="Times New Roman"/>
          <w:sz w:val="20"/>
          <w:szCs w:val="20"/>
        </w:rPr>
        <w:t xml:space="preserve">bina </w:t>
      </w:r>
    </w:p>
    <w:p w:rsidR="005C44EB" w:rsidRPr="00381CD0" w:rsidRDefault="00B4060D" w:rsidP="00381CD0">
      <w:pPr>
        <w:spacing w:after="0" w:line="240" w:lineRule="auto"/>
        <w:jc w:val="both"/>
        <w:rPr>
          <w:rStyle w:val="Hipersaite"/>
          <w:color w:val="auto"/>
          <w:u w:val="none"/>
        </w:rPr>
      </w:pPr>
      <w:r w:rsidRPr="00B4060D">
        <w:rPr>
          <w:rFonts w:ascii="Times New Roman" w:hAnsi="Times New Roman" w:cs="Times New Roman"/>
          <w:color w:val="000000" w:themeColor="text1"/>
          <w:sz w:val="20"/>
          <w:szCs w:val="20"/>
          <w:shd w:val="clear" w:color="auto" w:fill="FFFFFF"/>
        </w:rPr>
        <w:t>67083613</w:t>
      </w:r>
      <w:r w:rsidR="00150CEB" w:rsidRPr="00381CD0">
        <w:rPr>
          <w:rFonts w:ascii="Times New Roman" w:hAnsi="Times New Roman" w:cs="Times New Roman"/>
        </w:rPr>
        <w:t>,</w:t>
      </w:r>
      <w:r w:rsidR="00150CEB">
        <w:t xml:space="preserve"> </w:t>
      </w:r>
      <w:hyperlink r:id="rId9" w:history="1">
        <w:r w:rsidR="002650B4" w:rsidRPr="00381CD0">
          <w:rPr>
            <w:rStyle w:val="Hipersaite"/>
            <w:rFonts w:ascii="Times New Roman" w:hAnsi="Times New Roman" w:cs="Times New Roman"/>
            <w:color w:val="auto"/>
            <w:sz w:val="20"/>
            <w:szCs w:val="20"/>
            <w:u w:val="none"/>
          </w:rPr>
          <w:t>Anna.Skrjabina@ta.gov.lv</w:t>
        </w:r>
      </w:hyperlink>
      <w:r w:rsidR="002650B4" w:rsidRPr="00381CD0">
        <w:rPr>
          <w:rStyle w:val="Hipersaite"/>
          <w:color w:val="auto"/>
          <w:u w:val="none"/>
        </w:rPr>
        <w:t xml:space="preserve"> </w:t>
      </w:r>
    </w:p>
    <w:p w:rsidR="00150CEB" w:rsidRPr="00150CEB" w:rsidRDefault="00DF4BDA" w:rsidP="00381C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Āboliņa </w:t>
      </w:r>
    </w:p>
    <w:p w:rsidR="00032610" w:rsidRPr="00574C98" w:rsidRDefault="00B4060D" w:rsidP="00381CD0">
      <w:pPr>
        <w:spacing w:after="0" w:line="240" w:lineRule="auto"/>
        <w:jc w:val="both"/>
        <w:rPr>
          <w:rFonts w:ascii="Times New Roman" w:hAnsi="Times New Roman" w:cs="Times New Roman"/>
          <w:sz w:val="20"/>
          <w:szCs w:val="20"/>
        </w:rPr>
      </w:pPr>
      <w:r w:rsidRPr="00381CD0">
        <w:rPr>
          <w:rFonts w:ascii="Times New Roman" w:hAnsi="Times New Roman" w:cs="Times New Roman"/>
          <w:sz w:val="20"/>
          <w:szCs w:val="20"/>
          <w:shd w:val="clear" w:color="auto" w:fill="FFFFFF"/>
        </w:rPr>
        <w:t>67063811</w:t>
      </w:r>
      <w:r w:rsidR="00150CEB" w:rsidRPr="00381CD0">
        <w:rPr>
          <w:rFonts w:ascii="Times New Roman" w:hAnsi="Times New Roman" w:cs="Times New Roman"/>
        </w:rPr>
        <w:t xml:space="preserve">, </w:t>
      </w:r>
      <w:hyperlink r:id="rId10" w:history="1">
        <w:r w:rsidR="00150CEB" w:rsidRPr="00574C98">
          <w:rPr>
            <w:rStyle w:val="Hipersaite"/>
            <w:rFonts w:ascii="Times New Roman" w:hAnsi="Times New Roman" w:cs="Times New Roman"/>
            <w:color w:val="auto"/>
            <w:sz w:val="20"/>
            <w:szCs w:val="20"/>
            <w:u w:val="none"/>
          </w:rPr>
          <w:t>O</w:t>
        </w:r>
        <w:r w:rsidR="00150CEB" w:rsidRPr="00381CD0">
          <w:rPr>
            <w:rStyle w:val="Hipersaite"/>
            <w:rFonts w:ascii="Times New Roman" w:hAnsi="Times New Roman" w:cs="Times New Roman"/>
            <w:color w:val="auto"/>
            <w:sz w:val="20"/>
            <w:szCs w:val="20"/>
            <w:u w:val="none"/>
          </w:rPr>
          <w:t>lita.</w:t>
        </w:r>
        <w:r w:rsidR="00150CEB" w:rsidRPr="00574C98">
          <w:rPr>
            <w:rStyle w:val="Hipersaite"/>
            <w:rFonts w:ascii="Times New Roman" w:hAnsi="Times New Roman" w:cs="Times New Roman"/>
            <w:color w:val="auto"/>
            <w:sz w:val="20"/>
            <w:szCs w:val="20"/>
            <w:u w:val="none"/>
          </w:rPr>
          <w:t>A</w:t>
        </w:r>
        <w:r w:rsidR="00150CEB" w:rsidRPr="00381CD0">
          <w:rPr>
            <w:rStyle w:val="Hipersaite"/>
            <w:rFonts w:ascii="Times New Roman" w:hAnsi="Times New Roman" w:cs="Times New Roman"/>
            <w:color w:val="auto"/>
            <w:sz w:val="20"/>
            <w:szCs w:val="20"/>
            <w:u w:val="none"/>
          </w:rPr>
          <w:t>bolina@ta.gov.lv</w:t>
        </w:r>
      </w:hyperlink>
    </w:p>
    <w:sectPr w:rsidR="00032610" w:rsidRPr="00574C98" w:rsidSect="00662F4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58" w:rsidRDefault="002D2658" w:rsidP="00BB4919">
      <w:pPr>
        <w:spacing w:after="0" w:line="240" w:lineRule="auto"/>
      </w:pPr>
      <w:r>
        <w:separator/>
      </w:r>
    </w:p>
  </w:endnote>
  <w:endnote w:type="continuationSeparator" w:id="0">
    <w:p w:rsidR="002D2658" w:rsidRDefault="002D2658" w:rsidP="00BB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A8" w:rsidRPr="00381CD0" w:rsidRDefault="00BC1FA8" w:rsidP="0077525C">
    <w:pPr>
      <w:pStyle w:val="Pamatteksts2"/>
      <w:tabs>
        <w:tab w:val="left" w:pos="-4820"/>
      </w:tabs>
      <w:spacing w:after="0" w:line="240" w:lineRule="auto"/>
      <w:jc w:val="both"/>
      <w:rPr>
        <w:rFonts w:ascii="Times New Roman" w:hAnsi="Times New Roman" w:cs="Times New Roman"/>
        <w:sz w:val="20"/>
        <w:szCs w:val="20"/>
      </w:rPr>
    </w:pPr>
    <w:r w:rsidRPr="00381CD0">
      <w:rPr>
        <w:rFonts w:ascii="Times New Roman" w:hAnsi="Times New Roman" w:cs="Times New Roman"/>
        <w:sz w:val="20"/>
        <w:szCs w:val="20"/>
      </w:rPr>
      <w:t>TMZino_</w:t>
    </w:r>
    <w:r w:rsidR="007D4E8E" w:rsidRPr="00381CD0">
      <w:rPr>
        <w:rFonts w:ascii="Times New Roman" w:hAnsi="Times New Roman" w:cs="Times New Roman"/>
        <w:sz w:val="20"/>
        <w:szCs w:val="20"/>
      </w:rPr>
      <w:t>1</w:t>
    </w:r>
    <w:r w:rsidR="00DF4BDA" w:rsidRPr="00381CD0">
      <w:rPr>
        <w:rFonts w:ascii="Times New Roman" w:hAnsi="Times New Roman" w:cs="Times New Roman"/>
        <w:sz w:val="20"/>
        <w:szCs w:val="20"/>
      </w:rPr>
      <w:t>8</w:t>
    </w:r>
    <w:r w:rsidR="00B34A72" w:rsidRPr="00381CD0">
      <w:rPr>
        <w:rFonts w:ascii="Times New Roman" w:hAnsi="Times New Roman" w:cs="Times New Roman"/>
        <w:sz w:val="20"/>
        <w:szCs w:val="20"/>
      </w:rPr>
      <w:t>1016</w:t>
    </w:r>
    <w:r w:rsidRPr="00381CD0">
      <w:rPr>
        <w:rFonts w:ascii="Times New Roman" w:hAnsi="Times New Roman" w:cs="Times New Roman"/>
        <w:sz w:val="20"/>
        <w:szCs w:val="20"/>
      </w:rPr>
      <w:t>_</w:t>
    </w:r>
    <w:r w:rsidR="004207F0" w:rsidRPr="00381CD0">
      <w:rPr>
        <w:rFonts w:ascii="Times New Roman" w:hAnsi="Times New Roman" w:cs="Times New Roman"/>
        <w:sz w:val="20"/>
        <w:szCs w:val="20"/>
      </w:rPr>
      <w:t>ETA</w:t>
    </w:r>
    <w:r w:rsidR="0077525C" w:rsidRPr="00381CD0">
      <w:rPr>
        <w:rFonts w:ascii="Times New Roman" w:hAnsi="Times New Roman" w:cs="Times New Roman"/>
        <w:sz w:val="20"/>
        <w:szCs w:val="20"/>
      </w:rPr>
      <w:t>; Informatīvais ziņojums "</w:t>
    </w:r>
    <w:r w:rsidRPr="00381CD0">
      <w:rPr>
        <w:rFonts w:ascii="Times New Roman" w:hAnsi="Times New Roman" w:cs="Times New Roman"/>
        <w:sz w:val="20"/>
        <w:szCs w:val="20"/>
      </w:rPr>
      <w:t xml:space="preserve">Par </w:t>
    </w:r>
    <w:r w:rsidR="000F2793" w:rsidRPr="00381CD0">
      <w:rPr>
        <w:rFonts w:ascii="Times New Roman" w:hAnsi="Times New Roman" w:cs="Times New Roman"/>
        <w:sz w:val="20"/>
        <w:szCs w:val="20"/>
      </w:rPr>
      <w:t>pievienošanos Eiropas Tiesību akadēmijas fondam</w:t>
    </w:r>
    <w:r w:rsidR="0077525C" w:rsidRPr="00381CD0">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72" w:rsidRPr="00662F48" w:rsidRDefault="0077525C" w:rsidP="0077525C">
    <w:pPr>
      <w:pStyle w:val="Pamatteksts2"/>
      <w:tabs>
        <w:tab w:val="left" w:pos="-4820"/>
      </w:tabs>
      <w:spacing w:after="0" w:line="240" w:lineRule="auto"/>
      <w:jc w:val="both"/>
      <w:rPr>
        <w:rFonts w:ascii="Times New Roman" w:hAnsi="Times New Roman" w:cs="Times New Roman"/>
        <w:sz w:val="20"/>
        <w:szCs w:val="20"/>
      </w:rPr>
    </w:pPr>
    <w:r w:rsidRPr="00662F48">
      <w:rPr>
        <w:rFonts w:ascii="Times New Roman" w:hAnsi="Times New Roman" w:cs="Times New Roman"/>
        <w:sz w:val="20"/>
        <w:szCs w:val="20"/>
      </w:rPr>
      <w:t>TMZino_</w:t>
    </w:r>
    <w:r w:rsidR="007D4E8E" w:rsidRPr="00662F48">
      <w:rPr>
        <w:rFonts w:ascii="Times New Roman" w:hAnsi="Times New Roman" w:cs="Times New Roman"/>
        <w:sz w:val="20"/>
        <w:szCs w:val="20"/>
      </w:rPr>
      <w:t>1</w:t>
    </w:r>
    <w:r w:rsidR="00DF4BDA" w:rsidRPr="00662F48">
      <w:rPr>
        <w:rFonts w:ascii="Times New Roman" w:hAnsi="Times New Roman" w:cs="Times New Roman"/>
        <w:sz w:val="20"/>
        <w:szCs w:val="20"/>
      </w:rPr>
      <w:t>8</w:t>
    </w:r>
    <w:r w:rsidR="007D4E8E" w:rsidRPr="00662F48">
      <w:rPr>
        <w:rFonts w:ascii="Times New Roman" w:hAnsi="Times New Roman" w:cs="Times New Roman"/>
        <w:sz w:val="20"/>
        <w:szCs w:val="20"/>
      </w:rPr>
      <w:t xml:space="preserve">1016_ETA; Informatīvais ziņojums </w:t>
    </w:r>
    <w:r w:rsidRPr="00662F48">
      <w:rPr>
        <w:rFonts w:ascii="Times New Roman" w:hAnsi="Times New Roman" w:cs="Times New Roman"/>
        <w:sz w:val="20"/>
        <w:szCs w:val="20"/>
      </w:rPr>
      <w:t>"</w:t>
    </w:r>
    <w:r w:rsidR="007D4E8E" w:rsidRPr="00662F48">
      <w:rPr>
        <w:rFonts w:ascii="Times New Roman" w:hAnsi="Times New Roman" w:cs="Times New Roman"/>
        <w:sz w:val="20"/>
        <w:szCs w:val="20"/>
      </w:rPr>
      <w:t>Par pievienošanos Eiropas Tiesību akadēmijas fondam</w:t>
    </w:r>
    <w:r w:rsidRPr="00662F48">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58" w:rsidRDefault="002D2658" w:rsidP="00BB4919">
      <w:pPr>
        <w:spacing w:after="0" w:line="240" w:lineRule="auto"/>
      </w:pPr>
      <w:r>
        <w:separator/>
      </w:r>
    </w:p>
  </w:footnote>
  <w:footnote w:type="continuationSeparator" w:id="0">
    <w:p w:rsidR="002D2658" w:rsidRDefault="002D2658" w:rsidP="00BB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02207"/>
      <w:docPartObj>
        <w:docPartGallery w:val="Page Numbers (Top of Page)"/>
        <w:docPartUnique/>
      </w:docPartObj>
    </w:sdtPr>
    <w:sdtEndPr>
      <w:rPr>
        <w:rFonts w:ascii="Times New Roman" w:hAnsi="Times New Roman" w:cs="Times New Roman"/>
        <w:sz w:val="24"/>
        <w:szCs w:val="24"/>
      </w:rPr>
    </w:sdtEndPr>
    <w:sdtContent>
      <w:p w:rsidR="005D39DE" w:rsidRPr="00662F48" w:rsidRDefault="005D39DE">
        <w:pPr>
          <w:pStyle w:val="Galvene"/>
          <w:jc w:val="center"/>
          <w:rPr>
            <w:rFonts w:ascii="Times New Roman" w:hAnsi="Times New Roman" w:cs="Times New Roman"/>
            <w:sz w:val="24"/>
            <w:szCs w:val="24"/>
          </w:rPr>
        </w:pPr>
        <w:r w:rsidRPr="00662F48">
          <w:rPr>
            <w:rFonts w:ascii="Times New Roman" w:hAnsi="Times New Roman" w:cs="Times New Roman"/>
            <w:sz w:val="24"/>
            <w:szCs w:val="24"/>
          </w:rPr>
          <w:fldChar w:fldCharType="begin"/>
        </w:r>
        <w:r w:rsidRPr="00662F48">
          <w:rPr>
            <w:rFonts w:ascii="Times New Roman" w:hAnsi="Times New Roman" w:cs="Times New Roman"/>
            <w:sz w:val="24"/>
            <w:szCs w:val="24"/>
          </w:rPr>
          <w:instrText>PAGE   \* MERGEFORMAT</w:instrText>
        </w:r>
        <w:r w:rsidRPr="00662F48">
          <w:rPr>
            <w:rFonts w:ascii="Times New Roman" w:hAnsi="Times New Roman" w:cs="Times New Roman"/>
            <w:sz w:val="24"/>
            <w:szCs w:val="24"/>
          </w:rPr>
          <w:fldChar w:fldCharType="separate"/>
        </w:r>
        <w:r w:rsidR="00414ACF">
          <w:rPr>
            <w:rFonts w:ascii="Times New Roman" w:hAnsi="Times New Roman" w:cs="Times New Roman"/>
            <w:noProof/>
            <w:sz w:val="24"/>
            <w:szCs w:val="24"/>
          </w:rPr>
          <w:t>3</w:t>
        </w:r>
        <w:r w:rsidRPr="00662F48">
          <w:rPr>
            <w:rFonts w:ascii="Times New Roman" w:hAnsi="Times New Roman" w:cs="Times New Roman"/>
            <w:sz w:val="24"/>
            <w:szCs w:val="24"/>
          </w:rPr>
          <w:fldChar w:fldCharType="end"/>
        </w:r>
      </w:p>
    </w:sdtContent>
  </w:sdt>
  <w:p w:rsidR="00B34A72" w:rsidRDefault="00B34A7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6BE"/>
    <w:multiLevelType w:val="hybridMultilevel"/>
    <w:tmpl w:val="D2ACCF16"/>
    <w:lvl w:ilvl="0" w:tplc="0426000F">
      <w:start w:val="1"/>
      <w:numFmt w:val="decimal"/>
      <w:lvlText w:val="%1."/>
      <w:lvlJc w:val="left"/>
      <w:pPr>
        <w:ind w:left="1570" w:hanging="360"/>
      </w:pPr>
    </w:lvl>
    <w:lvl w:ilvl="1" w:tplc="04260019">
      <w:start w:val="1"/>
      <w:numFmt w:val="lowerLetter"/>
      <w:lvlText w:val="%2."/>
      <w:lvlJc w:val="left"/>
      <w:pPr>
        <w:ind w:left="2290" w:hanging="360"/>
      </w:pPr>
    </w:lvl>
    <w:lvl w:ilvl="2" w:tplc="0426001B">
      <w:start w:val="1"/>
      <w:numFmt w:val="lowerRoman"/>
      <w:lvlText w:val="%3."/>
      <w:lvlJc w:val="right"/>
      <w:pPr>
        <w:ind w:left="3010" w:hanging="180"/>
      </w:pPr>
    </w:lvl>
    <w:lvl w:ilvl="3" w:tplc="0426000F">
      <w:start w:val="1"/>
      <w:numFmt w:val="decimal"/>
      <w:lvlText w:val="%4."/>
      <w:lvlJc w:val="left"/>
      <w:pPr>
        <w:ind w:left="3730" w:hanging="360"/>
      </w:pPr>
    </w:lvl>
    <w:lvl w:ilvl="4" w:tplc="04260019">
      <w:start w:val="1"/>
      <w:numFmt w:val="lowerLetter"/>
      <w:lvlText w:val="%5."/>
      <w:lvlJc w:val="left"/>
      <w:pPr>
        <w:ind w:left="4450" w:hanging="360"/>
      </w:pPr>
    </w:lvl>
    <w:lvl w:ilvl="5" w:tplc="0426001B">
      <w:start w:val="1"/>
      <w:numFmt w:val="lowerRoman"/>
      <w:lvlText w:val="%6."/>
      <w:lvlJc w:val="right"/>
      <w:pPr>
        <w:ind w:left="5170" w:hanging="180"/>
      </w:pPr>
    </w:lvl>
    <w:lvl w:ilvl="6" w:tplc="0426000F">
      <w:start w:val="1"/>
      <w:numFmt w:val="decimal"/>
      <w:lvlText w:val="%7."/>
      <w:lvlJc w:val="left"/>
      <w:pPr>
        <w:ind w:left="5890" w:hanging="360"/>
      </w:pPr>
    </w:lvl>
    <w:lvl w:ilvl="7" w:tplc="04260019">
      <w:start w:val="1"/>
      <w:numFmt w:val="lowerLetter"/>
      <w:lvlText w:val="%8."/>
      <w:lvlJc w:val="left"/>
      <w:pPr>
        <w:ind w:left="6610" w:hanging="360"/>
      </w:pPr>
    </w:lvl>
    <w:lvl w:ilvl="8" w:tplc="0426001B">
      <w:start w:val="1"/>
      <w:numFmt w:val="lowerRoman"/>
      <w:lvlText w:val="%9."/>
      <w:lvlJc w:val="right"/>
      <w:pPr>
        <w:ind w:left="7330" w:hanging="180"/>
      </w:pPr>
    </w:lvl>
  </w:abstractNum>
  <w:abstractNum w:abstractNumId="1">
    <w:nsid w:val="33B974CF"/>
    <w:multiLevelType w:val="hybridMultilevel"/>
    <w:tmpl w:val="11F8DC9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8DB12A8"/>
    <w:multiLevelType w:val="hybridMultilevel"/>
    <w:tmpl w:val="2696C092"/>
    <w:lvl w:ilvl="0" w:tplc="2086297E">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19"/>
    <w:rsid w:val="00013917"/>
    <w:rsid w:val="00032610"/>
    <w:rsid w:val="00077FB9"/>
    <w:rsid w:val="000F2793"/>
    <w:rsid w:val="000F35F8"/>
    <w:rsid w:val="0010536A"/>
    <w:rsid w:val="00143751"/>
    <w:rsid w:val="00150CEB"/>
    <w:rsid w:val="00172981"/>
    <w:rsid w:val="001E70FA"/>
    <w:rsid w:val="001F17B8"/>
    <w:rsid w:val="001F4516"/>
    <w:rsid w:val="0024680A"/>
    <w:rsid w:val="002650B4"/>
    <w:rsid w:val="002B26A4"/>
    <w:rsid w:val="002C4E7B"/>
    <w:rsid w:val="002D2658"/>
    <w:rsid w:val="003000D0"/>
    <w:rsid w:val="00334A1E"/>
    <w:rsid w:val="00381CD0"/>
    <w:rsid w:val="003D0246"/>
    <w:rsid w:val="003D3599"/>
    <w:rsid w:val="004012A9"/>
    <w:rsid w:val="00414ACF"/>
    <w:rsid w:val="004207F0"/>
    <w:rsid w:val="004412C9"/>
    <w:rsid w:val="00451D2D"/>
    <w:rsid w:val="00462A84"/>
    <w:rsid w:val="004664B1"/>
    <w:rsid w:val="005561C0"/>
    <w:rsid w:val="00557E47"/>
    <w:rsid w:val="00574C98"/>
    <w:rsid w:val="00597644"/>
    <w:rsid w:val="005C44EB"/>
    <w:rsid w:val="005D39DE"/>
    <w:rsid w:val="005F02FC"/>
    <w:rsid w:val="00662F48"/>
    <w:rsid w:val="00674FDB"/>
    <w:rsid w:val="006A3A24"/>
    <w:rsid w:val="006D1BF2"/>
    <w:rsid w:val="006E759E"/>
    <w:rsid w:val="006F303F"/>
    <w:rsid w:val="0073498E"/>
    <w:rsid w:val="0077525C"/>
    <w:rsid w:val="00775D8D"/>
    <w:rsid w:val="0079785E"/>
    <w:rsid w:val="007D4E8E"/>
    <w:rsid w:val="00812E19"/>
    <w:rsid w:val="008C0A72"/>
    <w:rsid w:val="00981238"/>
    <w:rsid w:val="0099632B"/>
    <w:rsid w:val="00AA7157"/>
    <w:rsid w:val="00AC1E94"/>
    <w:rsid w:val="00AC4562"/>
    <w:rsid w:val="00AF4B0F"/>
    <w:rsid w:val="00B119AF"/>
    <w:rsid w:val="00B20424"/>
    <w:rsid w:val="00B24938"/>
    <w:rsid w:val="00B34A72"/>
    <w:rsid w:val="00B4060D"/>
    <w:rsid w:val="00B708A6"/>
    <w:rsid w:val="00BB4919"/>
    <w:rsid w:val="00BC1FA8"/>
    <w:rsid w:val="00C052A6"/>
    <w:rsid w:val="00C110CF"/>
    <w:rsid w:val="00C43365"/>
    <w:rsid w:val="00C83A83"/>
    <w:rsid w:val="00CE1957"/>
    <w:rsid w:val="00D21F51"/>
    <w:rsid w:val="00D3338E"/>
    <w:rsid w:val="00D51852"/>
    <w:rsid w:val="00D83019"/>
    <w:rsid w:val="00DD5D94"/>
    <w:rsid w:val="00DE70AB"/>
    <w:rsid w:val="00DF4BDA"/>
    <w:rsid w:val="00E365A2"/>
    <w:rsid w:val="00E75459"/>
    <w:rsid w:val="00ED73B7"/>
    <w:rsid w:val="00F847C6"/>
    <w:rsid w:val="00FA6BA7"/>
    <w:rsid w:val="00FD6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BC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B491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BB4919"/>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BB4919"/>
    <w:pPr>
      <w:spacing w:after="0" w:line="240" w:lineRule="auto"/>
      <w:ind w:left="720"/>
      <w:contextualSpacing/>
    </w:pPr>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sid w:val="00BB4919"/>
    <w:rPr>
      <w:vertAlign w:val="superscript"/>
    </w:rPr>
  </w:style>
  <w:style w:type="paragraph" w:styleId="Pamatteksts">
    <w:name w:val="Body Text"/>
    <w:basedOn w:val="Parasts"/>
    <w:link w:val="PamattekstsRakstz"/>
    <w:rsid w:val="00BC1FA8"/>
    <w:pPr>
      <w:spacing w:after="0" w:line="240" w:lineRule="auto"/>
      <w:jc w:val="both"/>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BC1FA8"/>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BC1FA8"/>
    <w:pPr>
      <w:spacing w:after="0" w:line="240" w:lineRule="auto"/>
      <w:jc w:val="center"/>
    </w:pPr>
    <w:rPr>
      <w:rFonts w:ascii="Times New Roman" w:eastAsia="Times New Roman" w:hAnsi="Times New Roman" w:cs="Times New Roman"/>
      <w:b/>
      <w:bCs/>
      <w:sz w:val="24"/>
      <w:szCs w:val="24"/>
      <w:lang w:eastAsia="lv-LV"/>
    </w:rPr>
  </w:style>
  <w:style w:type="character" w:customStyle="1" w:styleId="NosaukumsRakstz">
    <w:name w:val="Nosaukums Rakstz."/>
    <w:basedOn w:val="Noklusjumarindkopasfonts"/>
    <w:link w:val="Nosaukums"/>
    <w:rsid w:val="00BC1FA8"/>
    <w:rPr>
      <w:rFonts w:ascii="Times New Roman" w:eastAsia="Times New Roman" w:hAnsi="Times New Roman" w:cs="Times New Roman"/>
      <w:b/>
      <w:bCs/>
      <w:sz w:val="24"/>
      <w:szCs w:val="24"/>
      <w:lang w:eastAsia="lv-LV"/>
    </w:rPr>
  </w:style>
  <w:style w:type="character" w:customStyle="1" w:styleId="Pamatteksts2Rakstz">
    <w:name w:val="Pamatteksts 2 Rakstz."/>
    <w:link w:val="Pamatteksts2"/>
    <w:uiPriority w:val="99"/>
    <w:rsid w:val="00BC1FA8"/>
    <w:rPr>
      <w:rFonts w:eastAsia="Times New Roman"/>
    </w:rPr>
  </w:style>
  <w:style w:type="paragraph" w:styleId="Pamatteksts2">
    <w:name w:val="Body Text 2"/>
    <w:basedOn w:val="Parasts"/>
    <w:link w:val="Pamatteksts2Rakstz"/>
    <w:uiPriority w:val="99"/>
    <w:unhideWhenUsed/>
    <w:rsid w:val="00BC1FA8"/>
    <w:pPr>
      <w:spacing w:after="120" w:line="480" w:lineRule="auto"/>
    </w:pPr>
    <w:rPr>
      <w:rFonts w:eastAsia="Times New Roman"/>
    </w:rPr>
  </w:style>
  <w:style w:type="character" w:customStyle="1" w:styleId="Pamatteksts2Rakstz1">
    <w:name w:val="Pamatteksts 2 Rakstz.1"/>
    <w:basedOn w:val="Noklusjumarindkopasfonts"/>
    <w:uiPriority w:val="99"/>
    <w:semiHidden/>
    <w:rsid w:val="00BC1FA8"/>
  </w:style>
  <w:style w:type="character" w:customStyle="1" w:styleId="Virsraksts1Rakstz">
    <w:name w:val="Virsraksts 1 Rakstz."/>
    <w:basedOn w:val="Noklusjumarindkopasfonts"/>
    <w:link w:val="Virsraksts1"/>
    <w:uiPriority w:val="9"/>
    <w:rsid w:val="00BC1FA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qFormat/>
    <w:rsid w:val="00BC1FA8"/>
    <w:pPr>
      <w:outlineLvl w:val="9"/>
    </w:pPr>
    <w:rPr>
      <w:rFonts w:ascii="Cambria" w:eastAsia="Times New Roman" w:hAnsi="Cambria" w:cs="Times New Roman"/>
      <w:color w:val="365F91"/>
      <w:lang w:val="en-US"/>
    </w:rPr>
  </w:style>
  <w:style w:type="paragraph" w:styleId="Galvene">
    <w:name w:val="header"/>
    <w:basedOn w:val="Parasts"/>
    <w:link w:val="GalveneRakstz"/>
    <w:uiPriority w:val="99"/>
    <w:unhideWhenUsed/>
    <w:rsid w:val="00BC1FA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C1FA8"/>
  </w:style>
  <w:style w:type="paragraph" w:styleId="Kjene">
    <w:name w:val="footer"/>
    <w:basedOn w:val="Parasts"/>
    <w:link w:val="KjeneRakstz"/>
    <w:uiPriority w:val="99"/>
    <w:unhideWhenUsed/>
    <w:rsid w:val="00BC1FA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C1FA8"/>
  </w:style>
  <w:style w:type="paragraph" w:customStyle="1" w:styleId="StyleRight">
    <w:name w:val="Style Right"/>
    <w:basedOn w:val="Parasts"/>
    <w:rsid w:val="00032610"/>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2650B4"/>
    <w:rPr>
      <w:color w:val="0000FF" w:themeColor="hyperlink"/>
      <w:u w:val="single"/>
    </w:rPr>
  </w:style>
  <w:style w:type="paragraph" w:styleId="Balonteksts">
    <w:name w:val="Balloon Text"/>
    <w:basedOn w:val="Parasts"/>
    <w:link w:val="BalontekstsRakstz"/>
    <w:uiPriority w:val="99"/>
    <w:semiHidden/>
    <w:unhideWhenUsed/>
    <w:rsid w:val="007D4E8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E8E"/>
    <w:rPr>
      <w:rFonts w:ascii="Tahoma" w:hAnsi="Tahoma" w:cs="Tahoma"/>
      <w:sz w:val="16"/>
      <w:szCs w:val="16"/>
    </w:rPr>
  </w:style>
  <w:style w:type="character" w:styleId="Komentraatsauce">
    <w:name w:val="annotation reference"/>
    <w:basedOn w:val="Noklusjumarindkopasfonts"/>
    <w:uiPriority w:val="99"/>
    <w:semiHidden/>
    <w:unhideWhenUsed/>
    <w:rsid w:val="00150CEB"/>
    <w:rPr>
      <w:sz w:val="16"/>
      <w:szCs w:val="16"/>
    </w:rPr>
  </w:style>
  <w:style w:type="paragraph" w:styleId="Komentrateksts">
    <w:name w:val="annotation text"/>
    <w:basedOn w:val="Parasts"/>
    <w:link w:val="KomentratekstsRakstz"/>
    <w:uiPriority w:val="99"/>
    <w:semiHidden/>
    <w:unhideWhenUsed/>
    <w:rsid w:val="00150C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0CEB"/>
    <w:rPr>
      <w:sz w:val="20"/>
      <w:szCs w:val="20"/>
    </w:rPr>
  </w:style>
  <w:style w:type="paragraph" w:styleId="Komentratma">
    <w:name w:val="annotation subject"/>
    <w:basedOn w:val="Komentrateksts"/>
    <w:next w:val="Komentrateksts"/>
    <w:link w:val="KomentratmaRakstz"/>
    <w:uiPriority w:val="99"/>
    <w:semiHidden/>
    <w:unhideWhenUsed/>
    <w:rsid w:val="00150CEB"/>
    <w:rPr>
      <w:b/>
      <w:bCs/>
    </w:rPr>
  </w:style>
  <w:style w:type="character" w:customStyle="1" w:styleId="KomentratmaRakstz">
    <w:name w:val="Komentāra tēma Rakstz."/>
    <w:basedOn w:val="KomentratekstsRakstz"/>
    <w:link w:val="Komentratma"/>
    <w:uiPriority w:val="99"/>
    <w:semiHidden/>
    <w:rsid w:val="00150CEB"/>
    <w:rPr>
      <w:b/>
      <w:bCs/>
      <w:sz w:val="20"/>
      <w:szCs w:val="20"/>
    </w:rPr>
  </w:style>
  <w:style w:type="paragraph" w:styleId="Prskatjums">
    <w:name w:val="Revision"/>
    <w:hidden/>
    <w:uiPriority w:val="99"/>
    <w:semiHidden/>
    <w:rsid w:val="00B204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BC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B491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BB4919"/>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BB4919"/>
    <w:pPr>
      <w:spacing w:after="0" w:line="240" w:lineRule="auto"/>
      <w:ind w:left="720"/>
      <w:contextualSpacing/>
    </w:pPr>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sid w:val="00BB4919"/>
    <w:rPr>
      <w:vertAlign w:val="superscript"/>
    </w:rPr>
  </w:style>
  <w:style w:type="paragraph" w:styleId="Pamatteksts">
    <w:name w:val="Body Text"/>
    <w:basedOn w:val="Parasts"/>
    <w:link w:val="PamattekstsRakstz"/>
    <w:rsid w:val="00BC1FA8"/>
    <w:pPr>
      <w:spacing w:after="0" w:line="240" w:lineRule="auto"/>
      <w:jc w:val="both"/>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BC1FA8"/>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BC1FA8"/>
    <w:pPr>
      <w:spacing w:after="0" w:line="240" w:lineRule="auto"/>
      <w:jc w:val="center"/>
    </w:pPr>
    <w:rPr>
      <w:rFonts w:ascii="Times New Roman" w:eastAsia="Times New Roman" w:hAnsi="Times New Roman" w:cs="Times New Roman"/>
      <w:b/>
      <w:bCs/>
      <w:sz w:val="24"/>
      <w:szCs w:val="24"/>
      <w:lang w:eastAsia="lv-LV"/>
    </w:rPr>
  </w:style>
  <w:style w:type="character" w:customStyle="1" w:styleId="NosaukumsRakstz">
    <w:name w:val="Nosaukums Rakstz."/>
    <w:basedOn w:val="Noklusjumarindkopasfonts"/>
    <w:link w:val="Nosaukums"/>
    <w:rsid w:val="00BC1FA8"/>
    <w:rPr>
      <w:rFonts w:ascii="Times New Roman" w:eastAsia="Times New Roman" w:hAnsi="Times New Roman" w:cs="Times New Roman"/>
      <w:b/>
      <w:bCs/>
      <w:sz w:val="24"/>
      <w:szCs w:val="24"/>
      <w:lang w:eastAsia="lv-LV"/>
    </w:rPr>
  </w:style>
  <w:style w:type="character" w:customStyle="1" w:styleId="Pamatteksts2Rakstz">
    <w:name w:val="Pamatteksts 2 Rakstz."/>
    <w:link w:val="Pamatteksts2"/>
    <w:uiPriority w:val="99"/>
    <w:rsid w:val="00BC1FA8"/>
    <w:rPr>
      <w:rFonts w:eastAsia="Times New Roman"/>
    </w:rPr>
  </w:style>
  <w:style w:type="paragraph" w:styleId="Pamatteksts2">
    <w:name w:val="Body Text 2"/>
    <w:basedOn w:val="Parasts"/>
    <w:link w:val="Pamatteksts2Rakstz"/>
    <w:uiPriority w:val="99"/>
    <w:unhideWhenUsed/>
    <w:rsid w:val="00BC1FA8"/>
    <w:pPr>
      <w:spacing w:after="120" w:line="480" w:lineRule="auto"/>
    </w:pPr>
    <w:rPr>
      <w:rFonts w:eastAsia="Times New Roman"/>
    </w:rPr>
  </w:style>
  <w:style w:type="character" w:customStyle="1" w:styleId="Pamatteksts2Rakstz1">
    <w:name w:val="Pamatteksts 2 Rakstz.1"/>
    <w:basedOn w:val="Noklusjumarindkopasfonts"/>
    <w:uiPriority w:val="99"/>
    <w:semiHidden/>
    <w:rsid w:val="00BC1FA8"/>
  </w:style>
  <w:style w:type="character" w:customStyle="1" w:styleId="Virsraksts1Rakstz">
    <w:name w:val="Virsraksts 1 Rakstz."/>
    <w:basedOn w:val="Noklusjumarindkopasfonts"/>
    <w:link w:val="Virsraksts1"/>
    <w:uiPriority w:val="9"/>
    <w:rsid w:val="00BC1FA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qFormat/>
    <w:rsid w:val="00BC1FA8"/>
    <w:pPr>
      <w:outlineLvl w:val="9"/>
    </w:pPr>
    <w:rPr>
      <w:rFonts w:ascii="Cambria" w:eastAsia="Times New Roman" w:hAnsi="Cambria" w:cs="Times New Roman"/>
      <w:color w:val="365F91"/>
      <w:lang w:val="en-US"/>
    </w:rPr>
  </w:style>
  <w:style w:type="paragraph" w:styleId="Galvene">
    <w:name w:val="header"/>
    <w:basedOn w:val="Parasts"/>
    <w:link w:val="GalveneRakstz"/>
    <w:uiPriority w:val="99"/>
    <w:unhideWhenUsed/>
    <w:rsid w:val="00BC1FA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C1FA8"/>
  </w:style>
  <w:style w:type="paragraph" w:styleId="Kjene">
    <w:name w:val="footer"/>
    <w:basedOn w:val="Parasts"/>
    <w:link w:val="KjeneRakstz"/>
    <w:uiPriority w:val="99"/>
    <w:unhideWhenUsed/>
    <w:rsid w:val="00BC1FA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C1FA8"/>
  </w:style>
  <w:style w:type="paragraph" w:customStyle="1" w:styleId="StyleRight">
    <w:name w:val="Style Right"/>
    <w:basedOn w:val="Parasts"/>
    <w:rsid w:val="00032610"/>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2650B4"/>
    <w:rPr>
      <w:color w:val="0000FF" w:themeColor="hyperlink"/>
      <w:u w:val="single"/>
    </w:rPr>
  </w:style>
  <w:style w:type="paragraph" w:styleId="Balonteksts">
    <w:name w:val="Balloon Text"/>
    <w:basedOn w:val="Parasts"/>
    <w:link w:val="BalontekstsRakstz"/>
    <w:uiPriority w:val="99"/>
    <w:semiHidden/>
    <w:unhideWhenUsed/>
    <w:rsid w:val="007D4E8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E8E"/>
    <w:rPr>
      <w:rFonts w:ascii="Tahoma" w:hAnsi="Tahoma" w:cs="Tahoma"/>
      <w:sz w:val="16"/>
      <w:szCs w:val="16"/>
    </w:rPr>
  </w:style>
  <w:style w:type="character" w:styleId="Komentraatsauce">
    <w:name w:val="annotation reference"/>
    <w:basedOn w:val="Noklusjumarindkopasfonts"/>
    <w:uiPriority w:val="99"/>
    <w:semiHidden/>
    <w:unhideWhenUsed/>
    <w:rsid w:val="00150CEB"/>
    <w:rPr>
      <w:sz w:val="16"/>
      <w:szCs w:val="16"/>
    </w:rPr>
  </w:style>
  <w:style w:type="paragraph" w:styleId="Komentrateksts">
    <w:name w:val="annotation text"/>
    <w:basedOn w:val="Parasts"/>
    <w:link w:val="KomentratekstsRakstz"/>
    <w:uiPriority w:val="99"/>
    <w:semiHidden/>
    <w:unhideWhenUsed/>
    <w:rsid w:val="00150C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0CEB"/>
    <w:rPr>
      <w:sz w:val="20"/>
      <w:szCs w:val="20"/>
    </w:rPr>
  </w:style>
  <w:style w:type="paragraph" w:styleId="Komentratma">
    <w:name w:val="annotation subject"/>
    <w:basedOn w:val="Komentrateksts"/>
    <w:next w:val="Komentrateksts"/>
    <w:link w:val="KomentratmaRakstz"/>
    <w:uiPriority w:val="99"/>
    <w:semiHidden/>
    <w:unhideWhenUsed/>
    <w:rsid w:val="00150CEB"/>
    <w:rPr>
      <w:b/>
      <w:bCs/>
    </w:rPr>
  </w:style>
  <w:style w:type="character" w:customStyle="1" w:styleId="KomentratmaRakstz">
    <w:name w:val="Komentāra tēma Rakstz."/>
    <w:basedOn w:val="KomentratekstsRakstz"/>
    <w:link w:val="Komentratma"/>
    <w:uiPriority w:val="99"/>
    <w:semiHidden/>
    <w:rsid w:val="00150CEB"/>
    <w:rPr>
      <w:b/>
      <w:bCs/>
      <w:sz w:val="20"/>
      <w:szCs w:val="20"/>
    </w:rPr>
  </w:style>
  <w:style w:type="paragraph" w:styleId="Prskatjums">
    <w:name w:val="Revision"/>
    <w:hidden/>
    <w:uiPriority w:val="99"/>
    <w:semiHidden/>
    <w:rsid w:val="00B20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5549">
      <w:bodyDiv w:val="1"/>
      <w:marLeft w:val="0"/>
      <w:marRight w:val="0"/>
      <w:marTop w:val="0"/>
      <w:marBottom w:val="0"/>
      <w:divBdr>
        <w:top w:val="none" w:sz="0" w:space="0" w:color="auto"/>
        <w:left w:val="none" w:sz="0" w:space="0" w:color="auto"/>
        <w:bottom w:val="none" w:sz="0" w:space="0" w:color="auto"/>
        <w:right w:val="none" w:sz="0" w:space="0" w:color="auto"/>
      </w:divBdr>
    </w:div>
    <w:div w:id="714542834">
      <w:bodyDiv w:val="1"/>
      <w:marLeft w:val="0"/>
      <w:marRight w:val="0"/>
      <w:marTop w:val="0"/>
      <w:marBottom w:val="0"/>
      <w:divBdr>
        <w:top w:val="none" w:sz="0" w:space="0" w:color="auto"/>
        <w:left w:val="none" w:sz="0" w:space="0" w:color="auto"/>
        <w:bottom w:val="none" w:sz="0" w:space="0" w:color="auto"/>
        <w:right w:val="none" w:sz="0" w:space="0" w:color="auto"/>
      </w:divBdr>
    </w:div>
    <w:div w:id="1055589355">
      <w:bodyDiv w:val="1"/>
      <w:marLeft w:val="0"/>
      <w:marRight w:val="0"/>
      <w:marTop w:val="0"/>
      <w:marBottom w:val="0"/>
      <w:divBdr>
        <w:top w:val="none" w:sz="0" w:space="0" w:color="auto"/>
        <w:left w:val="none" w:sz="0" w:space="0" w:color="auto"/>
        <w:bottom w:val="none" w:sz="0" w:space="0" w:color="auto"/>
        <w:right w:val="none" w:sz="0" w:space="0" w:color="auto"/>
      </w:divBdr>
    </w:div>
    <w:div w:id="20819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lita.Abolina@ta.gov.lv" TargetMode="External"/><Relationship Id="rId4" Type="http://schemas.microsoft.com/office/2007/relationships/stylesWithEffects" Target="stylesWithEffects.xml"/><Relationship Id="rId9" Type="http://schemas.openxmlformats.org/officeDocument/2006/relationships/hyperlink" Target="mailto:Anna.Skrjabina@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BC24-9290-4692-92ED-F2A7ECBA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4838</Words>
  <Characters>2758</Characters>
  <Application>Microsoft Office Word</Application>
  <DocSecurity>4</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pievienošanos Eiropas Tiesību akadēmijas fondam”</vt:lpstr>
      <vt:lpstr>Informatīvais ziņojums „Par pievienošanos Eiropas Tiesību akadēmijas fondam”</vt:lpstr>
    </vt:vector>
  </TitlesOfParts>
  <Company>Tieslietu ministrija</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pievienošanos Eiropas Tiesību akadēmijas fondam”</dc:title>
  <dc:subject>Informatīvais ziņojums</dc:subject>
  <dc:creator>Anna Skrjabina, Olita Āboliņa</dc:creator>
  <dc:description>67083613, Anna.Skrjabina@ta.gov.lv
67063811, Olita.Abolina@ta.gov.lv</dc:description>
  <cp:lastModifiedBy>Irina Borodjuka</cp:lastModifiedBy>
  <cp:revision>2</cp:revision>
  <dcterms:created xsi:type="dcterms:W3CDTF">2016-11-07T13:15:00Z</dcterms:created>
  <dcterms:modified xsi:type="dcterms:W3CDTF">2016-11-07T13:15:00Z</dcterms:modified>
</cp:coreProperties>
</file>