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5" w:rsidRPr="00425658" w:rsidRDefault="00A20315" w:rsidP="00A20315">
      <w:pPr>
        <w:shd w:val="clear" w:color="auto" w:fill="FFFFFF"/>
        <w:jc w:val="center"/>
        <w:rPr>
          <w:rFonts w:ascii="Times New Roman" w:eastAsia="Times New Roman" w:hAnsi="Times New Roman"/>
          <w:b/>
          <w:color w:val="auto"/>
        </w:rPr>
      </w:pPr>
      <w:r w:rsidRPr="00425658">
        <w:rPr>
          <w:rFonts w:ascii="Times New Roman" w:eastAsia="Times New Roman" w:hAnsi="Times New Roman"/>
          <w:b/>
          <w:color w:val="auto"/>
        </w:rPr>
        <w:t xml:space="preserve">Informatīvais ziņojums </w:t>
      </w:r>
    </w:p>
    <w:p w:rsidR="00A20315" w:rsidRPr="00425658" w:rsidRDefault="00A20315" w:rsidP="00A20315">
      <w:pPr>
        <w:shd w:val="clear" w:color="auto" w:fill="FFFFFF"/>
        <w:jc w:val="center"/>
        <w:rPr>
          <w:rFonts w:ascii="Times New Roman" w:eastAsia="Times New Roman" w:hAnsi="Times New Roman"/>
          <w:b/>
          <w:color w:val="auto"/>
        </w:rPr>
      </w:pPr>
      <w:r w:rsidRPr="00425658">
        <w:rPr>
          <w:rFonts w:ascii="Times New Roman" w:hAnsi="Times New Roman"/>
          <w:b/>
          <w:color w:val="auto"/>
        </w:rPr>
        <w:t>Par</w:t>
      </w:r>
      <w:r w:rsidRPr="00425658">
        <w:rPr>
          <w:rFonts w:ascii="Times New Roman" w:eastAsia="Times New Roman" w:hAnsi="Times New Roman"/>
          <w:b/>
          <w:color w:val="auto"/>
          <w:lang w:eastAsia="lv-LV"/>
        </w:rPr>
        <w:t xml:space="preserve"> iespējamiem finansēšanas risinājumiem</w:t>
      </w:r>
      <w:r w:rsidRPr="00425658">
        <w:rPr>
          <w:rFonts w:ascii="Times New Roman" w:hAnsi="Times New Roman"/>
          <w:b/>
          <w:color w:val="auto"/>
        </w:rPr>
        <w:t xml:space="preserve"> </w:t>
      </w:r>
      <w:r w:rsidRPr="00425658">
        <w:rPr>
          <w:rFonts w:ascii="Times New Roman" w:eastAsia="Times New Roman" w:hAnsi="Times New Roman"/>
          <w:b/>
          <w:color w:val="auto"/>
          <w:lang w:eastAsia="lv-LV"/>
        </w:rPr>
        <w:t xml:space="preserve">sertifikācijas pakalpojumu </w:t>
      </w:r>
      <w:r w:rsidRPr="00425658">
        <w:rPr>
          <w:rFonts w:ascii="Times New Roman" w:hAnsi="Times New Roman"/>
          <w:b/>
          <w:color w:val="auto"/>
        </w:rPr>
        <w:t>nodrošināšanai personu apliecībās (eID) un to</w:t>
      </w:r>
      <w:r w:rsidRPr="00425658">
        <w:rPr>
          <w:rFonts w:ascii="Times New Roman" w:eastAsia="Times New Roman" w:hAnsi="Times New Roman"/>
          <w:b/>
          <w:color w:val="auto"/>
        </w:rPr>
        <w:t>, kā vienotu un prioritāru līdzekli personas elektroniskās identitātes nodrošināšanai</w:t>
      </w:r>
    </w:p>
    <w:p w:rsidR="00A20315" w:rsidRPr="00425658" w:rsidRDefault="00A20315" w:rsidP="00A20315">
      <w:pPr>
        <w:shd w:val="clear" w:color="auto" w:fill="FFFFFF"/>
        <w:jc w:val="center"/>
        <w:rPr>
          <w:rFonts w:ascii="Times New Roman" w:eastAsia="Times New Roman" w:hAnsi="Times New Roman"/>
          <w:b/>
          <w:color w:val="auto"/>
          <w:u w:val="single"/>
        </w:rPr>
      </w:pPr>
    </w:p>
    <w:p w:rsidR="00A20315" w:rsidRPr="00425658" w:rsidRDefault="00A20315" w:rsidP="00A20315">
      <w:pPr>
        <w:tabs>
          <w:tab w:val="num" w:pos="567"/>
        </w:tabs>
        <w:jc w:val="both"/>
        <w:rPr>
          <w:rFonts w:ascii="Times New Roman" w:hAnsi="Times New Roman"/>
          <w:color w:val="auto"/>
        </w:rPr>
      </w:pPr>
      <w:r w:rsidRPr="00425658">
        <w:rPr>
          <w:rFonts w:ascii="Times New Roman" w:hAnsi="Times New Roman"/>
          <w:color w:val="auto"/>
        </w:rPr>
        <w:tab/>
      </w:r>
    </w:p>
    <w:p w:rsidR="00A20315" w:rsidRPr="00425658" w:rsidRDefault="00A20315" w:rsidP="00A20315">
      <w:pPr>
        <w:tabs>
          <w:tab w:val="num" w:pos="567"/>
        </w:tabs>
        <w:jc w:val="both"/>
        <w:rPr>
          <w:rFonts w:ascii="Times New Roman" w:hAnsi="Times New Roman"/>
          <w:color w:val="auto"/>
        </w:rPr>
      </w:pPr>
    </w:p>
    <w:p w:rsidR="00A20315" w:rsidRPr="00425658" w:rsidRDefault="00A20315" w:rsidP="00A20315">
      <w:pPr>
        <w:tabs>
          <w:tab w:val="num" w:pos="567"/>
        </w:tabs>
        <w:jc w:val="both"/>
        <w:rPr>
          <w:rFonts w:ascii="Times New Roman" w:hAnsi="Times New Roman"/>
          <w:color w:val="auto"/>
        </w:rPr>
      </w:pPr>
      <w:r w:rsidRPr="00425658">
        <w:rPr>
          <w:rFonts w:ascii="Times New Roman" w:hAnsi="Times New Roman"/>
          <w:color w:val="auto"/>
        </w:rPr>
        <w:tab/>
        <w:t xml:space="preserve">Saskaņā ar 2016. gada 30. augusta Ministru kabineta </w:t>
      </w:r>
      <w:proofErr w:type="spellStart"/>
      <w:r w:rsidRPr="00425658">
        <w:rPr>
          <w:rFonts w:ascii="Times New Roman" w:hAnsi="Times New Roman"/>
          <w:color w:val="auto"/>
        </w:rPr>
        <w:t>protokollēmuma</w:t>
      </w:r>
      <w:proofErr w:type="spellEnd"/>
      <w:r w:rsidRPr="00425658">
        <w:rPr>
          <w:rFonts w:ascii="Times New Roman" w:hAnsi="Times New Roman"/>
          <w:color w:val="auto"/>
        </w:rPr>
        <w:t xml:space="preserve"> Nr. 43 </w:t>
      </w:r>
      <w:bookmarkStart w:id="0" w:name="29"/>
      <w:r w:rsidRPr="00425658">
        <w:rPr>
          <w:rFonts w:ascii="Times New Roman" w:eastAsia="Times New Roman" w:hAnsi="Times New Roman"/>
          <w:color w:val="auto"/>
          <w:lang w:eastAsia="lv-LV"/>
        </w:rPr>
        <w:t>29</w:t>
      </w:r>
      <w:bookmarkEnd w:id="0"/>
      <w:r w:rsidRPr="00425658">
        <w:rPr>
          <w:rFonts w:ascii="Times New Roman" w:eastAsia="Times New Roman" w:hAnsi="Times New Roman"/>
          <w:color w:val="auto"/>
          <w:lang w:eastAsia="lv-LV"/>
        </w:rPr>
        <w:t>.§ “Rīkojuma projekts “Grozījumi Elektronisko identifikācijas karšu koncepcijā”” 3. punktu, ir sagatavots izvērtējums par iespējamiem sertifikācijas pakalpojumu finansēšanas risinājumiem. Dotais uzdevums ir saistīts ar Ministru kabinetā apstiprināto uzdevumu</w:t>
      </w:r>
      <w:r w:rsidRPr="00425658">
        <w:rPr>
          <w:rFonts w:ascii="Times New Roman" w:hAnsi="Times New Roman"/>
          <w:color w:val="auto"/>
        </w:rPr>
        <w:t xml:space="preserve"> Pilsonības un migrācijas lietu pārvaldei (turpmāk – PMLP) noslēgt deleģēšanas līgumu ar valsts akciju sabiedrību “Latvijas Valsts radio un televīzijas centrs” (turpmāk – LVRTC) par sertifikācijas pakalpojumu piegādi elektronisko identifikācijas karšu (personas apliecību) (turpmāk – eID) izsniegšanas nodrošināšanai atbilstoši Ministru kabineta atbalstītajam finansēšanas risinājumam. </w:t>
      </w:r>
    </w:p>
    <w:p w:rsidR="00A20315" w:rsidRPr="00425658" w:rsidRDefault="00A20315" w:rsidP="00A20315">
      <w:pPr>
        <w:tabs>
          <w:tab w:val="num" w:pos="567"/>
        </w:tabs>
        <w:jc w:val="both"/>
        <w:rPr>
          <w:rFonts w:ascii="Times New Roman" w:hAnsi="Times New Roman"/>
          <w:color w:val="auto"/>
        </w:rPr>
      </w:pPr>
    </w:p>
    <w:p w:rsidR="00A20315" w:rsidRPr="00425658" w:rsidRDefault="00A20315" w:rsidP="00A20315">
      <w:pPr>
        <w:shd w:val="clear" w:color="auto" w:fill="FFFFFF"/>
        <w:ind w:firstLine="720"/>
        <w:jc w:val="center"/>
        <w:rPr>
          <w:rFonts w:ascii="Times New Roman" w:eastAsia="Times New Roman" w:hAnsi="Times New Roman"/>
          <w:b/>
          <w:color w:val="auto"/>
        </w:rPr>
      </w:pPr>
      <w:r w:rsidRPr="00425658">
        <w:rPr>
          <w:rFonts w:ascii="Times New Roman" w:eastAsia="Times New Roman" w:hAnsi="Times New Roman"/>
          <w:b/>
          <w:color w:val="auto"/>
        </w:rPr>
        <w:t>1. Esošā situācija identifikācijai virtuālajā vidē</w:t>
      </w:r>
    </w:p>
    <w:p w:rsidR="00A20315" w:rsidRPr="00425658" w:rsidRDefault="00A20315" w:rsidP="00A20315">
      <w:pPr>
        <w:shd w:val="clear" w:color="auto" w:fill="FFFFFF"/>
        <w:ind w:firstLine="720"/>
        <w:jc w:val="center"/>
        <w:rPr>
          <w:rFonts w:ascii="Times New Roman" w:eastAsia="Times New Roman" w:hAnsi="Times New Roman"/>
          <w:b/>
          <w:color w:val="auto"/>
        </w:rPr>
      </w:pPr>
    </w:p>
    <w:p w:rsidR="00A20315" w:rsidRPr="00425658" w:rsidRDefault="00A20315" w:rsidP="00A20315">
      <w:pPr>
        <w:shd w:val="clear" w:color="auto" w:fill="FFFFFF"/>
        <w:ind w:firstLine="720"/>
        <w:jc w:val="center"/>
        <w:rPr>
          <w:rFonts w:ascii="Times New Roman" w:eastAsia="Times New Roman" w:hAnsi="Times New Roman"/>
          <w:b/>
          <w:color w:val="auto"/>
        </w:rPr>
      </w:pPr>
      <w:r w:rsidRPr="00425658">
        <w:rPr>
          <w:rFonts w:ascii="Times New Roman" w:eastAsia="Times New Roman" w:hAnsi="Times New Roman"/>
          <w:b/>
          <w:color w:val="auto"/>
        </w:rPr>
        <w:t xml:space="preserve">1.1. Identifikācijas līdzekļi un to tiesiskais pamats </w:t>
      </w:r>
    </w:p>
    <w:p w:rsidR="00A20315" w:rsidRPr="00425658" w:rsidRDefault="00A20315" w:rsidP="00A20315">
      <w:pPr>
        <w:shd w:val="clear" w:color="auto" w:fill="FFFFFF"/>
        <w:ind w:firstLine="720"/>
        <w:jc w:val="center"/>
        <w:rPr>
          <w:rFonts w:ascii="Times New Roman" w:eastAsia="Times New Roman" w:hAnsi="Times New Roman"/>
          <w:b/>
          <w:color w:val="auto"/>
        </w:rPr>
      </w:pP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Viena no Eiropas Savienības un Latvijas prioritātēm ir digitālā vienotā tirgus izveide un administratīvā sloga mazināšana uzņēmējiem un iedzīvotājiem.</w:t>
      </w:r>
      <w:r w:rsidRPr="00425658">
        <w:rPr>
          <w:rFonts w:ascii="Times New Roman" w:hAnsi="Times New Roman"/>
          <w:color w:val="auto"/>
        </w:rPr>
        <w:t xml:space="preserve"> </w:t>
      </w:r>
      <w:r w:rsidRPr="00425658">
        <w:rPr>
          <w:rFonts w:ascii="Times New Roman" w:eastAsia="Times New Roman" w:hAnsi="Times New Roman"/>
          <w:color w:val="auto"/>
        </w:rPr>
        <w:t xml:space="preserve">Lai atvieglotu un veicinātu personu saziņu ar valsts un pašvaldību institūcijām, kā arī uzlabotu valsts un pašvaldību pakalpojumu pieejamību, šobrīd personām ir pieejami vairāk nekā 450 elektroniskie pakalpojumi, liela daļa no kuriem pieejami Valsts pārvaldes pakalpojumu portālā </w:t>
      </w:r>
      <w:hyperlink r:id="rId8" w:history="1">
        <w:r w:rsidRPr="00425658">
          <w:rPr>
            <w:rStyle w:val="Hyperlink"/>
            <w:rFonts w:ascii="Times New Roman" w:hAnsi="Times New Roman"/>
            <w:color w:val="auto"/>
          </w:rPr>
          <w:t>www.latvija.lv</w:t>
        </w:r>
      </w:hyperlink>
      <w:r w:rsidRPr="00425658">
        <w:rPr>
          <w:rFonts w:ascii="Times New Roman" w:eastAsia="Times New Roman" w:hAnsi="Times New Roman"/>
          <w:color w:val="auto"/>
        </w:rPr>
        <w:t xml:space="preserve"> (turpmāk – portāls </w:t>
      </w:r>
      <w:hyperlink r:id="rId9" w:history="1">
        <w:r w:rsidRPr="00425658">
          <w:rPr>
            <w:rStyle w:val="Hyperlink"/>
            <w:rFonts w:ascii="Times New Roman" w:hAnsi="Times New Roman"/>
            <w:color w:val="auto"/>
          </w:rPr>
          <w:t>www.latvija.lv</w:t>
        </w:r>
      </w:hyperlink>
      <w:r w:rsidRPr="00425658">
        <w:rPr>
          <w:rFonts w:ascii="Times New Roman" w:eastAsia="Times New Roman" w:hAnsi="Times New Roman"/>
          <w:color w:val="auto"/>
        </w:rPr>
        <w:t>). Personām ir tiesības izmantot elektroniskos dokumentus saziņai ar visām valsts un pašvaldību institūcijām, kā arī tiesām un sabiedrisko pakalpojumu sniedzējiem.</w:t>
      </w:r>
      <w:r w:rsidRPr="00425658">
        <w:rPr>
          <w:rFonts w:ascii="Times New Roman" w:hAnsi="Times New Roman"/>
          <w:color w:val="auto"/>
        </w:rPr>
        <w:t xml:space="preserve"> Aizvien plašāka publisko pakalpojumu ģeogrāfiskā pieejamība tiek nodrošināta elektroniski, konsultējot klātienē valsts un pašvaldību vienotajos klientu apkalpošanas centros par e-pakalpojumu izmantošanas iespējām. Līdz ar to, lai </w:t>
      </w:r>
      <w:proofErr w:type="gramStart"/>
      <w:r w:rsidRPr="00425658">
        <w:rPr>
          <w:rFonts w:ascii="Times New Roman" w:hAnsi="Times New Roman"/>
          <w:color w:val="auto"/>
        </w:rPr>
        <w:t xml:space="preserve">veicinātu, </w:t>
      </w:r>
      <w:proofErr w:type="spellStart"/>
      <w:r w:rsidRPr="00425658">
        <w:rPr>
          <w:rFonts w:ascii="Times New Roman" w:hAnsi="Times New Roman"/>
          <w:color w:val="auto"/>
        </w:rPr>
        <w:t>efektivizētu</w:t>
      </w:r>
      <w:proofErr w:type="spellEnd"/>
      <w:r w:rsidRPr="00425658">
        <w:rPr>
          <w:rFonts w:ascii="Times New Roman" w:hAnsi="Times New Roman"/>
          <w:color w:val="auto"/>
        </w:rPr>
        <w:t>, modernizētu un attīstītu publiskos elektroniskos pakalpojumus</w:t>
      </w:r>
      <w:proofErr w:type="gramEnd"/>
      <w:r w:rsidRPr="00425658">
        <w:rPr>
          <w:rFonts w:ascii="Times New Roman" w:hAnsi="Times New Roman"/>
          <w:color w:val="auto"/>
        </w:rPr>
        <w:t xml:space="preserve">, elektronisko dokumentu apriti starp personām un institūcijām, droša elektroniskā identifikācija un drošs elektroniskais paraksts ir neatņemams elektroniskās pārvaldes elements. </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Līdzšinējā prakse, kā arī normatīvais regulējums, veidojot un ieviešot publiskos elektroniskos pakalpojumus, izmanto iedzīvotājiem jau pieejamos identifikācijas rīkus. Būtiska ir arī privātā sektora loma elektroniskās vides, tostarp elektronisko pakalpojumu izmantojamībai un pieejamībai. Pašreiz valsts pārvaldē, lai nodrošinātu fiziskām personām piekļuvi valsts sniegtajiem elektroniskajiem pakalpojumiem vai valsts informācijas sistēmām, tiek izmantotas dažādas lietotāju identitātes apliecināšanas jeb identifikācijas metodes – internetbanku piekļuves rīki, personas apliecība jeb eID (turpmāk – eID karte), kā arī iestādes izveidotas individuālas metodes piekļuvei kādai konkrētai valsts informācijas sistēmai vai pakalpojumam. Izmantojamā identifikācija elektroniskajiem pakalpojumiem vai valsts informācijas sistēmai, atkarībā no tās pielietošanas jomas, var tikt noteikta dažādos normatīvajos aktos.</w:t>
      </w:r>
    </w:p>
    <w:p w:rsidR="00A20315" w:rsidRPr="00425658" w:rsidRDefault="00A20315" w:rsidP="00A20315">
      <w:pPr>
        <w:shd w:val="clear" w:color="auto" w:fill="FFFFFF"/>
        <w:ind w:firstLine="720"/>
        <w:jc w:val="both"/>
        <w:rPr>
          <w:rFonts w:ascii="Times New Roman" w:hAnsi="Times New Roman"/>
          <w:color w:val="auto"/>
          <w:shd w:val="clear" w:color="auto" w:fill="FFFFFF"/>
        </w:rPr>
      </w:pPr>
    </w:p>
    <w:p w:rsidR="00A20315" w:rsidRPr="00425658" w:rsidRDefault="00A20315" w:rsidP="00A20315">
      <w:pPr>
        <w:shd w:val="clear" w:color="auto" w:fill="FFFFFF"/>
        <w:ind w:firstLine="720"/>
        <w:jc w:val="center"/>
        <w:rPr>
          <w:rFonts w:ascii="Times New Roman" w:eastAsia="Times New Roman" w:hAnsi="Times New Roman"/>
          <w:b/>
          <w:color w:val="auto"/>
        </w:rPr>
      </w:pPr>
      <w:r w:rsidRPr="00425658">
        <w:rPr>
          <w:rFonts w:ascii="Times New Roman" w:eastAsia="Times New Roman" w:hAnsi="Times New Roman"/>
          <w:b/>
          <w:color w:val="auto"/>
        </w:rPr>
        <w:t xml:space="preserve">1.2. Izmantojamie identifikācijas līdzekļi elektronisko pakalpojumu saņemšanai </w:t>
      </w:r>
    </w:p>
    <w:p w:rsidR="00A20315" w:rsidRPr="00425658" w:rsidRDefault="00A20315" w:rsidP="00A20315">
      <w:pPr>
        <w:shd w:val="clear" w:color="auto" w:fill="FFFFFF"/>
        <w:ind w:firstLine="720"/>
        <w:jc w:val="center"/>
        <w:rPr>
          <w:rFonts w:ascii="Times New Roman" w:eastAsia="Times New Roman" w:hAnsi="Times New Roman"/>
          <w:b/>
          <w:color w:val="auto"/>
          <w:u w:val="single"/>
        </w:rPr>
      </w:pP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lastRenderedPageBreak/>
        <w:t xml:space="preserve">Latvijā elektronisko pakalpojumu pieejamība tiek nodrošināta gan ar institūciju interneta vietņu starpniecību, gan izmantojot Portālu </w:t>
      </w:r>
      <w:proofErr w:type="spellStart"/>
      <w:r w:rsidRPr="00425658">
        <w:rPr>
          <w:rFonts w:ascii="Times New Roman" w:eastAsia="Times New Roman" w:hAnsi="Times New Roman"/>
          <w:color w:val="auto"/>
        </w:rPr>
        <w:t>www.latvija.lv</w:t>
      </w:r>
      <w:proofErr w:type="spellEnd"/>
      <w:r w:rsidRPr="00425658">
        <w:rPr>
          <w:rFonts w:ascii="Times New Roman" w:eastAsia="Times New Roman" w:hAnsi="Times New Roman"/>
          <w:color w:val="auto"/>
        </w:rPr>
        <w:t xml:space="preserve">. Iestādes papildina personām pieejamo elektronisko pakalpojumu klāstu, kā arī tiek veikta Portāla </w:t>
      </w:r>
      <w:proofErr w:type="spellStart"/>
      <w:r w:rsidRPr="00425658">
        <w:rPr>
          <w:rFonts w:ascii="Times New Roman" w:eastAsia="Times New Roman" w:hAnsi="Times New Roman"/>
          <w:color w:val="auto"/>
        </w:rPr>
        <w:t>www.latvija.lv</w:t>
      </w:r>
      <w:proofErr w:type="spellEnd"/>
      <w:r w:rsidRPr="00425658">
        <w:rPr>
          <w:rFonts w:ascii="Times New Roman" w:eastAsia="Times New Roman" w:hAnsi="Times New Roman"/>
          <w:color w:val="auto"/>
        </w:rPr>
        <w:t xml:space="preserve"> attīstīšana. Tiek atjaunotas izmantojamās tehnoloģijas elektronisko pakalpojumu ērtākai pieejamībai un vienkāršākai elektronisko dokumentu apritei. </w:t>
      </w:r>
    </w:p>
    <w:p w:rsidR="00A20315" w:rsidRPr="00425658" w:rsidRDefault="00A20315" w:rsidP="00A20315">
      <w:pPr>
        <w:shd w:val="clear" w:color="auto" w:fill="FFFFFF"/>
        <w:ind w:firstLine="720"/>
        <w:jc w:val="both"/>
        <w:rPr>
          <w:rFonts w:ascii="Times New Roman" w:hAnsi="Times New Roman"/>
          <w:color w:val="auto"/>
        </w:rPr>
      </w:pPr>
      <w:r w:rsidRPr="00425658">
        <w:rPr>
          <w:rFonts w:ascii="Times New Roman" w:eastAsia="Times New Roman" w:hAnsi="Times New Roman"/>
          <w:color w:val="auto"/>
        </w:rPr>
        <w:t xml:space="preserve">Portālā </w:t>
      </w:r>
      <w:proofErr w:type="spellStart"/>
      <w:r w:rsidRPr="00425658">
        <w:rPr>
          <w:rFonts w:ascii="Times New Roman" w:eastAsia="Times New Roman" w:hAnsi="Times New Roman"/>
          <w:color w:val="auto"/>
        </w:rPr>
        <w:t>www.latvija.lv</w:t>
      </w:r>
      <w:proofErr w:type="spellEnd"/>
      <w:r w:rsidRPr="00425658">
        <w:rPr>
          <w:rFonts w:ascii="Times New Roman" w:eastAsia="Times New Roman" w:hAnsi="Times New Roman"/>
          <w:color w:val="auto"/>
        </w:rPr>
        <w:t xml:space="preserve"> personu identifikācija dažādiem pakalpojumiem notiek, izmantojot atšķirīgas identifikācijas metodes, kurām ir atšķirīgs tiesiskais pamats, drošības līmenis un lietojamība. Viena no portālā </w:t>
      </w:r>
      <w:hyperlink r:id="rId10" w:history="1">
        <w:r w:rsidRPr="00425658">
          <w:rPr>
            <w:rStyle w:val="Hyperlink"/>
            <w:rFonts w:ascii="Times New Roman" w:hAnsi="Times New Roman"/>
            <w:color w:val="auto"/>
          </w:rPr>
          <w:t>www.latvija.lv</w:t>
        </w:r>
      </w:hyperlink>
      <w:r w:rsidRPr="00425658">
        <w:rPr>
          <w:rFonts w:ascii="Times New Roman" w:eastAsia="Times New Roman" w:hAnsi="Times New Roman"/>
          <w:color w:val="auto"/>
        </w:rPr>
        <w:t xml:space="preserve"> pieejamām identifikācijas metodēm ir </w:t>
      </w:r>
      <w:r w:rsidRPr="00425658">
        <w:rPr>
          <w:rFonts w:ascii="Times New Roman" w:eastAsia="Times New Roman" w:hAnsi="Times New Roman"/>
          <w:b/>
          <w:color w:val="auto"/>
        </w:rPr>
        <w:t xml:space="preserve">banku identifikācijas rīki. </w:t>
      </w:r>
      <w:r w:rsidRPr="00425658">
        <w:rPr>
          <w:rFonts w:ascii="Times New Roman" w:eastAsia="Times New Roman" w:hAnsi="Times New Roman"/>
          <w:color w:val="auto"/>
        </w:rPr>
        <w:t>Personu identifikācijā tie tiek izmantoti saskaņā ar Identifikācijas likumu. Šāda personu identifikācija pastāv tikai gadījumos, ja attiecīgā banka kā komercstruktūra ir brīvprātīgi izrādījusi savu iniciatīvu iesaistīties valsts un pašvaldību sniegto elektronisko pakalpojumu pieejamības nodrošināšanā un attiecīgā persona ir kādas no minēto banku klientiem. Ņemot vērā, ka šāda personu identifikācija tiek balstīta tikai uz vienošanās pamata, banku izmantotajiem līdzekļiem publisko pakalpojumu sniegšanas jomā netiek izvirzītas un kontrolētas drošības prasības ne konkrētam tehniskam risinājumam, ne arī procedūrām, kādā veidā attiecīgie identifikācijas rīki tiek izsniegti personām. Turklāt valsts institūcijas nevar garantēt šādas vienošanās un banku iniciatīvas/piekrišanas ilglaicīgu darbību un līdz ar to elektronisko pakalpojumu nepārtrauktu pieejamību izmantojot banku izsniegtos identifikācijas līdzekļus. Banku piedāvātie identifikācijas rīki ir paredzēti izmantošanai konkrētas informācijas sistēmas (internetbankas) ietvaros. Līdz ar to attiecīgo identifikācijas rīku izmantošana ārpus konkrētās bankas sistēmas būtiski palielina iespējamo drošības risku līmeni, bet bankai nav iespēju un pienākuma veikt drošības risku pārvaldību ārpus savā pārziņā esošās informācijas sistēmas. Izvēloties un izmantojot banku identifikācijas rīkus publisko elektronisko pakalpojumu saņemšanai, personai tiek uzlikts par pienākumu pašai izvērtēt iespējamo pušu atbildību gadījumā, ja iestājies incidents, kas radījis nelabvēlīgas sekas vai jebkāda veida kaitējumu attiecīgajai personai.</w:t>
      </w:r>
    </w:p>
    <w:p w:rsidR="00A20315" w:rsidRPr="00425658" w:rsidRDefault="00A20315" w:rsidP="00A20315">
      <w:pPr>
        <w:pStyle w:val="tv213"/>
        <w:spacing w:before="0" w:beforeAutospacing="0" w:after="0" w:afterAutospacing="0"/>
        <w:ind w:firstLine="720"/>
        <w:jc w:val="both"/>
        <w:rPr>
          <w:lang w:val="lv-LV"/>
        </w:rPr>
      </w:pPr>
      <w:r w:rsidRPr="00425658">
        <w:rPr>
          <w:kern w:val="3"/>
          <w:lang w:val="lv-LV" w:eastAsia="ar-SA"/>
        </w:rPr>
        <w:t xml:space="preserve">Portālā </w:t>
      </w:r>
      <w:hyperlink r:id="rId11" w:history="1">
        <w:r w:rsidRPr="00425658">
          <w:rPr>
            <w:kern w:val="3"/>
            <w:lang w:val="lv-LV" w:eastAsia="ar-SA"/>
          </w:rPr>
          <w:t>www.latvija.lv</w:t>
        </w:r>
      </w:hyperlink>
      <w:r w:rsidRPr="00425658">
        <w:rPr>
          <w:kern w:val="3"/>
          <w:lang w:val="lv-LV" w:eastAsia="ar-SA"/>
        </w:rPr>
        <w:t xml:space="preserve"> kā identifikācijas līdzekli tiek piedāvāts izmantot arī </w:t>
      </w:r>
      <w:r w:rsidRPr="00425658">
        <w:rPr>
          <w:b/>
          <w:kern w:val="3"/>
          <w:lang w:val="lv-LV" w:eastAsia="ar-SA"/>
        </w:rPr>
        <w:t>eID karti</w:t>
      </w:r>
      <w:r w:rsidRPr="00425658">
        <w:rPr>
          <w:kern w:val="3"/>
          <w:lang w:val="lv-LV" w:eastAsia="ar-SA"/>
        </w:rPr>
        <w:t>. eID kartes</w:t>
      </w:r>
      <w:r w:rsidRPr="00425658">
        <w:rPr>
          <w:b/>
          <w:lang w:val="lv-LV"/>
        </w:rPr>
        <w:t xml:space="preserve"> </w:t>
      </w:r>
      <w:r w:rsidRPr="00425658">
        <w:rPr>
          <w:lang w:val="lv-LV"/>
        </w:rPr>
        <w:t>tiek izsniegtas saskaņā ar Personu apliecinošo dokumentu likumu (turpmāk – PADL) personām, kuras šo līdzekli brīvprātīgi izvēlējušās kā dokumentu savas personas identitātes apliecināšanai. Saskaņā ar PADL</w:t>
      </w:r>
      <w:r w:rsidRPr="00425658">
        <w:rPr>
          <w:shd w:val="clear" w:color="auto" w:fill="FFFFFF" w:themeFill="background1"/>
          <w:lang w:val="lv-LV"/>
        </w:rPr>
        <w:t xml:space="preserve"> 5. panta piekto daļu, eID iekļauj informāciju elektroniskā formā, kas nepieciešama personas apliecības turētāja elektroniskai identitātes pārbaudei, kā arī droša elektroniskā paraksta radīšanai. eID ir uzskatāma par derīgu personas identitātes apliecināšanas līdzekli elektronisko pakalpojumu saņemšanai. Ministru kabineta 2012.gada 21.februāra noteikumu Nr.134 “Personu apliecinošu dokumentu noteikumi” (turpmāk – PADN) 11. punktā noteikts, ka </w:t>
      </w:r>
      <w:r w:rsidRPr="00425658">
        <w:rPr>
          <w:lang w:val="lv-LV"/>
        </w:rPr>
        <w:t xml:space="preserve">eID ir iestrādāts datu nesējs – kontakta mikroshēma, kura atbilst prasībām, kas tiesību aktos noteiktas drošiem elektroniskā paraksta radīšanas līdzekļiem, un kurā personai no 14 gadu vecuma ir iekļauti dati elektroniskā paraksta radīšanai un pārbaudei, kvalificēts elektroniskā paraksta sertifikāts, dati elektroniskai identitātes apliecināšanai un pārbaudei (turpmāk – autentifikācija), autentifikācijas sertifikāts, dati iekļautās informācijas aizsardzībai un automatizētai apstrādei (metadati). </w:t>
      </w:r>
      <w:r w:rsidRPr="00425658">
        <w:rPr>
          <w:shd w:val="clear" w:color="auto" w:fill="FFFFFF" w:themeFill="background1"/>
          <w:lang w:val="lv-LV"/>
        </w:rPr>
        <w:t>Š</w:t>
      </w:r>
      <w:r w:rsidRPr="00425658">
        <w:rPr>
          <w:lang w:val="lv-LV"/>
        </w:rPr>
        <w:t xml:space="preserve">obrīd saskaņā ar PADN 46. punktu personām ir tiesības atteikties no eID iekļautā droša elektroniskā paraksta un autentifikācijas sertifikāta aktivizēšanas, </w:t>
      </w:r>
      <w:r w:rsidRPr="00425658">
        <w:rPr>
          <w:shd w:val="clear" w:color="auto" w:fill="FFFFFF" w:themeFill="background1"/>
          <w:lang w:val="lv-LV"/>
        </w:rPr>
        <w:t>kā arī pieprasīt sertifikātu anulēšanu, darbības apturēšanu,</w:t>
      </w:r>
      <w:r w:rsidRPr="00425658">
        <w:rPr>
          <w:lang w:val="lv-LV"/>
        </w:rPr>
        <w:t xml:space="preserve"> kas padara eID nederīgu elektronisko pakalpojumu saņemšanai un droša elektroniskā paraksta radīšanai un liedz personai izmantot eID elektroniskā vidē. Tātad faktiski netiek nodrošināta Personu apliecinošo dokumentu likumā noteiktā obligātā eID kartes funkcionalitāte. eID ir derīga ne vien kā ceļošanas dokuments konkrētos reģionos izmantošanai klātienē, bet arī kā publisko elektronisko pakalpojumu saņemšanas līdzeklis. eID var saturēt vairākus būtiskus citus parametrus un datus, kas nodrošina iespēju izmantot elektronisko vidi gan klātienē, gan arī attālināti.</w:t>
      </w:r>
    </w:p>
    <w:p w:rsidR="00A20315" w:rsidRPr="00425658" w:rsidRDefault="00A20315" w:rsidP="00A20315">
      <w:pPr>
        <w:pStyle w:val="ListParagraph"/>
        <w:shd w:val="clear" w:color="auto" w:fill="FFFFFF"/>
        <w:spacing w:after="0" w:line="240" w:lineRule="auto"/>
        <w:ind w:left="1800"/>
        <w:jc w:val="both"/>
        <w:rPr>
          <w:rFonts w:ascii="Times New Roman" w:eastAsia="Times New Roman" w:hAnsi="Times New Roman" w:cs="Times New Roman"/>
          <w:sz w:val="24"/>
          <w:szCs w:val="24"/>
        </w:rPr>
      </w:pPr>
    </w:p>
    <w:p w:rsidR="00A20315" w:rsidRPr="00425658" w:rsidRDefault="00A20315" w:rsidP="00A20315">
      <w:pPr>
        <w:shd w:val="clear" w:color="auto" w:fill="FFFFFF"/>
        <w:ind w:firstLine="720"/>
        <w:jc w:val="center"/>
        <w:rPr>
          <w:rFonts w:ascii="Times New Roman" w:eastAsia="Times New Roman" w:hAnsi="Times New Roman"/>
          <w:b/>
          <w:color w:val="auto"/>
        </w:rPr>
      </w:pPr>
      <w:r w:rsidRPr="00425658">
        <w:rPr>
          <w:rFonts w:ascii="Times New Roman" w:eastAsia="Times New Roman" w:hAnsi="Times New Roman"/>
          <w:b/>
          <w:color w:val="auto"/>
        </w:rPr>
        <w:t>1.3. Regulas ieviešanas prasības</w:t>
      </w:r>
    </w:p>
    <w:p w:rsidR="00A20315" w:rsidRPr="00425658" w:rsidRDefault="00A20315" w:rsidP="00A20315">
      <w:pPr>
        <w:shd w:val="clear" w:color="auto" w:fill="FFFFFF"/>
        <w:ind w:firstLine="720"/>
        <w:jc w:val="center"/>
        <w:rPr>
          <w:rFonts w:ascii="Times New Roman" w:eastAsia="Times New Roman" w:hAnsi="Times New Roman"/>
          <w:b/>
          <w:color w:val="auto"/>
          <w:u w:val="single"/>
        </w:rPr>
      </w:pPr>
    </w:p>
    <w:p w:rsidR="00A20315" w:rsidRPr="00425658" w:rsidRDefault="00A20315" w:rsidP="00A20315">
      <w:pPr>
        <w:shd w:val="clear" w:color="auto" w:fill="FFFFFF"/>
        <w:ind w:firstLine="720"/>
        <w:jc w:val="both"/>
        <w:rPr>
          <w:rFonts w:ascii="Times New Roman" w:hAnsi="Times New Roman"/>
          <w:color w:val="auto"/>
          <w:shd w:val="clear" w:color="auto" w:fill="FFFFFF"/>
        </w:rPr>
      </w:pPr>
      <w:r w:rsidRPr="00425658">
        <w:rPr>
          <w:rFonts w:ascii="Times New Roman" w:eastAsia="Times New Roman" w:hAnsi="Times New Roman"/>
          <w:color w:val="auto"/>
        </w:rPr>
        <w:t>Stājusies spēkā Eiropas Parlamenta un Padomes 2014. gada 23. jūlija regula (ES) Nr. 910/2014 par elektronisko identifikāciju un uzticamības pakalpojumiem elektronisko darījumu veikšanai iekšējā tirgū (turpmāk – Regula), kas attiecas gan uz elektroniskiem dokumentiem, gan elektronisko parakstu, gan arī uz elektronisko identifikāciju. Regulas mērķis ir stiprināt elektronisko darījumu uzticamību iekšējā tirgū, nodrošinot vienotu pamatu drošai elektroniskai mijiedarbībai starp iedzīvotājiem, uzņēmumiem un publiskām iestādēm, tādējādi palielinot publisko un privāto tiešsaistes pakalpojumu, elektronisko darījumu un elektroniskās komercijas efektivitāti. Regula nosaka prasības visām dalībvalstīm nodrošināt valsts un pašvaldību elektroniskajiem pakalpojumiem piekļuvi ar jebkurā dalībvalstī izsniegtiem elektroniskās identifikācijas līdzekļiem, ja tie iekļauti Regulā noteiktajā kopīgajā identifikācijas shēmā un atbilst drošības prasībām, kuras izvirzījusi attiecīgā dalībvalsts saviem sniegtajiem elektroniskajiem pakalpojumiem.</w:t>
      </w:r>
      <w:r w:rsidRPr="00425658">
        <w:rPr>
          <w:rFonts w:ascii="Times New Roman" w:hAnsi="Times New Roman"/>
          <w:color w:val="auto"/>
          <w:shd w:val="clear" w:color="auto" w:fill="FFFFFF"/>
        </w:rPr>
        <w:t xml:space="preserve"> </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 xml:space="preserve">Visām ES dalībvalstīm no 2018. gada 1. septembra jānodrošina iespēja saņemt elektroniskos pakalpojumus pāri robežām, izmantojot jebkurā dalībvalstī izsniegtu kvalificētu un identifikācijas shēmā iekļautu identifikācijas līdzekli. Tāpēc Valsts reģionālās attīstības aģentūrā tiek izstrādāts vienots tehniskais risinājums, kas nodrošinās minētos uzdevumus un tiks integrēts portālā </w:t>
      </w:r>
      <w:proofErr w:type="spellStart"/>
      <w:r w:rsidRPr="00425658">
        <w:rPr>
          <w:rFonts w:ascii="Times New Roman" w:eastAsia="Times New Roman" w:hAnsi="Times New Roman"/>
          <w:color w:val="auto"/>
        </w:rPr>
        <w:t>www.latvija.lv</w:t>
      </w:r>
      <w:proofErr w:type="spellEnd"/>
      <w:r w:rsidRPr="00425658">
        <w:rPr>
          <w:rFonts w:ascii="Times New Roman" w:eastAsia="Times New Roman" w:hAnsi="Times New Roman"/>
          <w:color w:val="auto"/>
        </w:rPr>
        <w:t xml:space="preserve">. </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rPr>
        <w:t>Latvija ir ieinteresēta pēc iespējas drīzāk veikt eID kartes paziņošanu un iekļaušanu identifikācijas shēmā, lai Latvijas iedzīvotājiem pēc iespējas drīzāk un ne vēlāk kā ar 2018. gada 1. septembri būtu iespēja izmantot eID karti citu valstu piedāvātajos publiskajos elektroniskajos pakalpojumos. Šobrīd eID uzskatāms par vienīgo elektroniskās identifikācijas līdzekli, kuru saskaņā ar Regulu Latvija var paziņot. Pēc Fizisko personu elektroniskās identifikācijas likuma (turpmāk – FPEIL) stāšanās spēkā citi identifikācijas pakalpojumu sniedzēji, piemēram, bankas, varēs lūgt iekļaut viņu identifikācijas rīkus ES kopīgajā identifikācijas shēmā, taču tas atkarīgs no attiecīgo pakalpojumu sniedzēju ieinteresētības, pirmkārt, kvalificēties atbilstoši FPEIL prasībām, otrkārt, tikt iekļautiem pārrobežu identifikācijas shēmā. Tādējādi eID karte šobrīd ir vienīgais Latvijas rīks, uz kuru iedzīvotāji var paļauties, ka to varēs izmantot arī ES mērogā.</w:t>
      </w:r>
    </w:p>
    <w:p w:rsidR="00A20315" w:rsidRPr="00425658" w:rsidRDefault="00A20315" w:rsidP="00A20315">
      <w:pPr>
        <w:shd w:val="clear" w:color="auto" w:fill="FFFFFF"/>
        <w:ind w:firstLine="720"/>
        <w:jc w:val="both"/>
        <w:rPr>
          <w:rFonts w:ascii="Times New Roman" w:eastAsia="Times New Roman" w:hAnsi="Times New Roman"/>
          <w:color w:val="auto"/>
        </w:rPr>
      </w:pPr>
    </w:p>
    <w:p w:rsidR="00A20315" w:rsidRPr="00425658" w:rsidRDefault="00A20315" w:rsidP="00A20315">
      <w:pPr>
        <w:shd w:val="clear" w:color="auto" w:fill="FFFFFF"/>
        <w:ind w:firstLine="720"/>
        <w:jc w:val="center"/>
        <w:rPr>
          <w:rFonts w:ascii="Times New Roman" w:eastAsia="Times New Roman" w:hAnsi="Times New Roman"/>
          <w:b/>
          <w:color w:val="auto"/>
        </w:rPr>
      </w:pPr>
      <w:r w:rsidRPr="00425658">
        <w:rPr>
          <w:rFonts w:ascii="Times New Roman" w:eastAsia="Times New Roman" w:hAnsi="Times New Roman"/>
          <w:b/>
          <w:color w:val="auto"/>
        </w:rPr>
        <w:t>1.4. Aktuālie elektroniskie pakalpojumi un to pieejamība</w:t>
      </w:r>
    </w:p>
    <w:p w:rsidR="00A20315" w:rsidRPr="00425658" w:rsidRDefault="00A20315" w:rsidP="00A20315">
      <w:pPr>
        <w:shd w:val="clear" w:color="auto" w:fill="FFFFFF"/>
        <w:ind w:firstLine="720"/>
        <w:jc w:val="center"/>
        <w:rPr>
          <w:rFonts w:ascii="Times New Roman" w:eastAsia="Times New Roman" w:hAnsi="Times New Roman"/>
          <w:b/>
          <w:color w:val="auto"/>
          <w:u w:val="single"/>
        </w:rPr>
      </w:pP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Lai nodrošinātu maksimāli efektīvu pakalpojumu sniegšanu un ērtu pakalpojumu pieejamību personai, kā arī</w:t>
      </w:r>
      <w:r w:rsidRPr="00425658">
        <w:rPr>
          <w:rFonts w:ascii="Times New Roman" w:hAnsi="Times New Roman"/>
          <w:color w:val="auto"/>
        </w:rPr>
        <w:t xml:space="preserve"> lai īstenotu Valdības rīcības plānā Deklarācijas par M. Kučinska vadītā Ministru kabineta iecerēto darbību īstenošanai un Ministru kabineta prioritāro rīcības virzienu tautsaimniecības attīstībai noteikto, šobrīd </w:t>
      </w:r>
      <w:r w:rsidRPr="00425658">
        <w:rPr>
          <w:rFonts w:ascii="Times New Roman" w:eastAsia="Times New Roman" w:hAnsi="Times New Roman"/>
          <w:color w:val="auto"/>
        </w:rPr>
        <w:t>tiek ieviesti vairāki apjomīgi un būtiski nozaru projekti, tostarp, oficiālās elektroniskās adreses un e-veselības risinājumu ieviešana, kuru izmantošanai nepieciešama personas identificēšana, nodrošinot stingru drošības un datu aizsardzības prasību ievērošanu.</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 xml:space="preserve">1. Tiek ieviesta Oficiālā elektroniskā adrese atbilstoši koncepcijai “Oficiālās elektroniskās adreses koncepcija”, kas apstiprināta ar Ministru kabineta 2014. gada 3. marta rīkojumu Nr. 90 “Par Oficiālās elektroniskās adreses koncepciju” un nosaka pienākumu nodrošināt oficiālu bezmaksas elektronisko saziņu starp valsts iestādēm un personām. 2016. gada 16. jūnijā Saeimā pieņemts un 2016. gada 1. jūlijā izsludināts Oficiālās elektroniskās adreses likums, kas stāsies spēkā 2018. gada 1. martā. Minētais likums paredz tiesisko regulējumu, lai veicinātu elektronisko dokumentu apriti un elektronisko pakalpojumu efektīvāku izmantošanu un attīstību. Likums paredz, ka personai tiek radīta viena elektroniska </w:t>
      </w:r>
      <w:r w:rsidRPr="00425658">
        <w:rPr>
          <w:rFonts w:ascii="Times New Roman" w:eastAsia="Times New Roman" w:hAnsi="Times New Roman"/>
          <w:color w:val="auto"/>
        </w:rPr>
        <w:lastRenderedPageBreak/>
        <w:t>vide, kurā tā saņem visu viņai pienākošos korespondenci no valsts iestādēm neatkarīgi no tā, kura valsts iestāde un kādā jautājumā vēlas sazināties ar personu, un neatkarīgi no tā, vai līdz šim šāda saziņa notika citas elektroniskās sistēmas ietvaros. Likums paredz oficiālās elektroniskās adreses izveidi un lietošanu dokumentu saņemšanai un nosūtīšanai kā obligātu valsts iestādēm, reģistros reģistrētajam tiesību subjektiem, rezerves karavīram, kas faktiski nozīmē piekļuves tiesību nodrošināšanu lielam skaitam fizisko personu, kas realizē savas kā fiziskas personas tiesības vai saskaņā ar tām dotajām pilnvarām pārstāv uzņēmumus vai iestādes. Turklāt e-adresi kā neobligātu varēs izmantot arī Iedzīvotāju reģistrā reģistrētas fiziskas personas no 14 gadu vecuma un reģistros nereģistrētas personas. Likums paredz, ka e-adreses kontam varēs piekļūt, tikai izmantojot kvalificētus personas elektroniskās identifikācijas līdzekļus. Līdz ar to vienīgais līdzeklis, ko šobrīd valsts var apzināt un nodrošināt tā atbilstību normatīvajiem aktiem un tiesiskajam regulējumam un ar kuru varēs tikt veikta piekļuve e-adresei, ir eID karte, jo:</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1) prasības kvalificētiem elektroniskās identifikācijas līdzekļiem būs spēkā no 2017. gada 1. jūlija saskaņā ar PFEIL. Valsts nevar garantēt komersantu ieinteresētību sniegt identifikācijas pakalpojumus, kas saskaņā ar PFEIL atbilstu kvalificētiem identifikācijas pakalpojumiem, tādējādi nav zināms, vai potenciāli e-adrese būs pieejama ar kādu citu identifikācijas rīku, izņemot eID karti;</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2) eID karte ir vienīgais prasībām atbilstošais elektroniskās identifikācijas līdzeklis, kurā saskaņā ar PADL tiek iekļauts autentifikācijas un elektroniskā paraksta sertifikāts, kas identificē konkrēto personu un tiek izsniegta no 14 gadu vecuma.</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Oficiālās elektroniskās adreses darbības uzsākšana saskaņā ar Oficiālās elektroniskās adreses likumu paredzēta no 2018. gada 1. jūnija.</w:t>
      </w:r>
    </w:p>
    <w:p w:rsidR="00A20315" w:rsidRPr="00425658" w:rsidRDefault="00A20315" w:rsidP="00A20315">
      <w:pPr>
        <w:shd w:val="clear" w:color="auto" w:fill="FFFFFF"/>
        <w:ind w:firstLine="720"/>
        <w:jc w:val="both"/>
        <w:rPr>
          <w:rFonts w:ascii="Times New Roman" w:eastAsia="Times New Roman" w:hAnsi="Times New Roman"/>
          <w:color w:val="auto"/>
        </w:rPr>
      </w:pPr>
    </w:p>
    <w:p w:rsidR="00A20315" w:rsidRPr="00425658" w:rsidRDefault="00A20315" w:rsidP="00A20315">
      <w:pPr>
        <w:ind w:firstLine="720"/>
        <w:jc w:val="both"/>
        <w:rPr>
          <w:rFonts w:ascii="Times New Roman" w:hAnsi="Times New Roman"/>
          <w:b/>
          <w:color w:val="auto"/>
          <w:u w:val="single"/>
        </w:rPr>
      </w:pPr>
      <w:r w:rsidRPr="00425658">
        <w:rPr>
          <w:rFonts w:ascii="Times New Roman" w:hAnsi="Times New Roman"/>
          <w:color w:val="auto"/>
        </w:rPr>
        <w:t>2. Saskaņā ar M. Kučinska vadītā Ministru kabineta Valdības rīcības plānā noteiktajiem prioritārajiem rīcības virzieniem tautsaimniecības attīstībai Nacionālais veselības dienests izstrādā un ievieš vienotu veselības nozares elektroniskās informācijas sistēmu, kuras mērķis ir ārstēšanas kvalitātes uzlabošana un valsts budžeta līdzekļu efektīvāka izmantošana. Saskaņā ar Ārstniecības likumu E-veselības lietošana tiek paredzēta ne tikai ārstniecības iestāžu un aptieku personālam, bet arī pacientiem, kuriem paredzēts būtisks pakalpojumu klāsts, lai īstenotu savas tiesības uz pilnvērtīgu veselības aprūpi. Tas paredz arī iespēju īstenot savu sensitīvo datu pilnīgu pārvaldību, piemēram, pacientam ir tiesības aizliegt pieeju atsevišķām ārstniecības iestādēm visiem vai atsevišķiem Veselības informācijas sistēmā uzkrātajiem datiem par sevi. Papildus tam tiks radīta iespēja reģistrēties pie ģimenes ārsta, piekļūt visiem veselības informācijas sistēmā uzkrātajiem datiem, tajā skaitā pārskatam par ambulatorā pacienta izmeklēšanu/ārstēšanu, nosūtījumam ambulatora/stacionāra pakalpojuma saņemšanai, izrakstam-</w:t>
      </w:r>
      <w:proofErr w:type="spellStart"/>
      <w:r w:rsidRPr="00425658">
        <w:rPr>
          <w:rFonts w:ascii="Times New Roman" w:hAnsi="Times New Roman"/>
          <w:color w:val="auto"/>
        </w:rPr>
        <w:t>epikrīzei</w:t>
      </w:r>
      <w:proofErr w:type="spellEnd"/>
      <w:r w:rsidRPr="00425658">
        <w:rPr>
          <w:rFonts w:ascii="Times New Roman" w:hAnsi="Times New Roman"/>
          <w:color w:val="auto"/>
        </w:rPr>
        <w:t>, darbnespējas lapai, e-receptei. Saskaņā ar Ministru kabineta 2014. gada 11. marta noteikumu Nr. 134 “</w:t>
      </w:r>
      <w:r w:rsidRPr="00425658">
        <w:rPr>
          <w:rFonts w:ascii="Times New Roman" w:hAnsi="Times New Roman"/>
          <w:bCs/>
          <w:color w:val="auto"/>
          <w:shd w:val="clear" w:color="auto" w:fill="FFFFFF"/>
        </w:rPr>
        <w:t>Noteikumi par vienoto veselības nozares elektronisko informācijas sistēmu” 31. un 43. punktu</w:t>
      </w:r>
      <w:r w:rsidRPr="00425658">
        <w:rPr>
          <w:rFonts w:ascii="Times New Roman" w:hAnsi="Times New Roman"/>
          <w:color w:val="auto"/>
        </w:rPr>
        <w:t xml:space="preserve">, e-veselība no 2017. gada 1. janvāra, pacientiem būs pieejama, izmantojot tikai eID karti. Tas faktiski nozīmē, ka savas pacienta tiesības pilnvērtīgi varēs izmantot tikai tās personas, kurām ir eID kartes ar aktivizētiem elektroniskā paraksta un autentifikācijas sertifikātiem. Savukārt pacienti, kuriem nav iespēju piekļūt veselības informācijas sistēmai atbilstoši noteiktajiem autentifikācijas veidiem, ar veselības informācijas sistēmā uzkrāto informāciju par sevi, par personu, kas to pilnvarojusi, par savu nepilngadīgo bērnu un aizbildnībā esošo personu varēs iepazīties pie attiecīgās personas ģimenes ārsta vai viņa praksē strādājošas ārstniecības personas klātbūtnē, par to iepriekš vienojoties. Šādā gadījumā būs nepieciešama pacienta informēta piekrišana. No tā izriet, ka šādas pieejas izmantošana kā </w:t>
      </w:r>
      <w:proofErr w:type="gramStart"/>
      <w:r w:rsidRPr="00425658">
        <w:rPr>
          <w:rFonts w:ascii="Times New Roman" w:hAnsi="Times New Roman"/>
          <w:color w:val="auto"/>
        </w:rPr>
        <w:t>primāras vai liela</w:t>
      </w:r>
      <w:proofErr w:type="gramEnd"/>
      <w:r w:rsidRPr="00425658">
        <w:rPr>
          <w:rFonts w:ascii="Times New Roman" w:hAnsi="Times New Roman"/>
          <w:color w:val="auto"/>
        </w:rPr>
        <w:t xml:space="preserve"> pieprasījumā gadījumā būtiski </w:t>
      </w:r>
      <w:r w:rsidRPr="00425658">
        <w:rPr>
          <w:rFonts w:ascii="Times New Roman" w:hAnsi="Times New Roman"/>
          <w:color w:val="auto"/>
        </w:rPr>
        <w:lastRenderedPageBreak/>
        <w:t xml:space="preserve">palielinās administratīvo slogu un izmaksas, gan pacientiem, gan ārstniecības iestādēm, tādējādi apgrūtinot kvalitatīvu un ātru veselības pakalpojumu pieejamību. </w:t>
      </w:r>
    </w:p>
    <w:p w:rsidR="00A20315" w:rsidRPr="00425658" w:rsidRDefault="00A20315" w:rsidP="00A20315">
      <w:pPr>
        <w:jc w:val="both"/>
        <w:rPr>
          <w:rFonts w:ascii="Times New Roman" w:hAnsi="Times New Roman"/>
          <w:b/>
          <w:color w:val="auto"/>
          <w:u w:val="single"/>
        </w:rPr>
      </w:pPr>
    </w:p>
    <w:p w:rsidR="00A20315" w:rsidRPr="00425658" w:rsidRDefault="00A20315" w:rsidP="00A20315">
      <w:pPr>
        <w:jc w:val="center"/>
        <w:rPr>
          <w:rFonts w:ascii="Times New Roman" w:hAnsi="Times New Roman"/>
          <w:b/>
          <w:color w:val="auto"/>
        </w:rPr>
      </w:pPr>
      <w:r w:rsidRPr="00425658">
        <w:rPr>
          <w:rFonts w:ascii="Times New Roman" w:hAnsi="Times New Roman"/>
          <w:b/>
          <w:color w:val="auto"/>
        </w:rPr>
        <w:t>1.5. Trūkumi identifikācijai valsts pārvaldes elektroniskajiem pakalpojumiem</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ind w:firstLine="720"/>
        <w:jc w:val="both"/>
        <w:rPr>
          <w:rFonts w:ascii="Times New Roman" w:eastAsia="Times New Roman" w:hAnsi="Times New Roman"/>
          <w:color w:val="auto"/>
        </w:rPr>
      </w:pPr>
      <w:r w:rsidRPr="00425658">
        <w:rPr>
          <w:rFonts w:ascii="Times New Roman" w:hAnsi="Times New Roman"/>
          <w:color w:val="auto"/>
        </w:rPr>
        <w:t>Saskaņā ar minēto, secināms, ka šobrīd nepastāv vienots tiesiskais ietvars, kas elektroniskā vidē regulētu dažādu praksē pielietoto identifikācijas līdzekļu izmantošanu un vienotu identifikācijas rīku pieejamību un garantētu piekļuvi elektroniskajiem pakalpojumiem. Līdz ar to personas</w:t>
      </w:r>
      <w:r w:rsidRPr="00425658">
        <w:rPr>
          <w:rFonts w:ascii="Times New Roman" w:eastAsia="Times New Roman" w:hAnsi="Times New Roman"/>
          <w:color w:val="auto"/>
        </w:rPr>
        <w:t xml:space="preserve"> identifikācijas jautājumi šobrīd tiek risināti individuāli katra konkrētā elektroniskā pakalpojuma ietvaros. Šādos gadījumos identifikācijas līdzekļa izmantošanas leģitimitāte tiek nodrošināta vai nu uz vienošanās pamata starp pakalpojumu sniedzēju, identifikācijas pakalpojuma nodrošinātāju un pakalpojuma saņēmēju, vai arī paredzot atsevišķas normas konkrēto publisko pakalpojumu regulējošos tiesību aktos.</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Šādai pieejai ir vairāki būtiski trūkumi:</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1. Jau šobrīd pastāv elektroniskie pakalpojumi, kuri personai pieejami, tikai izmantojot eID karti vai ar uzticama sertifikācijas pakalpojumu sniedzēja (turpmāk – USPS) izsniegto droša elektroniskā paraksta viedkarti. Tas nozīmē, ka personas, kas izmanto banku autentifikāciju, ne vienmēr var paļauties, ka attiecīgais elektroniskais pakalpojums tai būs pieejams.</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2. Turpinot praksi katrā konkrēto publisko pakalpojumu regulējošajā tiesību aktā noteikt prasības identifikācijas rīkiem, kuri izmantojami pakalpojuma saņēmēja elektroniskai identifikācijai, veidojas sadrumstalota, tālākā perspektīvā nepārskatāma</w:t>
      </w:r>
      <w:proofErr w:type="gramStart"/>
      <w:r w:rsidRPr="00425658">
        <w:rPr>
          <w:rFonts w:ascii="Times New Roman" w:eastAsia="Times New Roman" w:hAnsi="Times New Roman"/>
          <w:color w:val="auto"/>
        </w:rPr>
        <w:t xml:space="preserve"> un</w:t>
      </w:r>
      <w:proofErr w:type="gramEnd"/>
      <w:r w:rsidRPr="00425658">
        <w:rPr>
          <w:rFonts w:ascii="Times New Roman" w:eastAsia="Times New Roman" w:hAnsi="Times New Roman"/>
          <w:color w:val="auto"/>
        </w:rPr>
        <w:t xml:space="preserve"> praktiski nepārvaldāma personu elektronisko identifikāciju regulējoša tiesiskā bāze un izrietoši arī fragmentēts, nestandartizēts (gan no tehnisko, gan no drošības prasību viedokļa) un uzturēšanā dārgs tehnisko līdzekļu kopums elektroniskās identifikācijas nodrošināšanai.</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3. Persona nevar paļauties uz iespēju pilnvērtīgi īstenot savas tiesības saņemt valsts nodrošinātos elektroniskos pakalpojumus neatkarīgi no atrašanās vietas. Turklāt personai netiek nodrošināts vienmēr pieejams un universāli pielietojams līdzeklis elektroniskai identifikācijai, lai saņemtu jebkuru valsts sniegto elektronisko pakalpojumu, par kura drošību un ilglaicīgu darbību atbildību uzņemas valsts.</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4. Juridiskās personas nevar paļauties uz vienu vispārpieejamu elektroniskās identifikācijas līdzekli, lai veidotu un nodrošinātu savus komercpakalpojumus, līdz ar to juridiskās personas ir spiestas ieguldīt papildu finanšu resursus jaunu individuālu elektroniskās identifikācijas risinājumu izveidei saviem elektroniskajiem pakalpojumiem.</w:t>
      </w:r>
    </w:p>
    <w:p w:rsidR="00A20315" w:rsidRPr="00425658" w:rsidRDefault="00A20315" w:rsidP="00A20315">
      <w:pPr>
        <w:shd w:val="clear" w:color="auto" w:fill="FFFFFF"/>
        <w:ind w:firstLine="720"/>
        <w:jc w:val="both"/>
        <w:rPr>
          <w:rFonts w:ascii="Times New Roman" w:hAnsi="Times New Roman"/>
        </w:rPr>
      </w:pPr>
      <w:r w:rsidRPr="00425658">
        <w:rPr>
          <w:rFonts w:ascii="Times New Roman" w:eastAsia="Times New Roman" w:hAnsi="Times New Roman"/>
          <w:color w:val="auto"/>
        </w:rPr>
        <w:t xml:space="preserve">5. </w:t>
      </w:r>
      <w:r w:rsidRPr="00425658">
        <w:rPr>
          <w:rFonts w:ascii="Times New Roman" w:hAnsi="Times New Roman"/>
        </w:rPr>
        <w:t>Šobrīd Latvijas iedzīvotājiem tiek uzlikts dubultais slogs, lai varētu izmantot elektroniskās identifikācijas rīkus. Iedzīvotāji par identifikācijas pakalpojumu maksā divreiz – caur nodokļiem valstij par eID kartes infrastruktūras uzturēšanu un savai bankai par internetbankas izmantošanu.</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hAnsi="Times New Roman"/>
        </w:rPr>
        <w:t>6. Valsts pārvaldes elektronisko pakalpojumu sniedzējiem ir dilemmas situācija – piedāvāt piekļuvi pakalpojumam tikai ar eID karti kā augstākas drošības identifikācijas rīku, reizē apzinoties tā zemo izmantojamību un salīdzinoši mazo personu skaitu, kurām ir pieejamas eID kartes ar pilnu funkcionalitāti, vai uzņemties lielāku risku un, dodot iespēju pakalpojumu izmantot ar banku identifikācijas rīkiem, padarīt to pieejamāku plašākam iedzīvotāju lokam. Tāpat šāda pieeja uzliek pienākumu elektroniskā pakalpojuma sniedzējam izvērtēt un noteikt, ar kuriem rīkiem konkrēto pakalpojumu var lietot, taču, tā kā šobrīd nepastāv vienotas risku analīzes, katrs publiskā elektroniskā pakalpojuma sniedzējs veic izvērtējumu pēc saviem ieskatiem un pieejamās kompetences.</w:t>
      </w:r>
    </w:p>
    <w:p w:rsidR="00A20315" w:rsidRPr="00425658" w:rsidRDefault="00A20315" w:rsidP="00A20315">
      <w:pPr>
        <w:shd w:val="clear" w:color="auto" w:fill="FFFFFF"/>
        <w:ind w:firstLine="720"/>
        <w:jc w:val="both"/>
        <w:rPr>
          <w:rFonts w:ascii="Times New Roman" w:eastAsia="Times New Roman" w:hAnsi="Times New Roman"/>
          <w:color w:val="auto"/>
        </w:rPr>
      </w:pPr>
    </w:p>
    <w:p w:rsidR="00A20315" w:rsidRPr="00425658" w:rsidRDefault="00A20315" w:rsidP="00A20315">
      <w:pPr>
        <w:shd w:val="clear" w:color="auto" w:fill="FFFFFF"/>
        <w:ind w:left="720" w:firstLine="360"/>
        <w:jc w:val="both"/>
        <w:rPr>
          <w:rFonts w:ascii="Times New Roman" w:eastAsia="Times New Roman" w:hAnsi="Times New Roman"/>
          <w:b/>
          <w:color w:val="auto"/>
        </w:rPr>
      </w:pPr>
      <w:r w:rsidRPr="00425658">
        <w:rPr>
          <w:rFonts w:ascii="Times New Roman" w:eastAsia="Times New Roman" w:hAnsi="Times New Roman"/>
          <w:b/>
          <w:color w:val="auto"/>
        </w:rPr>
        <w:lastRenderedPageBreak/>
        <w:t xml:space="preserve">1.6. Ieguvumi, nosakot eID karti kā primāru līdzekli elektroniskai identifikācijai </w:t>
      </w:r>
    </w:p>
    <w:p w:rsidR="00A20315" w:rsidRPr="00425658" w:rsidRDefault="00A20315" w:rsidP="00A20315">
      <w:pPr>
        <w:shd w:val="clear" w:color="auto" w:fill="FFFFFF"/>
        <w:jc w:val="both"/>
        <w:rPr>
          <w:rFonts w:ascii="Times New Roman" w:eastAsia="Times New Roman" w:hAnsi="Times New Roman"/>
          <w:color w:val="auto"/>
        </w:rPr>
      </w:pP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Valsts nedrīkst pieļaut situāciju, ka personai tiek radīti nelabvēlīgi un apgrūtinoši apstākļi vai pat iestāties nelabvēlīgas sekas. Nesaņemot vai nepiekļūstot kādam no valsts sniegtajiem elektroniskajiem pakalpojumiem, nespējot attālināti nepieciešamajā laikā veikt dokumentu apriti elektroniskā vidē, aizbildinoties ar eID kartes iegādi kā brīvprātīgu, kas atstāta personas ziņā, tiek radīti priekšnosacījumi nelabvēlīgiem apstākļiem. Papildus jānorāda, ka banku piedāvātā identifikācija nav nosakāma kā ilglaicīga un garantējama prakse.</w:t>
      </w:r>
    </w:p>
    <w:p w:rsidR="00A20315" w:rsidRPr="00425658" w:rsidRDefault="00A20315" w:rsidP="00A20315">
      <w:pPr>
        <w:shd w:val="clear" w:color="auto" w:fill="FFFFFF"/>
        <w:jc w:val="both"/>
        <w:rPr>
          <w:rFonts w:ascii="Times New Roman" w:eastAsia="Times New Roman" w:hAnsi="Times New Roman"/>
          <w:color w:val="auto"/>
        </w:rPr>
      </w:pPr>
      <w:r w:rsidRPr="00425658">
        <w:rPr>
          <w:rFonts w:ascii="Times New Roman" w:eastAsia="Times New Roman" w:hAnsi="Times New Roman"/>
          <w:color w:val="auto"/>
        </w:rPr>
        <w:t xml:space="preserve"> </w:t>
      </w:r>
      <w:r w:rsidRPr="00425658">
        <w:rPr>
          <w:rFonts w:ascii="Times New Roman" w:eastAsia="Times New Roman" w:hAnsi="Times New Roman"/>
          <w:color w:val="auto"/>
        </w:rPr>
        <w:tab/>
        <w:t>Lai personas neatkarīgi no tās atrašanās vietas garantēti varētu īstenot savas tiesības bez papildu administratīvā sloga sev ērtā, ātrā un efektīvā veidā saņemt jebkuru no valsts nodrošinātiem elektroniskiem pakalpojumiem, kā arī lai nodrošinātu atdevi no informācijas komunikācijas tehnoloģiju un e-pārvaldes attīstībā ieguldītajiem līdzekļiem un veicinātu tālāku uz iedzīvotājiem vērstu e-pārvaldes attīstību, nepieciešams veikt grozījumus normatīvajos aktos, kas paredzētu pārejas noteikumus, lai saprātīgā laika periodā nodrošinātu eID karti kā obligātu personu apliecinošu dokumentu. Tiesiskā noteiktība un paļāvība par eID kartes kā vienota un personai nodrošināta vispārpieejama identifikācijas līdzekļa esamību ļautu arī uzņēmējiem racionālāk un efektīvāk attīstīt savus elektroniskos pakalpojumus, tādējādi gan iedzīvotājiem, gan uzņēmējdarbības veicējiem paplašinot eID kartes lietojamības iespējas un samazinātu elektroniskās identifikācijas sistēmas sadrumstalotību kopumā.</w:t>
      </w:r>
    </w:p>
    <w:p w:rsidR="00A20315" w:rsidRPr="00425658" w:rsidRDefault="00A20315" w:rsidP="00A20315">
      <w:pPr>
        <w:shd w:val="clear" w:color="auto" w:fill="FFFFFF"/>
        <w:jc w:val="both"/>
        <w:rPr>
          <w:rFonts w:ascii="Times New Roman" w:eastAsia="Times New Roman" w:hAnsi="Times New Roman"/>
          <w:color w:val="auto"/>
        </w:rPr>
      </w:pPr>
      <w:r w:rsidRPr="00425658">
        <w:rPr>
          <w:rFonts w:ascii="Times New Roman" w:eastAsia="Times New Roman" w:hAnsi="Times New Roman"/>
          <w:color w:val="auto"/>
        </w:rPr>
        <w:tab/>
        <w:t>Nosakot eID karti par obligātu personu apliecinošu dokumentu, netiek aizliegti vai ierobežoti citi autentifikācijas un identifikācijas rīki, tajā skaitā banku identifikācijas rīki. Tādējādi tiek noteikta viena valsts garantēta identifikācijas rīka pieejamība, neatkarīgi no citu identifikācijas pakalpojumu sniedzēju piedāvātiem alternatīviem identifikācijas rīku pakalpojumiem, kuru izmantošanu paredz gan Regula, gan FPEIL.</w:t>
      </w:r>
    </w:p>
    <w:p w:rsidR="00A20315" w:rsidRPr="00425658" w:rsidRDefault="00A20315" w:rsidP="00A20315">
      <w:pPr>
        <w:shd w:val="clear" w:color="auto" w:fill="FFFFFF"/>
        <w:jc w:val="both"/>
        <w:rPr>
          <w:rFonts w:ascii="Times New Roman" w:eastAsia="Times New Roman" w:hAnsi="Times New Roman"/>
          <w:color w:val="auto"/>
        </w:rPr>
      </w:pPr>
      <w:r w:rsidRPr="00425658">
        <w:rPr>
          <w:rFonts w:ascii="Times New Roman" w:eastAsia="Times New Roman" w:hAnsi="Times New Roman"/>
          <w:color w:val="auto"/>
        </w:rPr>
        <w:tab/>
        <w:t>Nosakot eID karti kā obligātu personām, ne tikai tiek “garantēta” piekļuve valsts elektroniskajiem pakalpojumiem, bet arī nodrošināti citi digitālā vienotā tirgus izveidi veicinoši aspekti:</w:t>
      </w:r>
    </w:p>
    <w:p w:rsidR="00A20315" w:rsidRPr="00425658" w:rsidRDefault="00A20315" w:rsidP="00A20315">
      <w:pPr>
        <w:shd w:val="clear" w:color="auto" w:fill="FFFFFF"/>
        <w:jc w:val="both"/>
        <w:rPr>
          <w:rFonts w:ascii="Times New Roman" w:eastAsia="Times New Roman" w:hAnsi="Times New Roman"/>
          <w:color w:val="auto"/>
        </w:rPr>
      </w:pPr>
      <w:r w:rsidRPr="00425658">
        <w:rPr>
          <w:rFonts w:ascii="Times New Roman" w:eastAsia="Times New Roman" w:hAnsi="Times New Roman"/>
          <w:color w:val="auto"/>
        </w:rPr>
        <w:tab/>
        <w:t>1) personām ir pieejams vispārpieejams identifikācijas līdzeklis, kas tehniski un organizatoriski atbilst augstākajām drošības prasībām, ko izvirzījusi valsts un ir saskaņā ar Regulu;</w:t>
      </w:r>
    </w:p>
    <w:p w:rsidR="00A20315" w:rsidRPr="00425658" w:rsidRDefault="00A20315" w:rsidP="00A20315">
      <w:pPr>
        <w:shd w:val="clear" w:color="auto" w:fill="FFFFFF"/>
        <w:jc w:val="both"/>
        <w:rPr>
          <w:rFonts w:ascii="Times New Roman" w:eastAsia="Times New Roman" w:hAnsi="Times New Roman"/>
          <w:color w:val="auto"/>
        </w:rPr>
      </w:pPr>
      <w:r w:rsidRPr="00425658">
        <w:rPr>
          <w:rFonts w:ascii="Times New Roman" w:eastAsia="Times New Roman" w:hAnsi="Times New Roman"/>
          <w:color w:val="auto"/>
        </w:rPr>
        <w:tab/>
        <w:t>2) personai tiek nodrošināta iespēja saņemt citu Eiropas Savienības dalībvalstu elektroniskos pakalpojumus;</w:t>
      </w:r>
    </w:p>
    <w:p w:rsidR="00A20315" w:rsidRPr="00425658" w:rsidRDefault="00A20315" w:rsidP="00A20315">
      <w:pPr>
        <w:shd w:val="clear" w:color="auto" w:fill="FFFFFF"/>
        <w:jc w:val="both"/>
        <w:rPr>
          <w:rFonts w:ascii="Times New Roman" w:eastAsia="Times New Roman" w:hAnsi="Times New Roman"/>
          <w:color w:val="auto"/>
        </w:rPr>
      </w:pPr>
      <w:r w:rsidRPr="00425658">
        <w:rPr>
          <w:rFonts w:ascii="Times New Roman" w:eastAsia="Times New Roman" w:hAnsi="Times New Roman"/>
          <w:color w:val="auto"/>
        </w:rPr>
        <w:tab/>
        <w:t>3) netiek ierobežotas iespējas personai izmantot tai noteiktās tiesības elektroniskā vidē, valsts nodrošina tiesisko noteiktību un paļāvību personām izmantot eID karti kā identifikācijas līdzekli jebkura publiskās pārvaldes elektroniskā pakalpojuma saņemšanai;</w:t>
      </w:r>
    </w:p>
    <w:p w:rsidR="00A20315" w:rsidRPr="00425658" w:rsidRDefault="00A20315" w:rsidP="00A20315">
      <w:pPr>
        <w:shd w:val="clear" w:color="auto" w:fill="FFFFFF"/>
        <w:ind w:firstLine="720"/>
        <w:jc w:val="both"/>
        <w:rPr>
          <w:rFonts w:ascii="Times New Roman" w:eastAsia="Times New Roman" w:hAnsi="Times New Roman"/>
          <w:color w:val="auto"/>
        </w:rPr>
      </w:pPr>
      <w:r w:rsidRPr="00425658">
        <w:rPr>
          <w:rFonts w:ascii="Times New Roman" w:eastAsia="Times New Roman" w:hAnsi="Times New Roman"/>
          <w:color w:val="auto"/>
        </w:rPr>
        <w:t>4) eID karte kļūst par vispārpieejamu līdzekli, ko juridiskas personas var izmantot, lai nodrošinātu savu uzņēmējdarbības ietvaros piedāvāto elektronisko pakalpojumu pieejamību.</w:t>
      </w:r>
    </w:p>
    <w:p w:rsidR="00A20315" w:rsidRPr="00425658" w:rsidRDefault="00A20315" w:rsidP="00A20315">
      <w:pPr>
        <w:shd w:val="clear" w:color="auto" w:fill="FFFFFF"/>
        <w:ind w:firstLine="720"/>
        <w:jc w:val="both"/>
        <w:rPr>
          <w:rFonts w:ascii="Times New Roman" w:eastAsia="Times New Roman" w:hAnsi="Times New Roman"/>
          <w:color w:val="auto"/>
        </w:rPr>
      </w:pPr>
    </w:p>
    <w:p w:rsidR="00A20315" w:rsidRPr="00425658" w:rsidRDefault="00A20315" w:rsidP="00A20315">
      <w:pPr>
        <w:shd w:val="clear" w:color="auto" w:fill="FFFFFF"/>
        <w:ind w:firstLine="720"/>
        <w:jc w:val="both"/>
        <w:rPr>
          <w:rFonts w:ascii="Times New Roman" w:eastAsia="Times New Roman" w:hAnsi="Times New Roman"/>
          <w:b/>
          <w:color w:val="auto"/>
        </w:rPr>
      </w:pPr>
      <w:r w:rsidRPr="00425658">
        <w:rPr>
          <w:rFonts w:ascii="Times New Roman" w:eastAsia="Times New Roman" w:hAnsi="Times New Roman"/>
          <w:b/>
          <w:color w:val="auto"/>
        </w:rPr>
        <w:t xml:space="preserve">1.7. Nepieciešamie uzlabojumi un attīstība eID kartes ērtākai un pieejamākai lietojamībai </w:t>
      </w:r>
    </w:p>
    <w:p w:rsidR="00A20315" w:rsidRPr="00425658" w:rsidRDefault="00A20315" w:rsidP="00A20315">
      <w:pPr>
        <w:shd w:val="clear" w:color="auto" w:fill="FFFFFF"/>
        <w:ind w:firstLine="720"/>
        <w:jc w:val="both"/>
        <w:rPr>
          <w:rFonts w:ascii="Times New Roman" w:eastAsia="Times New Roman" w:hAnsi="Times New Roman"/>
          <w:b/>
          <w:color w:val="auto"/>
        </w:rPr>
      </w:pPr>
    </w:p>
    <w:p w:rsidR="00A20315" w:rsidRPr="00425658" w:rsidRDefault="00A20315" w:rsidP="00A20315">
      <w:pPr>
        <w:shd w:val="clear" w:color="auto" w:fill="FFFFFF"/>
        <w:ind w:firstLine="720"/>
        <w:jc w:val="both"/>
        <w:rPr>
          <w:rFonts w:ascii="Times New Roman" w:hAnsi="Times New Roman"/>
          <w:color w:val="auto"/>
        </w:rPr>
      </w:pPr>
      <w:r w:rsidRPr="00425658">
        <w:rPr>
          <w:rFonts w:ascii="Times New Roman" w:eastAsia="Times New Roman" w:hAnsi="Times New Roman"/>
          <w:color w:val="auto"/>
        </w:rPr>
        <w:t xml:space="preserve">Viens no eID kartes lietojamību kavējošiem faktoriem ir informācija par eID karšu identificēšanas un autorizācijas iespējām, proti, par eID karšu elektroniskās informācijas nolasīšanas iekārtām, to pieejamību jebkurai fiziskai personai (eID kartes turētājam) un to izmaksām. Turklāt </w:t>
      </w:r>
      <w:r w:rsidRPr="00425658">
        <w:rPr>
          <w:rFonts w:ascii="Times New Roman" w:hAnsi="Times New Roman"/>
          <w:color w:val="auto"/>
        </w:rPr>
        <w:t xml:space="preserve">sertifikācijas pakalpojuma nodrošinātāja eID kartēs realizētā risinājuma izmantošanai ir nepieciešams veikt virkni </w:t>
      </w:r>
      <w:r w:rsidRPr="00425658">
        <w:rPr>
          <w:rFonts w:ascii="Times New Roman" w:hAnsi="Times New Roman"/>
          <w:color w:val="auto"/>
          <w:u w:val="single"/>
        </w:rPr>
        <w:t>manuālu</w:t>
      </w:r>
      <w:r w:rsidRPr="00425658">
        <w:rPr>
          <w:rFonts w:ascii="Times New Roman" w:hAnsi="Times New Roman"/>
          <w:color w:val="auto"/>
        </w:rPr>
        <w:t xml:space="preserve"> darbību datora sagatavošanai darbam ar eID karti – programmatūras instalāciju un interneta pārlūkprogrammas konfigurāciju, kas ir atšķirīga dažādām operētājsistēmām un pārlūkprogrammām un atkarīga no trešo pušu </w:t>
      </w:r>
      <w:r w:rsidRPr="00425658">
        <w:rPr>
          <w:rFonts w:ascii="Times New Roman" w:hAnsi="Times New Roman"/>
          <w:color w:val="auto"/>
        </w:rPr>
        <w:lastRenderedPageBreak/>
        <w:t>programmatūras komponentēm. Automatizēta un/vai vienkāršota programmatūras risinājuma neesamība, nepietiekama tehnisko konsultāciju sniegšanas procedūra un nepietiekami strukturētas informācijas pieejamība identifikācijas pakalpojuma nodrošinātāja tīmekļvietnē nereti pakalpojuma saņēmējam liedz vai būtiski apgrūtina piekļuvi e-pakalpojumam.</w:t>
      </w:r>
    </w:p>
    <w:p w:rsidR="00A20315" w:rsidRPr="00425658" w:rsidRDefault="00A20315" w:rsidP="00A20315">
      <w:pPr>
        <w:shd w:val="clear" w:color="auto" w:fill="FFFFFF"/>
        <w:ind w:firstLine="720"/>
        <w:jc w:val="both"/>
        <w:rPr>
          <w:rFonts w:ascii="Times New Roman" w:hAnsi="Times New Roman"/>
          <w:color w:val="auto"/>
        </w:rPr>
      </w:pPr>
      <w:r w:rsidRPr="00425658">
        <w:rPr>
          <w:rFonts w:ascii="Times New Roman" w:hAnsi="Times New Roman"/>
          <w:color w:val="auto"/>
        </w:rPr>
        <w:t xml:space="preserve">Ņemot vērā mūsdienu tehnoloģiju attīstību un iedzīvotāju ieradumus, lietojot dažāda veida mobilās ierīces, kā arī dažādus rīkus un lietotnes, kas nodrošina ikdienas pakalpojumu pieejamību iedzīvotājiem, būtisks eID kartes lietojamību kavējošs faktors ir to neatbilstība mobilo ierīču atbalstam un mobilo lietotņu neesamība eID karšu lietošanai. </w:t>
      </w:r>
    </w:p>
    <w:p w:rsidR="00A20315" w:rsidRPr="00425658" w:rsidRDefault="00A20315" w:rsidP="00A20315">
      <w:pPr>
        <w:pStyle w:val="NormalWeb"/>
        <w:spacing w:before="0" w:after="0"/>
        <w:ind w:firstLine="720"/>
        <w:jc w:val="both"/>
        <w:rPr>
          <w:rFonts w:ascii="Times New Roman" w:hAnsi="Times New Roman" w:cs="Times New Roman"/>
          <w:lang w:val="lv-LV"/>
        </w:rPr>
      </w:pPr>
      <w:r w:rsidRPr="00425658">
        <w:rPr>
          <w:rFonts w:ascii="Times New Roman" w:hAnsi="Times New Roman" w:cs="Times New Roman"/>
          <w:lang w:val="lv-LV"/>
        </w:rPr>
        <w:t xml:space="preserve">Saskaņā ar </w:t>
      </w:r>
      <w:hyperlink r:id="rId12" w:history="1">
        <w:r w:rsidRPr="00425658">
          <w:rPr>
            <w:rStyle w:val="Hyperlink"/>
            <w:rFonts w:ascii="Times New Roman" w:hAnsi="Times New Roman" w:cs="Times New Roman"/>
            <w:color w:val="auto"/>
            <w:lang w:val="lv-LV"/>
          </w:rPr>
          <w:t>www.eparaksts.lv</w:t>
        </w:r>
      </w:hyperlink>
      <w:r w:rsidRPr="00425658">
        <w:rPr>
          <w:rFonts w:ascii="Times New Roman" w:hAnsi="Times New Roman" w:cs="Times New Roman"/>
          <w:lang w:val="lv-LV"/>
        </w:rPr>
        <w:t xml:space="preserve"> tīmekļvietnē sniegtajām norādēm – lai lietotājs tehniski varētu izmantot eID kā identifikācijas rīku jebkurā no šo tehnoloģiju atbalstošajām tīmekļvietnēm, lietotāja datorā nepieciešams veikt pielāgojumus un instalēt šādas vienības:</w:t>
      </w:r>
    </w:p>
    <w:p w:rsidR="00A20315" w:rsidRPr="00425658" w:rsidRDefault="00A20315" w:rsidP="00A20315">
      <w:pPr>
        <w:pStyle w:val="NormalWeb"/>
        <w:numPr>
          <w:ilvl w:val="0"/>
          <w:numId w:val="7"/>
        </w:numPr>
        <w:spacing w:before="0" w:after="0"/>
        <w:jc w:val="both"/>
        <w:rPr>
          <w:rFonts w:ascii="Times New Roman" w:hAnsi="Times New Roman" w:cs="Times New Roman"/>
          <w:lang w:val="lv-LV"/>
        </w:rPr>
      </w:pPr>
      <w:r w:rsidRPr="00425658">
        <w:rPr>
          <w:rFonts w:ascii="Times New Roman" w:hAnsi="Times New Roman" w:cs="Times New Roman"/>
          <w:lang w:val="lv-LV"/>
        </w:rPr>
        <w:t>karšu lasītāja draiveri;</w:t>
      </w:r>
    </w:p>
    <w:p w:rsidR="00A20315" w:rsidRPr="00425658" w:rsidRDefault="00A20315" w:rsidP="00A20315">
      <w:pPr>
        <w:pStyle w:val="NormalWeb"/>
        <w:numPr>
          <w:ilvl w:val="0"/>
          <w:numId w:val="7"/>
        </w:numPr>
        <w:spacing w:before="0" w:after="0"/>
        <w:jc w:val="both"/>
        <w:rPr>
          <w:rFonts w:ascii="Times New Roman" w:hAnsi="Times New Roman" w:cs="Times New Roman"/>
          <w:lang w:val="lv-LV"/>
        </w:rPr>
      </w:pPr>
      <w:r w:rsidRPr="00425658">
        <w:rPr>
          <w:rFonts w:ascii="Times New Roman" w:hAnsi="Times New Roman" w:cs="Times New Roman"/>
          <w:lang w:val="lv-LV"/>
        </w:rPr>
        <w:t xml:space="preserve">operētājsistēmas versijai, tās bitu versijai un eID kartei atbilstošu kartes atpazīšanas un izmantošanas draiveri (eID draiveris kā komponente ir iekļauta PMLP izstrādātajā un uzturētajā starpprogrammatūrā </w:t>
      </w:r>
      <w:r w:rsidRPr="00425658">
        <w:rPr>
          <w:rFonts w:ascii="Times New Roman" w:hAnsi="Times New Roman" w:cs="Times New Roman"/>
          <w:shd w:val="clear" w:color="auto" w:fill="F7FAFA"/>
          <w:lang w:val="lv-LV"/>
        </w:rPr>
        <w:t>“</w:t>
      </w:r>
      <w:proofErr w:type="spellStart"/>
      <w:r w:rsidRPr="00425658">
        <w:rPr>
          <w:rFonts w:ascii="Times New Roman" w:hAnsi="Times New Roman" w:cs="Times New Roman"/>
          <w:shd w:val="clear" w:color="auto" w:fill="F7FAFA"/>
          <w:lang w:val="lv-LV"/>
        </w:rPr>
        <w:t>Latvia</w:t>
      </w:r>
      <w:proofErr w:type="spellEnd"/>
      <w:r w:rsidRPr="00425658">
        <w:rPr>
          <w:rFonts w:ascii="Times New Roman" w:hAnsi="Times New Roman" w:cs="Times New Roman"/>
          <w:shd w:val="clear" w:color="auto" w:fill="F7FAFA"/>
          <w:lang w:val="lv-LV"/>
        </w:rPr>
        <w:t xml:space="preserve"> eID </w:t>
      </w:r>
      <w:proofErr w:type="spellStart"/>
      <w:r w:rsidRPr="00425658">
        <w:rPr>
          <w:rFonts w:ascii="Times New Roman" w:hAnsi="Times New Roman" w:cs="Times New Roman"/>
          <w:shd w:val="clear" w:color="auto" w:fill="F7FAFA"/>
          <w:lang w:val="lv-LV"/>
        </w:rPr>
        <w:t>PinTool</w:t>
      </w:r>
      <w:proofErr w:type="spellEnd"/>
      <w:r w:rsidRPr="00425658">
        <w:rPr>
          <w:rFonts w:ascii="Times New Roman" w:hAnsi="Times New Roman" w:cs="Times New Roman"/>
          <w:shd w:val="clear" w:color="auto" w:fill="F7FAFA"/>
          <w:lang w:val="lv-LV"/>
        </w:rPr>
        <w:t>”</w:t>
      </w:r>
      <w:r w:rsidRPr="00425658">
        <w:rPr>
          <w:rFonts w:ascii="Times New Roman" w:hAnsi="Times New Roman" w:cs="Times New Roman"/>
          <w:lang w:val="lv-LV"/>
        </w:rPr>
        <w:t>);</w:t>
      </w:r>
    </w:p>
    <w:p w:rsidR="00A20315" w:rsidRPr="00425658" w:rsidRDefault="00A20315" w:rsidP="00A20315">
      <w:pPr>
        <w:pStyle w:val="NormalWeb"/>
        <w:numPr>
          <w:ilvl w:val="0"/>
          <w:numId w:val="7"/>
        </w:numPr>
        <w:spacing w:before="0" w:after="0"/>
        <w:jc w:val="both"/>
        <w:rPr>
          <w:rFonts w:ascii="Times New Roman" w:hAnsi="Times New Roman" w:cs="Times New Roman"/>
          <w:lang w:val="lv-LV"/>
        </w:rPr>
      </w:pPr>
      <w:r w:rsidRPr="00425658">
        <w:rPr>
          <w:rFonts w:ascii="Times New Roman" w:hAnsi="Times New Roman" w:cs="Times New Roman"/>
          <w:lang w:val="lv-LV"/>
        </w:rPr>
        <w:t xml:space="preserve">kartes tipam un izdošanas datumam atbilstoši pamata, politikas un izsniegšanas sertifikāti interneta pārlūkā; </w:t>
      </w:r>
    </w:p>
    <w:p w:rsidR="00A20315" w:rsidRPr="00425658" w:rsidRDefault="00A20315" w:rsidP="00A20315">
      <w:pPr>
        <w:pStyle w:val="NormalWeb"/>
        <w:numPr>
          <w:ilvl w:val="0"/>
          <w:numId w:val="7"/>
        </w:numPr>
        <w:spacing w:before="0" w:after="0"/>
        <w:jc w:val="both"/>
        <w:rPr>
          <w:rFonts w:ascii="Times New Roman" w:hAnsi="Times New Roman" w:cs="Times New Roman"/>
          <w:lang w:val="lv-LV"/>
        </w:rPr>
      </w:pPr>
      <w:r w:rsidRPr="00425658">
        <w:rPr>
          <w:rFonts w:ascii="Times New Roman" w:hAnsi="Times New Roman" w:cs="Times New Roman"/>
          <w:lang w:val="lv-LV"/>
        </w:rPr>
        <w:t>Portāla tīmekļvietņu adreses tīmekļa pārlūkā jāpievieno uzticamo vietņu sarakstam;</w:t>
      </w:r>
    </w:p>
    <w:p w:rsidR="00A20315" w:rsidRPr="00425658" w:rsidRDefault="00A20315" w:rsidP="00A20315">
      <w:pPr>
        <w:pStyle w:val="NormalWeb"/>
        <w:numPr>
          <w:ilvl w:val="0"/>
          <w:numId w:val="7"/>
        </w:numPr>
        <w:spacing w:before="0" w:after="0"/>
        <w:jc w:val="both"/>
        <w:rPr>
          <w:rFonts w:ascii="Times New Roman" w:hAnsi="Times New Roman" w:cs="Times New Roman"/>
          <w:lang w:val="lv-LV"/>
        </w:rPr>
      </w:pPr>
      <w:r w:rsidRPr="00425658">
        <w:rPr>
          <w:rFonts w:ascii="Times New Roman" w:hAnsi="Times New Roman" w:cs="Times New Roman"/>
          <w:lang w:val="lv-LV"/>
        </w:rPr>
        <w:t xml:space="preserve">ja kā tīmekļa pārlūks tiek izmantots </w:t>
      </w:r>
      <w:proofErr w:type="spellStart"/>
      <w:r w:rsidRPr="00425658">
        <w:rPr>
          <w:rFonts w:ascii="Times New Roman" w:hAnsi="Times New Roman" w:cs="Times New Roman"/>
          <w:lang w:val="lv-LV"/>
        </w:rPr>
        <w:t>Mozilla</w:t>
      </w:r>
      <w:proofErr w:type="spellEnd"/>
      <w:r w:rsidRPr="00425658">
        <w:rPr>
          <w:rFonts w:ascii="Times New Roman" w:hAnsi="Times New Roman" w:cs="Times New Roman"/>
          <w:lang w:val="lv-LV"/>
        </w:rPr>
        <w:t xml:space="preserve"> Firefox, tad papildus vēl jāveic kartes tipam atbilstošā kartes integrācijas moduļa instalācija;</w:t>
      </w:r>
    </w:p>
    <w:p w:rsidR="00A20315" w:rsidRPr="00425658" w:rsidRDefault="00A20315" w:rsidP="00A20315">
      <w:pPr>
        <w:pStyle w:val="NormalWeb"/>
        <w:spacing w:before="0" w:after="0"/>
        <w:ind w:firstLine="720"/>
        <w:jc w:val="both"/>
        <w:rPr>
          <w:rFonts w:ascii="Times New Roman" w:hAnsi="Times New Roman" w:cs="Times New Roman"/>
          <w:lang w:val="lv-LV"/>
        </w:rPr>
      </w:pPr>
    </w:p>
    <w:p w:rsidR="00A20315" w:rsidRPr="00425658" w:rsidRDefault="00A20315" w:rsidP="00A20315">
      <w:pPr>
        <w:pStyle w:val="NormalWeb"/>
        <w:spacing w:before="0" w:after="0"/>
        <w:ind w:firstLine="720"/>
        <w:jc w:val="both"/>
        <w:rPr>
          <w:rFonts w:ascii="Times New Roman" w:hAnsi="Times New Roman" w:cs="Times New Roman"/>
          <w:lang w:val="lv-LV"/>
        </w:rPr>
      </w:pPr>
      <w:r w:rsidRPr="00425658">
        <w:rPr>
          <w:rFonts w:ascii="Times New Roman" w:hAnsi="Times New Roman" w:cs="Times New Roman"/>
          <w:lang w:val="lv-LV"/>
        </w:rPr>
        <w:t xml:space="preserve">Attiecīgi, ja kāda no </w:t>
      </w:r>
      <w:proofErr w:type="gramStart"/>
      <w:r w:rsidRPr="00425658">
        <w:rPr>
          <w:rFonts w:ascii="Times New Roman" w:hAnsi="Times New Roman" w:cs="Times New Roman"/>
          <w:lang w:val="lv-LV"/>
        </w:rPr>
        <w:t>augstāk minētajām</w:t>
      </w:r>
      <w:proofErr w:type="gramEnd"/>
      <w:r w:rsidRPr="00425658">
        <w:rPr>
          <w:rFonts w:ascii="Times New Roman" w:hAnsi="Times New Roman" w:cs="Times New Roman"/>
          <w:lang w:val="lv-LV"/>
        </w:rPr>
        <w:t xml:space="preserve"> norādēm nav veikta vai ir veikta, instalējot vienības, kas neatbilst operētājsistēmai vai kartes tipam, vai arī vienības nav funkcionējošas, lietotāja autentifikācija tīmekļa vietnē nav iespējama. Papildus lietotāja datora konfigurācijas prasību neizpildei var būt arī citi trešo pušu izraisīti cēloņi, kādēļ lietotājs nevar veikt autentifikāciju, piemēram:</w:t>
      </w:r>
    </w:p>
    <w:p w:rsidR="00A20315" w:rsidRPr="00425658" w:rsidRDefault="00A20315" w:rsidP="00A20315">
      <w:pPr>
        <w:pStyle w:val="NormalWeb"/>
        <w:numPr>
          <w:ilvl w:val="0"/>
          <w:numId w:val="8"/>
        </w:numPr>
        <w:spacing w:before="0" w:after="0"/>
        <w:jc w:val="both"/>
        <w:rPr>
          <w:rFonts w:ascii="Times New Roman" w:hAnsi="Times New Roman" w:cs="Times New Roman"/>
          <w:lang w:val="lv-LV"/>
        </w:rPr>
      </w:pPr>
      <w:r w:rsidRPr="00425658">
        <w:rPr>
          <w:rFonts w:ascii="Times New Roman" w:hAnsi="Times New Roman" w:cs="Times New Roman"/>
          <w:lang w:val="lv-LV"/>
        </w:rPr>
        <w:t>nav aktivizēts eID kartes autentifikācijas sertifikāts;</w:t>
      </w:r>
    </w:p>
    <w:p w:rsidR="00A20315" w:rsidRPr="00425658" w:rsidRDefault="00A20315" w:rsidP="00A20315">
      <w:pPr>
        <w:pStyle w:val="NormalWeb"/>
        <w:numPr>
          <w:ilvl w:val="0"/>
          <w:numId w:val="8"/>
        </w:numPr>
        <w:spacing w:before="0" w:after="0"/>
        <w:jc w:val="both"/>
        <w:rPr>
          <w:rFonts w:ascii="Times New Roman" w:hAnsi="Times New Roman" w:cs="Times New Roman"/>
          <w:lang w:val="lv-LV"/>
        </w:rPr>
      </w:pPr>
      <w:r w:rsidRPr="00425658">
        <w:rPr>
          <w:rFonts w:ascii="Times New Roman" w:hAnsi="Times New Roman" w:cs="Times New Roman"/>
          <w:lang w:val="lv-LV"/>
        </w:rPr>
        <w:t>karte nav pareizi ievietota kartes lasītājā;</w:t>
      </w:r>
    </w:p>
    <w:p w:rsidR="00A20315" w:rsidRPr="00425658" w:rsidRDefault="00A20315" w:rsidP="00A20315">
      <w:pPr>
        <w:pStyle w:val="NormalWeb"/>
        <w:numPr>
          <w:ilvl w:val="0"/>
          <w:numId w:val="8"/>
        </w:numPr>
        <w:spacing w:before="0" w:after="0"/>
        <w:jc w:val="both"/>
        <w:rPr>
          <w:rFonts w:ascii="Times New Roman" w:hAnsi="Times New Roman" w:cs="Times New Roman"/>
          <w:lang w:val="lv-LV"/>
        </w:rPr>
      </w:pPr>
      <w:r w:rsidRPr="00425658">
        <w:rPr>
          <w:rFonts w:ascii="Times New Roman" w:hAnsi="Times New Roman" w:cs="Times New Roman"/>
          <w:lang w:val="lv-LV"/>
        </w:rPr>
        <w:t>kartes lasītājs fiziski nestrādā;</w:t>
      </w:r>
    </w:p>
    <w:p w:rsidR="00A20315" w:rsidRPr="00425658" w:rsidRDefault="00A20315" w:rsidP="00A20315">
      <w:pPr>
        <w:pStyle w:val="NormalWeb"/>
        <w:numPr>
          <w:ilvl w:val="0"/>
          <w:numId w:val="8"/>
        </w:numPr>
        <w:spacing w:before="0" w:after="0"/>
        <w:jc w:val="both"/>
        <w:rPr>
          <w:rFonts w:ascii="Times New Roman" w:hAnsi="Times New Roman" w:cs="Times New Roman"/>
          <w:lang w:val="lv-LV"/>
        </w:rPr>
      </w:pPr>
      <w:r w:rsidRPr="00425658">
        <w:rPr>
          <w:rFonts w:ascii="Times New Roman" w:hAnsi="Times New Roman" w:cs="Times New Roman"/>
          <w:lang w:val="lv-LV"/>
        </w:rPr>
        <w:t>lietotājs nav sagaidījis, kamēr nostrādā kartes atpazīšanas un izmantošanas draiveris, par ko liecina krāsas indikatora signāls uz kartes lasītāja, turklāt signāls var būt atšķirīgs – atkarībā no kartes tipa (indikatora esamība atkarīga no kartes lasītāja modeļa un ražotāja);</w:t>
      </w:r>
    </w:p>
    <w:p w:rsidR="00A20315" w:rsidRPr="00425658" w:rsidRDefault="00A20315" w:rsidP="00A20315">
      <w:pPr>
        <w:pStyle w:val="NormalWeb"/>
        <w:numPr>
          <w:ilvl w:val="0"/>
          <w:numId w:val="8"/>
        </w:numPr>
        <w:spacing w:before="0" w:after="0"/>
        <w:jc w:val="both"/>
        <w:rPr>
          <w:rFonts w:ascii="Times New Roman" w:hAnsi="Times New Roman" w:cs="Times New Roman"/>
          <w:lang w:val="lv-LV"/>
        </w:rPr>
      </w:pPr>
      <w:r w:rsidRPr="00425658">
        <w:rPr>
          <w:rFonts w:ascii="Times New Roman" w:hAnsi="Times New Roman" w:cs="Times New Roman"/>
          <w:lang w:val="lv-LV"/>
        </w:rPr>
        <w:t>apgrūtinoša tīmekļa pārlūkā instalējamo sertifikātu izvēle (kas atkarīga no kartes izdošanas datuma).</w:t>
      </w:r>
    </w:p>
    <w:p w:rsidR="00A20315" w:rsidRPr="00425658" w:rsidRDefault="00A20315" w:rsidP="00DF00AE">
      <w:pPr>
        <w:shd w:val="clear" w:color="auto" w:fill="FFFFFF"/>
        <w:ind w:firstLine="720"/>
        <w:jc w:val="both"/>
        <w:rPr>
          <w:rFonts w:ascii="Times New Roman" w:hAnsi="Times New Roman"/>
          <w:color w:val="auto"/>
        </w:rPr>
      </w:pPr>
      <w:r w:rsidRPr="00425658">
        <w:rPr>
          <w:rFonts w:ascii="Times New Roman" w:hAnsi="Times New Roman"/>
          <w:color w:val="auto"/>
        </w:rPr>
        <w:t xml:space="preserve"> Ņemot vērā minēto, nepieciešams veicināt kvalitatīvu eID kartes lietotāju atbalsta servisa izveidi un nodrošināšanu, kā arī pēc iespējas plašu un vienkāršu eID kartes tehnisko izmantojamību, tajā skaitā rast iespēju nodrošināt eID kartes izmantošanai arī mobilajās ierīcēs. </w:t>
      </w:r>
    </w:p>
    <w:p w:rsidR="00A20315" w:rsidRPr="00425658" w:rsidRDefault="00A20315" w:rsidP="00DF00AE">
      <w:pPr>
        <w:autoSpaceDE w:val="0"/>
        <w:adjustRightInd w:val="0"/>
        <w:ind w:firstLine="851"/>
        <w:jc w:val="both"/>
        <w:rPr>
          <w:rFonts w:ascii="Times New Roman" w:hAnsi="Times New Roman"/>
          <w:color w:val="auto"/>
        </w:rPr>
      </w:pPr>
      <w:r w:rsidRPr="00425658">
        <w:rPr>
          <w:rFonts w:ascii="Times New Roman" w:hAnsi="Times New Roman"/>
          <w:color w:val="auto"/>
        </w:rPr>
        <w:t>Joprojām pastāv nenoteiktība par to, vai personas apliecība būs izmantojama vēlēšanu tiesību īstenošanai, kas var kavēt un apgrūtināt noteikt un pilnvērtīgi lietot eID karti kā obligātu personu apliecinošo dokumentu.</w:t>
      </w:r>
    </w:p>
    <w:p w:rsidR="00DF00AE" w:rsidRPr="00425658" w:rsidRDefault="00DF00AE" w:rsidP="00DF00AE">
      <w:pPr>
        <w:pStyle w:val="c4"/>
        <w:shd w:val="clear" w:color="auto" w:fill="FFFFFF"/>
        <w:spacing w:before="0" w:beforeAutospacing="0" w:after="0" w:afterAutospacing="0"/>
        <w:ind w:firstLine="720"/>
        <w:jc w:val="both"/>
        <w:rPr>
          <w:lang w:val="lv-LV"/>
        </w:rPr>
      </w:pPr>
      <w:r w:rsidRPr="00425658">
        <w:rPr>
          <w:iCs/>
          <w:lang w:val="lv-LV"/>
        </w:rPr>
        <w:t>Lai novērstu iepriekš minētos trūkumus, jānodrošina, ka eID karte ir derīgs personu apliecinošs dokuments jebkurā ar vēlēšanu tiesību izmantošanu saistīto jautājumu risināšanā. Vienlīdzīgumu var nodrošināt vairākos veidos, piemēram:</w:t>
      </w:r>
    </w:p>
    <w:p w:rsidR="00DF00AE" w:rsidRPr="00425658" w:rsidRDefault="00DF00AE" w:rsidP="00DF00AE">
      <w:pPr>
        <w:pStyle w:val="c5"/>
        <w:shd w:val="clear" w:color="auto" w:fill="FFFFFF"/>
        <w:spacing w:before="0" w:beforeAutospacing="0" w:after="0" w:afterAutospacing="0"/>
        <w:ind w:firstLine="720"/>
        <w:jc w:val="both"/>
        <w:rPr>
          <w:iCs/>
          <w:lang w:val="lv-LV"/>
        </w:rPr>
      </w:pPr>
      <w:r w:rsidRPr="00425658">
        <w:rPr>
          <w:iCs/>
          <w:lang w:val="lv-LV"/>
        </w:rPr>
        <w:t>1) Saeimas vēlēšanās un tautas nobalsošanā nodrošinot vēlētāju piesaisti konkrētam vēlēšanu iecirknim, līdzīgi kā Republikas pilsētas domes un novada domes vēlēšanās, kā arī Eiropas Parlamenta vēlēšanās, pilnībā atsakoties no atzīmes izdarīšanas personas pasē;</w:t>
      </w:r>
    </w:p>
    <w:p w:rsidR="00DF00AE" w:rsidRPr="00425658" w:rsidRDefault="00DF00AE" w:rsidP="00DF00AE">
      <w:pPr>
        <w:pStyle w:val="c5"/>
        <w:shd w:val="clear" w:color="auto" w:fill="FFFFFF"/>
        <w:spacing w:before="0" w:beforeAutospacing="0" w:after="0" w:afterAutospacing="0"/>
        <w:ind w:firstLine="720"/>
        <w:jc w:val="both"/>
        <w:rPr>
          <w:iCs/>
          <w:lang w:val="lv-LV"/>
        </w:rPr>
      </w:pPr>
      <w:r w:rsidRPr="00425658">
        <w:rPr>
          <w:iCs/>
          <w:lang w:val="lv-LV"/>
        </w:rPr>
        <w:lastRenderedPageBreak/>
        <w:t>2) Ieviešot elektronisku vēlētāju reģistrācijas un pārbaudes procedūru vēlēšanu iecirknī, kurā atzīme par personas dalību vēlēšanās tiek izdarīta nevis personas pasē, bet Vēlētāju reģistrā vai līdzvērtīgā informācijas sistēmā;</w:t>
      </w:r>
    </w:p>
    <w:p w:rsidR="00DF00AE" w:rsidRPr="00425658" w:rsidRDefault="00DF00AE" w:rsidP="00DF00AE">
      <w:pPr>
        <w:pStyle w:val="c5"/>
        <w:shd w:val="clear" w:color="auto" w:fill="FFFFFF"/>
        <w:spacing w:before="0" w:beforeAutospacing="0" w:after="0" w:afterAutospacing="0"/>
        <w:ind w:firstLine="720"/>
        <w:jc w:val="both"/>
        <w:rPr>
          <w:iCs/>
          <w:lang w:val="lv-LV"/>
        </w:rPr>
      </w:pPr>
      <w:r w:rsidRPr="00425658">
        <w:rPr>
          <w:iCs/>
          <w:lang w:val="lv-LV"/>
        </w:rPr>
        <w:t>3) Īstenot aktivitāti ar īpašu vēlētāja apliecību izgatavošanu un izsniegšanu eID kartes turētājiem, kuru rīcībā noteiktajā atskaites periodā nav derīgas pases, līdzvērtīgi kā 2014. gadā notikušajās Saeimas vēlēšanās.</w:t>
      </w:r>
    </w:p>
    <w:p w:rsidR="00DF00AE" w:rsidRPr="00425658" w:rsidRDefault="00DF00AE" w:rsidP="00DF00AE">
      <w:pPr>
        <w:pStyle w:val="c5"/>
        <w:shd w:val="clear" w:color="auto" w:fill="FFFFFF"/>
        <w:spacing w:before="0" w:beforeAutospacing="0" w:after="0" w:afterAutospacing="0"/>
        <w:ind w:firstLine="720"/>
        <w:jc w:val="both"/>
        <w:rPr>
          <w:iCs/>
          <w:lang w:val="lv-LV"/>
        </w:rPr>
      </w:pPr>
      <w:r w:rsidRPr="00425658">
        <w:rPr>
          <w:iCs/>
          <w:lang w:val="lv-LV"/>
        </w:rPr>
        <w:t>Katram no iepriekš minētajiem variantiem ir savas priekšrocības un trūkumi, piemēram, pirmais variants ir praksē pārbaudīts, vienlaikus kā pretarguments ir negatīva ietekme uz vēlētāju aktivitāti. Otrais variants saglabātu iespēju brīvi izvēlēties vēlēšanu iecirkni vēlēšanu dienā, tomēr vērā ņemami ir pretargumenti par kiberdrošības riskiem, kā arī salīdzinoši augstajām izmaksām.</w:t>
      </w:r>
    </w:p>
    <w:p w:rsidR="00DF00AE" w:rsidRPr="00425658" w:rsidRDefault="00DF00AE" w:rsidP="00DF00AE">
      <w:pPr>
        <w:autoSpaceDE w:val="0"/>
        <w:adjustRightInd w:val="0"/>
        <w:ind w:firstLine="851"/>
        <w:jc w:val="both"/>
        <w:rPr>
          <w:rFonts w:ascii="Times New Roman" w:hAnsi="Times New Roman"/>
          <w:iCs/>
          <w:color w:val="auto"/>
        </w:rPr>
      </w:pPr>
      <w:r w:rsidRPr="00425658">
        <w:rPr>
          <w:rFonts w:ascii="Times New Roman" w:hAnsi="Times New Roman"/>
          <w:iCs/>
          <w:color w:val="auto"/>
        </w:rPr>
        <w:t>Trešais variants, kas paredz vēlētāja apliecības saņemšanu, saglabātu iespēju brīvi izvēlēties vēlēšanu iecirkni vēlēšanu dienā un, visticamāk, ir realizējams ar mazākām izmaksām, taču vērtējams kā papildu administratīvais slogs personas apliecības turētājam, kura rīcībā nav derīgas pases, jo, neskatoties uz to, ka vēlētāja apliecība tiek izsniegta bez maksas, personai ir jātērē savi resursi PMLP nodaļas apmeklējumam, piemēram, transporta izdevumu apmaksai. Administratīvo slogu var izskaust, vēlētāja apliecību piesūtot vēlētājam, taču tas sadārdzinātu šī varianta īstenošanu.</w:t>
      </w:r>
    </w:p>
    <w:p w:rsidR="00A20315" w:rsidRPr="00425658" w:rsidRDefault="00A20315" w:rsidP="00DF00AE">
      <w:pPr>
        <w:autoSpaceDE w:val="0"/>
        <w:adjustRightInd w:val="0"/>
        <w:ind w:firstLine="851"/>
        <w:jc w:val="both"/>
        <w:rPr>
          <w:rFonts w:ascii="Times New Roman" w:hAnsi="Times New Roman"/>
          <w:color w:val="auto"/>
        </w:rPr>
      </w:pPr>
      <w:r w:rsidRPr="00425658">
        <w:rPr>
          <w:rFonts w:ascii="Times New Roman" w:hAnsi="Times New Roman"/>
          <w:color w:val="auto"/>
        </w:rPr>
        <w:t>Ņemot vērā minēto un to, ka eID karti kā obligātu dokumentu iedzīvotājiem plānots sākt ieviest no 2019. gada, nepieciešams rast risinājumu, lai nodrošinātu eID karti vēlēšanu tiesību īstenošanai līdz Saeimas vēlēšanām, kas notiks 2022. gadā.</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autoSpaceDN/>
        <w:ind w:left="720"/>
        <w:jc w:val="both"/>
        <w:textAlignment w:val="auto"/>
        <w:rPr>
          <w:rFonts w:ascii="Times New Roman" w:hAnsi="Times New Roman"/>
          <w:b/>
          <w:color w:val="auto"/>
          <w:lang w:eastAsia="lv-LV"/>
        </w:rPr>
      </w:pPr>
      <w:r w:rsidRPr="00425658">
        <w:rPr>
          <w:rFonts w:ascii="Times New Roman" w:hAnsi="Times New Roman"/>
          <w:b/>
          <w:bCs/>
          <w:color w:val="auto"/>
          <w:lang w:eastAsia="lv-LV"/>
        </w:rPr>
        <w:t>2. Sertifikācijas pakalpojumu infrastruktūras nodrošināšanas izdevumi</w:t>
      </w:r>
      <w:r w:rsidRPr="00425658">
        <w:rPr>
          <w:rFonts w:ascii="Times New Roman" w:hAnsi="Times New Roman"/>
          <w:b/>
          <w:color w:val="auto"/>
          <w:lang w:eastAsia="lv-LV"/>
        </w:rPr>
        <w:t xml:space="preserve"> </w:t>
      </w:r>
    </w:p>
    <w:p w:rsidR="00A20315" w:rsidRPr="00425658" w:rsidRDefault="00A20315" w:rsidP="00A20315">
      <w:pPr>
        <w:ind w:firstLine="720"/>
        <w:jc w:val="center"/>
        <w:rPr>
          <w:rFonts w:ascii="Times New Roman" w:hAnsi="Times New Roman"/>
          <w:b/>
          <w:color w:val="auto"/>
          <w:u w:val="single"/>
        </w:rPr>
      </w:pP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 Izsniedzot eID kartes, netiek plānots veidot jaunu infrastruktūru, bet gan PMLP konsolidēt un papildināt esošos resursus un izmantot Latvijā vienīgā reģistrētā USPS sniegtos pakalpojumus, lai eID kartēs nodrošinātu droša elektroniskā paraksta un identitātes apliecināšanas iespēju. Šāda pieeja ļautu efektīvākajā veidā nodrošināt visu valsts radīto resursu izmantošanu un to nedublēšanu. Vienlaikus atzīmējams, ka Latvijas desmit gadu, kā arī citu valstu, piemēram, Austrijas un Igaunijas pieredze rāda, ka sertifikācijas pakalpojumu nodrošināšana nav un nevar būt komerciāli izdevīga. Zīmīgi, ka sertifikācijas pakalpojumu infrastruktūras izveidei un uzturēšanai nepieciešamās investīcijas nav tieši atkarīgas no lietotāju skaita vai lietojamības. Lai elektronisko dokumentu parakstīšana būtu pašsaprotama, pieejama un uzticama, sertifikācijas pakalpojumu nodrošināšanai ir jāuztur nozīmīga IT infrastruktūra un pakalpojumi. Turklāt ir jāuztur un jānodrošina pieejamība neatkarīgi no to lietošanas apjoma. </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Papildus vēršam uzmanību, ka 2014. gada 9. decembrī Ministru kabinets akceptēja Vides aizsardzības un reģionālās attīstības ministrijas piedāvāto pieeju 2014.–2020. gada ES fondu plānošanas perioda informācijas un komunikācijas tehnoloģijas (IKT) attīstības struktūrfondu pārvaldībai. Tā aprakstīta un iekļauta Vides aizsardzības un reģionālās attīstības ministrijas informatīvajā ziņojumā “Par pasākumiem, kurus paredzēts īstenot Informācijas sabiedrības attīstības pamatnostādņu 2014.–2020. gadam turpmākās rīcības plānojuma uzdevumu 3.1. “Publiskās pārvaldes IKT centralizētu platformu izveide” un 3.2.“Publiskās pārvaldes pakalpojumu elektronizācija” ietvaros” (turpmāk tekstā – Informatīvais ziņojums). Pieejas pamatā ir vienotas valsts pārvaldes un publisko pakalpojumu IKT arhitektūras izstrāde un ieviešana.</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Lai īstenotu Informācijas sabiedrības attīstības pamatnostādnēs 2014.–2020.gadam (ISAP) noteiktos mērķus, Informatīvais ziņojums nosaka 12 IKT attīstības programmas. Katras programmas ietvaros tiek plānoti vairāki 2014.–2020. gada plānošanas perioda </w:t>
      </w:r>
      <w:r w:rsidRPr="00425658">
        <w:rPr>
          <w:rFonts w:ascii="Times New Roman" w:hAnsi="Times New Roman"/>
          <w:color w:val="auto"/>
        </w:rPr>
        <w:lastRenderedPageBreak/>
        <w:t xml:space="preserve">darbības programmas “Izaugsme un nodarbinātība” 2.2.1. specifiskā atbalsta mērķa “Nodrošināt publisko datu </w:t>
      </w:r>
      <w:proofErr w:type="spellStart"/>
      <w:r w:rsidRPr="00425658">
        <w:rPr>
          <w:rFonts w:ascii="Times New Roman" w:hAnsi="Times New Roman"/>
          <w:color w:val="auto"/>
        </w:rPr>
        <w:t>atkalizmantošanas</w:t>
      </w:r>
      <w:proofErr w:type="spellEnd"/>
      <w:r w:rsidRPr="00425658">
        <w:rPr>
          <w:rFonts w:ascii="Times New Roman" w:hAnsi="Times New Roman"/>
          <w:color w:val="auto"/>
        </w:rPr>
        <w:t xml:space="preserve"> pieaugumu un efektīvu publiskās pārvaldes un privātā sektora mijiedarbību” Eiropas Reģionālās attīstības fonda (turpmāk – ERAF) līdzfinansēti projekti.</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IKT attīstības programmas “Publiskās pārvaldes IKT infrastruktūras un koplietošanas atbalsta risinājumu attīstība” ietvaros kā viens no attīstības pasākumiem ir “E-identitātes un e-paraksta risinājumu attīstība”. Tā ietvaros atbilstoši valsts konceptuālās IKT arhitektūras 7.2.3. apakšnodaļā noteiktajam tiek realizēta LVRTC uzticama sertifikācijas pakalpojumu sniedzēja platformas attīstība par nacionālo infrastruktūru, kas nodrošinās ne tikai eID kartē iekļaujamo autentifikācijas, paraksta un šifrēšanas sertifikātu izsniegšanu un pārvaldību, bet arī nodrošinās eID elektroniskās identifikācijas shēmas attīstību un uzturēšanu atbilstoši Regulas prasībām tā, lai tā varētu tikt iekļauta ES uzticamības sarakstā un nākotnē kļūtu izmantojama Latvijas iedzīvotājiem, uzņēmējiem un iestādēm piekļuvei citu ES valstu publiskajiem e-pakalpojumiem. </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Realizējot projektu “E-identitātes un e-paraksta risinājumu attīstība”, plānots, ka </w:t>
      </w:r>
      <w:r w:rsidRPr="00425658">
        <w:rPr>
          <w:rFonts w:ascii="Times New Roman" w:hAnsi="Times New Roman"/>
          <w:color w:val="auto"/>
          <w:shd w:val="clear" w:color="auto" w:fill="FFFFFF"/>
        </w:rPr>
        <w:t>tiks nodrošinātas visas elektroniskās vides priekšrocības, lai valsts un citu ES dalībvalstu radītie pakalpojumi kļūst pieejami ar eID kartēm</w:t>
      </w:r>
      <w:r w:rsidRPr="00425658">
        <w:rPr>
          <w:rFonts w:ascii="Times New Roman" w:hAnsi="Times New Roman"/>
          <w:color w:val="auto"/>
        </w:rPr>
        <w:t>. E-identitātes un e-paraksta risinājumu attīstība padarītu iespējamus un pieejamus privātpersonām e-pakalpojumus, tostarp, e-veselības, e-adreses, sabiedriskā transporta, bezskaidras naudas norēķinu sistēma u. c. pakalpojumus, kuros e-identitāte ir līdzeklis publiskā pakalpojuma saņemšanai.</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Sākot ar 2017. gadu, plānots izsniegt jauna parauga eID kartes, kas būs derīgas 10 gadus. Līdz ar to periods, uz kādu LVRTC ir jānodrošina eID kartēs autentifikācijas, paraksta un šifrēšanas sertifikātu izsniegšana un pārvaldība, kā arī jānodrošina eID elektroniskās identifikācijas shēmas attīstība un uzturēšana atbilstoši Regulas prasībām, ir vismaz 10 gadi. </w:t>
      </w:r>
    </w:p>
    <w:p w:rsidR="00A20315" w:rsidRPr="00425658" w:rsidRDefault="00A20315" w:rsidP="00A20315">
      <w:pPr>
        <w:ind w:firstLine="720"/>
        <w:jc w:val="both"/>
        <w:rPr>
          <w:rFonts w:ascii="Times New Roman" w:hAnsi="Times New Roman"/>
          <w:color w:val="auto"/>
          <w:lang w:eastAsia="lv-LV"/>
        </w:rPr>
      </w:pPr>
      <w:r w:rsidRPr="00425658">
        <w:rPr>
          <w:rFonts w:ascii="Times New Roman" w:hAnsi="Times New Roman"/>
          <w:color w:val="auto"/>
        </w:rPr>
        <w:t>Balstoties uz iepriekš minēto,</w:t>
      </w:r>
      <w:r w:rsidRPr="00425658">
        <w:rPr>
          <w:rFonts w:ascii="Times New Roman" w:hAnsi="Times New Roman"/>
          <w:color w:val="auto"/>
          <w:lang w:eastAsia="lv-LV"/>
        </w:rPr>
        <w:t xml:space="preserve"> kā arī, lai gūtu ieskatu par faktiski nepieciešamajiem resursiem USPS pakalpojumu nodrošināšanai, ir aprēķinātas eID uzticamības pakalpojumu nodrošināšanas izmaksas un piedāvāti vairāki alternatīvi varianti.</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Ik gadu tiešās jeb uzturēšanas izmaksas sertifikācijas pakalpojumiem, ko sniedz LVRTC, ir ~1,9 milj. EUR. Summā ietilpst sertifikācijas pakalpojumu sniegšanas platformas, droša elektroniskā paraksta integrācijas rīku uzturēšana un attīstība, gala lietotāju dokumentu parakstīšanas un pārbaudes programmatūras risinājumu uzturēšana, kā arī normatīvi noteikto pienākumu nodrošināšana un klientu atbalsts. Izmaksu aprēķins ir veidots, ņemot vērā LVRTC līdzšinējo pieredzi darbā ar sertifikācijas pakalpojumu nodrošināšanu, kā arī nākotnes prognozes par nepieciešamajiem cilvēkresursiem, tehniskās infrastruktūras uzturēšanas un atbalsta izmaksām, klientu apkalpošanas aktivitātēm un izmaksām, kā arī citu, piemēram, atbalsta funkciju izmaksām.</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autoSpaceDN/>
        <w:textAlignment w:val="auto"/>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tabula. SERTIFIKĀCIJAS PAKALPOJUMU PAMATSISTĒMU UZTURĒŠANA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085"/>
        <w:gridCol w:w="1086"/>
        <w:gridCol w:w="1086"/>
        <w:gridCol w:w="1086"/>
        <w:gridCol w:w="1086"/>
        <w:gridCol w:w="1086"/>
      </w:tblGrid>
      <w:tr w:rsidR="00A20315" w:rsidRPr="00425658" w:rsidTr="00B058EB">
        <w:trPr>
          <w:trHeight w:val="300"/>
          <w:jc w:val="center"/>
        </w:trPr>
        <w:tc>
          <w:tcPr>
            <w:tcW w:w="2547" w:type="dxa"/>
            <w:shd w:val="clear" w:color="auto" w:fill="E7E6E6"/>
            <w:noWrap/>
            <w:tcMar>
              <w:top w:w="28" w:type="dxa"/>
              <w:left w:w="57" w:type="dxa"/>
              <w:bottom w:w="28" w:type="dxa"/>
              <w:right w:w="57" w:type="dxa"/>
            </w:tcMar>
            <w:vAlign w:val="bottom"/>
            <w:hideMark/>
          </w:tcPr>
          <w:p w:rsidR="00A20315" w:rsidRPr="00425658" w:rsidRDefault="00A20315" w:rsidP="00B058EB">
            <w:pPr>
              <w:rPr>
                <w:rFonts w:ascii="Times New Roman" w:hAnsi="Times New Roman"/>
                <w:b/>
                <w:color w:val="auto"/>
                <w:sz w:val="20"/>
                <w:szCs w:val="20"/>
                <w:lang w:eastAsia="lv-LV"/>
              </w:rPr>
            </w:pPr>
            <w:r w:rsidRPr="00425658">
              <w:rPr>
                <w:rFonts w:ascii="Times New Roman" w:hAnsi="Times New Roman"/>
                <w:b/>
                <w:color w:val="auto"/>
                <w:sz w:val="20"/>
                <w:szCs w:val="20"/>
                <w:lang w:eastAsia="lv-LV"/>
              </w:rPr>
              <w:t> </w:t>
            </w:r>
          </w:p>
        </w:tc>
        <w:tc>
          <w:tcPr>
            <w:tcW w:w="1085" w:type="dxa"/>
            <w:shd w:val="clear" w:color="auto" w:fill="E7E6E6"/>
            <w:noWrap/>
            <w:tcMar>
              <w:top w:w="28" w:type="dxa"/>
              <w:left w:w="57" w:type="dxa"/>
              <w:bottom w:w="28" w:type="dxa"/>
              <w:right w:w="57" w:type="dxa"/>
            </w:tcMar>
            <w:vAlign w:val="bottom"/>
            <w:hideMark/>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2016</w:t>
            </w:r>
          </w:p>
        </w:tc>
        <w:tc>
          <w:tcPr>
            <w:tcW w:w="1086" w:type="dxa"/>
            <w:shd w:val="clear" w:color="auto" w:fill="E7E6E6"/>
            <w:noWrap/>
            <w:tcMar>
              <w:top w:w="28" w:type="dxa"/>
              <w:left w:w="57" w:type="dxa"/>
              <w:bottom w:w="28" w:type="dxa"/>
              <w:right w:w="57" w:type="dxa"/>
            </w:tcMar>
            <w:vAlign w:val="bottom"/>
            <w:hideMark/>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2017</w:t>
            </w:r>
          </w:p>
        </w:tc>
        <w:tc>
          <w:tcPr>
            <w:tcW w:w="1086" w:type="dxa"/>
            <w:shd w:val="clear" w:color="auto" w:fill="E7E6E6"/>
            <w:noWrap/>
            <w:tcMar>
              <w:top w:w="28" w:type="dxa"/>
              <w:left w:w="57" w:type="dxa"/>
              <w:bottom w:w="28" w:type="dxa"/>
              <w:right w:w="57" w:type="dxa"/>
            </w:tcMar>
            <w:vAlign w:val="bottom"/>
            <w:hideMark/>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2018</w:t>
            </w:r>
          </w:p>
        </w:tc>
        <w:tc>
          <w:tcPr>
            <w:tcW w:w="1086" w:type="dxa"/>
            <w:shd w:val="clear" w:color="auto" w:fill="E7E6E6"/>
            <w:noWrap/>
            <w:tcMar>
              <w:top w:w="28" w:type="dxa"/>
              <w:left w:w="57" w:type="dxa"/>
              <w:bottom w:w="28" w:type="dxa"/>
              <w:right w:w="57" w:type="dxa"/>
            </w:tcMar>
            <w:vAlign w:val="bottom"/>
            <w:hideMark/>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2019</w:t>
            </w:r>
          </w:p>
        </w:tc>
        <w:tc>
          <w:tcPr>
            <w:tcW w:w="1086" w:type="dxa"/>
            <w:shd w:val="clear" w:color="auto" w:fill="E7E6E6"/>
            <w:noWrap/>
            <w:tcMar>
              <w:top w:w="28" w:type="dxa"/>
              <w:left w:w="57" w:type="dxa"/>
              <w:bottom w:w="28" w:type="dxa"/>
              <w:right w:w="57" w:type="dxa"/>
            </w:tcMar>
            <w:vAlign w:val="bottom"/>
            <w:hideMark/>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2020</w:t>
            </w:r>
          </w:p>
        </w:tc>
        <w:tc>
          <w:tcPr>
            <w:tcW w:w="1086" w:type="dxa"/>
            <w:shd w:val="clear" w:color="auto" w:fill="E7E6E6"/>
            <w:noWrap/>
            <w:tcMar>
              <w:top w:w="28" w:type="dxa"/>
              <w:left w:w="57" w:type="dxa"/>
              <w:bottom w:w="28" w:type="dxa"/>
              <w:right w:w="57" w:type="dxa"/>
            </w:tcMar>
            <w:vAlign w:val="bottom"/>
            <w:hideMark/>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2021</w:t>
            </w:r>
          </w:p>
        </w:tc>
      </w:tr>
      <w:tr w:rsidR="00A20315" w:rsidRPr="00425658" w:rsidTr="00B058EB">
        <w:trPr>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Pamatsistēmas uzturēšana un atbalsts</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-217 891</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-542 400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-542 400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-542 400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-542 400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-542 400</w:t>
            </w:r>
          </w:p>
        </w:tc>
      </w:tr>
      <w:tr w:rsidR="00A20315" w:rsidRPr="00425658" w:rsidTr="00B058EB">
        <w:trPr>
          <w:trHeight w:val="621"/>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Audits, konsultācijas, apdrošināšana, drošības speciālistu un citi atbalsta pakalpojumi</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-81 000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-22 500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-67 500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-22 500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-67 500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-22 500</w:t>
            </w:r>
          </w:p>
        </w:tc>
      </w:tr>
      <w:tr w:rsidR="00A20315" w:rsidRPr="00425658" w:rsidTr="00B058EB">
        <w:trPr>
          <w:trHeight w:val="621"/>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Tehniskās infrastruktūras (serveri, sērijveida programmatūra – operētājsistēmas, datubāzes u. tml.) uzturēšana un atbalsts</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-17 600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-57 600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-62 560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-62 560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-62 560</w:t>
            </w:r>
          </w:p>
        </w:tc>
      </w:tr>
      <w:tr w:rsidR="00A20315" w:rsidRPr="00425658" w:rsidTr="00B058EB">
        <w:trPr>
          <w:trHeight w:val="621"/>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lastRenderedPageBreak/>
              <w:t>Infrastruktūras izmitināšanas izmaksas (iekšējais maksājums)</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-41 541</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-40 667</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-38 100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-35 361</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-39 233</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-43 983</w:t>
            </w:r>
          </w:p>
        </w:tc>
      </w:tr>
      <w:tr w:rsidR="00A20315" w:rsidRPr="00425658" w:rsidTr="00B058EB">
        <w:trPr>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Amortizācija</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-305 026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-273 360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-188 578</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-177 731</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-177 731</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-171 994</w:t>
            </w:r>
          </w:p>
        </w:tc>
      </w:tr>
      <w:tr w:rsidR="00A20315" w:rsidRPr="00425658" w:rsidTr="00B058EB">
        <w:trPr>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proofErr w:type="gramStart"/>
            <w:r w:rsidRPr="00425658">
              <w:rPr>
                <w:rFonts w:ascii="Times New Roman" w:hAnsi="Times New Roman"/>
                <w:bCs/>
                <w:color w:val="auto"/>
                <w:sz w:val="20"/>
                <w:szCs w:val="20"/>
                <w:lang w:eastAsia="lv-LV"/>
              </w:rPr>
              <w:t>Darba spēka</w:t>
            </w:r>
            <w:proofErr w:type="gramEnd"/>
            <w:r w:rsidRPr="00425658">
              <w:rPr>
                <w:rFonts w:ascii="Times New Roman" w:hAnsi="Times New Roman"/>
                <w:bCs/>
                <w:color w:val="auto"/>
                <w:sz w:val="20"/>
                <w:szCs w:val="20"/>
                <w:lang w:eastAsia="lv-LV"/>
              </w:rPr>
              <w:t xml:space="preserve"> izmaksas</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-125 377</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-133 356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-139 236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-145 580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-152 130</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-159 046</w:t>
            </w:r>
          </w:p>
        </w:tc>
      </w:tr>
      <w:tr w:rsidR="00A20315" w:rsidRPr="00425658" w:rsidTr="00B058EB">
        <w:trPr>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Mārketinga, reklāmas un sabiedrisko attiecību izmaksas</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-3 221</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-4 648</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-4 648</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-4 648</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-4 648</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-4 648</w:t>
            </w:r>
          </w:p>
        </w:tc>
      </w:tr>
      <w:tr w:rsidR="00A20315" w:rsidRPr="00425658" w:rsidTr="00B058EB">
        <w:trPr>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Telpu noma (iekšējais maksājums)</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-5 186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-5 186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-5 186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-5 186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-5 186</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-5 186</w:t>
            </w:r>
          </w:p>
        </w:tc>
      </w:tr>
      <w:tr w:rsidR="00A20315" w:rsidRPr="00425658" w:rsidTr="00B058EB">
        <w:trPr>
          <w:jc w:val="center"/>
        </w:trPr>
        <w:tc>
          <w:tcPr>
            <w:tcW w:w="2547" w:type="dxa"/>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 xml:space="preserve">Citas izmaksas </w:t>
            </w:r>
          </w:p>
        </w:tc>
        <w:tc>
          <w:tcPr>
            <w:tcW w:w="1085"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-17 698</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-18 157</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-18 157</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-18 157</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-18 157</w:t>
            </w:r>
          </w:p>
        </w:tc>
        <w:tc>
          <w:tcPr>
            <w:tcW w:w="1086" w:type="dxa"/>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-18 157</w:t>
            </w:r>
          </w:p>
        </w:tc>
      </w:tr>
      <w:tr w:rsidR="00A20315" w:rsidRPr="00425658" w:rsidTr="00B058EB">
        <w:trPr>
          <w:trHeight w:val="621"/>
          <w:jc w:val="center"/>
        </w:trPr>
        <w:tc>
          <w:tcPr>
            <w:tcW w:w="2547" w:type="dxa"/>
            <w:shd w:val="clear" w:color="auto" w:fill="E7E6E6"/>
            <w:noWrap/>
            <w:tcMar>
              <w:top w:w="28" w:type="dxa"/>
              <w:left w:w="57" w:type="dxa"/>
              <w:bottom w:w="28" w:type="dxa"/>
              <w:right w:w="57" w:type="dxa"/>
            </w:tcMar>
            <w:vAlign w:val="center"/>
            <w:hideMark/>
          </w:tcPr>
          <w:p w:rsidR="00A20315" w:rsidRPr="00425658" w:rsidRDefault="00A20315" w:rsidP="00B058EB">
            <w:pP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Sertifikācijas pakalpojumu pamatsistēmas izmaksas kopā bez PVN</w:t>
            </w:r>
          </w:p>
        </w:tc>
        <w:tc>
          <w:tcPr>
            <w:tcW w:w="1085" w:type="dxa"/>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-796 940</w:t>
            </w:r>
          </w:p>
        </w:tc>
        <w:tc>
          <w:tcPr>
            <w:tcW w:w="1086" w:type="dxa"/>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-1 057 873</w:t>
            </w:r>
          </w:p>
        </w:tc>
        <w:tc>
          <w:tcPr>
            <w:tcW w:w="1086" w:type="dxa"/>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-1 061 403</w:t>
            </w:r>
          </w:p>
        </w:tc>
        <w:tc>
          <w:tcPr>
            <w:tcW w:w="1086" w:type="dxa"/>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-1 014 122</w:t>
            </w:r>
          </w:p>
        </w:tc>
        <w:tc>
          <w:tcPr>
            <w:tcW w:w="1086" w:type="dxa"/>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-1 069 543</w:t>
            </w:r>
          </w:p>
        </w:tc>
        <w:tc>
          <w:tcPr>
            <w:tcW w:w="1086" w:type="dxa"/>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-1 030 474</w:t>
            </w:r>
          </w:p>
        </w:tc>
      </w:tr>
    </w:tbl>
    <w:p w:rsidR="00A20315" w:rsidRPr="00425658" w:rsidRDefault="00A20315" w:rsidP="00A20315">
      <w:pPr>
        <w:jc w:val="both"/>
        <w:rPr>
          <w:rFonts w:ascii="Times New Roman" w:hAnsi="Times New Roman"/>
          <w:b/>
          <w:color w:val="auto"/>
          <w:lang w:eastAsia="lv-LV"/>
        </w:rPr>
      </w:pPr>
    </w:p>
    <w:p w:rsidR="00A20315" w:rsidRPr="00425658" w:rsidRDefault="00A20315" w:rsidP="00A20315">
      <w:pPr>
        <w:autoSpaceDN/>
        <w:textAlignment w:val="auto"/>
        <w:rPr>
          <w:rFonts w:ascii="Times New Roman" w:hAnsi="Times New Roman"/>
          <w:b/>
          <w:color w:val="auto"/>
          <w:sz w:val="20"/>
          <w:szCs w:val="20"/>
          <w:lang w:eastAsia="lv-LV"/>
        </w:rPr>
      </w:pPr>
      <w:r w:rsidRPr="00425658">
        <w:rPr>
          <w:rFonts w:ascii="Times New Roman" w:hAnsi="Times New Roman"/>
          <w:b/>
          <w:bCs/>
          <w:color w:val="auto"/>
          <w:sz w:val="20"/>
          <w:szCs w:val="20"/>
          <w:lang w:eastAsia="lv-LV"/>
        </w:rPr>
        <w:t>2. tabula. INTEGRĀCIJAS RISINĀJUMU UZTURĒŠANAS UN ATTĪSTĪBAS IZMAKSAS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1101"/>
        <w:gridCol w:w="1101"/>
        <w:gridCol w:w="1100"/>
        <w:gridCol w:w="1100"/>
        <w:gridCol w:w="1100"/>
        <w:gridCol w:w="1100"/>
      </w:tblGrid>
      <w:tr w:rsidR="00A20315" w:rsidRPr="00425658" w:rsidTr="00B058EB">
        <w:trPr>
          <w:jc w:val="center"/>
        </w:trPr>
        <w:tc>
          <w:tcPr>
            <w:tcW w:w="1406" w:type="pct"/>
            <w:shd w:val="clear" w:color="auto" w:fill="E7E6E6"/>
            <w:noWrap/>
            <w:tcMar>
              <w:top w:w="28" w:type="dxa"/>
              <w:left w:w="57" w:type="dxa"/>
              <w:bottom w:w="28" w:type="dxa"/>
              <w:right w:w="57" w:type="dxa"/>
            </w:tcMar>
            <w:vAlign w:val="bottom"/>
          </w:tcPr>
          <w:p w:rsidR="00A20315" w:rsidRPr="00425658" w:rsidRDefault="00A20315" w:rsidP="00B058EB">
            <w:pPr>
              <w:jc w:val="both"/>
              <w:rPr>
                <w:rFonts w:ascii="Times New Roman" w:hAnsi="Times New Roman"/>
                <w:b/>
                <w:color w:val="auto"/>
                <w:sz w:val="20"/>
                <w:szCs w:val="20"/>
                <w:lang w:eastAsia="lv-LV"/>
              </w:rPr>
            </w:pPr>
            <w:r w:rsidRPr="00425658">
              <w:rPr>
                <w:rFonts w:ascii="Times New Roman" w:hAnsi="Times New Roman"/>
                <w:b/>
                <w:color w:val="auto"/>
                <w:sz w:val="20"/>
                <w:szCs w:val="20"/>
                <w:lang w:eastAsia="lv-LV"/>
              </w:rPr>
              <w:t> </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2016</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2017</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2018</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2019</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lang w:eastAsia="lv-LV"/>
              </w:rPr>
              <w:t>2020</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color w:val="auto"/>
                <w:sz w:val="20"/>
                <w:szCs w:val="20"/>
                <w:lang w:eastAsia="lv-LV"/>
              </w:rPr>
              <w:t>2021</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Pamatsistēmas uzturēšana un atbalsts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-1 902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Audits, konsultācijas, apdrošināšana, drošības speciālistu un citi atbalsta pakalpojumi</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-9 000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-2 500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-7 500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-2 500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-7 500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-2 500</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Tehniskās infrastruktūras (serveri, sērijveida programmatūra – operētājsistēmas, datubāzes u. tml.) uzturēšana un atbalsts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-13 200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-43 200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-46 920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-46 920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-46 920</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Infrastruktūras izmitināšanas izmaksas (iekšējais maksājums)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-31 156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-30 500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-28 575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-26 521</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-29 424</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-32 988</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Amortizācija</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-228 769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-155 256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-120 643</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-112 549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-112 548</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-108 246</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Darbaspēka izmaksas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-53 309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-57 070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-60 143</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-63 460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-66 935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-70 632</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Mārketinga, reklāmas un sabiedrisko attiecību izmaksas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-17 887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-23 712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-23 712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-23 712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-23 712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-23 712</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Telpu noma (iekšējais maksājums)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-3 889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-3 889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-3 889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-3 889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-3 889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-3 889</w:t>
            </w:r>
          </w:p>
        </w:tc>
      </w:tr>
      <w:tr w:rsidR="00A20315" w:rsidRPr="00425658" w:rsidTr="00B058EB">
        <w:trPr>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 xml:space="preserve">Citas izmaksas </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-16 034</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-16 577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-16 577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-16 577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-16 577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-16 577</w:t>
            </w:r>
          </w:p>
        </w:tc>
      </w:tr>
      <w:tr w:rsidR="00A20315" w:rsidRPr="00425658" w:rsidTr="00B058EB">
        <w:trPr>
          <w:jc w:val="center"/>
        </w:trPr>
        <w:tc>
          <w:tcPr>
            <w:tcW w:w="1406" w:type="pct"/>
            <w:shd w:val="clear" w:color="auto" w:fill="E7E6E6"/>
            <w:noWrap/>
            <w:tcMar>
              <w:top w:w="28" w:type="dxa"/>
              <w:left w:w="57" w:type="dxa"/>
              <w:bottom w:w="28" w:type="dxa"/>
              <w:right w:w="57" w:type="dxa"/>
            </w:tcMar>
            <w:vAlign w:val="center"/>
            <w:hideMark/>
          </w:tcPr>
          <w:p w:rsidR="00A20315" w:rsidRPr="00425658" w:rsidRDefault="00A20315" w:rsidP="00B058EB">
            <w:pP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Integrācijas risinājumu izmaksas kopā bez PVN</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-361 946</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-304 505</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-306 038</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-297 927</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-309 305</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-307 263</w:t>
            </w:r>
          </w:p>
        </w:tc>
      </w:tr>
    </w:tbl>
    <w:p w:rsidR="00A20315" w:rsidRPr="00425658" w:rsidRDefault="00A20315" w:rsidP="00A20315">
      <w:pPr>
        <w:jc w:val="both"/>
        <w:rPr>
          <w:rFonts w:ascii="Times New Roman" w:hAnsi="Times New Roman"/>
          <w:b/>
          <w:color w:val="auto"/>
          <w:lang w:eastAsia="lv-LV"/>
        </w:rPr>
      </w:pPr>
    </w:p>
    <w:p w:rsidR="00A20315" w:rsidRPr="00425658" w:rsidRDefault="00A20315" w:rsidP="00A20315">
      <w:pPr>
        <w:autoSpaceDN/>
        <w:textAlignment w:val="auto"/>
        <w:rPr>
          <w:rFonts w:ascii="Times New Roman" w:hAnsi="Times New Roman"/>
          <w:b/>
          <w:color w:val="auto"/>
          <w:sz w:val="20"/>
          <w:szCs w:val="20"/>
          <w:lang w:eastAsia="lv-LV"/>
        </w:rPr>
      </w:pPr>
      <w:r w:rsidRPr="00425658">
        <w:rPr>
          <w:rFonts w:ascii="Times New Roman" w:hAnsi="Times New Roman"/>
          <w:b/>
          <w:bCs/>
          <w:color w:val="auto"/>
          <w:sz w:val="20"/>
          <w:szCs w:val="20"/>
          <w:lang w:eastAsia="lv-LV"/>
        </w:rPr>
        <w:t>3. tabula. GALA LIETOTĀJU RISINĀJUMU UZTURĒŠANAS UN ATTĪSTĪBAS IZMAKSAS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1101"/>
        <w:gridCol w:w="1101"/>
        <w:gridCol w:w="1100"/>
        <w:gridCol w:w="1100"/>
        <w:gridCol w:w="1100"/>
        <w:gridCol w:w="1100"/>
      </w:tblGrid>
      <w:tr w:rsidR="00A20315" w:rsidRPr="00425658" w:rsidTr="00B058EB">
        <w:trPr>
          <w:trHeight w:val="300"/>
          <w:jc w:val="center"/>
        </w:trPr>
        <w:tc>
          <w:tcPr>
            <w:tcW w:w="1406" w:type="pct"/>
            <w:shd w:val="clear" w:color="auto" w:fill="E7E6E6"/>
            <w:noWrap/>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lang w:eastAsia="lv-LV"/>
              </w:rPr>
            </w:pP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2016</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2017</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2018</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2019</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2020</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2021</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Pamatsistēmas uzturēšana un atbalsts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-1 902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-1 800</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Audits, konsultācijas, apdrošināšana, drošības speciālistu un citi atbalsta pakalpojumi</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0</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 xml:space="preserve">Tehniskās infrastruktūras (serveri, sērijveida programmatūra – operētājsistēmas, datubāzes </w:t>
            </w:r>
            <w:r w:rsidRPr="00425658">
              <w:rPr>
                <w:rFonts w:ascii="Times New Roman" w:hAnsi="Times New Roman"/>
                <w:bCs/>
                <w:color w:val="auto"/>
                <w:sz w:val="20"/>
                <w:szCs w:val="20"/>
                <w:lang w:eastAsia="lv-LV"/>
              </w:rPr>
              <w:lastRenderedPageBreak/>
              <w:t>u. tml.) uzturēšana un atbalsts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lastRenderedPageBreak/>
              <w:t>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-13 200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-43 200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-46 920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-46 920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-46 920</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lastRenderedPageBreak/>
              <w:t>Infrastruktūras izmitināšanas izmaksas (iekšējais maksājums)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-31 156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-30 500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-28 575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-26 521</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-29 424</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-32 988</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Amortizācija</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-228 769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-232 292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-139 231</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-91 788</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-118 613</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-114 311</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Darbaspēka izmaksas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-69 466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-72 980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-76 611</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-80 469</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-84 547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-88 871</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Mārketinga, reklāmas un sabiedrisko attiecību izmaksas</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-10 700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-17 712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-17 712</w:t>
            </w:r>
          </w:p>
        </w:tc>
      </w:tr>
      <w:tr w:rsidR="00A20315" w:rsidRPr="00425658" w:rsidTr="00B058EB">
        <w:trPr>
          <w:trHeight w:val="300"/>
          <w:jc w:val="center"/>
        </w:trPr>
        <w:tc>
          <w:tcPr>
            <w:tcW w:w="1406"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 xml:space="preserve">Citas izmaksas </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-20 625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-21 206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-21 206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-21 206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-21 206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-21 206</w:t>
            </w:r>
          </w:p>
        </w:tc>
      </w:tr>
      <w:tr w:rsidR="00A20315" w:rsidRPr="00425658" w:rsidTr="00B058EB">
        <w:trPr>
          <w:trHeight w:val="300"/>
          <w:jc w:val="center"/>
        </w:trPr>
        <w:tc>
          <w:tcPr>
            <w:tcW w:w="1406" w:type="pct"/>
            <w:shd w:val="clear" w:color="auto" w:fill="E7E6E6"/>
            <w:noWrap/>
            <w:tcMar>
              <w:top w:w="28" w:type="dxa"/>
              <w:left w:w="57" w:type="dxa"/>
              <w:bottom w:w="28" w:type="dxa"/>
              <w:right w:w="57" w:type="dxa"/>
            </w:tcMar>
            <w:vAlign w:val="center"/>
            <w:hideMark/>
          </w:tcPr>
          <w:p w:rsidR="00A20315" w:rsidRPr="00425658" w:rsidRDefault="00A20315" w:rsidP="00B058EB">
            <w:pP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Gala lietotāju risinājumu izmaksas kopā bez PVN</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-362 617</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-389 690</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-328 335</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-286 415</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-320 223</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-323 808</w:t>
            </w:r>
          </w:p>
        </w:tc>
      </w:tr>
    </w:tbl>
    <w:p w:rsidR="00A20315" w:rsidRPr="00425658" w:rsidRDefault="00A20315" w:rsidP="00A20315">
      <w:pPr>
        <w:jc w:val="both"/>
        <w:rPr>
          <w:rFonts w:ascii="Times New Roman" w:hAnsi="Times New Roman"/>
          <w:b/>
          <w:color w:val="auto"/>
          <w:lang w:eastAsia="lv-LV"/>
        </w:rPr>
      </w:pPr>
    </w:p>
    <w:p w:rsidR="00A20315" w:rsidRPr="00425658" w:rsidRDefault="00A20315" w:rsidP="00A20315">
      <w:pPr>
        <w:autoSpaceDN/>
        <w:jc w:val="both"/>
        <w:textAlignment w:val="auto"/>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4. tabula. KLIENTU ATBALSTA IZMAKSAS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1101"/>
        <w:gridCol w:w="1101"/>
        <w:gridCol w:w="1101"/>
        <w:gridCol w:w="1101"/>
        <w:gridCol w:w="1100"/>
        <w:gridCol w:w="1100"/>
      </w:tblGrid>
      <w:tr w:rsidR="00A20315" w:rsidRPr="00425658" w:rsidTr="00B058EB">
        <w:trPr>
          <w:trHeight w:val="300"/>
          <w:jc w:val="center"/>
        </w:trPr>
        <w:tc>
          <w:tcPr>
            <w:tcW w:w="1405" w:type="pct"/>
            <w:shd w:val="clear" w:color="auto" w:fill="E7E6E6"/>
            <w:noWrap/>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lang w:eastAsia="lv-LV"/>
              </w:rPr>
            </w:pP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2016</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2017</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2018</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2019</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2020</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2021</w:t>
            </w:r>
          </w:p>
        </w:tc>
      </w:tr>
      <w:tr w:rsidR="00A20315" w:rsidRPr="00425658" w:rsidTr="00B058EB">
        <w:trPr>
          <w:jc w:val="center"/>
        </w:trPr>
        <w:tc>
          <w:tcPr>
            <w:tcW w:w="1405"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
                <w:bCs/>
                <w:color w:val="auto"/>
                <w:sz w:val="20"/>
                <w:szCs w:val="20"/>
                <w:lang w:eastAsia="lv-LV"/>
              </w:rPr>
              <w:t>Pamatsistēma.</w:t>
            </w:r>
            <w:r w:rsidRPr="00425658">
              <w:rPr>
                <w:rFonts w:ascii="Times New Roman" w:hAnsi="Times New Roman"/>
                <w:bCs/>
                <w:color w:val="auto"/>
                <w:sz w:val="20"/>
                <w:szCs w:val="20"/>
                <w:lang w:eastAsia="lv-LV"/>
              </w:rPr>
              <w:t xml:space="preserve"> Klientu apkalpošanas izdevumi (infrastruktūra + darba samaksa)</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-97 451</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-91 300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-92 365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-93 483</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-94 657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-95 890</w:t>
            </w:r>
          </w:p>
        </w:tc>
      </w:tr>
      <w:tr w:rsidR="00A20315" w:rsidRPr="00425658" w:rsidTr="00B058EB">
        <w:trPr>
          <w:trHeight w:val="300"/>
          <w:jc w:val="center"/>
        </w:trPr>
        <w:tc>
          <w:tcPr>
            <w:tcW w:w="1405"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
                <w:bCs/>
                <w:color w:val="auto"/>
                <w:sz w:val="20"/>
                <w:szCs w:val="20"/>
                <w:lang w:eastAsia="lv-LV"/>
              </w:rPr>
              <w:t>Integrācijas risinājumi.</w:t>
            </w:r>
            <w:r w:rsidRPr="00425658">
              <w:rPr>
                <w:rFonts w:ascii="Times New Roman" w:hAnsi="Times New Roman"/>
                <w:bCs/>
                <w:color w:val="auto"/>
                <w:sz w:val="20"/>
                <w:szCs w:val="20"/>
                <w:lang w:eastAsia="lv-LV"/>
              </w:rPr>
              <w:t xml:space="preserve"> Klientu apkalpošanas izdevumi (infrastruktūra + darba samaksa)</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-40 571</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-42 600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-44 730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-46 966</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-49 315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-51 781</w:t>
            </w:r>
          </w:p>
        </w:tc>
      </w:tr>
      <w:tr w:rsidR="00A20315" w:rsidRPr="00425658" w:rsidTr="00B058EB">
        <w:trPr>
          <w:trHeight w:val="300"/>
          <w:jc w:val="center"/>
        </w:trPr>
        <w:tc>
          <w:tcPr>
            <w:tcW w:w="1405"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Cs/>
                <w:color w:val="auto"/>
                <w:sz w:val="20"/>
                <w:szCs w:val="20"/>
                <w:lang w:eastAsia="lv-LV"/>
              </w:rPr>
            </w:pPr>
            <w:r w:rsidRPr="00425658">
              <w:rPr>
                <w:rFonts w:ascii="Times New Roman" w:hAnsi="Times New Roman"/>
                <w:b/>
                <w:bCs/>
                <w:color w:val="auto"/>
                <w:sz w:val="20"/>
                <w:szCs w:val="20"/>
                <w:lang w:eastAsia="lv-LV"/>
              </w:rPr>
              <w:t>Gala klienti.</w:t>
            </w:r>
            <w:r w:rsidRPr="00425658">
              <w:rPr>
                <w:rFonts w:ascii="Times New Roman" w:hAnsi="Times New Roman"/>
                <w:bCs/>
                <w:color w:val="auto"/>
                <w:sz w:val="20"/>
                <w:szCs w:val="20"/>
                <w:lang w:eastAsia="lv-LV"/>
              </w:rPr>
              <w:t xml:space="preserve"> Apkalpošanas izdevumi (infrastruktūra + darba samaksa)</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-142 000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-149 100</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-156 555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-164 383</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-172 602</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Cs/>
                <w:color w:val="auto"/>
                <w:sz w:val="20"/>
                <w:szCs w:val="20"/>
                <w:lang w:eastAsia="lv-LV"/>
              </w:rPr>
            </w:pPr>
            <w:r w:rsidRPr="00425658">
              <w:rPr>
                <w:rFonts w:ascii="Times New Roman" w:hAnsi="Times New Roman"/>
                <w:bCs/>
                <w:color w:val="auto"/>
                <w:sz w:val="20"/>
                <w:szCs w:val="20"/>
                <w:lang w:eastAsia="lv-LV"/>
              </w:rPr>
              <w:t>-181 232</w:t>
            </w:r>
          </w:p>
        </w:tc>
      </w:tr>
      <w:tr w:rsidR="00A20315" w:rsidRPr="00425658" w:rsidTr="00B058EB">
        <w:trPr>
          <w:trHeight w:val="300"/>
          <w:jc w:val="center"/>
        </w:trPr>
        <w:tc>
          <w:tcPr>
            <w:tcW w:w="1405" w:type="pct"/>
            <w:shd w:val="clear" w:color="auto" w:fill="E7E6E6"/>
            <w:noWrap/>
            <w:tcMar>
              <w:top w:w="28" w:type="dxa"/>
              <w:left w:w="57" w:type="dxa"/>
              <w:bottom w:w="28" w:type="dxa"/>
              <w:right w:w="57" w:type="dxa"/>
            </w:tcMar>
            <w:vAlign w:val="center"/>
            <w:hideMark/>
          </w:tcPr>
          <w:p w:rsidR="00A20315" w:rsidRPr="00425658" w:rsidRDefault="00A20315" w:rsidP="00B058EB">
            <w:pP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Klientu atbalsts kopā bez PVN</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-280 022</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-283 000</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-293 650</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-304 832</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-316 574</w:t>
            </w:r>
          </w:p>
        </w:tc>
        <w:tc>
          <w:tcPr>
            <w:tcW w:w="599" w:type="pct"/>
            <w:shd w:val="clear" w:color="auto" w:fill="E7E6E6"/>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-328 903</w:t>
            </w:r>
          </w:p>
        </w:tc>
      </w:tr>
    </w:tbl>
    <w:p w:rsidR="00A20315" w:rsidRPr="00425658" w:rsidRDefault="00A20315" w:rsidP="00A20315">
      <w:pPr>
        <w:jc w:val="both"/>
        <w:rPr>
          <w:rFonts w:ascii="Times New Roman" w:hAnsi="Times New Roman"/>
          <w:b/>
          <w:color w:val="auto"/>
          <w:lang w:eastAsia="lv-LV"/>
        </w:rPr>
      </w:pPr>
    </w:p>
    <w:p w:rsidR="00A20315" w:rsidRPr="00425658" w:rsidRDefault="00A20315" w:rsidP="00A20315">
      <w:pPr>
        <w:jc w:val="both"/>
        <w:rPr>
          <w:rFonts w:ascii="Times New Roman" w:hAnsi="Times New Roman"/>
          <w:b/>
          <w:color w:val="auto"/>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101"/>
        <w:gridCol w:w="1101"/>
        <w:gridCol w:w="1101"/>
        <w:gridCol w:w="1101"/>
        <w:gridCol w:w="1100"/>
        <w:gridCol w:w="1102"/>
      </w:tblGrid>
      <w:tr w:rsidR="00A20315" w:rsidRPr="00425658" w:rsidTr="00B058EB">
        <w:trPr>
          <w:trHeight w:val="300"/>
          <w:jc w:val="center"/>
        </w:trPr>
        <w:tc>
          <w:tcPr>
            <w:tcW w:w="1404" w:type="pct"/>
            <w:shd w:val="clear" w:color="auto" w:fill="E7E6E6"/>
            <w:noWrap/>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lang w:eastAsia="lv-LV"/>
              </w:rPr>
            </w:pP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2016</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2017</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2018</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2019</w:t>
            </w:r>
          </w:p>
        </w:tc>
        <w:tc>
          <w:tcPr>
            <w:tcW w:w="599"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2020</w:t>
            </w:r>
          </w:p>
        </w:tc>
        <w:tc>
          <w:tcPr>
            <w:tcW w:w="600" w:type="pct"/>
            <w:shd w:val="clear" w:color="auto" w:fill="E7E6E6"/>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2021</w:t>
            </w:r>
          </w:p>
        </w:tc>
      </w:tr>
      <w:tr w:rsidR="00A20315" w:rsidRPr="00425658" w:rsidTr="00B058EB">
        <w:trPr>
          <w:trHeight w:val="300"/>
          <w:jc w:val="center"/>
        </w:trPr>
        <w:tc>
          <w:tcPr>
            <w:tcW w:w="1404" w:type="pct"/>
            <w:shd w:val="clear" w:color="auto" w:fill="auto"/>
            <w:noWrap/>
            <w:tcMar>
              <w:top w:w="28" w:type="dxa"/>
              <w:left w:w="57" w:type="dxa"/>
              <w:bottom w:w="28" w:type="dxa"/>
              <w:right w:w="57" w:type="dxa"/>
            </w:tcMar>
            <w:vAlign w:val="center"/>
            <w:hideMark/>
          </w:tcPr>
          <w:p w:rsidR="00A20315" w:rsidRPr="00425658" w:rsidRDefault="00A20315" w:rsidP="00B058EB">
            <w:pP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KOPĀ VISAS IZMAKSAS (bez PVN, EUR)</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-1 801 525</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-2 035 068</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-1 989 427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-1 903 297</w:t>
            </w:r>
          </w:p>
        </w:tc>
        <w:tc>
          <w:tcPr>
            <w:tcW w:w="599"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-2 015 645</w:t>
            </w:r>
          </w:p>
        </w:tc>
        <w:tc>
          <w:tcPr>
            <w:tcW w:w="600" w:type="pct"/>
            <w:shd w:val="clear" w:color="auto" w:fill="auto"/>
            <w:noWrap/>
            <w:tcMar>
              <w:top w:w="28" w:type="dxa"/>
              <w:left w:w="57" w:type="dxa"/>
              <w:bottom w:w="28" w:type="dxa"/>
              <w:right w:w="57" w:type="dxa"/>
            </w:tcMar>
            <w:vAlign w:val="center"/>
            <w:hideMark/>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-1 990 449</w:t>
            </w:r>
          </w:p>
        </w:tc>
      </w:tr>
      <w:tr w:rsidR="00A20315" w:rsidRPr="00425658" w:rsidTr="00B058EB">
        <w:trPr>
          <w:trHeight w:val="300"/>
          <w:jc w:val="center"/>
        </w:trPr>
        <w:tc>
          <w:tcPr>
            <w:tcW w:w="1404" w:type="pct"/>
            <w:shd w:val="clear" w:color="auto" w:fill="00B050"/>
            <w:noWrap/>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KOPĀ VISAS IZMAKSAS (ar PVN, EUR)</w:t>
            </w:r>
          </w:p>
        </w:tc>
        <w:tc>
          <w:tcPr>
            <w:tcW w:w="599" w:type="pct"/>
            <w:shd w:val="clear" w:color="auto" w:fill="00B050"/>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-2 179 845</w:t>
            </w:r>
          </w:p>
        </w:tc>
        <w:tc>
          <w:tcPr>
            <w:tcW w:w="599" w:type="pct"/>
            <w:shd w:val="clear" w:color="auto" w:fill="00B050"/>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-2 462 432</w:t>
            </w:r>
          </w:p>
        </w:tc>
        <w:tc>
          <w:tcPr>
            <w:tcW w:w="599" w:type="pct"/>
            <w:shd w:val="clear" w:color="auto" w:fill="00B050"/>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-2 407 206</w:t>
            </w:r>
          </w:p>
        </w:tc>
        <w:tc>
          <w:tcPr>
            <w:tcW w:w="599" w:type="pct"/>
            <w:shd w:val="clear" w:color="auto" w:fill="00B050"/>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-2 302 989</w:t>
            </w:r>
          </w:p>
        </w:tc>
        <w:tc>
          <w:tcPr>
            <w:tcW w:w="599" w:type="pct"/>
            <w:shd w:val="clear" w:color="auto" w:fill="00B050"/>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-2 438 930</w:t>
            </w:r>
          </w:p>
        </w:tc>
        <w:tc>
          <w:tcPr>
            <w:tcW w:w="600" w:type="pct"/>
            <w:shd w:val="clear" w:color="auto" w:fill="00B050"/>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lang w:eastAsia="lv-LV"/>
              </w:rPr>
            </w:pPr>
            <w:r w:rsidRPr="00425658">
              <w:rPr>
                <w:rFonts w:ascii="Times New Roman" w:hAnsi="Times New Roman"/>
                <w:b/>
                <w:bCs/>
                <w:color w:val="auto"/>
                <w:sz w:val="20"/>
                <w:szCs w:val="20"/>
                <w:lang w:eastAsia="lv-LV"/>
              </w:rPr>
              <w:t>-2 408 443</w:t>
            </w:r>
          </w:p>
        </w:tc>
      </w:tr>
    </w:tbl>
    <w:p w:rsidR="00A20315" w:rsidRPr="00425658" w:rsidRDefault="00A20315" w:rsidP="00A20315">
      <w:pPr>
        <w:ind w:firstLine="720"/>
        <w:jc w:val="both"/>
        <w:rPr>
          <w:rFonts w:ascii="Times New Roman" w:hAnsi="Times New Roman"/>
          <w:color w:val="auto"/>
        </w:rPr>
      </w:pP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Analizējot izdevumu pozīcijas, secināms, ka vislielākie izdevumi ir darbaspēka apmaksa, maksājumi infrastruktūras uzturēšanai un amortizācijas atskaitījumiem. </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Darba samaksa veido būtisku daļu no kopējām sertifikācijas pakalpojumu nodrošināšanas izmaksām. Minētās izmaksas ir saistītas gan ar normatīvi uzliktiem pienākumiem, piemēram, dalītās piekļuves informācijas sistēmām, USPS nodrošināšanai nepieciešamo lomu uzturēšanas, gan klientu atbalsts un konsultācijas, t. sk. iespēja apturēt un anulēt droša elektroniskā paraksta sertifikātus 24 stundas diennaktī, 7 dienas nedēļā. </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Arī USPS, lai izpildītu Regulas prasības, ir jāuztur minētā lomu matrica, kā arī nodarbināmo cilvēkresursu noslodze. Atzīmējams, ka vairākas darbības iespējams izpildīt, tikai ievērojot četru acu principu, tādēļ viena loma ir jāpilda vairākiem USPS nodarbinātiem cilvēkresursiem.</w:t>
      </w:r>
    </w:p>
    <w:p w:rsidR="00A20315" w:rsidRPr="00425658" w:rsidRDefault="00A20315" w:rsidP="00A20315">
      <w:pPr>
        <w:spacing w:before="60" w:after="60"/>
        <w:ind w:firstLine="720"/>
        <w:jc w:val="both"/>
        <w:rPr>
          <w:rFonts w:ascii="Times New Roman" w:hAnsi="Times New Roman"/>
          <w:color w:val="auto"/>
        </w:rPr>
      </w:pPr>
      <w:r w:rsidRPr="00425658">
        <w:rPr>
          <w:rFonts w:ascii="Times New Roman" w:hAnsi="Times New Roman"/>
          <w:color w:val="auto"/>
        </w:rPr>
        <w:t xml:space="preserve">Savukārt, lai attīstītu eID kartes pielietojamību e-pakalpojumos kā ērtu rīku identitātes un gribas apliecināšanai, normatīvi netiek uzlikts pienākums uzturēt noteiktas lomas, bet ir </w:t>
      </w:r>
      <w:r w:rsidRPr="00425658">
        <w:rPr>
          <w:rFonts w:ascii="Times New Roman" w:hAnsi="Times New Roman"/>
          <w:color w:val="auto"/>
        </w:rPr>
        <w:lastRenderedPageBreak/>
        <w:t xml:space="preserve">faktiska nepieciešamība nodrošināt e-pakalpojumu turētāju atbalstam, integrācijas risinājumu uzturēšanai nepieciešamo kvalitātes un kompetenču līmeni. </w:t>
      </w:r>
    </w:p>
    <w:p w:rsidR="00A20315" w:rsidRPr="00425658" w:rsidRDefault="00A20315" w:rsidP="00A20315">
      <w:pPr>
        <w:spacing w:before="60" w:after="60"/>
        <w:ind w:firstLine="720"/>
        <w:jc w:val="both"/>
        <w:rPr>
          <w:rFonts w:ascii="Times New Roman" w:hAnsi="Times New Roman"/>
          <w:color w:val="auto"/>
        </w:rPr>
      </w:pPr>
      <w:r w:rsidRPr="00425658">
        <w:rPr>
          <w:rFonts w:ascii="Times New Roman" w:hAnsi="Times New Roman"/>
          <w:color w:val="auto"/>
        </w:rPr>
        <w:t>Līdzīgi kā dažādu integrācijas risinājumu atbalstam, arī gala lietotāju atbalstam un risinājumu attīstībai, tostarp pārrobežu savietojamības nodrošināšanai, normatīvi netiek uzlikts pienākums uzturēt noteiktas lomas. Tomēr, lai uzturētu nepieciešamo kvalitātes, pakalpojumu un kompetenču līmeni, ir nepieciešams nodarbināt būtiskus cilvēkresursus</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Tehniskās infrastruktūras izmaksu aprēķins veidots, ievērojot šādus apsvērumus un pieņēmumus:</w:t>
      </w:r>
    </w:p>
    <w:p w:rsidR="00A20315" w:rsidRPr="00425658" w:rsidRDefault="00A20315" w:rsidP="00A20315">
      <w:pPr>
        <w:pStyle w:val="ListParagraph"/>
        <w:numPr>
          <w:ilvl w:val="0"/>
          <w:numId w:val="9"/>
        </w:numPr>
        <w:spacing w:line="240" w:lineRule="auto"/>
        <w:ind w:left="1077" w:hanging="357"/>
        <w:jc w:val="both"/>
        <w:rPr>
          <w:rFonts w:ascii="Times New Roman" w:hAnsi="Times New Roman"/>
          <w:sz w:val="24"/>
          <w:szCs w:val="24"/>
        </w:rPr>
      </w:pPr>
      <w:r w:rsidRPr="00425658">
        <w:rPr>
          <w:rFonts w:ascii="Times New Roman" w:hAnsi="Times New Roman"/>
          <w:sz w:val="24"/>
          <w:szCs w:val="24"/>
        </w:rPr>
        <w:t xml:space="preserve">Sertifikācijas pakalpojumu pamatsistēmas un programmatūras atbalsta izmaksas. Prognozē izmantots pieņēmums, ka ražotāja atbalsts, uzturēšana ir 18% gadā no veiktajām investīcijām. </w:t>
      </w:r>
    </w:p>
    <w:p w:rsidR="00A20315" w:rsidRPr="00425658" w:rsidRDefault="00A20315" w:rsidP="00A20315">
      <w:pPr>
        <w:pStyle w:val="ListParagraph"/>
        <w:numPr>
          <w:ilvl w:val="0"/>
          <w:numId w:val="9"/>
        </w:numPr>
        <w:spacing w:line="240" w:lineRule="auto"/>
        <w:ind w:left="1077" w:hanging="357"/>
        <w:jc w:val="both"/>
        <w:rPr>
          <w:rFonts w:ascii="Times New Roman" w:hAnsi="Times New Roman"/>
          <w:sz w:val="24"/>
          <w:szCs w:val="24"/>
        </w:rPr>
      </w:pPr>
      <w:r w:rsidRPr="00425658">
        <w:rPr>
          <w:rFonts w:ascii="Times New Roman" w:hAnsi="Times New Roman"/>
          <w:sz w:val="24"/>
          <w:szCs w:val="24"/>
        </w:rPr>
        <w:t xml:space="preserve">USPS audita un drošības audita pakalpojumi. 2016. gadā ikgadējās audita izmaksas pieaug dēļ Regulas prasībām un e-paraksta infrastruktūras nomaiņas. Novērtēts, ka 2016. gadā tās būs 90 tūkst. EUR, nākamos katrus divus gadus 75 tūkst. Tas saistās ar USPS auditu, kas jāveic katrus divus gadus. Savukārt 2017. gadā un katru otro gadu turpmāk tie būs 25 tūkst. EUR, jo jāveic tikai drošības audits. </w:t>
      </w:r>
    </w:p>
    <w:p w:rsidR="00A20315" w:rsidRPr="00425658" w:rsidRDefault="00A20315" w:rsidP="00A20315">
      <w:pPr>
        <w:pStyle w:val="ListParagraph"/>
        <w:numPr>
          <w:ilvl w:val="0"/>
          <w:numId w:val="9"/>
        </w:numPr>
        <w:spacing w:line="240" w:lineRule="auto"/>
        <w:ind w:left="1077" w:hanging="357"/>
        <w:jc w:val="both"/>
        <w:rPr>
          <w:rFonts w:ascii="Times New Roman" w:hAnsi="Times New Roman"/>
          <w:sz w:val="24"/>
          <w:szCs w:val="24"/>
        </w:rPr>
      </w:pPr>
      <w:r w:rsidRPr="00425658">
        <w:rPr>
          <w:rFonts w:ascii="Times New Roman" w:hAnsi="Times New Roman"/>
          <w:sz w:val="24"/>
          <w:szCs w:val="24"/>
        </w:rPr>
        <w:t>Nolietojums jaunā risinājuma ieguldījumiem. Nolietojuma aprēķins, ņemot vērā ieguldījumu amortizācijas laiku – 5 gadi, kā arī LVRTC līdzfinansējuma atbalsta intensitāti 15%.</w:t>
      </w:r>
    </w:p>
    <w:p w:rsidR="00A20315" w:rsidRPr="00425658" w:rsidRDefault="00A20315" w:rsidP="00A20315">
      <w:pPr>
        <w:pStyle w:val="ListParagraph"/>
        <w:numPr>
          <w:ilvl w:val="0"/>
          <w:numId w:val="9"/>
        </w:numPr>
        <w:spacing w:line="240" w:lineRule="auto"/>
        <w:ind w:left="1077" w:hanging="357"/>
        <w:jc w:val="both"/>
        <w:rPr>
          <w:rFonts w:ascii="Times New Roman" w:hAnsi="Times New Roman"/>
          <w:sz w:val="24"/>
          <w:szCs w:val="24"/>
        </w:rPr>
      </w:pPr>
      <w:r w:rsidRPr="00425658">
        <w:rPr>
          <w:rFonts w:ascii="Times New Roman" w:hAnsi="Times New Roman"/>
          <w:sz w:val="24"/>
          <w:szCs w:val="24"/>
        </w:rPr>
        <w:t>Tā kā ERAF līdzfinansējums nesedz serveru un standarta programmatūras iegādi, tā tiek iegādāta bez līdzfinansējuma.</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Atzīmējams, ka, lai nodrošinātu pilsoņu elektronisko identitāti, kas ir būtisks nosacījums valsts e-pārvaldes attīstībai pēc iespējas jāsamazina vai jāizslēdz izmaksas, kas saistītas ar autentifikācijas un e-paraksta izmantošanu, kā arī jārada iespēja pilnvērtīgi pielietot eID karti e-pakalpojumos, jānodrošina programmatūras rīki gan e-pakalpojumu turētājiem, gan gala lietotājiem. Lai eID kartēs nodrošinātu aprakstītās e-iespējas, pārrobežu dokumentu apriti un identificēšanos citu ES valstu e-pakalpojumos, kā arī programmproduktus un atbalstu kā e-pakalpojumu turētājiem, tā arī ikvienam valsts piederīgajam, ir nepieciešams nodrošināt finansējumu infrastruktūras un lietojumu uzturēšanai.</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pStyle w:val="Heading2"/>
        <w:spacing w:before="0" w:after="0"/>
        <w:ind w:left="360"/>
        <w:jc w:val="center"/>
        <w:rPr>
          <w:rFonts w:ascii="Times New Roman" w:hAnsi="Times New Roman" w:cs="Times New Roman"/>
          <w:i w:val="0"/>
          <w:iCs w:val="0"/>
          <w:sz w:val="24"/>
          <w:szCs w:val="24"/>
        </w:rPr>
      </w:pPr>
      <w:bookmarkStart w:id="1" w:name="_Toc301875888"/>
      <w:r w:rsidRPr="00425658">
        <w:rPr>
          <w:rFonts w:ascii="Times New Roman" w:hAnsi="Times New Roman" w:cs="Times New Roman"/>
          <w:i w:val="0"/>
          <w:iCs w:val="0"/>
          <w:sz w:val="24"/>
          <w:szCs w:val="24"/>
        </w:rPr>
        <w:t xml:space="preserve">3. Sertifikācijas pakalpojumu finansēšanas modeļi </w:t>
      </w:r>
      <w:bookmarkEnd w:id="1"/>
    </w:p>
    <w:p w:rsidR="00A20315" w:rsidRPr="00425658" w:rsidRDefault="00A20315" w:rsidP="00A20315">
      <w:pPr>
        <w:pStyle w:val="ListParagraph"/>
        <w:spacing w:after="0" w:line="240" w:lineRule="auto"/>
        <w:rPr>
          <w:lang w:eastAsia="en-US"/>
        </w:rPr>
      </w:pP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Atbilstoši </w:t>
      </w:r>
      <w:r w:rsidRPr="00425658">
        <w:rPr>
          <w:rFonts w:ascii="Times New Roman" w:eastAsia="Times New Roman" w:hAnsi="Times New Roman"/>
          <w:color w:val="auto"/>
          <w:lang w:eastAsia="lv-LV"/>
        </w:rPr>
        <w:t>Elektronisko identifikācijas karšu koncepcijā</w:t>
      </w:r>
      <w:r w:rsidRPr="00425658">
        <w:rPr>
          <w:rFonts w:ascii="Times New Roman" w:hAnsi="Times New Roman"/>
          <w:color w:val="auto"/>
        </w:rPr>
        <w:t xml:space="preserve"> minētajam līdz šim kopējās izmaksas PMLP infrastruktūras sagatavošanai eID izsniegšanai tika plānotas</w:t>
      </w:r>
      <w:r w:rsidRPr="00425658">
        <w:rPr>
          <w:rFonts w:ascii="Times New Roman" w:hAnsi="Times New Roman"/>
          <w:bCs/>
          <w:color w:val="auto"/>
        </w:rPr>
        <w:t xml:space="preserve"> </w:t>
      </w:r>
      <w:r w:rsidRPr="00425658">
        <w:rPr>
          <w:rFonts w:ascii="Times New Roman" w:hAnsi="Times New Roman"/>
          <w:color w:val="auto"/>
        </w:rPr>
        <w:t>700 030</w:t>
      </w:r>
      <w:r w:rsidRPr="00425658">
        <w:rPr>
          <w:color w:val="auto"/>
          <w:sz w:val="28"/>
          <w:szCs w:val="28"/>
        </w:rPr>
        <w:t xml:space="preserve"> </w:t>
      </w:r>
      <w:proofErr w:type="spellStart"/>
      <w:r w:rsidRPr="00425658">
        <w:rPr>
          <w:rFonts w:ascii="Times New Roman" w:hAnsi="Times New Roman"/>
          <w:bCs/>
          <w:i/>
          <w:color w:val="auto"/>
        </w:rPr>
        <w:t>euro</w:t>
      </w:r>
      <w:proofErr w:type="spellEnd"/>
      <w:r w:rsidRPr="00425658">
        <w:rPr>
          <w:rFonts w:ascii="Times New Roman" w:hAnsi="Times New Roman"/>
          <w:color w:val="auto"/>
        </w:rPr>
        <w:t xml:space="preserve"> apmērā.</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Lai nodrošinātu sertifikācijas pakalpojuma sniegšanas nepārtrauktību, iepriekš minētā līguma starp LVRTC un PMLP darbības termiņš jāuzsāk no 2017. gada 1. janvāra, līdz ar to nepieciešams izvērtēt apstākļus un faktisko finanšu nepieciešamību sertifikācijas pakalpojumu nodrošināšanai atbilstoši šī brīža situācijai un sertifikācijas pakalpojumu sniegšanas izmaksām.</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Visi aprakstītie eID ieviešanas modeļi paredz, ka valsts arī turpmāk deleģē LVRTC eID uzticamības pakalpojuma nodrošināšanu un iegūst paaugstinātas drošības kvalificēta uzticamības pakalpojumu sniedzēja statusu atbilstoši Regulas prasībām. Atbilstoši tam tiks izveidota jauna eID uzticamības pakalpojuma risinājuma platforma, kurai jānodrošina </w:t>
      </w:r>
      <w:proofErr w:type="gramStart"/>
      <w:r w:rsidRPr="00425658">
        <w:rPr>
          <w:rFonts w:ascii="Times New Roman" w:hAnsi="Times New Roman"/>
          <w:color w:val="auto"/>
        </w:rPr>
        <w:t>arī esošo</w:t>
      </w:r>
      <w:proofErr w:type="gramEnd"/>
      <w:r w:rsidRPr="00425658">
        <w:rPr>
          <w:rFonts w:ascii="Times New Roman" w:hAnsi="Times New Roman"/>
          <w:color w:val="auto"/>
        </w:rPr>
        <w:t xml:space="preserve"> eID lietotāju sertifikātu migrēšanu, lai turpmāk dotu iespēju visiem eID turētājiem izmantot uzticamības pakalpojumu servisu. Neatkarīgi no izvēlētā risinājuma varianta, visās </w:t>
      </w:r>
      <w:r w:rsidRPr="00425658">
        <w:rPr>
          <w:rFonts w:ascii="Times New Roman" w:hAnsi="Times New Roman"/>
          <w:color w:val="auto"/>
        </w:rPr>
        <w:lastRenderedPageBreak/>
        <w:t>izsniegtajās eID viedkartēs plānots nodrošināt parakstīšanās un autentifikācijas sertifikātus. Atšķirīgs ir nodrošināto pakalpojumu grozs, apmaksas scenāriji, sadalījums un apmērs.</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keepNext/>
        <w:ind w:left="720" w:firstLine="720"/>
        <w:jc w:val="center"/>
        <w:rPr>
          <w:rFonts w:ascii="Times New Roman" w:hAnsi="Times New Roman"/>
          <w:b/>
          <w:color w:val="auto"/>
        </w:rPr>
      </w:pPr>
      <w:r w:rsidRPr="00425658">
        <w:rPr>
          <w:rFonts w:ascii="Times New Roman" w:hAnsi="Times New Roman"/>
          <w:b/>
          <w:color w:val="auto"/>
        </w:rPr>
        <w:t>3.1. Visās eID viedkartēs nodrošināti parakstīšanās un autentifikācijas sertifikāti ar iekļautiem 120 bezmaksas parakstiem (esošā situācija)</w:t>
      </w:r>
    </w:p>
    <w:p w:rsidR="00A20315" w:rsidRPr="00425658" w:rsidRDefault="00A20315" w:rsidP="00A20315">
      <w:pPr>
        <w:keepNext/>
        <w:ind w:firstLine="720"/>
        <w:jc w:val="both"/>
        <w:rPr>
          <w:rFonts w:ascii="Times New Roman" w:hAnsi="Times New Roman"/>
          <w:color w:val="auto"/>
        </w:rPr>
      </w:pPr>
    </w:p>
    <w:p w:rsidR="00A20315" w:rsidRPr="00425658" w:rsidRDefault="00A20315" w:rsidP="00A20315">
      <w:pPr>
        <w:keepNext/>
        <w:ind w:firstLine="720"/>
        <w:jc w:val="both"/>
        <w:rPr>
          <w:rFonts w:ascii="Times New Roman" w:hAnsi="Times New Roman"/>
          <w:color w:val="auto"/>
        </w:rPr>
      </w:pPr>
      <w:r w:rsidRPr="00425658">
        <w:rPr>
          <w:rFonts w:ascii="Times New Roman" w:hAnsi="Times New Roman"/>
          <w:color w:val="auto"/>
        </w:rPr>
        <w:t>Atbilstoši jau esošai praksei un līdzšinējai situācijai, iespējams nodrošināt, ka visi eID viedkartes lietotāji saņem karti, kurā ierakstīti parakstīšanas un autentifikācijas sertifikāti un tiek nodrošināts noteikts bezmaksas e-paraksta reižu skaits. Atbilstoši katram lietotājam tiek nodrošinātas 120 bezmaksas paraksta reizes, kurus var izlietot 5 gadu laikā. Ja kartes lietotājs izlietos dotos laika zīmogus pirms kartes derīguma termiņa beigām un viņam būs vajadzīgi papildus laika zīmogi, tad tie būs jāiegādājas no LVRTC par atsevišķu maksu saskaņā ar LVRTC cenu politiku un cenrādi.</w:t>
      </w:r>
    </w:p>
    <w:p w:rsidR="00A20315" w:rsidRPr="00425658" w:rsidRDefault="00A20315" w:rsidP="00A20315">
      <w:pPr>
        <w:tabs>
          <w:tab w:val="left" w:pos="8550"/>
        </w:tabs>
        <w:ind w:firstLine="720"/>
        <w:jc w:val="both"/>
        <w:rPr>
          <w:rFonts w:ascii="Times New Roman" w:hAnsi="Times New Roman"/>
          <w:color w:val="auto"/>
        </w:rPr>
      </w:pPr>
      <w:r w:rsidRPr="00425658">
        <w:rPr>
          <w:rFonts w:ascii="Times New Roman" w:hAnsi="Times New Roman"/>
          <w:color w:val="auto"/>
        </w:rPr>
        <w:t>Būtisks šī modeļa un esošās situācijas trūkums ir tas, ka netiek nodrošināts gala lietotāju dokumentu parakstīšanās un pārbaudes risinājumu uzturēšana, attīstība un lietotāju atbalsts, kā arī Integrācijas risinājumu uzturēšana, attīstība un e-pakalpojumu sniedzēju atbalsts. Vēršam uzmanību, ka eID kartes lietojamības uzlabošanai tieši šie minētie iztrūkstošie faktori ir vieni no galvenajiem, lai padarītu ērtāku un saprotamāku eID karti izmantošanu sabiedrībai, līdz ar to Vides aizsardzības un reģionālās attīstības ministrija (turpmāk – VARAM) uzskata, ka nav efektīva un lietderīga šī maksāšanas risinājuma atbalstīšana un turpmāka virzība.</w:t>
      </w:r>
    </w:p>
    <w:p w:rsidR="00A20315" w:rsidRPr="00425658" w:rsidRDefault="00A20315" w:rsidP="00A20315">
      <w:pPr>
        <w:jc w:val="right"/>
        <w:rPr>
          <w:rFonts w:ascii="Times New Roman" w:hAnsi="Times New Roman"/>
          <w:bCs/>
          <w:color w:val="auto"/>
          <w:kern w:val="32"/>
          <w:lang w:eastAsia="lv-LV"/>
        </w:rPr>
      </w:pPr>
    </w:p>
    <w:p w:rsidR="00A20315" w:rsidRPr="00425658" w:rsidRDefault="00A20315" w:rsidP="00A20315">
      <w:pPr>
        <w:rPr>
          <w:rFonts w:ascii="Times New Roman" w:hAnsi="Times New Roman"/>
          <w:b/>
          <w:bCs/>
          <w:color w:val="auto"/>
          <w:kern w:val="32"/>
          <w:sz w:val="20"/>
          <w:szCs w:val="20"/>
          <w:lang w:eastAsia="lv-LV"/>
        </w:rPr>
      </w:pPr>
      <w:r w:rsidRPr="00425658">
        <w:rPr>
          <w:rFonts w:ascii="Times New Roman" w:hAnsi="Times New Roman"/>
          <w:b/>
          <w:bCs/>
          <w:color w:val="auto"/>
          <w:kern w:val="32"/>
          <w:sz w:val="20"/>
          <w:szCs w:val="20"/>
          <w:lang w:eastAsia="lv-LV"/>
        </w:rPr>
        <w:t>5. tabula. Finanšu aprēķini 3.1. punktam</w:t>
      </w:r>
    </w:p>
    <w:tbl>
      <w:tblPr>
        <w:tblW w:w="5000" w:type="pct"/>
        <w:tblLook w:val="0000" w:firstRow="0" w:lastRow="0" w:firstColumn="0" w:lastColumn="0" w:noHBand="0" w:noVBand="0"/>
      </w:tblPr>
      <w:tblGrid>
        <w:gridCol w:w="2477"/>
        <w:gridCol w:w="1296"/>
        <w:gridCol w:w="1033"/>
        <w:gridCol w:w="1033"/>
        <w:gridCol w:w="1033"/>
        <w:gridCol w:w="1037"/>
        <w:gridCol w:w="1277"/>
      </w:tblGrid>
      <w:tr w:rsidR="00A20315" w:rsidRPr="00425658" w:rsidTr="00B058EB">
        <w:tc>
          <w:tcPr>
            <w:tcW w:w="1357"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rPr>
                <w:rFonts w:ascii="Times New Roman" w:hAnsi="Times New Roman"/>
                <w:b/>
                <w:bCs/>
                <w:color w:val="auto"/>
                <w:sz w:val="20"/>
                <w:szCs w:val="20"/>
              </w:rPr>
            </w:pPr>
            <w:r w:rsidRPr="00425658">
              <w:rPr>
                <w:rFonts w:ascii="Times New Roman" w:hAnsi="Times New Roman"/>
                <w:b/>
                <w:bCs/>
                <w:color w:val="auto"/>
                <w:sz w:val="20"/>
                <w:szCs w:val="20"/>
              </w:rPr>
              <w:t>Pasākums</w:t>
            </w:r>
          </w:p>
        </w:tc>
        <w:tc>
          <w:tcPr>
            <w:tcW w:w="3000" w:type="pct"/>
            <w:gridSpan w:val="5"/>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Nepieciešamais finansējums (EUR)</w:t>
            </w: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Kopā ar PVN</w:t>
            </w:r>
            <w:r w:rsidRPr="00425658">
              <w:rPr>
                <w:rFonts w:ascii="Times New Roman" w:hAnsi="Times New Roman"/>
                <w:b/>
                <w:bCs/>
                <w:color w:val="auto"/>
                <w:sz w:val="20"/>
                <w:szCs w:val="20"/>
              </w:rPr>
              <w:br/>
              <w:t>(EUR)</w:t>
            </w:r>
          </w:p>
        </w:tc>
      </w:tr>
      <w:tr w:rsidR="00A20315" w:rsidRPr="00425658" w:rsidTr="00B058EB">
        <w:tc>
          <w:tcPr>
            <w:tcW w:w="1357" w:type="pct"/>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rPr>
            </w:pP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2017</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2018</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2019</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2020</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2021</w:t>
            </w:r>
          </w:p>
        </w:tc>
        <w:tc>
          <w:tcPr>
            <w:tcW w:w="643" w:type="pct"/>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rPr>
            </w:pPr>
          </w:p>
        </w:tc>
      </w:tr>
      <w:tr w:rsidR="00A20315" w:rsidRPr="00425658" w:rsidTr="00B058EB">
        <w:tc>
          <w:tcPr>
            <w:tcW w:w="1357"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Autentifikācijas un droša elektroniskā paraksta sertifikātu un 120 parakstu nodrošināšana eID kartē</w:t>
            </w: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847 036</w:t>
            </w:r>
          </w:p>
        </w:tc>
        <w:tc>
          <w:tcPr>
            <w:tcW w:w="643"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4 235 181</w:t>
            </w:r>
          </w:p>
        </w:tc>
      </w:tr>
      <w:tr w:rsidR="00A20315" w:rsidRPr="00425658" w:rsidTr="00B058EB">
        <w:tc>
          <w:tcPr>
            <w:tcW w:w="1357"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Integrācijas risinājumu uzturēšana, attīstība un e-pakalpojumu sniedzēju atbalsts</w:t>
            </w: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43"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w:t>
            </w:r>
          </w:p>
        </w:tc>
      </w:tr>
      <w:tr w:rsidR="00A20315" w:rsidRPr="00425658" w:rsidTr="00B058EB">
        <w:tc>
          <w:tcPr>
            <w:tcW w:w="1357"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Gala lietotāju dokumentu parakstīšanās un pārbaudes risinājumu uzturēšana, attīstība un lietotāju atbalsts</w:t>
            </w: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43"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w:t>
            </w:r>
          </w:p>
        </w:tc>
      </w:tr>
      <w:tr w:rsidR="00A20315" w:rsidRPr="00425658" w:rsidTr="00B058EB">
        <w:tc>
          <w:tcPr>
            <w:tcW w:w="1357"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b/>
                <w:bCs/>
                <w:color w:val="auto"/>
                <w:sz w:val="20"/>
                <w:szCs w:val="20"/>
              </w:rPr>
              <w:t>Kopā izdevumi</w:t>
            </w: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847 036</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847 036</w:t>
            </w:r>
          </w:p>
        </w:tc>
        <w:tc>
          <w:tcPr>
            <w:tcW w:w="643"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4 235 181</w:t>
            </w:r>
          </w:p>
        </w:tc>
      </w:tr>
      <w:tr w:rsidR="00A20315" w:rsidRPr="00425658" w:rsidTr="00B058EB">
        <w:tc>
          <w:tcPr>
            <w:tcW w:w="1357"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bottom"/>
          </w:tcPr>
          <w:p w:rsidR="00A20315" w:rsidRPr="00425658" w:rsidRDefault="00A20315" w:rsidP="00B058EB">
            <w:pPr>
              <w:rPr>
                <w:rFonts w:ascii="Times New Roman" w:hAnsi="Times New Roman"/>
                <w:b/>
                <w:bCs/>
                <w:color w:val="auto"/>
                <w:sz w:val="20"/>
                <w:szCs w:val="20"/>
              </w:rPr>
            </w:pPr>
            <w:r w:rsidRPr="00425658">
              <w:rPr>
                <w:rFonts w:ascii="Times New Roman" w:hAnsi="Times New Roman"/>
                <w:b/>
                <w:bCs/>
                <w:color w:val="auto"/>
                <w:sz w:val="20"/>
                <w:szCs w:val="20"/>
              </w:rPr>
              <w:t>Jānodrošina ieņēmumi no lietotājiem</w:t>
            </w: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1451963</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1451963</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1451963</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1451963</w:t>
            </w:r>
          </w:p>
        </w:tc>
        <w:tc>
          <w:tcPr>
            <w:tcW w:w="57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1451963</w:t>
            </w:r>
          </w:p>
        </w:tc>
        <w:tc>
          <w:tcPr>
            <w:tcW w:w="643"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7259818</w:t>
            </w:r>
          </w:p>
        </w:tc>
      </w:tr>
      <w:tr w:rsidR="00A20315" w:rsidRPr="00425658" w:rsidTr="00B058EB">
        <w:tc>
          <w:tcPr>
            <w:tcW w:w="1357"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bCs/>
                <w:color w:val="auto"/>
                <w:sz w:val="20"/>
                <w:szCs w:val="20"/>
              </w:rPr>
            </w:pPr>
            <w:r w:rsidRPr="00425658">
              <w:rPr>
                <w:rFonts w:ascii="Times New Roman" w:hAnsi="Times New Roman"/>
                <w:b/>
                <w:bCs/>
                <w:color w:val="auto"/>
                <w:sz w:val="20"/>
                <w:szCs w:val="20"/>
              </w:rPr>
              <w:t>Ietekme uz budžetu</w:t>
            </w:r>
          </w:p>
        </w:tc>
        <w:tc>
          <w:tcPr>
            <w:tcW w:w="714"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color w:val="auto"/>
                <w:sz w:val="20"/>
                <w:szCs w:val="20"/>
              </w:rPr>
              <w:t>-847 036</w:t>
            </w:r>
          </w:p>
        </w:tc>
        <w:tc>
          <w:tcPr>
            <w:tcW w:w="571"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color w:val="auto"/>
                <w:sz w:val="20"/>
                <w:szCs w:val="20"/>
              </w:rPr>
              <w:t>-847 036</w:t>
            </w:r>
          </w:p>
        </w:tc>
        <w:tc>
          <w:tcPr>
            <w:tcW w:w="643"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-4 235 181</w:t>
            </w:r>
          </w:p>
        </w:tc>
      </w:tr>
    </w:tbl>
    <w:p w:rsidR="00A20315" w:rsidRPr="00425658" w:rsidRDefault="00A20315" w:rsidP="00A20315">
      <w:pPr>
        <w:rPr>
          <w:rFonts w:ascii="Times New Roman" w:hAnsi="Times New Roman"/>
          <w:bCs/>
          <w:color w:val="auto"/>
          <w:kern w:val="32"/>
          <w:lang w:eastAsia="lv-LV"/>
        </w:rPr>
      </w:pPr>
    </w:p>
    <w:p w:rsidR="00A20315" w:rsidRPr="00425658" w:rsidRDefault="00A20315" w:rsidP="00A20315">
      <w:pPr>
        <w:rPr>
          <w:rFonts w:ascii="Times New Roman" w:hAnsi="Times New Roman"/>
          <w:color w:val="auto"/>
        </w:rPr>
      </w:pPr>
    </w:p>
    <w:p w:rsidR="00A20315" w:rsidRPr="00425658" w:rsidRDefault="00A20315" w:rsidP="00A20315">
      <w:pPr>
        <w:jc w:val="both"/>
        <w:rPr>
          <w:rFonts w:ascii="Times New Roman" w:hAnsi="Times New Roman"/>
          <w:color w:val="auto"/>
        </w:rPr>
      </w:pPr>
      <w:r w:rsidRPr="00425658">
        <w:rPr>
          <w:rFonts w:ascii="Times New Roman" w:hAnsi="Times New Roman"/>
          <w:color w:val="auto"/>
        </w:rPr>
        <w:t>3.1. punktā norādītā modeļa varianta priekšrocības un trūkumi apkopoti 6. tabulā.</w:t>
      </w:r>
    </w:p>
    <w:p w:rsidR="00A20315" w:rsidRPr="00425658" w:rsidRDefault="00A20315" w:rsidP="00A20315">
      <w:pPr>
        <w:rPr>
          <w:rFonts w:ascii="Times New Roman" w:hAnsi="Times New Roman"/>
          <w:color w:val="auto"/>
        </w:rPr>
      </w:pPr>
    </w:p>
    <w:p w:rsidR="00A20315" w:rsidRPr="00425658" w:rsidRDefault="00A20315" w:rsidP="00A20315">
      <w:pPr>
        <w:rPr>
          <w:rFonts w:ascii="Times New Roman" w:hAnsi="Times New Roman"/>
          <w:b/>
          <w:color w:val="auto"/>
          <w:sz w:val="20"/>
          <w:szCs w:val="20"/>
        </w:rPr>
      </w:pPr>
      <w:r w:rsidRPr="00425658">
        <w:rPr>
          <w:rFonts w:ascii="Times New Roman" w:hAnsi="Times New Roman"/>
          <w:b/>
          <w:color w:val="auto"/>
          <w:sz w:val="20"/>
          <w:szCs w:val="20"/>
        </w:rPr>
        <w:t>6.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569"/>
      </w:tblGrid>
      <w:tr w:rsidR="00A20315" w:rsidRPr="00425658" w:rsidTr="00B058EB">
        <w:trPr>
          <w:cantSplit/>
          <w:trHeight w:val="320"/>
        </w:trPr>
        <w:tc>
          <w:tcPr>
            <w:tcW w:w="2513" w:type="pct"/>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lastRenderedPageBreak/>
              <w:t>Priekšrocības</w:t>
            </w:r>
          </w:p>
        </w:tc>
        <w:tc>
          <w:tcPr>
            <w:tcW w:w="2487" w:type="pct"/>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Trūkumi</w:t>
            </w:r>
          </w:p>
        </w:tc>
      </w:tr>
      <w:tr w:rsidR="00A20315" w:rsidRPr="00425658" w:rsidTr="00B058EB">
        <w:trPr>
          <w:cantSplit/>
          <w:trHeight w:val="639"/>
        </w:trPr>
        <w:tc>
          <w:tcPr>
            <w:tcW w:w="2513"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Daļa no izmaksām tiek saņemta no lietotājiem.</w:t>
            </w:r>
          </w:p>
        </w:tc>
        <w:tc>
          <w:tcPr>
            <w:tcW w:w="2487" w:type="pct"/>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Netiek sasniegti valsts plānotie finansiālie ieguvumi no e-pakalpojumu plašākas lietošanas</w:t>
            </w:r>
            <w:r w:rsidRPr="00425658">
              <w:rPr>
                <w:rStyle w:val="FootnoteReference"/>
                <w:color w:val="auto"/>
                <w:sz w:val="20"/>
                <w:szCs w:val="20"/>
              </w:rPr>
              <w:footnoteReference w:id="1"/>
            </w:r>
            <w:r w:rsidRPr="00425658">
              <w:rPr>
                <w:rFonts w:ascii="Times New Roman" w:hAnsi="Times New Roman"/>
                <w:color w:val="auto"/>
                <w:sz w:val="20"/>
                <w:szCs w:val="20"/>
              </w:rPr>
              <w:t>.</w:t>
            </w:r>
          </w:p>
        </w:tc>
      </w:tr>
      <w:tr w:rsidR="00A20315" w:rsidRPr="00425658" w:rsidTr="00B058EB">
        <w:trPr>
          <w:cantSplit/>
          <w:trHeight w:val="639"/>
        </w:trPr>
        <w:tc>
          <w:tcPr>
            <w:tcW w:w="2513"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Tiek nodrošināta eID pamata infrastruktūras – eID uzticamības pakalpojuma risinājuma platformas uzturēšana.</w:t>
            </w:r>
          </w:p>
        </w:tc>
        <w:tc>
          <w:tcPr>
            <w:tcW w:w="2487" w:type="pct"/>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Variants neparedz eID lietojumu attīstību, kas nodrošinātu klientu ērtības un veicinātu elektronisko pakalpojumu plašāku izmantošanu.</w:t>
            </w:r>
          </w:p>
        </w:tc>
      </w:tr>
      <w:tr w:rsidR="00A20315" w:rsidRPr="00425658" w:rsidTr="00B058EB">
        <w:trPr>
          <w:cantSplit/>
          <w:trHeight w:val="639"/>
        </w:trPr>
        <w:tc>
          <w:tcPr>
            <w:tcW w:w="2513"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Tiek saglabāts esošais e-pakalpojumu sniegšanas apjoms. Piešķirto bezmaksas paraksta reižu skaits ir pietiekams daudziem lietotājiem, kuri nav aktīvi e-pakalpojumu lietotāji. Lietotāji, izmantojot piešķirtās bezmaksas parakstu reizes, iegūst pieredzi un izpratni par e-pakalpojumu izmantošanas priekšrocībām.</w:t>
            </w:r>
          </w:p>
        </w:tc>
        <w:tc>
          <w:tcPr>
            <w:tcW w:w="2487" w:type="pct"/>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Aktīvākajiem e-pakalpojumu lietotājiem tiek uzlikts papildu finansiāls slogs.</w:t>
            </w:r>
          </w:p>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Koncepcija paredz, ka personai, kurai tiek izsniegta eID karte, pēc iespējas jāminimizē vai jāizslēdz izmaksas, kas saistītas ar autentifikācijas un e-paraksta izmantošanu.</w:t>
            </w:r>
          </w:p>
        </w:tc>
      </w:tr>
      <w:tr w:rsidR="00A20315" w:rsidRPr="00425658" w:rsidTr="00B058EB">
        <w:trPr>
          <w:cantSplit/>
          <w:trHeight w:val="639"/>
        </w:trPr>
        <w:tc>
          <w:tcPr>
            <w:tcW w:w="2513"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Sociālekonomiskie ieguvumi no plašākas e-pakalpojumu izmantošanas ir lielāki, nekā lietotāju izmaksas par elektroniskā paraksta lietošanu.</w:t>
            </w:r>
          </w:p>
        </w:tc>
        <w:tc>
          <w:tcPr>
            <w:tcW w:w="2487" w:type="pct"/>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Nosakot maksu ir papildu administratīvais slogs – nepieciešams apstiprinājums vai piekrišana izmantot eID viedkartes parakstīšanos kā maksas pakalpojumu un maksājumu apstrāde.</w:t>
            </w:r>
          </w:p>
        </w:tc>
      </w:tr>
      <w:tr w:rsidR="00A20315" w:rsidRPr="00425658" w:rsidTr="00B058EB">
        <w:trPr>
          <w:cantSplit/>
          <w:trHeight w:val="639"/>
        </w:trPr>
        <w:tc>
          <w:tcPr>
            <w:tcW w:w="2513"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7" w:type="pct"/>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Katra eID kartes turētāja apkalpošana ir dārgāka, infrastruktūra sarežģītāka. Ir jāizveido norēķinu sistēma un jāveic tās uzturēšana.</w:t>
            </w:r>
          </w:p>
        </w:tc>
      </w:tr>
    </w:tbl>
    <w:p w:rsidR="00A20315" w:rsidRPr="00425658" w:rsidRDefault="00A20315" w:rsidP="00A20315">
      <w:pPr>
        <w:rPr>
          <w:rFonts w:ascii="Times New Roman" w:hAnsi="Times New Roman"/>
          <w:b/>
          <w:color w:val="auto"/>
        </w:rPr>
      </w:pPr>
    </w:p>
    <w:p w:rsidR="00A20315" w:rsidRPr="00425658" w:rsidRDefault="00A20315" w:rsidP="00A20315">
      <w:pPr>
        <w:tabs>
          <w:tab w:val="left" w:pos="6804"/>
        </w:tabs>
        <w:jc w:val="center"/>
        <w:rPr>
          <w:rFonts w:ascii="Times New Roman" w:hAnsi="Times New Roman"/>
          <w:color w:val="auto"/>
        </w:rPr>
      </w:pPr>
    </w:p>
    <w:p w:rsidR="00A20315" w:rsidRPr="00425658" w:rsidRDefault="00A20315" w:rsidP="00A20315">
      <w:pPr>
        <w:jc w:val="center"/>
        <w:rPr>
          <w:rFonts w:ascii="Times New Roman" w:hAnsi="Times New Roman"/>
          <w:b/>
          <w:color w:val="auto"/>
        </w:rPr>
      </w:pPr>
      <w:r w:rsidRPr="00425658">
        <w:rPr>
          <w:rFonts w:ascii="Times New Roman" w:hAnsi="Times New Roman"/>
          <w:b/>
          <w:color w:val="auto"/>
        </w:rPr>
        <w:t>3.2. Lietotājiem visās eID viedkartēs nodrošināti parakstīšanās un autentifikācijas sertifikāti, kuru izmantošanas izmaksas sedz to lietotāji</w:t>
      </w:r>
    </w:p>
    <w:p w:rsidR="00A20315" w:rsidRPr="00425658" w:rsidRDefault="00A20315" w:rsidP="00A20315">
      <w:pPr>
        <w:jc w:val="both"/>
        <w:rPr>
          <w:rFonts w:ascii="Times New Roman" w:hAnsi="Times New Roman"/>
          <w:b/>
          <w:color w:val="auto"/>
        </w:rPr>
      </w:pPr>
    </w:p>
    <w:p w:rsidR="00A20315" w:rsidRPr="00425658" w:rsidRDefault="00A20315" w:rsidP="00A20315">
      <w:pPr>
        <w:jc w:val="both"/>
        <w:rPr>
          <w:rFonts w:ascii="Times New Roman" w:hAnsi="Times New Roman"/>
          <w:color w:val="auto"/>
        </w:rPr>
      </w:pPr>
      <w:r w:rsidRPr="00425658">
        <w:rPr>
          <w:rFonts w:ascii="Times New Roman" w:hAnsi="Times New Roman"/>
          <w:color w:val="auto"/>
        </w:rPr>
        <w:t>Šajā variantā eID parakstīšanās un autentifikācija netiek subsidēta, visas izmaksas sedz eID viedkaršu lietotāji. Maksa par pakalpojumiem ir atkarīga no parakstītājiem (personām) pieejamā pakalpojumu groza.</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Šim variantam pastāv divas alternatīvas:</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pStyle w:val="ListParagraph"/>
        <w:numPr>
          <w:ilvl w:val="0"/>
          <w:numId w:val="11"/>
        </w:numPr>
        <w:spacing w:line="240" w:lineRule="auto"/>
        <w:ind w:left="1077" w:hanging="357"/>
        <w:jc w:val="both"/>
        <w:rPr>
          <w:rFonts w:ascii="Times New Roman" w:hAnsi="Times New Roman"/>
          <w:sz w:val="24"/>
          <w:szCs w:val="24"/>
        </w:rPr>
      </w:pPr>
      <w:r w:rsidRPr="00425658">
        <w:rPr>
          <w:rFonts w:ascii="Times New Roman" w:hAnsi="Times New Roman"/>
          <w:sz w:val="24"/>
          <w:szCs w:val="24"/>
        </w:rPr>
        <w:t xml:space="preserve">Visās eID viedkartēs ir ierakstīti parakstīšanās un autentifikācijas sertifikāti, </w:t>
      </w:r>
      <w:proofErr w:type="gramStart"/>
      <w:r w:rsidRPr="00425658">
        <w:rPr>
          <w:rFonts w:ascii="Times New Roman" w:hAnsi="Times New Roman"/>
          <w:sz w:val="24"/>
          <w:szCs w:val="24"/>
        </w:rPr>
        <w:t>bet</w:t>
      </w:r>
      <w:proofErr w:type="gramEnd"/>
      <w:r w:rsidRPr="00425658">
        <w:rPr>
          <w:rFonts w:ascii="Times New Roman" w:hAnsi="Times New Roman"/>
          <w:sz w:val="24"/>
          <w:szCs w:val="24"/>
        </w:rPr>
        <w:t xml:space="preserve"> lai tos izmantotu, lietotājam jāpiekrīt saņemt maksas pakalpojumu un jāveic maksājumus.</w:t>
      </w:r>
    </w:p>
    <w:p w:rsidR="00A20315" w:rsidRPr="00425658" w:rsidRDefault="00A20315" w:rsidP="00A20315">
      <w:pPr>
        <w:ind w:left="720"/>
        <w:jc w:val="both"/>
        <w:rPr>
          <w:rFonts w:ascii="Times New Roman" w:hAnsi="Times New Roman"/>
          <w:color w:val="auto"/>
        </w:rPr>
      </w:pPr>
      <w:r w:rsidRPr="00425658">
        <w:rPr>
          <w:rFonts w:ascii="Times New Roman" w:hAnsi="Times New Roman"/>
          <w:color w:val="auto"/>
        </w:rPr>
        <w:t xml:space="preserve">Šī alternatīva sniedz negatīvu ietekmi uz sabiedrības iespējām izmantot elektroniskos pakalpojumus un nav uzskatāms par labu praksi. Proti, pēc pašreizējās statistikas tikai 0,69% no eID karšu lietotāju skaita to ir izmantojuši elektroniskajā vidē. Ja šiem 0,69% ir jāsedz infrastruktūras uzturēšanas izmaksas, pakalpojuma izmantošana kļūst neadekvāti dārga. </w:t>
      </w:r>
    </w:p>
    <w:p w:rsidR="00A20315" w:rsidRPr="00425658" w:rsidRDefault="00A20315" w:rsidP="00A20315">
      <w:pPr>
        <w:ind w:left="720" w:firstLine="720"/>
        <w:jc w:val="both"/>
        <w:rPr>
          <w:rFonts w:ascii="Times New Roman" w:hAnsi="Times New Roman"/>
          <w:color w:val="auto"/>
        </w:rPr>
      </w:pPr>
    </w:p>
    <w:p w:rsidR="00A20315" w:rsidRPr="00425658" w:rsidRDefault="00A20315" w:rsidP="00A20315">
      <w:pPr>
        <w:pStyle w:val="ListParagraph"/>
        <w:numPr>
          <w:ilvl w:val="0"/>
          <w:numId w:val="11"/>
        </w:numPr>
        <w:spacing w:line="240" w:lineRule="auto"/>
        <w:ind w:left="1077" w:hanging="357"/>
        <w:jc w:val="both"/>
        <w:rPr>
          <w:rFonts w:ascii="Times New Roman" w:hAnsi="Times New Roman"/>
          <w:sz w:val="24"/>
          <w:szCs w:val="24"/>
        </w:rPr>
      </w:pPr>
      <w:r w:rsidRPr="00425658">
        <w:rPr>
          <w:rFonts w:ascii="Times New Roman" w:hAnsi="Times New Roman"/>
          <w:sz w:val="24"/>
          <w:szCs w:val="24"/>
        </w:rPr>
        <w:t xml:space="preserve">Visās eID viedkartēs ir ierakstīti parakstīšanās un autentifikācijas sertifikāti, un par tiem solidāri maksā visi eID viedkaršu lietotāji neatkarīgi no izmantošanas biežuma. </w:t>
      </w:r>
    </w:p>
    <w:p w:rsidR="00A20315" w:rsidRPr="00425658" w:rsidRDefault="00A20315" w:rsidP="00A20315">
      <w:pPr>
        <w:ind w:left="720"/>
        <w:jc w:val="both"/>
        <w:rPr>
          <w:rFonts w:ascii="Times New Roman" w:hAnsi="Times New Roman"/>
          <w:color w:val="auto"/>
        </w:rPr>
      </w:pPr>
      <w:r w:rsidRPr="00425658">
        <w:rPr>
          <w:rFonts w:ascii="Times New Roman" w:hAnsi="Times New Roman"/>
          <w:color w:val="auto"/>
        </w:rPr>
        <w:t>Realizējot šo alternatīvu un maksu par autentificēšanas un parakstīšanas sertifikātiem paredzot iekļaut eID viedkartes valsts nodevā, daļa no valsts nodevas veido maksājumu par UPS infrastruktūru un noteiktu pakalpojumu grozu. Līdz ar to šeit papildus netiek analizēts.</w:t>
      </w:r>
    </w:p>
    <w:p w:rsidR="00A20315" w:rsidRPr="00425658" w:rsidRDefault="00A20315" w:rsidP="00A20315">
      <w:pPr>
        <w:ind w:left="720" w:firstLine="720"/>
        <w:jc w:val="both"/>
        <w:rPr>
          <w:rFonts w:ascii="Times New Roman" w:hAnsi="Times New Roman"/>
          <w:color w:val="auto"/>
        </w:rPr>
      </w:pPr>
    </w:p>
    <w:p w:rsidR="00A20315" w:rsidRPr="00425658" w:rsidRDefault="00A20315" w:rsidP="00A20315">
      <w:pPr>
        <w:ind w:firstLine="360"/>
        <w:jc w:val="both"/>
        <w:rPr>
          <w:rFonts w:ascii="Times New Roman" w:hAnsi="Times New Roman"/>
          <w:color w:val="auto"/>
        </w:rPr>
      </w:pPr>
      <w:r w:rsidRPr="00425658">
        <w:rPr>
          <w:rFonts w:ascii="Times New Roman" w:hAnsi="Times New Roman"/>
          <w:color w:val="auto"/>
        </w:rPr>
        <w:t>3.2. punktā noteiktā modeļa ieviešanas finanšu ietekme apskatāma 7. tabulā.</w:t>
      </w:r>
    </w:p>
    <w:p w:rsidR="00A20315" w:rsidRPr="00425658" w:rsidRDefault="00A20315" w:rsidP="00A20315">
      <w:pPr>
        <w:jc w:val="both"/>
        <w:rPr>
          <w:rFonts w:ascii="Times New Roman" w:hAnsi="Times New Roman"/>
          <w:bCs/>
          <w:color w:val="auto"/>
          <w:kern w:val="32"/>
          <w:lang w:eastAsia="lv-LV"/>
        </w:rPr>
      </w:pPr>
    </w:p>
    <w:p w:rsidR="00A20315" w:rsidRPr="00425658" w:rsidRDefault="00A20315" w:rsidP="00A20315">
      <w:pPr>
        <w:widowControl w:val="0"/>
        <w:ind w:right="23"/>
        <w:jc w:val="both"/>
        <w:rPr>
          <w:rFonts w:ascii="Times New Roman" w:hAnsi="Times New Roman"/>
          <w:b/>
          <w:bCs/>
          <w:color w:val="auto"/>
          <w:kern w:val="32"/>
          <w:sz w:val="20"/>
          <w:szCs w:val="20"/>
          <w:lang w:eastAsia="lv-LV"/>
        </w:rPr>
      </w:pPr>
      <w:r w:rsidRPr="00425658">
        <w:rPr>
          <w:rFonts w:ascii="Times New Roman" w:hAnsi="Times New Roman"/>
          <w:b/>
          <w:bCs/>
          <w:color w:val="auto"/>
          <w:kern w:val="32"/>
          <w:sz w:val="20"/>
          <w:szCs w:val="20"/>
          <w:lang w:eastAsia="lv-LV"/>
        </w:rPr>
        <w:t xml:space="preserve">7. tabula. Finanšu aprēķini 3.2. punktam </w:t>
      </w:r>
    </w:p>
    <w:tbl>
      <w:tblPr>
        <w:tblW w:w="5000" w:type="pct"/>
        <w:tblLook w:val="0000" w:firstRow="0" w:lastRow="0" w:firstColumn="0" w:lastColumn="0" w:noHBand="0" w:noVBand="0"/>
      </w:tblPr>
      <w:tblGrid>
        <w:gridCol w:w="2420"/>
        <w:gridCol w:w="1066"/>
        <w:gridCol w:w="1112"/>
        <w:gridCol w:w="1112"/>
        <w:gridCol w:w="1112"/>
        <w:gridCol w:w="1071"/>
        <w:gridCol w:w="1293"/>
      </w:tblGrid>
      <w:tr w:rsidR="00A20315" w:rsidRPr="00425658" w:rsidTr="00B058EB">
        <w:trPr>
          <w:cantSplit/>
        </w:trPr>
        <w:tc>
          <w:tcPr>
            <w:tcW w:w="1318"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rPr>
            </w:pPr>
            <w:r w:rsidRPr="00425658">
              <w:rPr>
                <w:rFonts w:ascii="Times New Roman" w:hAnsi="Times New Roman"/>
                <w:b/>
                <w:bCs/>
                <w:color w:val="auto"/>
                <w:sz w:val="20"/>
                <w:szCs w:val="20"/>
              </w:rPr>
              <w:t>Pasākums</w:t>
            </w:r>
          </w:p>
        </w:tc>
        <w:tc>
          <w:tcPr>
            <w:tcW w:w="2978" w:type="pct"/>
            <w:gridSpan w:val="5"/>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Nepieciešamais finansējums (EUR)</w:t>
            </w:r>
          </w:p>
        </w:tc>
        <w:tc>
          <w:tcPr>
            <w:tcW w:w="705"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 xml:space="preserve">Kopā ar PVN </w:t>
            </w:r>
            <w:r w:rsidRPr="00425658">
              <w:rPr>
                <w:rFonts w:ascii="Times New Roman" w:hAnsi="Times New Roman"/>
                <w:b/>
                <w:bCs/>
                <w:color w:val="auto"/>
                <w:sz w:val="20"/>
                <w:szCs w:val="20"/>
              </w:rPr>
              <w:br/>
              <w:t>(EUR)</w:t>
            </w:r>
          </w:p>
        </w:tc>
      </w:tr>
      <w:tr w:rsidR="00A20315" w:rsidRPr="00425658" w:rsidTr="00B058EB">
        <w:trPr>
          <w:cantSplit/>
        </w:trPr>
        <w:tc>
          <w:tcPr>
            <w:tcW w:w="1318" w:type="pct"/>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rPr>
            </w:pPr>
          </w:p>
        </w:tc>
        <w:tc>
          <w:tcPr>
            <w:tcW w:w="580"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2017</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2018</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2019</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2020</w:t>
            </w:r>
          </w:p>
        </w:tc>
        <w:tc>
          <w:tcPr>
            <w:tcW w:w="582"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2021</w:t>
            </w:r>
          </w:p>
        </w:tc>
        <w:tc>
          <w:tcPr>
            <w:tcW w:w="705" w:type="pct"/>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rPr>
            </w:pP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Autentifikācijas un droša elektroniskā paraksta sertifikātu un 120 parakstu nodrošināšana eID kartē</w:t>
            </w:r>
          </w:p>
        </w:tc>
        <w:tc>
          <w:tcPr>
            <w:tcW w:w="580"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82"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7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w:t>
            </w:r>
          </w:p>
        </w:tc>
      </w:tr>
      <w:tr w:rsidR="00A20315" w:rsidRPr="00425658" w:rsidTr="00B058EB">
        <w:trPr>
          <w:cantSplit/>
        </w:trPr>
        <w:tc>
          <w:tcPr>
            <w:tcW w:w="131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Integrācijas risinājumu uzturēšana, attīstība un e-pakalpojumu sniedzēju atbalsts</w:t>
            </w:r>
          </w:p>
        </w:tc>
        <w:tc>
          <w:tcPr>
            <w:tcW w:w="580"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82"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7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Gala lietotāju dokumentu parakstīšanās un pārbaudes risinājumu uzturēšana, attīstība un lietotāju atbalsts</w:t>
            </w:r>
          </w:p>
        </w:tc>
        <w:tc>
          <w:tcPr>
            <w:tcW w:w="580"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582"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w:t>
            </w:r>
          </w:p>
        </w:tc>
        <w:tc>
          <w:tcPr>
            <w:tcW w:w="7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b/>
                <w:bCs/>
                <w:color w:val="auto"/>
                <w:sz w:val="20"/>
                <w:szCs w:val="20"/>
              </w:rPr>
              <w:t>Kopā izdevumi</w:t>
            </w:r>
          </w:p>
        </w:tc>
        <w:tc>
          <w:tcPr>
            <w:tcW w:w="580"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0</w:t>
            </w:r>
          </w:p>
        </w:tc>
        <w:tc>
          <w:tcPr>
            <w:tcW w:w="582"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0</w:t>
            </w:r>
          </w:p>
        </w:tc>
        <w:tc>
          <w:tcPr>
            <w:tcW w:w="7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0</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b/>
                <w:bCs/>
                <w:color w:val="auto"/>
                <w:sz w:val="20"/>
                <w:szCs w:val="20"/>
              </w:rPr>
            </w:pPr>
            <w:r w:rsidRPr="00425658">
              <w:rPr>
                <w:rFonts w:ascii="Times New Roman" w:hAnsi="Times New Roman"/>
                <w:b/>
                <w:bCs/>
                <w:color w:val="auto"/>
                <w:sz w:val="20"/>
                <w:szCs w:val="20"/>
              </w:rPr>
              <w:t xml:space="preserve">Jānodrošina ieņēmumi no lietotājiem </w:t>
            </w:r>
          </w:p>
        </w:tc>
        <w:tc>
          <w:tcPr>
            <w:tcW w:w="580"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-2 299 000</w:t>
            </w:r>
          </w:p>
        </w:tc>
        <w:tc>
          <w:tcPr>
            <w:tcW w:w="582"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-2 299 000</w:t>
            </w:r>
          </w:p>
        </w:tc>
        <w:tc>
          <w:tcPr>
            <w:tcW w:w="7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bCs/>
                <w:color w:val="auto"/>
                <w:sz w:val="20"/>
                <w:szCs w:val="20"/>
              </w:rPr>
              <w:t xml:space="preserve">- </w:t>
            </w:r>
            <w:r w:rsidRPr="00425658">
              <w:rPr>
                <w:rFonts w:ascii="Times New Roman" w:hAnsi="Times New Roman"/>
                <w:b/>
                <w:color w:val="auto"/>
                <w:sz w:val="20"/>
                <w:szCs w:val="20"/>
              </w:rPr>
              <w:t>11 495 000</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bCs/>
                <w:color w:val="auto"/>
                <w:sz w:val="20"/>
                <w:szCs w:val="20"/>
              </w:rPr>
            </w:pPr>
            <w:r w:rsidRPr="00425658">
              <w:rPr>
                <w:rFonts w:ascii="Times New Roman" w:hAnsi="Times New Roman"/>
                <w:b/>
                <w:bCs/>
                <w:color w:val="auto"/>
                <w:sz w:val="20"/>
                <w:szCs w:val="20"/>
              </w:rPr>
              <w:t>Ietekme uz budžetu</w:t>
            </w:r>
          </w:p>
        </w:tc>
        <w:tc>
          <w:tcPr>
            <w:tcW w:w="580"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0</w:t>
            </w:r>
          </w:p>
        </w:tc>
        <w:tc>
          <w:tcPr>
            <w:tcW w:w="582"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0</w:t>
            </w:r>
          </w:p>
        </w:tc>
        <w:tc>
          <w:tcPr>
            <w:tcW w:w="7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0</w:t>
            </w:r>
          </w:p>
        </w:tc>
      </w:tr>
    </w:tbl>
    <w:p w:rsidR="00A20315" w:rsidRPr="00425658" w:rsidRDefault="00A20315" w:rsidP="00A20315">
      <w:pPr>
        <w:jc w:val="both"/>
        <w:rPr>
          <w:rFonts w:ascii="Times New Roman" w:hAnsi="Times New Roman"/>
          <w:color w:val="auto"/>
        </w:rPr>
      </w:pPr>
    </w:p>
    <w:p w:rsidR="00A20315" w:rsidRPr="00425658" w:rsidRDefault="00A20315" w:rsidP="00A20315">
      <w:pPr>
        <w:jc w:val="both"/>
        <w:rPr>
          <w:rFonts w:ascii="Times New Roman" w:hAnsi="Times New Roman"/>
          <w:color w:val="auto"/>
        </w:rPr>
      </w:pPr>
    </w:p>
    <w:p w:rsidR="00A20315" w:rsidRPr="00425658" w:rsidRDefault="00A20315" w:rsidP="00A20315">
      <w:pPr>
        <w:jc w:val="both"/>
        <w:rPr>
          <w:rFonts w:ascii="Times New Roman" w:hAnsi="Times New Roman"/>
          <w:color w:val="auto"/>
        </w:rPr>
      </w:pPr>
      <w:r w:rsidRPr="00425658">
        <w:rPr>
          <w:rFonts w:ascii="Times New Roman" w:hAnsi="Times New Roman"/>
          <w:color w:val="auto"/>
        </w:rPr>
        <w:t>3.2. punktā minētā modeļa priekšrocības un trūkumi apkopoti 8. tabulā.</w:t>
      </w:r>
    </w:p>
    <w:p w:rsidR="00A20315" w:rsidRPr="00425658" w:rsidRDefault="00A20315" w:rsidP="00A20315">
      <w:pPr>
        <w:rPr>
          <w:rFonts w:ascii="Times New Roman" w:hAnsi="Times New Roman"/>
          <w:color w:val="auto"/>
        </w:rPr>
      </w:pPr>
    </w:p>
    <w:p w:rsidR="00A20315" w:rsidRPr="00425658" w:rsidRDefault="00A20315" w:rsidP="00A20315">
      <w:pPr>
        <w:rPr>
          <w:rFonts w:ascii="Times New Roman" w:hAnsi="Times New Roman"/>
          <w:color w:val="auto"/>
        </w:rPr>
      </w:pPr>
      <w:r w:rsidRPr="00425658">
        <w:rPr>
          <w:rFonts w:ascii="Times New Roman" w:hAnsi="Times New Roman"/>
          <w:b/>
          <w:color w:val="auto"/>
          <w:sz w:val="20"/>
          <w:szCs w:val="20"/>
        </w:rPr>
        <w:t>8.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10"/>
        <w:gridCol w:w="4557"/>
        <w:gridCol w:w="9"/>
      </w:tblGrid>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shd w:val="clear" w:color="auto" w:fill="D9D9D9"/>
            <w:tcMar>
              <w:top w:w="28" w:type="dxa"/>
              <w:left w:w="57" w:type="dxa"/>
              <w:bottom w:w="28" w:type="dxa"/>
              <w:right w:w="57" w:type="dxa"/>
            </w:tcMa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Priekšrocības</w:t>
            </w:r>
          </w:p>
        </w:tc>
        <w:tc>
          <w:tcPr>
            <w:tcW w:w="2486" w:type="pct"/>
            <w:gridSpan w:val="2"/>
            <w:tcBorders>
              <w:top w:val="single" w:sz="4" w:space="0" w:color="auto"/>
              <w:left w:val="single" w:sz="4" w:space="0" w:color="auto"/>
              <w:bottom w:val="single" w:sz="4" w:space="0" w:color="auto"/>
              <w:right w:val="single" w:sz="4" w:space="0" w:color="auto"/>
            </w:tcBorders>
            <w:shd w:val="clear" w:color="auto" w:fill="D9D9D9"/>
            <w:tcMar>
              <w:top w:w="28" w:type="dxa"/>
              <w:left w:w="57" w:type="dxa"/>
              <w:bottom w:w="28" w:type="dxa"/>
              <w:right w:w="57" w:type="dxa"/>
            </w:tcMa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Trūkumi</w:t>
            </w:r>
          </w:p>
        </w:tc>
      </w:tr>
      <w:tr w:rsidR="00A20315" w:rsidRPr="00425658" w:rsidTr="00B058EB">
        <w:trPr>
          <w:gridAfter w:val="1"/>
          <w:wAfter w:w="5" w:type="pct"/>
        </w:trPr>
        <w:tc>
          <w:tcPr>
            <w:tcW w:w="4995" w:type="pct"/>
            <w:gridSpan w:val="3"/>
            <w:tcMar>
              <w:top w:w="28" w:type="dxa"/>
              <w:left w:w="57" w:type="dxa"/>
              <w:bottom w:w="28" w:type="dxa"/>
              <w:right w:w="57" w:type="dxa"/>
            </w:tcMar>
          </w:tcPr>
          <w:p w:rsidR="00A20315" w:rsidRPr="00425658" w:rsidRDefault="00A20315" w:rsidP="00B058EB">
            <w:pPr>
              <w:rPr>
                <w:rFonts w:ascii="Times New Roman" w:hAnsi="Times New Roman"/>
                <w:b/>
                <w:color w:val="auto"/>
                <w:sz w:val="20"/>
                <w:szCs w:val="20"/>
              </w:rPr>
            </w:pPr>
            <w:r w:rsidRPr="00425658">
              <w:rPr>
                <w:rFonts w:ascii="Times New Roman" w:hAnsi="Times New Roman"/>
                <w:b/>
                <w:color w:val="auto"/>
                <w:sz w:val="20"/>
                <w:szCs w:val="20"/>
              </w:rPr>
              <w:t>3.2.</w:t>
            </w:r>
          </w:p>
          <w:p w:rsidR="00A20315" w:rsidRPr="00425658" w:rsidRDefault="00A20315" w:rsidP="00B058EB">
            <w:pPr>
              <w:rPr>
                <w:rFonts w:ascii="Times New Roman" w:hAnsi="Times New Roman"/>
                <w:b/>
                <w:color w:val="auto"/>
                <w:sz w:val="20"/>
                <w:szCs w:val="20"/>
              </w:rPr>
            </w:pPr>
            <w:r w:rsidRPr="00425658">
              <w:rPr>
                <w:rFonts w:ascii="Times New Roman" w:hAnsi="Times New Roman"/>
                <w:b/>
                <w:color w:val="auto"/>
                <w:sz w:val="20"/>
                <w:szCs w:val="20"/>
              </w:rPr>
              <w:t>1. izrietošā varianta priekšrocības un trūkumi</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Izmaksas sedz lietotāji, valstij nerodas izmaksas.</w:t>
            </w: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Netiek sasniegti valsts plānotie finansiālie ieguvumi no e-pakalpojumu plašākas lietošanas</w:t>
            </w:r>
            <w:r w:rsidRPr="00425658">
              <w:rPr>
                <w:rStyle w:val="FootnoteReference"/>
                <w:color w:val="auto"/>
                <w:sz w:val="20"/>
                <w:szCs w:val="20"/>
              </w:rPr>
              <w:footnoteReference w:id="2"/>
            </w:r>
            <w:r w:rsidRPr="00425658">
              <w:rPr>
                <w:rFonts w:ascii="Times New Roman" w:hAnsi="Times New Roman"/>
                <w:color w:val="auto"/>
                <w:sz w:val="20"/>
                <w:szCs w:val="20"/>
              </w:rPr>
              <w:t>.</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Apdraudēta pakalpojuma sniegšana un sabiedrības ieinteresētība izmantot digitālos pakalpojumus.</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Izmaksas, kuras tiek uzliktas aktīvajiem eID karšu lietotājiem, ir neadekvāti augstas.</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sidDel="004613AC">
              <w:rPr>
                <w:rFonts w:ascii="Times New Roman" w:hAnsi="Times New Roman"/>
                <w:color w:val="auto"/>
                <w:sz w:val="20"/>
                <w:szCs w:val="20"/>
              </w:rPr>
              <w:t xml:space="preserve"> </w:t>
            </w: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Variants neparedz eID infrastruktūras un lietojumu attīstību, kas veicinātu elektronisko pakalpojumu plašāku izmantošanu.</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Papildu finanšu slogs eID lietotājiem. Vairāk jāmaksā tiem, kuri vairāk izmanto elektroniskos pakalpojumus. Tas ir pretrunā ar elektroniskās vides veicināšanu un priekšrocību piešķiršanu efektīvāko pakalpojumu saņemšanas kanālu izmantotājiem, jo uzliek tiem papildu finanšu slogu.</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Netiek veicināta e-pakalpojumu izmantošana (nepalielinās iedzīvotāju īpatsvars, kas izmanto e-pakalpojumus sadarbībai ar valsts un pašvaldību institūcijām)</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Nosakot maksu, ir papildu administratīvais slogs – nepieciešams apstiprinājums vai piekrišana izmantot eID viedkartes parakstīšanos kā maksas pakalpojumu un maksājumu apstrāde.</w:t>
            </w:r>
          </w:p>
        </w:tc>
      </w:tr>
      <w:tr w:rsidR="00A20315" w:rsidRPr="00425658" w:rsidTr="00B058EB">
        <w:trPr>
          <w:gridAfter w:val="1"/>
          <w:wAfter w:w="5" w:type="pct"/>
        </w:trPr>
        <w:tc>
          <w:tcPr>
            <w:tcW w:w="251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c>
          <w:tcPr>
            <w:tcW w:w="2485" w:type="pct"/>
            <w:gridSpan w:val="2"/>
            <w:shd w:val="clear" w:color="auto" w:fill="auto"/>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eID infrastruktūras un pakalpojuma nodrošināšanas iespējai šajā variantā ir augsts risks, jo, ieviešot maksas eID, nepalielināsies lietotāju skaits, bet esošie lietotāji nevēlēsies izmantot vairākas reizes dārgāku pakalpojumu.</w:t>
            </w:r>
          </w:p>
        </w:tc>
      </w:tr>
      <w:tr w:rsidR="00A20315" w:rsidRPr="00425658" w:rsidTr="00B058EB">
        <w:tc>
          <w:tcPr>
            <w:tcW w:w="5000"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keepNext/>
              <w:rPr>
                <w:rFonts w:ascii="Times New Roman" w:hAnsi="Times New Roman"/>
                <w:b/>
                <w:color w:val="auto"/>
                <w:sz w:val="20"/>
                <w:szCs w:val="20"/>
              </w:rPr>
            </w:pPr>
            <w:r w:rsidRPr="00425658">
              <w:rPr>
                <w:rFonts w:ascii="Times New Roman" w:hAnsi="Times New Roman"/>
                <w:b/>
                <w:color w:val="auto"/>
                <w:sz w:val="20"/>
                <w:szCs w:val="20"/>
              </w:rPr>
              <w:t>3.2.</w:t>
            </w:r>
          </w:p>
          <w:p w:rsidR="00A20315" w:rsidRPr="00425658" w:rsidRDefault="00A20315" w:rsidP="00B058EB">
            <w:pPr>
              <w:keepNext/>
              <w:rPr>
                <w:rFonts w:ascii="Times New Roman" w:hAnsi="Times New Roman"/>
                <w:b/>
                <w:color w:val="auto"/>
                <w:sz w:val="20"/>
                <w:szCs w:val="20"/>
              </w:rPr>
            </w:pPr>
            <w:r w:rsidRPr="00425658">
              <w:rPr>
                <w:rFonts w:ascii="Times New Roman" w:hAnsi="Times New Roman"/>
                <w:b/>
                <w:color w:val="auto"/>
                <w:sz w:val="20"/>
                <w:szCs w:val="20"/>
              </w:rPr>
              <w:t>2. izrietošā varianta priekšrocības un trūkumi</w:t>
            </w: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keepNext/>
              <w:rPr>
                <w:rFonts w:ascii="Times New Roman" w:hAnsi="Times New Roman"/>
                <w:color w:val="auto"/>
                <w:sz w:val="20"/>
                <w:szCs w:val="20"/>
              </w:rPr>
            </w:pPr>
            <w:r w:rsidRPr="00425658">
              <w:rPr>
                <w:rFonts w:ascii="Times New Roman" w:hAnsi="Times New Roman"/>
                <w:color w:val="auto"/>
                <w:sz w:val="20"/>
                <w:szCs w:val="20"/>
              </w:rPr>
              <w:t>Izmaksas tiek segtas, iekasējot nodevu par eID, valstij nerodas izmaksas.</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Netiek sasniegti valsts plānotie finansiālie ieguvumi no e-pakalpojumu plašākas lietošanas</w:t>
            </w:r>
            <w:r w:rsidRPr="00425658">
              <w:rPr>
                <w:rStyle w:val="FootnoteReference"/>
                <w:color w:val="auto"/>
                <w:sz w:val="20"/>
                <w:szCs w:val="20"/>
              </w:rPr>
              <w:t>3</w:t>
            </w: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Finanšu ieguvumi no plašākas e-pakalpojumu izmantošanas.</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Process, kā nodrošināt obligātā maksājuma iekasēšanu, ir sarežģīts, un tā nodrošināšana rada papildus izmaksas.</w:t>
            </w: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Sociālekonomiskie ieguvumi iedzīvotājiem no plašākas e-pakalpojumu izmantošanas.</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Jāmaksā visiem eID viedkartes saņēmējiem, arī tiem, kuriem nav vajadzības izmantot pakalpojumu. Sabiedrības neapmierinātība, jo tiem, kuri eID neizmanto, nav ieguvumu no plašākas e-pakalpojumu izmantošanas.</w:t>
            </w: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Tiek nodrošināta eID pamata infrastruktūras – eID uzticamības pakalpojuma risinājuma platformas uzturēšana.</w:t>
            </w:r>
          </w:p>
          <w:p w:rsidR="00A20315" w:rsidRPr="00425658" w:rsidRDefault="00A20315" w:rsidP="00B058EB">
            <w:pPr>
              <w:rPr>
                <w:rFonts w:ascii="Times New Roman" w:hAnsi="Times New Roman"/>
                <w:color w:val="auto"/>
                <w:sz w:val="20"/>
                <w:szCs w:val="20"/>
              </w:rPr>
            </w:pPr>
            <w:proofErr w:type="gramStart"/>
            <w:r w:rsidRPr="00425658">
              <w:rPr>
                <w:rFonts w:ascii="Times New Roman" w:hAnsi="Times New Roman"/>
                <w:color w:val="auto"/>
                <w:sz w:val="20"/>
                <w:szCs w:val="20"/>
              </w:rPr>
              <w:t>Iespējams</w:t>
            </w:r>
            <w:proofErr w:type="gramEnd"/>
            <w:r w:rsidRPr="00425658">
              <w:rPr>
                <w:rFonts w:ascii="Times New Roman" w:hAnsi="Times New Roman"/>
                <w:color w:val="auto"/>
                <w:sz w:val="20"/>
                <w:szCs w:val="20"/>
              </w:rPr>
              <w:t xml:space="preserve"> racionāli un efektīvi izmantot valsts līdzšinējos ieguldījumus e-paraksta infrastruktūras izveidē.</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Sabiedrības neapmierinātība ar papildu maksājumu, kura jēga būs grūti izprotama.</w:t>
            </w: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Nodrošina iespēju publiskā sektora pakalpojumos iedzīvotājiem pilnībā pāriet uz elektronisko pakalpojumu sniegšanas kanālu.</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Ietaupījumi komersantiem – nav jāveido un jāuztur savi autentifikācijas risinājumi un var pilnībā pāriet uz eID izmantošanu.</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Paaugstinās drošība elektroniskajā vidē, pārejot uz augstāka līmeņa personas identifikāciju dažādos pakalpojumos.</w:t>
            </w: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r w:rsidR="00A20315" w:rsidRPr="00425658" w:rsidTr="00B058EB">
        <w:tc>
          <w:tcPr>
            <w:tcW w:w="2514"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3.2. variantā salīdzinājumā ar 3.1. variantu ir mazāks finanšu slogs uz aktīvākajiem eID lietotājiem.</w:t>
            </w:r>
          </w:p>
          <w:p w:rsidR="00A20315" w:rsidRPr="00425658" w:rsidRDefault="00A20315" w:rsidP="00B058EB">
            <w:pPr>
              <w:rPr>
                <w:rFonts w:ascii="Times New Roman" w:hAnsi="Times New Roman"/>
                <w:color w:val="auto"/>
                <w:sz w:val="20"/>
                <w:szCs w:val="20"/>
              </w:rPr>
            </w:pPr>
          </w:p>
        </w:tc>
        <w:tc>
          <w:tcPr>
            <w:tcW w:w="2486" w:type="pct"/>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bl>
    <w:p w:rsidR="00A20315" w:rsidRPr="00425658" w:rsidRDefault="00A20315" w:rsidP="00A20315">
      <w:pPr>
        <w:widowControl w:val="0"/>
        <w:ind w:right="20"/>
        <w:jc w:val="both"/>
        <w:rPr>
          <w:rFonts w:ascii="Times New Roman" w:hAnsi="Times New Roman"/>
          <w:color w:val="auto"/>
        </w:rPr>
      </w:pPr>
    </w:p>
    <w:p w:rsidR="00A20315" w:rsidRPr="00425658" w:rsidRDefault="00A20315" w:rsidP="00A20315">
      <w:pPr>
        <w:widowControl w:val="0"/>
        <w:ind w:right="20" w:firstLine="1080"/>
        <w:jc w:val="both"/>
        <w:rPr>
          <w:rFonts w:ascii="Times New Roman" w:hAnsi="Times New Roman"/>
          <w:color w:val="auto"/>
        </w:rPr>
      </w:pPr>
    </w:p>
    <w:p w:rsidR="00A20315" w:rsidRPr="00425658" w:rsidRDefault="00A20315" w:rsidP="00A20315">
      <w:pPr>
        <w:jc w:val="both"/>
        <w:rPr>
          <w:rFonts w:ascii="Times New Roman" w:hAnsi="Times New Roman"/>
          <w:bCs/>
          <w:color w:val="auto"/>
          <w:kern w:val="32"/>
          <w:lang w:eastAsia="lv-LV"/>
        </w:rPr>
      </w:pPr>
    </w:p>
    <w:p w:rsidR="00A20315" w:rsidRPr="00425658" w:rsidRDefault="00A20315" w:rsidP="00A20315">
      <w:pPr>
        <w:jc w:val="center"/>
        <w:rPr>
          <w:rFonts w:ascii="Times New Roman" w:hAnsi="Times New Roman"/>
          <w:b/>
          <w:color w:val="auto"/>
        </w:rPr>
      </w:pPr>
      <w:r w:rsidRPr="00425658">
        <w:rPr>
          <w:rFonts w:ascii="Times New Roman" w:hAnsi="Times New Roman"/>
          <w:b/>
          <w:color w:val="auto"/>
        </w:rPr>
        <w:t>3.3. Lietotājiem visās eID viedkartēs nodrošināti parakstīšanas un autentifikācijas sertifikāti ar neierobežotu parakstīšanās reižu skaitu</w:t>
      </w:r>
    </w:p>
    <w:p w:rsidR="00A20315" w:rsidRPr="00425658" w:rsidRDefault="00A20315" w:rsidP="00A20315">
      <w:pPr>
        <w:jc w:val="both"/>
        <w:rPr>
          <w:rFonts w:ascii="Times New Roman" w:hAnsi="Times New Roman"/>
          <w:color w:val="auto"/>
        </w:rPr>
      </w:pP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Lai nodrošinātu pilnvērtīgu un pamatotu eID turpmāku lietojamību un izmantojamību, kā arī lai veicinātu Latvijas pilsoņu un pastāvīgo iedzīvotāju personas identifikāciju elektroniskajā vidē, kas atbilstu ES normatīvajos aktos noteiktajām prasībām, kā arī efektīvākajā veidā būtu izmantojama elektroniskajā vidē, kā arī lai identificētos e-pakalpojumu saņemšanai un lietotu e-parakstu saskarsmē ar valsts un pašvaldību institūcijām, būtu jāparedz, ka</w:t>
      </w:r>
      <w:r w:rsidRPr="00425658">
        <w:rPr>
          <w:rFonts w:ascii="Times New Roman" w:hAnsi="Times New Roman"/>
          <w:b/>
          <w:color w:val="auto"/>
        </w:rPr>
        <w:t xml:space="preserve"> </w:t>
      </w:r>
      <w:r w:rsidRPr="00425658">
        <w:rPr>
          <w:rFonts w:ascii="Times New Roman" w:hAnsi="Times New Roman"/>
          <w:color w:val="auto"/>
        </w:rPr>
        <w:t>visās eID viedkartēs tiek ierakstīti parakstīšanās un autentifikācijas sertifikāti un to lietotājiem tiek nodrošināta iespēja neierobežotu reižu skaitu parakstīties bez maksas.</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lastRenderedPageBreak/>
        <w:t>Šī varianta izvēle ietver, ka piešķirtā finansējuma ietvaros LVRTC nodrošina eID pamata infrastruktūras uzturēšanu, nepieciešamo integrāciju eID lietošanai e-pakalpojumos un izstrādātas lietotnes izmantošanai klientu rīkos, kā arī atbilstību starptautiskiem standartiem.</w:t>
      </w:r>
    </w:p>
    <w:p w:rsidR="00A20315" w:rsidRPr="00425658" w:rsidRDefault="00A20315" w:rsidP="00A20315">
      <w:pPr>
        <w:ind w:firstLine="720"/>
        <w:jc w:val="both"/>
        <w:rPr>
          <w:rFonts w:ascii="Times New Roman" w:hAnsi="Times New Roman"/>
          <w:color w:val="auto"/>
        </w:rPr>
      </w:pPr>
      <w:r w:rsidRPr="00425658">
        <w:rPr>
          <w:rFonts w:ascii="Times New Roman" w:hAnsi="Times New Roman"/>
          <w:color w:val="auto"/>
        </w:rPr>
        <w:t xml:space="preserve">Turklāt, ņemot vērā, ka VARAM valstī ir noteikta par vadošo iestādi, kuras kompetencē ir veidot IKT politiku, tostarp radīt apstākļus valsts veidoto e-pakalpojumu pieejamībai sabiedrībai, VARAM sadarbībā ar PMLP spētu īstenot sekmīgai elektroniskās vides attīstībai nepieciešamo eID kartē iekļaujamo un sniedzamo pamata pakalpojumu groza uzturēšanu, nepieciešamo integrāciju eID e-pakalpojumos un paredzēt izstrādātas lietotnes klientu rīkos, kā arī atbilstību starptautiskiem standartiem, kuru piešķirtā finansējuma ietvaros LVRTC nodrošinātu līguma par sertifikācijas pakalpojumu sniegšanu starp PMLP un LVRTC ietvaros. </w:t>
      </w:r>
    </w:p>
    <w:p w:rsidR="00A20315" w:rsidRPr="00425658" w:rsidRDefault="00A20315" w:rsidP="00A20315">
      <w:pPr>
        <w:ind w:firstLine="720"/>
        <w:jc w:val="both"/>
        <w:rPr>
          <w:rFonts w:ascii="Times New Roman" w:hAnsi="Times New Roman"/>
          <w:color w:val="auto"/>
        </w:rPr>
      </w:pPr>
    </w:p>
    <w:p w:rsidR="00A20315" w:rsidRPr="00425658" w:rsidRDefault="00A20315" w:rsidP="00A20315">
      <w:pPr>
        <w:jc w:val="both"/>
        <w:rPr>
          <w:rFonts w:ascii="Times New Roman" w:hAnsi="Times New Roman"/>
          <w:color w:val="auto"/>
        </w:rPr>
      </w:pPr>
      <w:r w:rsidRPr="00425658">
        <w:rPr>
          <w:rFonts w:ascii="Times New Roman" w:hAnsi="Times New Roman"/>
          <w:color w:val="auto"/>
        </w:rPr>
        <w:t>3.3. punktā noteiktā ieviešanas finanšu ietekme apskatāma 9. tabulā.</w:t>
      </w:r>
    </w:p>
    <w:p w:rsidR="00A20315" w:rsidRPr="00425658" w:rsidRDefault="00A20315" w:rsidP="00A20315">
      <w:pPr>
        <w:jc w:val="both"/>
        <w:rPr>
          <w:rFonts w:ascii="Times New Roman" w:hAnsi="Times New Roman"/>
          <w:color w:val="auto"/>
        </w:rPr>
      </w:pPr>
    </w:p>
    <w:p w:rsidR="00A20315" w:rsidRPr="00425658" w:rsidRDefault="00A20315" w:rsidP="00A20315">
      <w:pPr>
        <w:rPr>
          <w:rFonts w:ascii="Times New Roman" w:hAnsi="Times New Roman"/>
          <w:bCs/>
          <w:color w:val="auto"/>
          <w:kern w:val="32"/>
          <w:lang w:eastAsia="lv-LV"/>
        </w:rPr>
      </w:pPr>
      <w:r w:rsidRPr="00425658">
        <w:rPr>
          <w:rFonts w:ascii="Times New Roman" w:hAnsi="Times New Roman"/>
          <w:b/>
          <w:bCs/>
          <w:color w:val="auto"/>
          <w:kern w:val="32"/>
          <w:sz w:val="20"/>
          <w:szCs w:val="20"/>
          <w:lang w:eastAsia="lv-LV"/>
        </w:rPr>
        <w:t>9. tabula. Finanšu aprēķini 3.3. punktam</w:t>
      </w:r>
    </w:p>
    <w:tbl>
      <w:tblPr>
        <w:tblW w:w="5000" w:type="pct"/>
        <w:tblLook w:val="0000" w:firstRow="0" w:lastRow="0" w:firstColumn="0" w:lastColumn="0" w:noHBand="0" w:noVBand="0"/>
      </w:tblPr>
      <w:tblGrid>
        <w:gridCol w:w="2416"/>
        <w:gridCol w:w="1062"/>
        <w:gridCol w:w="1107"/>
        <w:gridCol w:w="1108"/>
        <w:gridCol w:w="1108"/>
        <w:gridCol w:w="1108"/>
        <w:gridCol w:w="1277"/>
      </w:tblGrid>
      <w:tr w:rsidR="00A20315" w:rsidRPr="00425658" w:rsidTr="00B058EB">
        <w:trPr>
          <w:cantSplit/>
        </w:trPr>
        <w:tc>
          <w:tcPr>
            <w:tcW w:w="1318"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Pasākums</w:t>
            </w:r>
          </w:p>
        </w:tc>
        <w:tc>
          <w:tcPr>
            <w:tcW w:w="3001" w:type="pct"/>
            <w:gridSpan w:val="5"/>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Nepieciešamais finansējums (EUR)</w:t>
            </w:r>
          </w:p>
        </w:tc>
        <w:tc>
          <w:tcPr>
            <w:tcW w:w="681"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Kopā ar PVN</w:t>
            </w:r>
            <w:r w:rsidRPr="00425658">
              <w:rPr>
                <w:rFonts w:ascii="Times New Roman" w:hAnsi="Times New Roman"/>
                <w:b/>
                <w:bCs/>
                <w:color w:val="auto"/>
                <w:sz w:val="20"/>
                <w:szCs w:val="20"/>
              </w:rPr>
              <w:br/>
              <w:t>(EUR)</w:t>
            </w:r>
          </w:p>
        </w:tc>
      </w:tr>
      <w:tr w:rsidR="00A20315" w:rsidRPr="00425658" w:rsidTr="00B058EB">
        <w:trPr>
          <w:cantSplit/>
        </w:trPr>
        <w:tc>
          <w:tcPr>
            <w:tcW w:w="1318" w:type="pct"/>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p>
        </w:tc>
        <w:tc>
          <w:tcPr>
            <w:tcW w:w="5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2017</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2018</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2019</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2020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2021</w:t>
            </w:r>
          </w:p>
        </w:tc>
        <w:tc>
          <w:tcPr>
            <w:tcW w:w="681" w:type="pct"/>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Autentifikācijas un droša elektroniskā paraksta sertifikātu nodrošināšana eID kartē</w:t>
            </w:r>
          </w:p>
        </w:tc>
        <w:tc>
          <w:tcPr>
            <w:tcW w:w="5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1 210 000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1 210 000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1 210 000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1 210 000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1 210 000</w:t>
            </w:r>
          </w:p>
        </w:tc>
        <w:tc>
          <w:tcPr>
            <w:tcW w:w="6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lang w:eastAsia="lv-LV"/>
              </w:rPr>
            </w:pPr>
            <w:r w:rsidRPr="00425658">
              <w:rPr>
                <w:rFonts w:ascii="Times New Roman" w:hAnsi="Times New Roman"/>
                <w:color w:val="auto"/>
                <w:sz w:val="20"/>
                <w:szCs w:val="20"/>
              </w:rPr>
              <w:t>6 050 000</w:t>
            </w:r>
          </w:p>
        </w:tc>
      </w:tr>
      <w:tr w:rsidR="00A20315" w:rsidRPr="00425658" w:rsidTr="00B058EB">
        <w:trPr>
          <w:cantSplit/>
        </w:trPr>
        <w:tc>
          <w:tcPr>
            <w:tcW w:w="1318"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Integrācijas risinājumu uzturēšana, attīstība un e-pakalpojumu sniedzēju atbalsts</w:t>
            </w:r>
          </w:p>
        </w:tc>
        <w:tc>
          <w:tcPr>
            <w:tcW w:w="581"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425 920</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425 920</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425 920</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425 920</w:t>
            </w:r>
          </w:p>
        </w:tc>
        <w:tc>
          <w:tcPr>
            <w:tcW w:w="605"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425 920</w:t>
            </w:r>
          </w:p>
        </w:tc>
        <w:tc>
          <w:tcPr>
            <w:tcW w:w="681" w:type="pct"/>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lang w:eastAsia="lv-LV"/>
              </w:rPr>
            </w:pPr>
            <w:r w:rsidRPr="00425658">
              <w:rPr>
                <w:rFonts w:ascii="Times New Roman" w:hAnsi="Times New Roman"/>
                <w:color w:val="auto"/>
                <w:sz w:val="20"/>
                <w:szCs w:val="20"/>
              </w:rPr>
              <w:t>2 129 600</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Gala lietotāju dokumentu parakstīšanās un pārbaudes risinājumu uzturēšana, attīstība un lietotāju atbalsts</w:t>
            </w:r>
          </w:p>
        </w:tc>
        <w:tc>
          <w:tcPr>
            <w:tcW w:w="5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663 080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663 080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663 080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663 080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color w:val="auto"/>
                <w:sz w:val="20"/>
                <w:szCs w:val="20"/>
              </w:rPr>
              <w:t>663 080</w:t>
            </w:r>
          </w:p>
        </w:tc>
        <w:tc>
          <w:tcPr>
            <w:tcW w:w="6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lang w:eastAsia="lv-LV"/>
              </w:rPr>
            </w:pPr>
            <w:r w:rsidRPr="00425658">
              <w:rPr>
                <w:rFonts w:ascii="Times New Roman" w:hAnsi="Times New Roman"/>
                <w:color w:val="auto"/>
                <w:sz w:val="20"/>
                <w:szCs w:val="20"/>
              </w:rPr>
              <w:t>3 315 400</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color w:val="auto"/>
                <w:sz w:val="20"/>
                <w:szCs w:val="20"/>
              </w:rPr>
            </w:pPr>
            <w:r w:rsidRPr="00425658">
              <w:rPr>
                <w:rFonts w:ascii="Times New Roman" w:hAnsi="Times New Roman"/>
                <w:b/>
                <w:bCs/>
                <w:color w:val="auto"/>
                <w:sz w:val="20"/>
                <w:szCs w:val="20"/>
              </w:rPr>
              <w:t>Kopā izdevumi</w:t>
            </w:r>
          </w:p>
        </w:tc>
        <w:tc>
          <w:tcPr>
            <w:tcW w:w="5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color w:val="auto"/>
                <w:sz w:val="20"/>
                <w:szCs w:val="20"/>
              </w:rPr>
            </w:pPr>
            <w:r w:rsidRPr="00425658">
              <w:rPr>
                <w:rFonts w:ascii="Times New Roman" w:hAnsi="Times New Roman"/>
                <w:b/>
                <w:bCs/>
                <w:color w:val="auto"/>
                <w:sz w:val="20"/>
                <w:szCs w:val="20"/>
              </w:rPr>
              <w:t>2 299 000</w:t>
            </w:r>
          </w:p>
        </w:tc>
        <w:tc>
          <w:tcPr>
            <w:tcW w:w="6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lang w:eastAsia="lv-LV"/>
              </w:rPr>
            </w:pPr>
            <w:r w:rsidRPr="00425658">
              <w:rPr>
                <w:rFonts w:ascii="Times New Roman" w:hAnsi="Times New Roman"/>
                <w:b/>
                <w:color w:val="auto"/>
                <w:sz w:val="20"/>
                <w:szCs w:val="20"/>
              </w:rPr>
              <w:t>11 495 000</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bCs/>
                <w:color w:val="auto"/>
                <w:sz w:val="20"/>
                <w:szCs w:val="20"/>
              </w:rPr>
            </w:pPr>
            <w:r w:rsidRPr="00425658">
              <w:rPr>
                <w:rFonts w:ascii="Times New Roman" w:hAnsi="Times New Roman"/>
                <w:bCs/>
                <w:color w:val="auto"/>
                <w:sz w:val="20"/>
                <w:szCs w:val="20"/>
              </w:rPr>
              <w:t>Jānodrošina ieņēmumi no lietotājiem</w:t>
            </w:r>
          </w:p>
        </w:tc>
        <w:tc>
          <w:tcPr>
            <w:tcW w:w="5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Cs/>
                <w:color w:val="auto"/>
                <w:sz w:val="20"/>
                <w:szCs w:val="20"/>
              </w:rPr>
              <w:t>0</w:t>
            </w:r>
          </w:p>
        </w:tc>
        <w:tc>
          <w:tcPr>
            <w:tcW w:w="605"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Cs/>
                <w:color w:val="auto"/>
                <w:sz w:val="20"/>
                <w:szCs w:val="20"/>
              </w:rPr>
              <w:t>0</w:t>
            </w:r>
          </w:p>
        </w:tc>
        <w:tc>
          <w:tcPr>
            <w:tcW w:w="6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Cs/>
                <w:color w:val="auto"/>
                <w:sz w:val="20"/>
                <w:szCs w:val="20"/>
              </w:rPr>
              <w:t>0</w:t>
            </w:r>
          </w:p>
        </w:tc>
      </w:tr>
      <w:tr w:rsidR="00A20315" w:rsidRPr="00425658" w:rsidTr="00B058EB">
        <w:trPr>
          <w:cantSplit/>
        </w:trPr>
        <w:tc>
          <w:tcPr>
            <w:tcW w:w="1318" w:type="pct"/>
            <w:tcBorders>
              <w:top w:val="nil"/>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rPr>
                <w:rFonts w:ascii="Times New Roman" w:hAnsi="Times New Roman"/>
                <w:bCs/>
                <w:color w:val="auto"/>
                <w:sz w:val="20"/>
                <w:szCs w:val="20"/>
              </w:rPr>
            </w:pPr>
            <w:r w:rsidRPr="00425658">
              <w:rPr>
                <w:rFonts w:ascii="Times New Roman" w:hAnsi="Times New Roman"/>
                <w:b/>
                <w:bCs/>
                <w:color w:val="auto"/>
                <w:sz w:val="20"/>
                <w:szCs w:val="20"/>
              </w:rPr>
              <w:t>Ietekme uz budžetu</w:t>
            </w:r>
          </w:p>
        </w:tc>
        <w:tc>
          <w:tcPr>
            <w:tcW w:w="5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-2 299 000</w:t>
            </w:r>
          </w:p>
        </w:tc>
        <w:tc>
          <w:tcPr>
            <w:tcW w:w="605" w:type="pct"/>
            <w:tcBorders>
              <w:top w:val="nil"/>
              <w:left w:val="nil"/>
              <w:bottom w:val="single" w:sz="4" w:space="0" w:color="000000"/>
              <w:right w:val="single" w:sz="4" w:space="0" w:color="000000"/>
            </w:tcBorders>
            <w:shd w:val="clear" w:color="auto" w:fill="auto"/>
            <w:noWrap/>
            <w:tcMar>
              <w:top w:w="28" w:type="dxa"/>
              <w:left w:w="57" w:type="dxa"/>
              <w:bottom w:w="28" w:type="dxa"/>
              <w:right w:w="57" w:type="dxa"/>
            </w:tcMar>
            <w:vAlign w:val="center"/>
          </w:tcPr>
          <w:p w:rsidR="00A20315" w:rsidRPr="00425658" w:rsidRDefault="00A20315" w:rsidP="00B058EB">
            <w:pPr>
              <w:jc w:val="center"/>
              <w:rPr>
                <w:rFonts w:ascii="Times New Roman" w:hAnsi="Times New Roman"/>
                <w:bCs/>
                <w:color w:val="auto"/>
                <w:sz w:val="20"/>
                <w:szCs w:val="20"/>
              </w:rPr>
            </w:pPr>
            <w:r w:rsidRPr="00425658">
              <w:rPr>
                <w:rFonts w:ascii="Times New Roman" w:hAnsi="Times New Roman"/>
                <w:b/>
                <w:bCs/>
                <w:color w:val="auto"/>
                <w:sz w:val="20"/>
                <w:szCs w:val="20"/>
              </w:rPr>
              <w:t>-2 299 000</w:t>
            </w:r>
          </w:p>
        </w:tc>
        <w:tc>
          <w:tcPr>
            <w:tcW w:w="681" w:type="pct"/>
            <w:tcBorders>
              <w:top w:val="nil"/>
              <w:left w:val="nil"/>
              <w:bottom w:val="single" w:sz="4" w:space="0" w:color="000000"/>
              <w:right w:val="single" w:sz="4" w:space="0" w:color="000000"/>
            </w:tcBorders>
            <w:shd w:val="clear" w:color="auto" w:fill="auto"/>
            <w:tcMar>
              <w:top w:w="28" w:type="dxa"/>
              <w:left w:w="57" w:type="dxa"/>
              <w:bottom w:w="28" w:type="dxa"/>
              <w:right w:w="57" w:type="dxa"/>
            </w:tcMar>
            <w:vAlign w:val="center"/>
          </w:tcPr>
          <w:p w:rsidR="00A20315" w:rsidRPr="00425658" w:rsidRDefault="00A20315" w:rsidP="00B058EB">
            <w:pPr>
              <w:jc w:val="center"/>
              <w:rPr>
                <w:rFonts w:ascii="Times New Roman" w:hAnsi="Times New Roman"/>
                <w:b/>
                <w:bCs/>
                <w:color w:val="auto"/>
                <w:sz w:val="20"/>
                <w:szCs w:val="20"/>
              </w:rPr>
            </w:pPr>
            <w:r w:rsidRPr="00425658">
              <w:rPr>
                <w:rFonts w:ascii="Times New Roman" w:hAnsi="Times New Roman"/>
                <w:b/>
                <w:bCs/>
                <w:color w:val="auto"/>
                <w:sz w:val="20"/>
                <w:szCs w:val="20"/>
              </w:rPr>
              <w:t>-</w:t>
            </w:r>
            <w:r w:rsidRPr="00425658">
              <w:rPr>
                <w:rFonts w:ascii="Times New Roman" w:hAnsi="Times New Roman"/>
                <w:b/>
                <w:color w:val="auto"/>
                <w:sz w:val="20"/>
                <w:szCs w:val="20"/>
              </w:rPr>
              <w:t>11 495 000</w:t>
            </w:r>
          </w:p>
        </w:tc>
      </w:tr>
    </w:tbl>
    <w:p w:rsidR="00A20315" w:rsidRPr="00425658" w:rsidRDefault="00A20315" w:rsidP="00A20315">
      <w:pPr>
        <w:rPr>
          <w:rFonts w:ascii="Times New Roman" w:hAnsi="Times New Roman"/>
          <w:bCs/>
          <w:color w:val="auto"/>
          <w:kern w:val="32"/>
          <w:lang w:eastAsia="lv-LV"/>
        </w:rPr>
      </w:pPr>
    </w:p>
    <w:p w:rsidR="00A20315" w:rsidRPr="00425658" w:rsidRDefault="00A20315" w:rsidP="00A20315">
      <w:pPr>
        <w:rPr>
          <w:rFonts w:ascii="Times New Roman" w:hAnsi="Times New Roman"/>
          <w:bCs/>
          <w:color w:val="auto"/>
          <w:kern w:val="32"/>
          <w:lang w:eastAsia="lv-LV"/>
        </w:rPr>
      </w:pPr>
    </w:p>
    <w:p w:rsidR="00A20315" w:rsidRPr="00425658" w:rsidRDefault="00A20315" w:rsidP="00A20315">
      <w:pPr>
        <w:ind w:left="360"/>
        <w:jc w:val="both"/>
        <w:rPr>
          <w:rFonts w:ascii="Times New Roman" w:hAnsi="Times New Roman"/>
          <w:color w:val="auto"/>
        </w:rPr>
      </w:pPr>
      <w:r w:rsidRPr="00425658">
        <w:rPr>
          <w:rFonts w:ascii="Times New Roman" w:hAnsi="Times New Roman"/>
          <w:color w:val="auto"/>
        </w:rPr>
        <w:t>3.3. punktā noteiktā modeļa priekšrocības un trūkumi apkopoti 10. tabulā.</w:t>
      </w:r>
    </w:p>
    <w:p w:rsidR="00A20315" w:rsidRPr="00425658" w:rsidRDefault="00A20315" w:rsidP="00A20315">
      <w:pPr>
        <w:rPr>
          <w:rFonts w:ascii="Times New Roman" w:hAnsi="Times New Roman"/>
          <w:color w:val="auto"/>
        </w:rPr>
      </w:pPr>
    </w:p>
    <w:p w:rsidR="00A20315" w:rsidRPr="00425658" w:rsidRDefault="00A20315" w:rsidP="00A20315">
      <w:pPr>
        <w:rPr>
          <w:rFonts w:ascii="Times New Roman" w:hAnsi="Times New Roman"/>
          <w:b/>
          <w:color w:val="auto"/>
          <w:sz w:val="20"/>
          <w:szCs w:val="20"/>
        </w:rPr>
      </w:pPr>
      <w:r w:rsidRPr="00425658">
        <w:rPr>
          <w:rFonts w:ascii="Times New Roman" w:hAnsi="Times New Roman"/>
          <w:b/>
          <w:color w:val="auto"/>
          <w:sz w:val="20"/>
          <w:szCs w:val="20"/>
        </w:rPr>
        <w:t>10.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A20315" w:rsidRPr="00425658" w:rsidTr="00B058EB">
        <w:tc>
          <w:tcPr>
            <w:tcW w:w="2500" w:type="pct"/>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Priekšrocības</w:t>
            </w:r>
          </w:p>
        </w:tc>
        <w:tc>
          <w:tcPr>
            <w:tcW w:w="2500" w:type="pct"/>
            <w:tcMar>
              <w:top w:w="28" w:type="dxa"/>
              <w:left w:w="57" w:type="dxa"/>
              <w:bottom w:w="28" w:type="dxa"/>
              <w:right w:w="57" w:type="dxa"/>
            </w:tcMar>
            <w:vAlign w:val="center"/>
          </w:tcPr>
          <w:p w:rsidR="00A20315" w:rsidRPr="00425658" w:rsidRDefault="00A20315" w:rsidP="00B058EB">
            <w:pPr>
              <w:jc w:val="center"/>
              <w:rPr>
                <w:rFonts w:ascii="Times New Roman" w:hAnsi="Times New Roman"/>
                <w:b/>
                <w:color w:val="auto"/>
                <w:sz w:val="20"/>
                <w:szCs w:val="20"/>
              </w:rPr>
            </w:pPr>
            <w:r w:rsidRPr="00425658">
              <w:rPr>
                <w:rFonts w:ascii="Times New Roman" w:hAnsi="Times New Roman"/>
                <w:b/>
                <w:color w:val="auto"/>
                <w:sz w:val="20"/>
                <w:szCs w:val="20"/>
              </w:rPr>
              <w:t>Trūkumi</w:t>
            </w:r>
          </w:p>
        </w:tc>
      </w:tr>
      <w:tr w:rsidR="00A20315" w:rsidRPr="00425658" w:rsidTr="00B058EB">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Finanšu ietaupījumi no plašākas e-pakalpojumu izmantošanas pārsniedz valsts izmaksas par eID infrastruktūras un lietojumu izveidi un uzturēšanu.</w:t>
            </w:r>
          </w:p>
        </w:tc>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 xml:space="preserve">Izmaksas par eID infrastruktūru, </w:t>
            </w:r>
            <w:proofErr w:type="gramStart"/>
            <w:r w:rsidRPr="00425658">
              <w:rPr>
                <w:rFonts w:ascii="Times New Roman" w:hAnsi="Times New Roman"/>
                <w:color w:val="auto"/>
                <w:sz w:val="20"/>
                <w:szCs w:val="20"/>
              </w:rPr>
              <w:t>tās lietojumu izveidi un uzturēšanu pilnībā</w:t>
            </w:r>
            <w:proofErr w:type="gramEnd"/>
            <w:r w:rsidRPr="00425658">
              <w:rPr>
                <w:rFonts w:ascii="Times New Roman" w:hAnsi="Times New Roman"/>
                <w:color w:val="auto"/>
                <w:sz w:val="20"/>
                <w:szCs w:val="20"/>
              </w:rPr>
              <w:t xml:space="preserve"> jāsedz no valsts budžeta.</w:t>
            </w:r>
          </w:p>
        </w:tc>
      </w:tr>
      <w:tr w:rsidR="00A20315" w:rsidRPr="00425658" w:rsidTr="00B058EB">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roofErr w:type="gramStart"/>
            <w:r w:rsidRPr="00425658">
              <w:rPr>
                <w:rFonts w:ascii="Times New Roman" w:hAnsi="Times New Roman"/>
                <w:color w:val="auto"/>
                <w:sz w:val="20"/>
                <w:szCs w:val="20"/>
              </w:rPr>
              <w:t>Iespējams</w:t>
            </w:r>
            <w:proofErr w:type="gramEnd"/>
            <w:r w:rsidRPr="00425658">
              <w:rPr>
                <w:rFonts w:ascii="Times New Roman" w:hAnsi="Times New Roman"/>
                <w:color w:val="auto"/>
                <w:sz w:val="20"/>
                <w:szCs w:val="20"/>
              </w:rPr>
              <w:t xml:space="preserve"> racionāli un efektīvi izmantot valsts līdzšinējos ieguldījumus e-paraksta infrastruktūras izveidē.</w:t>
            </w:r>
          </w:p>
        </w:tc>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Pastāv risks, ka īstermiņā finansiālie ieguvumi būs mazāki par izdevumiem, jo pielietojums e-pakalpojumu izmantošanā augs pakāpeniski, kā arī vairāku plaši lietojamu e-pakalpojumu izveides kavēšanās gadījumā.</w:t>
            </w:r>
          </w:p>
        </w:tc>
      </w:tr>
      <w:tr w:rsidR="00A20315" w:rsidRPr="00425658" w:rsidTr="00B058EB">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Nodrošina iespēju publiskā sektora pakalpojumos iedzīvotājiem pilnībā pāriet uz elektronisko pakalpojumu sniegšanas kanālu.</w:t>
            </w:r>
          </w:p>
        </w:tc>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Sarežģītāks process un ilgāks laiks jaunu lietojumu un pakalpojumu izveidei, kas saistīts ar budžeta plānošanu un iepirkumu procedūru.</w:t>
            </w:r>
          </w:p>
        </w:tc>
      </w:tr>
      <w:tr w:rsidR="00A20315" w:rsidRPr="00425658" w:rsidTr="00B058EB">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Sociālekonomiskie ieguvumi iedzīvotājiem no plašākas e-pakalpojumu izmantošanas.</w:t>
            </w:r>
          </w:p>
        </w:tc>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r w:rsidR="00A20315" w:rsidRPr="00425658" w:rsidTr="00B058EB">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t xml:space="preserve">Ietaupījumi komersantiem – nav jāveido un jāuztur savi </w:t>
            </w:r>
            <w:r w:rsidRPr="00425658">
              <w:rPr>
                <w:rFonts w:ascii="Times New Roman" w:hAnsi="Times New Roman"/>
                <w:color w:val="auto"/>
                <w:sz w:val="20"/>
                <w:szCs w:val="20"/>
              </w:rPr>
              <w:lastRenderedPageBreak/>
              <w:t>autentifikācijas risinājumi un var pilnībā pāriet uz eID izmantošanu.</w:t>
            </w:r>
          </w:p>
        </w:tc>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r w:rsidR="00A20315" w:rsidRPr="00425658" w:rsidTr="00B058EB">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r w:rsidRPr="00425658">
              <w:rPr>
                <w:rFonts w:ascii="Times New Roman" w:hAnsi="Times New Roman"/>
                <w:color w:val="auto"/>
                <w:sz w:val="20"/>
                <w:szCs w:val="20"/>
              </w:rPr>
              <w:lastRenderedPageBreak/>
              <w:t>Paaugstinās drošība elektroniskajā vidē, pārejot uz augstāka līmeņa personas identifikāciju dažādos pakalpojumos.</w:t>
            </w:r>
          </w:p>
        </w:tc>
        <w:tc>
          <w:tcPr>
            <w:tcW w:w="2500" w:type="pct"/>
            <w:tcMar>
              <w:top w:w="28" w:type="dxa"/>
              <w:left w:w="57" w:type="dxa"/>
              <w:bottom w:w="28" w:type="dxa"/>
              <w:right w:w="57" w:type="dxa"/>
            </w:tcMar>
          </w:tcPr>
          <w:p w:rsidR="00A20315" w:rsidRPr="00425658" w:rsidRDefault="00A20315" w:rsidP="00B058EB">
            <w:pPr>
              <w:rPr>
                <w:rFonts w:ascii="Times New Roman" w:hAnsi="Times New Roman"/>
                <w:color w:val="auto"/>
                <w:sz w:val="20"/>
                <w:szCs w:val="20"/>
              </w:rPr>
            </w:pPr>
          </w:p>
        </w:tc>
      </w:tr>
    </w:tbl>
    <w:p w:rsidR="00A20315" w:rsidRPr="00425658" w:rsidRDefault="00A20315" w:rsidP="00A20315">
      <w:pPr>
        <w:tabs>
          <w:tab w:val="left" w:pos="540"/>
        </w:tabs>
        <w:ind w:firstLine="720"/>
        <w:jc w:val="both"/>
        <w:rPr>
          <w:rFonts w:ascii="Times New Roman" w:hAnsi="Times New Roman"/>
          <w:color w:val="auto"/>
        </w:rPr>
      </w:pPr>
    </w:p>
    <w:p w:rsidR="00A20315" w:rsidRPr="00425658" w:rsidRDefault="00A20315" w:rsidP="00A20315">
      <w:pPr>
        <w:pStyle w:val="Heading1"/>
        <w:keepLines w:val="0"/>
        <w:autoSpaceDN/>
        <w:spacing w:before="0"/>
        <w:ind w:firstLine="709"/>
        <w:jc w:val="both"/>
        <w:textAlignment w:val="auto"/>
        <w:rPr>
          <w:rFonts w:ascii="Times New Roman" w:eastAsia="Times New Roman" w:hAnsi="Times New Roman" w:cs="Times New Roman"/>
          <w:b w:val="0"/>
          <w:color w:val="auto"/>
          <w:sz w:val="24"/>
          <w:szCs w:val="24"/>
        </w:rPr>
      </w:pPr>
      <w:r w:rsidRPr="00425658">
        <w:rPr>
          <w:rFonts w:ascii="Times New Roman" w:hAnsi="Times New Roman" w:cs="Times New Roman"/>
          <w:b w:val="0"/>
          <w:color w:val="auto"/>
          <w:sz w:val="24"/>
          <w:szCs w:val="24"/>
        </w:rPr>
        <w:t>Vēršam uzmanību, ka efektīvai, perspektīvai, ērtai, drošai un pilnvērtīgai eID kartes attīstībai, kas veicinātu un garantētu drošu un efektīvu elektroniskās vides izmatošanu gan valsts, gan privātajā sektorā nepieciešams vienlaikus veikt kompleksu un vienotu iepriekš minēto darbību, pasākumu un finansēšanas kopumu.</w:t>
      </w:r>
      <w:r w:rsidRPr="00425658">
        <w:rPr>
          <w:rFonts w:ascii="Times New Roman" w:eastAsia="Times New Roman" w:hAnsi="Times New Roman" w:cs="Times New Roman"/>
          <w:b w:val="0"/>
          <w:color w:val="auto"/>
          <w:sz w:val="24"/>
          <w:szCs w:val="24"/>
        </w:rPr>
        <w:t xml:space="preserve"> Līdz ar to nepieciešams paredzēt eID karti ar neierobežotu skaitu tajā iekļautiem aktivizētiem elektroniskā paraksta un autentifikācijas sertifikātiem</w:t>
      </w:r>
      <w:proofErr w:type="gramStart"/>
      <w:r w:rsidRPr="00425658">
        <w:rPr>
          <w:rFonts w:ascii="Times New Roman" w:eastAsia="Times New Roman" w:hAnsi="Times New Roman" w:cs="Times New Roman"/>
          <w:b w:val="0"/>
          <w:color w:val="auto"/>
          <w:sz w:val="24"/>
          <w:szCs w:val="24"/>
        </w:rPr>
        <w:t xml:space="preserve"> kā obligātu personu apliecinošu dokumentu visiem iedzīvotājiem un kas pilnībā tiek</w:t>
      </w:r>
      <w:proofErr w:type="gramEnd"/>
      <w:r w:rsidRPr="00425658">
        <w:rPr>
          <w:rFonts w:ascii="Times New Roman" w:eastAsia="Times New Roman" w:hAnsi="Times New Roman" w:cs="Times New Roman"/>
          <w:b w:val="0"/>
          <w:color w:val="auto"/>
          <w:sz w:val="24"/>
          <w:szCs w:val="24"/>
        </w:rPr>
        <w:t xml:space="preserve"> atmaksāts no valsts budžeta. Turklāt jānodrošina kvalitatīva un ērta lietojamības atbalsta sniegšana iedzīvotājiem un uzņēmējiem par eID kartes izmantošanas iespējām, lietderību un drošību. </w:t>
      </w:r>
    </w:p>
    <w:p w:rsidR="00A20315" w:rsidRPr="00425658" w:rsidRDefault="00A20315" w:rsidP="00A20315">
      <w:pPr>
        <w:ind w:firstLine="709"/>
        <w:jc w:val="both"/>
        <w:rPr>
          <w:rFonts w:ascii="Times New Roman" w:hAnsi="Times New Roman"/>
          <w:color w:val="auto"/>
        </w:rPr>
      </w:pPr>
      <w:r w:rsidRPr="00425658">
        <w:rPr>
          <w:rFonts w:ascii="Times New Roman" w:hAnsi="Times New Roman"/>
          <w:color w:val="auto"/>
        </w:rPr>
        <w:t>Vēršam uzmanību, ka eID kartes noteikšanai kā obligātam dokumentam nepieciešams paredzēt saprātīgu pārejas periodu, lai neradītu papildu administratīvo un finanšu slogu ne PMLP, ne arī sabiedrības daļai, kurai eID kartes būs jāiegūst. Tiek paredzēts, ka pārejas periods varētu ilgt no 2019. gada līdz 2022. gadam, līdz tam veicot darbu pie nepieciešamo normatīvo aktu izstrādes.</w:t>
      </w:r>
    </w:p>
    <w:p w:rsidR="00A20315" w:rsidRPr="00425658" w:rsidRDefault="00A20315" w:rsidP="00A20315">
      <w:pPr>
        <w:pStyle w:val="CommentText"/>
        <w:jc w:val="both"/>
        <w:rPr>
          <w:rFonts w:ascii="Times New Roman" w:hAnsi="Times New Roman"/>
          <w:color w:val="auto"/>
          <w:sz w:val="24"/>
          <w:szCs w:val="24"/>
        </w:rPr>
      </w:pPr>
    </w:p>
    <w:p w:rsidR="00A20315" w:rsidRPr="00425658" w:rsidRDefault="00A20315" w:rsidP="00A20315">
      <w:pPr>
        <w:ind w:firstLine="338"/>
        <w:jc w:val="both"/>
        <w:rPr>
          <w:rFonts w:ascii="Times New Roman" w:hAnsi="Times New Roman"/>
          <w:color w:val="auto"/>
          <w:lang w:eastAsia="hi-IN" w:bidi="hi-IN"/>
        </w:rPr>
      </w:pPr>
      <w:r w:rsidRPr="00425658">
        <w:rPr>
          <w:rFonts w:ascii="Times New Roman" w:hAnsi="Times New Roman"/>
          <w:color w:val="auto"/>
          <w:lang w:eastAsia="hi-IN" w:bidi="hi-IN"/>
        </w:rPr>
        <w:t>Vides aizsardzības un reģionālās attīstības ministrs</w:t>
      </w:r>
      <w:r w:rsidRPr="00425658">
        <w:rPr>
          <w:rFonts w:ascii="Times New Roman" w:hAnsi="Times New Roman"/>
          <w:color w:val="auto"/>
          <w:lang w:eastAsia="hi-IN" w:bidi="hi-IN"/>
        </w:rPr>
        <w:tab/>
      </w:r>
      <w:r w:rsidRPr="00425658">
        <w:rPr>
          <w:rFonts w:ascii="Times New Roman" w:hAnsi="Times New Roman"/>
          <w:color w:val="auto"/>
          <w:lang w:eastAsia="hi-IN" w:bidi="hi-IN"/>
        </w:rPr>
        <w:tab/>
        <w:t>K. Gerhards</w:t>
      </w:r>
    </w:p>
    <w:p w:rsidR="00A20315" w:rsidRPr="00425658" w:rsidRDefault="00A20315" w:rsidP="00A20315">
      <w:pPr>
        <w:autoSpaceDE w:val="0"/>
        <w:ind w:firstLine="338"/>
        <w:rPr>
          <w:rFonts w:ascii="Times New Roman" w:hAnsi="Times New Roman"/>
          <w:color w:val="auto"/>
          <w:lang w:eastAsia="hi-IN" w:bidi="hi-IN"/>
        </w:rPr>
      </w:pPr>
    </w:p>
    <w:p w:rsidR="00A20315" w:rsidRPr="00425658" w:rsidRDefault="00A20315" w:rsidP="00A20315">
      <w:pPr>
        <w:autoSpaceDE w:val="0"/>
        <w:ind w:firstLine="338"/>
        <w:rPr>
          <w:rFonts w:ascii="Times New Roman" w:hAnsi="Times New Roman"/>
          <w:color w:val="auto"/>
          <w:lang w:eastAsia="hi-IN" w:bidi="hi-IN"/>
        </w:rPr>
      </w:pPr>
      <w:r w:rsidRPr="00425658">
        <w:rPr>
          <w:rFonts w:ascii="Times New Roman" w:hAnsi="Times New Roman"/>
          <w:color w:val="auto"/>
          <w:lang w:eastAsia="hi-IN" w:bidi="hi-IN"/>
        </w:rPr>
        <w:t xml:space="preserve">Vīza: </w:t>
      </w:r>
      <w:r w:rsidRPr="00425658">
        <w:rPr>
          <w:rFonts w:ascii="Times New Roman" w:hAnsi="Times New Roman"/>
          <w:color w:val="auto"/>
          <w:lang w:eastAsia="hi-IN" w:bidi="hi-IN"/>
        </w:rPr>
        <w:tab/>
      </w:r>
      <w:r w:rsidRPr="00425658">
        <w:rPr>
          <w:rFonts w:ascii="Times New Roman" w:hAnsi="Times New Roman"/>
          <w:color w:val="auto"/>
          <w:lang w:eastAsia="hi-IN" w:bidi="hi-IN"/>
        </w:rPr>
        <w:tab/>
      </w:r>
    </w:p>
    <w:p w:rsidR="00A20315" w:rsidRPr="00425658" w:rsidRDefault="00A20315" w:rsidP="00A20315">
      <w:pPr>
        <w:autoSpaceDE w:val="0"/>
        <w:ind w:firstLine="338"/>
        <w:rPr>
          <w:rFonts w:ascii="Times New Roman" w:hAnsi="Times New Roman"/>
          <w:color w:val="auto"/>
          <w:lang w:eastAsia="hi-IN" w:bidi="hi-IN"/>
        </w:rPr>
      </w:pPr>
      <w:r w:rsidRPr="00425658">
        <w:rPr>
          <w:rFonts w:ascii="Times New Roman" w:hAnsi="Times New Roman"/>
          <w:color w:val="auto"/>
          <w:lang w:eastAsia="hi-IN" w:bidi="hi-IN"/>
        </w:rPr>
        <w:t>valsts sekretārs</w:t>
      </w:r>
      <w:r w:rsidRPr="00425658">
        <w:rPr>
          <w:rFonts w:ascii="Times New Roman" w:hAnsi="Times New Roman"/>
          <w:color w:val="auto"/>
          <w:lang w:eastAsia="hi-IN" w:bidi="hi-IN"/>
        </w:rPr>
        <w:tab/>
      </w:r>
      <w:r w:rsidRPr="00425658">
        <w:rPr>
          <w:rFonts w:ascii="Times New Roman" w:hAnsi="Times New Roman"/>
          <w:color w:val="auto"/>
          <w:lang w:eastAsia="hi-IN" w:bidi="hi-IN"/>
        </w:rPr>
        <w:tab/>
      </w:r>
      <w:r w:rsidRPr="00425658">
        <w:rPr>
          <w:rFonts w:ascii="Times New Roman" w:hAnsi="Times New Roman"/>
          <w:color w:val="auto"/>
          <w:lang w:eastAsia="hi-IN" w:bidi="hi-IN"/>
        </w:rPr>
        <w:tab/>
      </w:r>
      <w:r w:rsidRPr="00425658">
        <w:rPr>
          <w:rFonts w:ascii="Times New Roman" w:hAnsi="Times New Roman"/>
          <w:color w:val="auto"/>
          <w:lang w:eastAsia="hi-IN" w:bidi="hi-IN"/>
        </w:rPr>
        <w:tab/>
      </w:r>
      <w:r w:rsidRPr="00425658">
        <w:rPr>
          <w:rFonts w:ascii="Times New Roman" w:hAnsi="Times New Roman"/>
          <w:color w:val="auto"/>
          <w:lang w:eastAsia="hi-IN" w:bidi="hi-IN"/>
        </w:rPr>
        <w:tab/>
      </w:r>
      <w:r w:rsidRPr="00425658">
        <w:rPr>
          <w:rFonts w:ascii="Times New Roman" w:hAnsi="Times New Roman"/>
          <w:color w:val="auto"/>
          <w:lang w:eastAsia="hi-IN" w:bidi="hi-IN"/>
        </w:rPr>
        <w:tab/>
      </w:r>
      <w:r w:rsidRPr="00425658">
        <w:rPr>
          <w:rFonts w:ascii="Times New Roman" w:hAnsi="Times New Roman"/>
          <w:color w:val="auto"/>
          <w:lang w:eastAsia="hi-IN" w:bidi="hi-IN"/>
        </w:rPr>
        <w:tab/>
        <w:t>R. Muciņš</w:t>
      </w:r>
    </w:p>
    <w:p w:rsidR="00A20315" w:rsidRPr="00425658" w:rsidRDefault="00A20315" w:rsidP="00A20315">
      <w:pPr>
        <w:autoSpaceDE w:val="0"/>
        <w:ind w:firstLine="338"/>
        <w:rPr>
          <w:rFonts w:ascii="Times New Roman" w:hAnsi="Times New Roman"/>
          <w:color w:val="auto"/>
          <w:lang w:eastAsia="hi-IN" w:bidi="hi-IN"/>
        </w:rPr>
      </w:pPr>
    </w:p>
    <w:p w:rsidR="00A20315" w:rsidRPr="00425658" w:rsidRDefault="00A20315" w:rsidP="00A20315">
      <w:pPr>
        <w:autoSpaceDE w:val="0"/>
        <w:ind w:firstLine="338"/>
        <w:rPr>
          <w:rFonts w:ascii="Times New Roman" w:hAnsi="Times New Roman"/>
          <w:color w:val="auto"/>
          <w:lang w:eastAsia="hi-IN" w:bidi="hi-IN"/>
        </w:rPr>
      </w:pPr>
    </w:p>
    <w:p w:rsidR="00A20315" w:rsidRPr="00425658" w:rsidRDefault="00A20315" w:rsidP="00A20315">
      <w:pPr>
        <w:autoSpaceDE w:val="0"/>
        <w:ind w:firstLine="338"/>
        <w:rPr>
          <w:rFonts w:ascii="Times New Roman" w:hAnsi="Times New Roman"/>
          <w:color w:val="auto"/>
          <w:lang w:eastAsia="hi-IN" w:bidi="hi-IN"/>
        </w:rPr>
      </w:pPr>
    </w:p>
    <w:p w:rsidR="00A20315" w:rsidRPr="00425658" w:rsidRDefault="00A20315" w:rsidP="00A20315">
      <w:pPr>
        <w:autoSpaceDE w:val="0"/>
        <w:ind w:firstLine="338"/>
        <w:rPr>
          <w:rFonts w:ascii="Times New Roman" w:hAnsi="Times New Roman"/>
          <w:color w:val="auto"/>
          <w:lang w:eastAsia="hi-IN" w:bidi="hi-IN"/>
        </w:rPr>
      </w:pPr>
    </w:p>
    <w:p w:rsidR="00DF00AE" w:rsidRPr="00425658" w:rsidRDefault="00DF00AE" w:rsidP="00A20315">
      <w:pPr>
        <w:jc w:val="both"/>
        <w:rPr>
          <w:rFonts w:ascii="Times New Roman" w:hAnsi="Times New Roman"/>
          <w:color w:val="auto"/>
          <w:sz w:val="20"/>
          <w:szCs w:val="20"/>
        </w:rPr>
      </w:pPr>
      <w:r w:rsidRPr="00425658">
        <w:rPr>
          <w:rFonts w:ascii="Times New Roman" w:hAnsi="Times New Roman"/>
          <w:color w:val="auto"/>
          <w:sz w:val="20"/>
          <w:szCs w:val="20"/>
        </w:rPr>
        <w:t>04.11.2016 13:07</w:t>
      </w:r>
    </w:p>
    <w:p w:rsidR="00A20315" w:rsidRPr="00425658" w:rsidRDefault="00296320" w:rsidP="00A20315">
      <w:pPr>
        <w:jc w:val="both"/>
        <w:rPr>
          <w:rFonts w:ascii="Times New Roman" w:hAnsi="Times New Roman"/>
          <w:color w:val="auto"/>
          <w:sz w:val="20"/>
          <w:szCs w:val="20"/>
        </w:rPr>
      </w:pPr>
      <w:r w:rsidRPr="00425658">
        <w:fldChar w:fldCharType="begin"/>
      </w:r>
      <w:r w:rsidRPr="00425658">
        <w:instrText xml:space="preserve"> NUMWORDS   \* MERGEFORMAT </w:instrText>
      </w:r>
      <w:r w:rsidRPr="00425658">
        <w:fldChar w:fldCharType="separate"/>
      </w:r>
      <w:r w:rsidR="00425658" w:rsidRPr="00425658">
        <w:rPr>
          <w:rFonts w:ascii="Times New Roman" w:hAnsi="Times New Roman"/>
          <w:noProof/>
          <w:color w:val="auto"/>
          <w:sz w:val="20"/>
          <w:szCs w:val="20"/>
        </w:rPr>
        <w:t>6894</w:t>
      </w:r>
      <w:r w:rsidRPr="00425658">
        <w:rPr>
          <w:rFonts w:ascii="Times New Roman" w:hAnsi="Times New Roman"/>
          <w:noProof/>
          <w:color w:val="auto"/>
          <w:sz w:val="20"/>
          <w:szCs w:val="20"/>
        </w:rPr>
        <w:fldChar w:fldCharType="end"/>
      </w:r>
    </w:p>
    <w:p w:rsidR="00A20315" w:rsidRPr="00425658" w:rsidRDefault="00425658" w:rsidP="00A20315">
      <w:pPr>
        <w:jc w:val="both"/>
        <w:rPr>
          <w:rFonts w:ascii="Times New Roman" w:hAnsi="Times New Roman"/>
          <w:color w:val="auto"/>
          <w:sz w:val="20"/>
          <w:szCs w:val="20"/>
        </w:rPr>
      </w:pPr>
      <w:r>
        <w:rPr>
          <w:rFonts w:ascii="Times New Roman" w:hAnsi="Times New Roman"/>
          <w:color w:val="auto"/>
          <w:sz w:val="20"/>
          <w:szCs w:val="20"/>
        </w:rPr>
        <w:t>L.Gintere</w:t>
      </w:r>
      <w:r w:rsidR="00A20315" w:rsidRPr="00425658">
        <w:rPr>
          <w:rFonts w:ascii="Times New Roman" w:hAnsi="Times New Roman"/>
          <w:color w:val="auto"/>
          <w:sz w:val="20"/>
          <w:szCs w:val="20"/>
        </w:rPr>
        <w:t>, 67026552</w:t>
      </w:r>
    </w:p>
    <w:p w:rsidR="00A20315" w:rsidRPr="00425658" w:rsidRDefault="00425658" w:rsidP="00A20315">
      <w:pPr>
        <w:jc w:val="both"/>
        <w:rPr>
          <w:rFonts w:ascii="Times New Roman" w:hAnsi="Times New Roman"/>
          <w:color w:val="auto"/>
          <w:sz w:val="20"/>
          <w:szCs w:val="20"/>
        </w:rPr>
      </w:pPr>
      <w:hyperlink r:id="rId13" w:history="1">
        <w:r w:rsidRPr="006F3902">
          <w:rPr>
            <w:rStyle w:val="Hyperlink"/>
            <w:rFonts w:ascii="Times New Roman" w:hAnsi="Times New Roman"/>
            <w:sz w:val="20"/>
            <w:szCs w:val="20"/>
          </w:rPr>
          <w:t>laura.gintere@varam.gov.lv</w:t>
        </w:r>
      </w:hyperlink>
    </w:p>
    <w:p w:rsidR="00A20315" w:rsidRPr="00425658" w:rsidRDefault="00A20315" w:rsidP="00A20315">
      <w:pPr>
        <w:rPr>
          <w:rFonts w:ascii="Times New Roman" w:hAnsi="Times New Roman"/>
          <w:color w:val="auto"/>
        </w:rPr>
      </w:pPr>
    </w:p>
    <w:p w:rsidR="00A20315" w:rsidRPr="00425658" w:rsidRDefault="00A20315" w:rsidP="00A20315">
      <w:pPr>
        <w:rPr>
          <w:color w:val="auto"/>
        </w:rPr>
      </w:pPr>
    </w:p>
    <w:p w:rsidR="00A20315" w:rsidRPr="00425658" w:rsidRDefault="00A20315" w:rsidP="00A20315"/>
    <w:p w:rsidR="00292AB1" w:rsidRPr="00425658" w:rsidRDefault="00296320">
      <w:bookmarkStart w:id="2" w:name="_GoBack"/>
      <w:bookmarkEnd w:id="2"/>
    </w:p>
    <w:sectPr w:rsidR="00292AB1" w:rsidRPr="00425658" w:rsidSect="00ED1A4C">
      <w:headerReference w:type="default" r:id="rId14"/>
      <w:footerReference w:type="default" r:id="rId15"/>
      <w:footerReference w:type="first" r:id="rId16"/>
      <w:pgSz w:w="11907" w:h="16840"/>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20" w:rsidRDefault="00296320" w:rsidP="00A20315">
      <w:r>
        <w:separator/>
      </w:r>
    </w:p>
  </w:endnote>
  <w:endnote w:type="continuationSeparator" w:id="0">
    <w:p w:rsidR="00296320" w:rsidRDefault="00296320" w:rsidP="00A2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47" w:rsidRPr="0016324C" w:rsidRDefault="00030CF8" w:rsidP="00ED1A4C">
    <w:pPr>
      <w:shd w:val="clear" w:color="auto" w:fill="FFFFFF"/>
      <w:jc w:val="both"/>
      <w:rPr>
        <w:rFonts w:ascii="Times New Roman" w:hAnsi="Times New Roman"/>
        <w:sz w:val="20"/>
        <w:szCs w:val="20"/>
      </w:rPr>
    </w:pPr>
    <w:r w:rsidRPr="008D5997">
      <w:rPr>
        <w:rFonts w:ascii="Times New Roman" w:hAnsi="Times New Roman"/>
        <w:sz w:val="20"/>
        <w:szCs w:val="20"/>
      </w:rPr>
      <w:t>VARAMZ</w:t>
    </w:r>
    <w:r>
      <w:rPr>
        <w:rFonts w:ascii="Times New Roman" w:hAnsi="Times New Roman"/>
        <w:sz w:val="20"/>
        <w:szCs w:val="20"/>
      </w:rPr>
      <w:t>ino</w:t>
    </w:r>
    <w:r w:rsidRPr="008D5997">
      <w:rPr>
        <w:rFonts w:ascii="Times New Roman" w:hAnsi="Times New Roman"/>
        <w:sz w:val="20"/>
        <w:szCs w:val="20"/>
      </w:rPr>
      <w:t>_</w:t>
    </w:r>
    <w:r w:rsidR="00DF00AE">
      <w:rPr>
        <w:rFonts w:ascii="Times New Roman" w:hAnsi="Times New Roman"/>
        <w:sz w:val="20"/>
        <w:szCs w:val="20"/>
      </w:rPr>
      <w:t>0411</w:t>
    </w:r>
    <w:r w:rsidRPr="008D5997">
      <w:rPr>
        <w:rFonts w:ascii="Times New Roman" w:hAnsi="Times New Roman"/>
        <w:sz w:val="20"/>
        <w:szCs w:val="20"/>
      </w:rPr>
      <w:t>16_eID; Informatīvais ziņojums „</w:t>
    </w:r>
    <w:r w:rsidRPr="00CB72BF">
      <w:rPr>
        <w:rFonts w:ascii="Times New Roman" w:hAnsi="Times New Roman"/>
        <w:sz w:val="20"/>
        <w:szCs w:val="20"/>
      </w:rPr>
      <w:t>Par</w:t>
    </w:r>
    <w:r w:rsidRPr="00CB72BF">
      <w:rPr>
        <w:rFonts w:ascii="Times New Roman" w:eastAsia="Times New Roman" w:hAnsi="Times New Roman"/>
        <w:sz w:val="20"/>
        <w:szCs w:val="20"/>
        <w:lang w:eastAsia="lv-LV"/>
      </w:rPr>
      <w:t xml:space="preserve"> iespējamiem finansēšanas risinājumiem</w:t>
    </w:r>
    <w:r w:rsidRPr="00CB72BF">
      <w:rPr>
        <w:rFonts w:ascii="Times New Roman" w:hAnsi="Times New Roman"/>
        <w:sz w:val="20"/>
        <w:szCs w:val="20"/>
      </w:rPr>
      <w:t xml:space="preserve"> </w:t>
    </w:r>
    <w:r w:rsidRPr="00CB72BF">
      <w:rPr>
        <w:rFonts w:ascii="Times New Roman" w:eastAsia="Times New Roman" w:hAnsi="Times New Roman"/>
        <w:sz w:val="20"/>
        <w:szCs w:val="20"/>
        <w:lang w:eastAsia="lv-LV"/>
      </w:rPr>
      <w:t xml:space="preserve">sertifikācijas pakalpojumu </w:t>
    </w:r>
    <w:r w:rsidRPr="00CB72BF">
      <w:rPr>
        <w:rFonts w:ascii="Times New Roman" w:hAnsi="Times New Roman"/>
        <w:sz w:val="20"/>
        <w:szCs w:val="20"/>
      </w:rPr>
      <w:t>nodrošināšanai personu apliecībās (eID) un par</w:t>
    </w:r>
    <w:r w:rsidRPr="00CB72BF">
      <w:rPr>
        <w:rFonts w:ascii="Times New Roman" w:eastAsia="Times New Roman" w:hAnsi="Times New Roman"/>
        <w:sz w:val="20"/>
        <w:szCs w:val="20"/>
      </w:rPr>
      <w:t xml:space="preserve"> (eID), kā vienotu un prioritāru līdzekli personas elektron</w:t>
    </w:r>
    <w:r>
      <w:rPr>
        <w:rFonts w:ascii="Times New Roman" w:eastAsia="Times New Roman" w:hAnsi="Times New Roman"/>
        <w:sz w:val="20"/>
        <w:szCs w:val="20"/>
      </w:rPr>
      <w:t>iskās identitātes nodrošināšana</w:t>
    </w:r>
    <w:r w:rsidRPr="008D5997">
      <w:rPr>
        <w:rFonts w:ascii="Times New Roman" w:eastAsia="Times New Roman" w:hAnsi="Times New Roman"/>
        <w:sz w:val="20"/>
        <w:szCs w:val="20"/>
      </w:rPr>
      <w:t>i</w:t>
    </w:r>
    <w:r w:rsidRPr="00A81786">
      <w:rPr>
        <w:rFonts w:ascii="Times New Roman" w:hAnsi="Times New Roman"/>
        <w:sz w:val="20"/>
        <w:szCs w:val="20"/>
      </w:rPr>
      <w:t>”</w:t>
    </w:r>
  </w:p>
  <w:p w:rsidR="00146B47" w:rsidRPr="008D5997" w:rsidRDefault="00296320" w:rsidP="00ED1A4C">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47" w:rsidRPr="0016324C" w:rsidRDefault="00030CF8" w:rsidP="00ED1A4C">
    <w:pPr>
      <w:shd w:val="clear" w:color="auto" w:fill="FFFFFF"/>
      <w:jc w:val="both"/>
      <w:rPr>
        <w:rFonts w:ascii="Times New Roman" w:hAnsi="Times New Roman"/>
        <w:sz w:val="20"/>
        <w:szCs w:val="20"/>
      </w:rPr>
    </w:pPr>
    <w:r w:rsidRPr="008D5997">
      <w:rPr>
        <w:rFonts w:ascii="Times New Roman" w:hAnsi="Times New Roman"/>
        <w:sz w:val="20"/>
        <w:szCs w:val="20"/>
      </w:rPr>
      <w:t>VARAMZ</w:t>
    </w:r>
    <w:r>
      <w:rPr>
        <w:rFonts w:ascii="Times New Roman" w:hAnsi="Times New Roman"/>
        <w:sz w:val="20"/>
        <w:szCs w:val="20"/>
      </w:rPr>
      <w:t>ino</w:t>
    </w:r>
    <w:r w:rsidRPr="008D5997">
      <w:rPr>
        <w:rFonts w:ascii="Times New Roman" w:hAnsi="Times New Roman"/>
        <w:sz w:val="20"/>
        <w:szCs w:val="20"/>
      </w:rPr>
      <w:t>_</w:t>
    </w:r>
    <w:r w:rsidR="00DF00AE">
      <w:rPr>
        <w:rFonts w:ascii="Times New Roman" w:hAnsi="Times New Roman"/>
        <w:sz w:val="20"/>
        <w:szCs w:val="20"/>
      </w:rPr>
      <w:t>0411</w:t>
    </w:r>
    <w:r w:rsidRPr="008D5997">
      <w:rPr>
        <w:rFonts w:ascii="Times New Roman" w:hAnsi="Times New Roman"/>
        <w:sz w:val="20"/>
        <w:szCs w:val="20"/>
      </w:rPr>
      <w:t>16_eID; Informatīvais ziņojums „</w:t>
    </w:r>
    <w:r w:rsidRPr="00CB72BF">
      <w:rPr>
        <w:rFonts w:ascii="Times New Roman" w:hAnsi="Times New Roman"/>
        <w:sz w:val="20"/>
        <w:szCs w:val="20"/>
      </w:rPr>
      <w:t>Par</w:t>
    </w:r>
    <w:r w:rsidRPr="00CB72BF">
      <w:rPr>
        <w:rFonts w:ascii="Times New Roman" w:eastAsia="Times New Roman" w:hAnsi="Times New Roman"/>
        <w:sz w:val="20"/>
        <w:szCs w:val="20"/>
        <w:lang w:eastAsia="lv-LV"/>
      </w:rPr>
      <w:t xml:space="preserve"> iespējamiem finansēšanas risinājumiem</w:t>
    </w:r>
    <w:r w:rsidRPr="00CB72BF">
      <w:rPr>
        <w:rFonts w:ascii="Times New Roman" w:hAnsi="Times New Roman"/>
        <w:sz w:val="20"/>
        <w:szCs w:val="20"/>
      </w:rPr>
      <w:t xml:space="preserve"> </w:t>
    </w:r>
    <w:r w:rsidRPr="00CB72BF">
      <w:rPr>
        <w:rFonts w:ascii="Times New Roman" w:eastAsia="Times New Roman" w:hAnsi="Times New Roman"/>
        <w:sz w:val="20"/>
        <w:szCs w:val="20"/>
        <w:lang w:eastAsia="lv-LV"/>
      </w:rPr>
      <w:t xml:space="preserve">sertifikācijas pakalpojumu </w:t>
    </w:r>
    <w:r w:rsidRPr="00CB72BF">
      <w:rPr>
        <w:rFonts w:ascii="Times New Roman" w:hAnsi="Times New Roman"/>
        <w:sz w:val="20"/>
        <w:szCs w:val="20"/>
      </w:rPr>
      <w:t>nodrošināšanai personu apliecībās (eID) un par</w:t>
    </w:r>
    <w:r w:rsidRPr="00CB72BF">
      <w:rPr>
        <w:rFonts w:ascii="Times New Roman" w:eastAsia="Times New Roman" w:hAnsi="Times New Roman"/>
        <w:sz w:val="20"/>
        <w:szCs w:val="20"/>
      </w:rPr>
      <w:t xml:space="preserve"> (eID), kā vienotu un prioritāru līdzekli personas elektron</w:t>
    </w:r>
    <w:r>
      <w:rPr>
        <w:rFonts w:ascii="Times New Roman" w:eastAsia="Times New Roman" w:hAnsi="Times New Roman"/>
        <w:sz w:val="20"/>
        <w:szCs w:val="20"/>
      </w:rPr>
      <w:t>iskās identitātes nodrošināšana</w:t>
    </w:r>
    <w:r w:rsidRPr="008D5997">
      <w:rPr>
        <w:rFonts w:ascii="Times New Roman" w:eastAsia="Times New Roman" w:hAnsi="Times New Roman"/>
        <w:sz w:val="20"/>
        <w:szCs w:val="20"/>
      </w:rPr>
      <w:t>i</w:t>
    </w:r>
    <w:r w:rsidRPr="00A81786">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20" w:rsidRDefault="00296320" w:rsidP="00A20315">
      <w:r>
        <w:separator/>
      </w:r>
    </w:p>
  </w:footnote>
  <w:footnote w:type="continuationSeparator" w:id="0">
    <w:p w:rsidR="00296320" w:rsidRDefault="00296320" w:rsidP="00A20315">
      <w:r>
        <w:continuationSeparator/>
      </w:r>
    </w:p>
  </w:footnote>
  <w:footnote w:id="1">
    <w:p w:rsidR="00A20315" w:rsidRPr="009D651C" w:rsidRDefault="00A20315" w:rsidP="00A20315">
      <w:pPr>
        <w:pStyle w:val="FootnoteText"/>
        <w:tabs>
          <w:tab w:val="clear" w:pos="567"/>
          <w:tab w:val="left" w:pos="0"/>
        </w:tabs>
        <w:ind w:left="0" w:firstLine="0"/>
        <w:rPr>
          <w:lang w:val="lv-LV"/>
        </w:rPr>
      </w:pPr>
      <w:r>
        <w:rPr>
          <w:rStyle w:val="FootnoteReference"/>
        </w:rPr>
        <w:footnoteRef/>
      </w:r>
      <w:r w:rsidRPr="009D651C">
        <w:rPr>
          <w:lang w:val="lv-LV"/>
        </w:rPr>
        <w:t xml:space="preserve"> </w:t>
      </w:r>
      <w:r w:rsidRPr="009D651C">
        <w:rPr>
          <w:sz w:val="20"/>
          <w:szCs w:val="20"/>
          <w:lang w:val="lv-LV"/>
        </w:rPr>
        <w:t>Darbības programma “Izaugsme un nodarbinātība”, Latvijas Republikas Finanšu ministrija Rīga, 2014 ieguldījumu stratēģija paredz jaunu e-pakalpojumu izveidi un esošo pilnveidi, paredzot finansiālus un sociālekonomiskus ieguvumus.</w:t>
      </w:r>
    </w:p>
  </w:footnote>
  <w:footnote w:id="2">
    <w:p w:rsidR="00A20315" w:rsidRPr="009D651C" w:rsidRDefault="00A20315" w:rsidP="00A20315">
      <w:pPr>
        <w:pStyle w:val="FootnoteText"/>
        <w:tabs>
          <w:tab w:val="clear" w:pos="567"/>
          <w:tab w:val="left" w:pos="0"/>
        </w:tabs>
        <w:ind w:left="0" w:firstLine="0"/>
        <w:rPr>
          <w:lang w:val="lv-LV"/>
        </w:rPr>
      </w:pPr>
      <w:r>
        <w:rPr>
          <w:rStyle w:val="FootnoteReference"/>
        </w:rPr>
        <w:footnoteRef/>
      </w:r>
      <w:r w:rsidRPr="009D651C">
        <w:rPr>
          <w:lang w:val="lv-LV"/>
        </w:rPr>
        <w:t xml:space="preserve"> </w:t>
      </w:r>
      <w:r w:rsidRPr="009D651C">
        <w:rPr>
          <w:sz w:val="20"/>
          <w:szCs w:val="20"/>
          <w:lang w:val="lv-LV"/>
        </w:rPr>
        <w:t>Darbības programma “Izaugsme un nodarbinātība”, Latvijas Republikas Finanšu ministrija Rīga, 2014 ieguldījumu stratēģija paredz jaunu e-pakalpojumu izveidi un esošo pilnveidi, paredzot finansiālus un sociālekonomiskus ieguvumus.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47" w:rsidRDefault="00030CF8">
    <w:pPr>
      <w:pStyle w:val="Head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25658">
      <w:rPr>
        <w:rFonts w:ascii="Times New Roman" w:hAnsi="Times New Roman"/>
        <w:noProof/>
      </w:rPr>
      <w:t>18</w:t>
    </w:r>
    <w:r>
      <w:rPr>
        <w:rFonts w:ascii="Times New Roman" w:hAnsi="Times New Roman"/>
      </w:rPr>
      <w:fldChar w:fldCharType="end"/>
    </w:r>
  </w:p>
  <w:p w:rsidR="00146B47" w:rsidRDefault="00296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4D"/>
    <w:multiLevelType w:val="hybridMultilevel"/>
    <w:tmpl w:val="A33CB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8E188D"/>
    <w:multiLevelType w:val="hybridMultilevel"/>
    <w:tmpl w:val="018A52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4B20A78"/>
    <w:multiLevelType w:val="hybridMultilevel"/>
    <w:tmpl w:val="B5CE201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F4A6AD8"/>
    <w:multiLevelType w:val="hybridMultilevel"/>
    <w:tmpl w:val="61321CA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2C572E8"/>
    <w:multiLevelType w:val="hybridMultilevel"/>
    <w:tmpl w:val="9EB07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70779"/>
    <w:multiLevelType w:val="hybridMultilevel"/>
    <w:tmpl w:val="9A10FC22"/>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6">
    <w:nsid w:val="4417762E"/>
    <w:multiLevelType w:val="hybridMultilevel"/>
    <w:tmpl w:val="2DC8A2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E3F4EAF"/>
    <w:multiLevelType w:val="hybridMultilevel"/>
    <w:tmpl w:val="346802F0"/>
    <w:lvl w:ilvl="0" w:tplc="22FA2FC6">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4B37AB3"/>
    <w:multiLevelType w:val="hybridMultilevel"/>
    <w:tmpl w:val="AB1CB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DA2018"/>
    <w:multiLevelType w:val="hybridMultilevel"/>
    <w:tmpl w:val="BB2AC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E792F89"/>
    <w:multiLevelType w:val="hybridMultilevel"/>
    <w:tmpl w:val="B85640C6"/>
    <w:lvl w:ilvl="0" w:tplc="708E72E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9"/>
  </w:num>
  <w:num w:numId="5">
    <w:abstractNumId w:val="8"/>
  </w:num>
  <w:num w:numId="6">
    <w:abstractNumId w:val="4"/>
  </w:num>
  <w:num w:numId="7">
    <w:abstractNumId w:val="1"/>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15"/>
    <w:rsid w:val="00030CF8"/>
    <w:rsid w:val="00040BDD"/>
    <w:rsid w:val="000A3B11"/>
    <w:rsid w:val="00296320"/>
    <w:rsid w:val="00353853"/>
    <w:rsid w:val="00425658"/>
    <w:rsid w:val="009508A8"/>
    <w:rsid w:val="00A20315"/>
    <w:rsid w:val="00CD1BEF"/>
    <w:rsid w:val="00D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315"/>
    <w:pPr>
      <w:autoSpaceDN w:val="0"/>
      <w:spacing w:after="0" w:line="240" w:lineRule="auto"/>
      <w:textAlignment w:val="baseline"/>
    </w:pPr>
    <w:rPr>
      <w:rFonts w:ascii="Arial" w:eastAsia="ヒラギノ角ゴ Pro W3" w:hAnsi="Arial" w:cs="Times New Roman"/>
      <w:color w:val="000000"/>
      <w:kern w:val="3"/>
      <w:sz w:val="24"/>
      <w:szCs w:val="24"/>
      <w:lang w:val="lv-LV" w:eastAsia="ar-SA"/>
    </w:rPr>
  </w:style>
  <w:style w:type="paragraph" w:styleId="Heading1">
    <w:name w:val="heading 1"/>
    <w:basedOn w:val="Normal"/>
    <w:next w:val="Normal"/>
    <w:link w:val="Heading1Char"/>
    <w:uiPriority w:val="9"/>
    <w:qFormat/>
    <w:rsid w:val="00A20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0315"/>
    <w:pPr>
      <w:keepNext/>
      <w:autoSpaceDN/>
      <w:spacing w:before="240" w:after="60"/>
      <w:textAlignment w:val="auto"/>
      <w:outlineLvl w:val="1"/>
    </w:pPr>
    <w:rPr>
      <w:rFonts w:eastAsia="Times New Roman" w:cs="Arial"/>
      <w:b/>
      <w:bCs/>
      <w:i/>
      <w:iCs/>
      <w:color w:val="auto"/>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15"/>
    <w:rPr>
      <w:rFonts w:asciiTheme="majorHAnsi" w:eastAsiaTheme="majorEastAsia" w:hAnsiTheme="majorHAnsi" w:cstheme="majorBidi"/>
      <w:b/>
      <w:bCs/>
      <w:color w:val="365F91" w:themeColor="accent1" w:themeShade="BF"/>
      <w:kern w:val="3"/>
      <w:sz w:val="28"/>
      <w:szCs w:val="28"/>
      <w:lang w:val="lv-LV" w:eastAsia="ar-SA"/>
    </w:rPr>
  </w:style>
  <w:style w:type="character" w:customStyle="1" w:styleId="Heading2Char">
    <w:name w:val="Heading 2 Char"/>
    <w:basedOn w:val="DefaultParagraphFont"/>
    <w:link w:val="Heading2"/>
    <w:rsid w:val="00A20315"/>
    <w:rPr>
      <w:rFonts w:ascii="Arial" w:eastAsia="Times New Roman" w:hAnsi="Arial" w:cs="Arial"/>
      <w:b/>
      <w:bCs/>
      <w:i/>
      <w:iCs/>
      <w:sz w:val="28"/>
      <w:szCs w:val="28"/>
      <w:lang w:val="lv-LV"/>
    </w:rPr>
  </w:style>
  <w:style w:type="character" w:styleId="Hyperlink">
    <w:name w:val="Hyperlink"/>
    <w:rsid w:val="00A20315"/>
    <w:rPr>
      <w:color w:val="000080"/>
      <w:u w:val="single"/>
    </w:rPr>
  </w:style>
  <w:style w:type="paragraph" w:styleId="Header">
    <w:name w:val="header"/>
    <w:link w:val="HeaderChar"/>
    <w:rsid w:val="00A20315"/>
    <w:pPr>
      <w:autoSpaceDN w:val="0"/>
      <w:spacing w:after="0" w:line="240" w:lineRule="auto"/>
      <w:textAlignment w:val="baseline"/>
    </w:pPr>
    <w:rPr>
      <w:rFonts w:ascii="Arial" w:eastAsia="ヒラギノ角ゴ Pro W3" w:hAnsi="Arial" w:cs="Times New Roman"/>
      <w:color w:val="000000"/>
      <w:kern w:val="3"/>
      <w:sz w:val="24"/>
      <w:szCs w:val="20"/>
      <w:lang w:val="lv-LV" w:eastAsia="hi-IN" w:bidi="hi-IN"/>
    </w:rPr>
  </w:style>
  <w:style w:type="character" w:customStyle="1" w:styleId="HeaderChar">
    <w:name w:val="Header Char"/>
    <w:basedOn w:val="DefaultParagraphFont"/>
    <w:link w:val="Header"/>
    <w:rsid w:val="00A20315"/>
    <w:rPr>
      <w:rFonts w:ascii="Arial" w:eastAsia="ヒラギノ角ゴ Pro W3" w:hAnsi="Arial" w:cs="Times New Roman"/>
      <w:color w:val="000000"/>
      <w:kern w:val="3"/>
      <w:sz w:val="24"/>
      <w:szCs w:val="20"/>
      <w:lang w:val="lv-LV" w:eastAsia="hi-IN" w:bidi="hi-IN"/>
    </w:rPr>
  </w:style>
  <w:style w:type="paragraph" w:styleId="CommentText">
    <w:name w:val="annotation text"/>
    <w:basedOn w:val="Normal"/>
    <w:link w:val="CommentTextChar"/>
    <w:uiPriority w:val="99"/>
    <w:unhideWhenUsed/>
    <w:rsid w:val="00A20315"/>
    <w:rPr>
      <w:sz w:val="20"/>
      <w:szCs w:val="20"/>
    </w:rPr>
  </w:style>
  <w:style w:type="character" w:customStyle="1" w:styleId="CommentTextChar">
    <w:name w:val="Comment Text Char"/>
    <w:basedOn w:val="DefaultParagraphFont"/>
    <w:link w:val="CommentText"/>
    <w:uiPriority w:val="99"/>
    <w:rsid w:val="00A20315"/>
    <w:rPr>
      <w:rFonts w:ascii="Arial" w:eastAsia="ヒラギノ角ゴ Pro W3" w:hAnsi="Arial" w:cs="Times New Roman"/>
      <w:color w:val="000000"/>
      <w:kern w:val="3"/>
      <w:sz w:val="20"/>
      <w:szCs w:val="20"/>
      <w:lang w:val="lv-LV" w:eastAsia="ar-SA"/>
    </w:rPr>
  </w:style>
  <w:style w:type="character" w:customStyle="1" w:styleId="spelle">
    <w:name w:val="spelle"/>
    <w:rsid w:val="00A20315"/>
    <w:rPr>
      <w:rFonts w:cs="Times New Roman"/>
    </w:rPr>
  </w:style>
  <w:style w:type="paragraph" w:styleId="ListParagraph">
    <w:name w:val="List Paragraph"/>
    <w:basedOn w:val="Normal"/>
    <w:uiPriority w:val="34"/>
    <w:qFormat/>
    <w:rsid w:val="00A20315"/>
    <w:pPr>
      <w:autoSpaceDN/>
      <w:spacing w:after="200" w:line="276" w:lineRule="auto"/>
      <w:ind w:left="720"/>
      <w:contextualSpacing/>
      <w:textAlignment w:val="auto"/>
    </w:pPr>
    <w:rPr>
      <w:rFonts w:asciiTheme="minorHAnsi" w:eastAsiaTheme="minorEastAsia" w:hAnsiTheme="minorHAnsi" w:cstheme="minorBidi"/>
      <w:color w:val="auto"/>
      <w:kern w:val="0"/>
      <w:sz w:val="22"/>
      <w:szCs w:val="22"/>
      <w:lang w:eastAsia="lv-LV"/>
    </w:rPr>
  </w:style>
  <w:style w:type="paragraph" w:customStyle="1" w:styleId="tv213">
    <w:name w:val="tv213"/>
    <w:basedOn w:val="Normal"/>
    <w:rsid w:val="00A20315"/>
    <w:pPr>
      <w:autoSpaceDN/>
      <w:spacing w:before="100" w:beforeAutospacing="1" w:after="100" w:afterAutospacing="1"/>
      <w:textAlignment w:val="auto"/>
    </w:pPr>
    <w:rPr>
      <w:rFonts w:ascii="Times New Roman" w:eastAsia="Times New Roman" w:hAnsi="Times New Roman"/>
      <w:color w:val="auto"/>
      <w:kern w:val="0"/>
      <w:lang w:val="en-US" w:eastAsia="lv-LV"/>
    </w:rPr>
  </w:style>
  <w:style w:type="paragraph" w:styleId="Footer">
    <w:name w:val="footer"/>
    <w:basedOn w:val="Normal"/>
    <w:link w:val="FooterChar"/>
    <w:uiPriority w:val="99"/>
    <w:unhideWhenUsed/>
    <w:rsid w:val="00A20315"/>
    <w:pPr>
      <w:tabs>
        <w:tab w:val="center" w:pos="4153"/>
        <w:tab w:val="right" w:pos="8306"/>
      </w:tabs>
    </w:pPr>
  </w:style>
  <w:style w:type="character" w:customStyle="1" w:styleId="FooterChar">
    <w:name w:val="Footer Char"/>
    <w:basedOn w:val="DefaultParagraphFont"/>
    <w:link w:val="Footer"/>
    <w:uiPriority w:val="99"/>
    <w:rsid w:val="00A20315"/>
    <w:rPr>
      <w:rFonts w:ascii="Arial" w:eastAsia="ヒラギノ角ゴ Pro W3" w:hAnsi="Arial" w:cs="Times New Roman"/>
      <w:color w:val="000000"/>
      <w:kern w:val="3"/>
      <w:sz w:val="24"/>
      <w:szCs w:val="24"/>
      <w:lang w:val="lv-LV" w:eastAsia="ar-SA"/>
    </w:rPr>
  </w:style>
  <w:style w:type="paragraph" w:styleId="FootnoteText">
    <w:name w:val="footnote text"/>
    <w:basedOn w:val="Normal"/>
    <w:link w:val="FootnoteTextChar"/>
    <w:uiPriority w:val="99"/>
    <w:rsid w:val="00A20315"/>
    <w:pPr>
      <w:widowControl w:val="0"/>
      <w:tabs>
        <w:tab w:val="left" w:pos="567"/>
      </w:tabs>
      <w:autoSpaceDN/>
      <w:ind w:left="567" w:hanging="567"/>
      <w:textAlignment w:val="auto"/>
    </w:pPr>
    <w:rPr>
      <w:rFonts w:ascii="Times New Roman" w:eastAsia="Times New Roman" w:hAnsi="Times New Roman"/>
      <w:color w:val="auto"/>
      <w:kern w:val="0"/>
      <w:lang w:val="en-GB" w:eastAsia="fr-BE"/>
    </w:rPr>
  </w:style>
  <w:style w:type="character" w:customStyle="1" w:styleId="FootnoteTextChar">
    <w:name w:val="Footnote Text Char"/>
    <w:basedOn w:val="DefaultParagraphFont"/>
    <w:link w:val="FootnoteText"/>
    <w:uiPriority w:val="99"/>
    <w:rsid w:val="00A20315"/>
    <w:rPr>
      <w:rFonts w:ascii="Times New Roman" w:eastAsia="Times New Roman" w:hAnsi="Times New Roman" w:cs="Times New Roman"/>
      <w:sz w:val="24"/>
      <w:szCs w:val="24"/>
      <w:lang w:val="en-GB" w:eastAsia="fr-BE"/>
    </w:rPr>
  </w:style>
  <w:style w:type="character" w:styleId="FootnoteReference">
    <w:name w:val="footnote reference"/>
    <w:uiPriority w:val="99"/>
    <w:rsid w:val="00A20315"/>
    <w:rPr>
      <w:vertAlign w:val="superscript"/>
    </w:rPr>
  </w:style>
  <w:style w:type="paragraph" w:styleId="NormalWeb">
    <w:name w:val="Normal (Web)"/>
    <w:basedOn w:val="Normal"/>
    <w:uiPriority w:val="99"/>
    <w:rsid w:val="00A20315"/>
    <w:pPr>
      <w:suppressAutoHyphens/>
      <w:spacing w:before="100" w:after="100"/>
    </w:pPr>
    <w:rPr>
      <w:rFonts w:ascii="Arial Unicode MS" w:eastAsia="Arial Unicode MS" w:hAnsi="Arial Unicode MS" w:cs="Arial Unicode MS"/>
      <w:color w:val="auto"/>
      <w:kern w:val="0"/>
      <w:lang w:val="en-US" w:eastAsia="en-US"/>
    </w:rPr>
  </w:style>
  <w:style w:type="character" w:customStyle="1" w:styleId="apple-converted-space">
    <w:name w:val="apple-converted-space"/>
    <w:basedOn w:val="DefaultParagraphFont"/>
    <w:rsid w:val="00A20315"/>
  </w:style>
  <w:style w:type="character" w:customStyle="1" w:styleId="BalloonTextChar">
    <w:name w:val="Balloon Text Char"/>
    <w:basedOn w:val="DefaultParagraphFont"/>
    <w:link w:val="BalloonText"/>
    <w:uiPriority w:val="99"/>
    <w:semiHidden/>
    <w:rsid w:val="00A20315"/>
    <w:rPr>
      <w:rFonts w:ascii="Tahoma" w:eastAsia="ヒラギノ角ゴ Pro W3" w:hAnsi="Tahoma" w:cs="Tahoma"/>
      <w:color w:val="000000"/>
      <w:kern w:val="3"/>
      <w:sz w:val="16"/>
      <w:szCs w:val="16"/>
      <w:lang w:val="lv-LV" w:eastAsia="ar-SA"/>
    </w:rPr>
  </w:style>
  <w:style w:type="paragraph" w:styleId="BalloonText">
    <w:name w:val="Balloon Text"/>
    <w:basedOn w:val="Normal"/>
    <w:link w:val="BalloonTextChar"/>
    <w:uiPriority w:val="99"/>
    <w:semiHidden/>
    <w:unhideWhenUsed/>
    <w:rsid w:val="00A20315"/>
    <w:rPr>
      <w:rFonts w:ascii="Tahoma" w:hAnsi="Tahoma" w:cs="Tahoma"/>
      <w:sz w:val="16"/>
      <w:szCs w:val="16"/>
    </w:rPr>
  </w:style>
  <w:style w:type="character" w:customStyle="1" w:styleId="BalloonTextChar1">
    <w:name w:val="Balloon Text Char1"/>
    <w:basedOn w:val="DefaultParagraphFont"/>
    <w:uiPriority w:val="99"/>
    <w:semiHidden/>
    <w:rsid w:val="00A20315"/>
    <w:rPr>
      <w:rFonts w:ascii="Tahoma" w:eastAsia="ヒラギノ角ゴ Pro W3" w:hAnsi="Tahoma" w:cs="Tahoma"/>
      <w:color w:val="000000"/>
      <w:kern w:val="3"/>
      <w:sz w:val="16"/>
      <w:szCs w:val="16"/>
      <w:lang w:val="lv-LV" w:eastAsia="ar-SA"/>
    </w:rPr>
  </w:style>
  <w:style w:type="character" w:customStyle="1" w:styleId="CommentSubjectChar">
    <w:name w:val="Comment Subject Char"/>
    <w:basedOn w:val="CommentTextChar"/>
    <w:link w:val="CommentSubject"/>
    <w:uiPriority w:val="99"/>
    <w:semiHidden/>
    <w:rsid w:val="00A20315"/>
    <w:rPr>
      <w:rFonts w:ascii="Arial" w:eastAsia="ヒラギノ角ゴ Pro W3" w:hAnsi="Arial" w:cs="Times New Roman"/>
      <w:b/>
      <w:bCs/>
      <w:color w:val="000000"/>
      <w:kern w:val="3"/>
      <w:sz w:val="20"/>
      <w:szCs w:val="20"/>
      <w:lang w:val="lv-LV" w:eastAsia="ar-SA"/>
    </w:rPr>
  </w:style>
  <w:style w:type="paragraph" w:styleId="CommentSubject">
    <w:name w:val="annotation subject"/>
    <w:basedOn w:val="CommentText"/>
    <w:next w:val="CommentText"/>
    <w:link w:val="CommentSubjectChar"/>
    <w:uiPriority w:val="99"/>
    <w:semiHidden/>
    <w:unhideWhenUsed/>
    <w:rsid w:val="00A20315"/>
    <w:rPr>
      <w:b/>
      <w:bCs/>
    </w:rPr>
  </w:style>
  <w:style w:type="character" w:customStyle="1" w:styleId="CommentSubjectChar1">
    <w:name w:val="Comment Subject Char1"/>
    <w:basedOn w:val="CommentTextChar"/>
    <w:uiPriority w:val="99"/>
    <w:semiHidden/>
    <w:rsid w:val="00A20315"/>
    <w:rPr>
      <w:rFonts w:ascii="Arial" w:eastAsia="ヒラギノ角ゴ Pro W3" w:hAnsi="Arial" w:cs="Times New Roman"/>
      <w:b/>
      <w:bCs/>
      <w:color w:val="000000"/>
      <w:kern w:val="3"/>
      <w:sz w:val="20"/>
      <w:szCs w:val="20"/>
      <w:lang w:val="lv-LV" w:eastAsia="ar-SA"/>
    </w:rPr>
  </w:style>
  <w:style w:type="character" w:styleId="CommentReference">
    <w:name w:val="annotation reference"/>
    <w:basedOn w:val="DefaultParagraphFont"/>
    <w:uiPriority w:val="99"/>
    <w:semiHidden/>
    <w:unhideWhenUsed/>
    <w:rsid w:val="00A20315"/>
    <w:rPr>
      <w:sz w:val="16"/>
      <w:szCs w:val="16"/>
    </w:rPr>
  </w:style>
  <w:style w:type="paragraph" w:customStyle="1" w:styleId="c4">
    <w:name w:val="c4"/>
    <w:basedOn w:val="Normal"/>
    <w:rsid w:val="00DF00AE"/>
    <w:pPr>
      <w:autoSpaceDN/>
      <w:spacing w:before="100" w:beforeAutospacing="1" w:after="100" w:afterAutospacing="1"/>
      <w:textAlignment w:val="auto"/>
    </w:pPr>
    <w:rPr>
      <w:rFonts w:ascii="Times New Roman" w:eastAsia="Times New Roman" w:hAnsi="Times New Roman"/>
      <w:color w:val="auto"/>
      <w:kern w:val="0"/>
      <w:lang w:val="en-US" w:eastAsia="en-US"/>
    </w:rPr>
  </w:style>
  <w:style w:type="paragraph" w:customStyle="1" w:styleId="c5">
    <w:name w:val="c5"/>
    <w:basedOn w:val="Normal"/>
    <w:rsid w:val="00DF00AE"/>
    <w:pPr>
      <w:autoSpaceDN/>
      <w:spacing w:before="100" w:beforeAutospacing="1" w:after="100" w:afterAutospacing="1"/>
      <w:textAlignment w:val="auto"/>
    </w:pPr>
    <w:rPr>
      <w:rFonts w:ascii="Times New Roman" w:eastAsia="Times New Roman" w:hAnsi="Times New Roman"/>
      <w:color w:val="auto"/>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315"/>
    <w:pPr>
      <w:autoSpaceDN w:val="0"/>
      <w:spacing w:after="0" w:line="240" w:lineRule="auto"/>
      <w:textAlignment w:val="baseline"/>
    </w:pPr>
    <w:rPr>
      <w:rFonts w:ascii="Arial" w:eastAsia="ヒラギノ角ゴ Pro W3" w:hAnsi="Arial" w:cs="Times New Roman"/>
      <w:color w:val="000000"/>
      <w:kern w:val="3"/>
      <w:sz w:val="24"/>
      <w:szCs w:val="24"/>
      <w:lang w:val="lv-LV" w:eastAsia="ar-SA"/>
    </w:rPr>
  </w:style>
  <w:style w:type="paragraph" w:styleId="Heading1">
    <w:name w:val="heading 1"/>
    <w:basedOn w:val="Normal"/>
    <w:next w:val="Normal"/>
    <w:link w:val="Heading1Char"/>
    <w:uiPriority w:val="9"/>
    <w:qFormat/>
    <w:rsid w:val="00A20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0315"/>
    <w:pPr>
      <w:keepNext/>
      <w:autoSpaceDN/>
      <w:spacing w:before="240" w:after="60"/>
      <w:textAlignment w:val="auto"/>
      <w:outlineLvl w:val="1"/>
    </w:pPr>
    <w:rPr>
      <w:rFonts w:eastAsia="Times New Roman" w:cs="Arial"/>
      <w:b/>
      <w:bCs/>
      <w:i/>
      <w:iCs/>
      <w:color w:val="auto"/>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15"/>
    <w:rPr>
      <w:rFonts w:asciiTheme="majorHAnsi" w:eastAsiaTheme="majorEastAsia" w:hAnsiTheme="majorHAnsi" w:cstheme="majorBidi"/>
      <w:b/>
      <w:bCs/>
      <w:color w:val="365F91" w:themeColor="accent1" w:themeShade="BF"/>
      <w:kern w:val="3"/>
      <w:sz w:val="28"/>
      <w:szCs w:val="28"/>
      <w:lang w:val="lv-LV" w:eastAsia="ar-SA"/>
    </w:rPr>
  </w:style>
  <w:style w:type="character" w:customStyle="1" w:styleId="Heading2Char">
    <w:name w:val="Heading 2 Char"/>
    <w:basedOn w:val="DefaultParagraphFont"/>
    <w:link w:val="Heading2"/>
    <w:rsid w:val="00A20315"/>
    <w:rPr>
      <w:rFonts w:ascii="Arial" w:eastAsia="Times New Roman" w:hAnsi="Arial" w:cs="Arial"/>
      <w:b/>
      <w:bCs/>
      <w:i/>
      <w:iCs/>
      <w:sz w:val="28"/>
      <w:szCs w:val="28"/>
      <w:lang w:val="lv-LV"/>
    </w:rPr>
  </w:style>
  <w:style w:type="character" w:styleId="Hyperlink">
    <w:name w:val="Hyperlink"/>
    <w:rsid w:val="00A20315"/>
    <w:rPr>
      <w:color w:val="000080"/>
      <w:u w:val="single"/>
    </w:rPr>
  </w:style>
  <w:style w:type="paragraph" w:styleId="Header">
    <w:name w:val="header"/>
    <w:link w:val="HeaderChar"/>
    <w:rsid w:val="00A20315"/>
    <w:pPr>
      <w:autoSpaceDN w:val="0"/>
      <w:spacing w:after="0" w:line="240" w:lineRule="auto"/>
      <w:textAlignment w:val="baseline"/>
    </w:pPr>
    <w:rPr>
      <w:rFonts w:ascii="Arial" w:eastAsia="ヒラギノ角ゴ Pro W3" w:hAnsi="Arial" w:cs="Times New Roman"/>
      <w:color w:val="000000"/>
      <w:kern w:val="3"/>
      <w:sz w:val="24"/>
      <w:szCs w:val="20"/>
      <w:lang w:val="lv-LV" w:eastAsia="hi-IN" w:bidi="hi-IN"/>
    </w:rPr>
  </w:style>
  <w:style w:type="character" w:customStyle="1" w:styleId="HeaderChar">
    <w:name w:val="Header Char"/>
    <w:basedOn w:val="DefaultParagraphFont"/>
    <w:link w:val="Header"/>
    <w:rsid w:val="00A20315"/>
    <w:rPr>
      <w:rFonts w:ascii="Arial" w:eastAsia="ヒラギノ角ゴ Pro W3" w:hAnsi="Arial" w:cs="Times New Roman"/>
      <w:color w:val="000000"/>
      <w:kern w:val="3"/>
      <w:sz w:val="24"/>
      <w:szCs w:val="20"/>
      <w:lang w:val="lv-LV" w:eastAsia="hi-IN" w:bidi="hi-IN"/>
    </w:rPr>
  </w:style>
  <w:style w:type="paragraph" w:styleId="CommentText">
    <w:name w:val="annotation text"/>
    <w:basedOn w:val="Normal"/>
    <w:link w:val="CommentTextChar"/>
    <w:uiPriority w:val="99"/>
    <w:unhideWhenUsed/>
    <w:rsid w:val="00A20315"/>
    <w:rPr>
      <w:sz w:val="20"/>
      <w:szCs w:val="20"/>
    </w:rPr>
  </w:style>
  <w:style w:type="character" w:customStyle="1" w:styleId="CommentTextChar">
    <w:name w:val="Comment Text Char"/>
    <w:basedOn w:val="DefaultParagraphFont"/>
    <w:link w:val="CommentText"/>
    <w:uiPriority w:val="99"/>
    <w:rsid w:val="00A20315"/>
    <w:rPr>
      <w:rFonts w:ascii="Arial" w:eastAsia="ヒラギノ角ゴ Pro W3" w:hAnsi="Arial" w:cs="Times New Roman"/>
      <w:color w:val="000000"/>
      <w:kern w:val="3"/>
      <w:sz w:val="20"/>
      <w:szCs w:val="20"/>
      <w:lang w:val="lv-LV" w:eastAsia="ar-SA"/>
    </w:rPr>
  </w:style>
  <w:style w:type="character" w:customStyle="1" w:styleId="spelle">
    <w:name w:val="spelle"/>
    <w:rsid w:val="00A20315"/>
    <w:rPr>
      <w:rFonts w:cs="Times New Roman"/>
    </w:rPr>
  </w:style>
  <w:style w:type="paragraph" w:styleId="ListParagraph">
    <w:name w:val="List Paragraph"/>
    <w:basedOn w:val="Normal"/>
    <w:uiPriority w:val="34"/>
    <w:qFormat/>
    <w:rsid w:val="00A20315"/>
    <w:pPr>
      <w:autoSpaceDN/>
      <w:spacing w:after="200" w:line="276" w:lineRule="auto"/>
      <w:ind w:left="720"/>
      <w:contextualSpacing/>
      <w:textAlignment w:val="auto"/>
    </w:pPr>
    <w:rPr>
      <w:rFonts w:asciiTheme="minorHAnsi" w:eastAsiaTheme="minorEastAsia" w:hAnsiTheme="minorHAnsi" w:cstheme="minorBidi"/>
      <w:color w:val="auto"/>
      <w:kern w:val="0"/>
      <w:sz w:val="22"/>
      <w:szCs w:val="22"/>
      <w:lang w:eastAsia="lv-LV"/>
    </w:rPr>
  </w:style>
  <w:style w:type="paragraph" w:customStyle="1" w:styleId="tv213">
    <w:name w:val="tv213"/>
    <w:basedOn w:val="Normal"/>
    <w:rsid w:val="00A20315"/>
    <w:pPr>
      <w:autoSpaceDN/>
      <w:spacing w:before="100" w:beforeAutospacing="1" w:after="100" w:afterAutospacing="1"/>
      <w:textAlignment w:val="auto"/>
    </w:pPr>
    <w:rPr>
      <w:rFonts w:ascii="Times New Roman" w:eastAsia="Times New Roman" w:hAnsi="Times New Roman"/>
      <w:color w:val="auto"/>
      <w:kern w:val="0"/>
      <w:lang w:val="en-US" w:eastAsia="lv-LV"/>
    </w:rPr>
  </w:style>
  <w:style w:type="paragraph" w:styleId="Footer">
    <w:name w:val="footer"/>
    <w:basedOn w:val="Normal"/>
    <w:link w:val="FooterChar"/>
    <w:uiPriority w:val="99"/>
    <w:unhideWhenUsed/>
    <w:rsid w:val="00A20315"/>
    <w:pPr>
      <w:tabs>
        <w:tab w:val="center" w:pos="4153"/>
        <w:tab w:val="right" w:pos="8306"/>
      </w:tabs>
    </w:pPr>
  </w:style>
  <w:style w:type="character" w:customStyle="1" w:styleId="FooterChar">
    <w:name w:val="Footer Char"/>
    <w:basedOn w:val="DefaultParagraphFont"/>
    <w:link w:val="Footer"/>
    <w:uiPriority w:val="99"/>
    <w:rsid w:val="00A20315"/>
    <w:rPr>
      <w:rFonts w:ascii="Arial" w:eastAsia="ヒラギノ角ゴ Pro W3" w:hAnsi="Arial" w:cs="Times New Roman"/>
      <w:color w:val="000000"/>
      <w:kern w:val="3"/>
      <w:sz w:val="24"/>
      <w:szCs w:val="24"/>
      <w:lang w:val="lv-LV" w:eastAsia="ar-SA"/>
    </w:rPr>
  </w:style>
  <w:style w:type="paragraph" w:styleId="FootnoteText">
    <w:name w:val="footnote text"/>
    <w:basedOn w:val="Normal"/>
    <w:link w:val="FootnoteTextChar"/>
    <w:uiPriority w:val="99"/>
    <w:rsid w:val="00A20315"/>
    <w:pPr>
      <w:widowControl w:val="0"/>
      <w:tabs>
        <w:tab w:val="left" w:pos="567"/>
      </w:tabs>
      <w:autoSpaceDN/>
      <w:ind w:left="567" w:hanging="567"/>
      <w:textAlignment w:val="auto"/>
    </w:pPr>
    <w:rPr>
      <w:rFonts w:ascii="Times New Roman" w:eastAsia="Times New Roman" w:hAnsi="Times New Roman"/>
      <w:color w:val="auto"/>
      <w:kern w:val="0"/>
      <w:lang w:val="en-GB" w:eastAsia="fr-BE"/>
    </w:rPr>
  </w:style>
  <w:style w:type="character" w:customStyle="1" w:styleId="FootnoteTextChar">
    <w:name w:val="Footnote Text Char"/>
    <w:basedOn w:val="DefaultParagraphFont"/>
    <w:link w:val="FootnoteText"/>
    <w:uiPriority w:val="99"/>
    <w:rsid w:val="00A20315"/>
    <w:rPr>
      <w:rFonts w:ascii="Times New Roman" w:eastAsia="Times New Roman" w:hAnsi="Times New Roman" w:cs="Times New Roman"/>
      <w:sz w:val="24"/>
      <w:szCs w:val="24"/>
      <w:lang w:val="en-GB" w:eastAsia="fr-BE"/>
    </w:rPr>
  </w:style>
  <w:style w:type="character" w:styleId="FootnoteReference">
    <w:name w:val="footnote reference"/>
    <w:uiPriority w:val="99"/>
    <w:rsid w:val="00A20315"/>
    <w:rPr>
      <w:vertAlign w:val="superscript"/>
    </w:rPr>
  </w:style>
  <w:style w:type="paragraph" w:styleId="NormalWeb">
    <w:name w:val="Normal (Web)"/>
    <w:basedOn w:val="Normal"/>
    <w:uiPriority w:val="99"/>
    <w:rsid w:val="00A20315"/>
    <w:pPr>
      <w:suppressAutoHyphens/>
      <w:spacing w:before="100" w:after="100"/>
    </w:pPr>
    <w:rPr>
      <w:rFonts w:ascii="Arial Unicode MS" w:eastAsia="Arial Unicode MS" w:hAnsi="Arial Unicode MS" w:cs="Arial Unicode MS"/>
      <w:color w:val="auto"/>
      <w:kern w:val="0"/>
      <w:lang w:val="en-US" w:eastAsia="en-US"/>
    </w:rPr>
  </w:style>
  <w:style w:type="character" w:customStyle="1" w:styleId="apple-converted-space">
    <w:name w:val="apple-converted-space"/>
    <w:basedOn w:val="DefaultParagraphFont"/>
    <w:rsid w:val="00A20315"/>
  </w:style>
  <w:style w:type="character" w:customStyle="1" w:styleId="BalloonTextChar">
    <w:name w:val="Balloon Text Char"/>
    <w:basedOn w:val="DefaultParagraphFont"/>
    <w:link w:val="BalloonText"/>
    <w:uiPriority w:val="99"/>
    <w:semiHidden/>
    <w:rsid w:val="00A20315"/>
    <w:rPr>
      <w:rFonts w:ascii="Tahoma" w:eastAsia="ヒラギノ角ゴ Pro W3" w:hAnsi="Tahoma" w:cs="Tahoma"/>
      <w:color w:val="000000"/>
      <w:kern w:val="3"/>
      <w:sz w:val="16"/>
      <w:szCs w:val="16"/>
      <w:lang w:val="lv-LV" w:eastAsia="ar-SA"/>
    </w:rPr>
  </w:style>
  <w:style w:type="paragraph" w:styleId="BalloonText">
    <w:name w:val="Balloon Text"/>
    <w:basedOn w:val="Normal"/>
    <w:link w:val="BalloonTextChar"/>
    <w:uiPriority w:val="99"/>
    <w:semiHidden/>
    <w:unhideWhenUsed/>
    <w:rsid w:val="00A20315"/>
    <w:rPr>
      <w:rFonts w:ascii="Tahoma" w:hAnsi="Tahoma" w:cs="Tahoma"/>
      <w:sz w:val="16"/>
      <w:szCs w:val="16"/>
    </w:rPr>
  </w:style>
  <w:style w:type="character" w:customStyle="1" w:styleId="BalloonTextChar1">
    <w:name w:val="Balloon Text Char1"/>
    <w:basedOn w:val="DefaultParagraphFont"/>
    <w:uiPriority w:val="99"/>
    <w:semiHidden/>
    <w:rsid w:val="00A20315"/>
    <w:rPr>
      <w:rFonts w:ascii="Tahoma" w:eastAsia="ヒラギノ角ゴ Pro W3" w:hAnsi="Tahoma" w:cs="Tahoma"/>
      <w:color w:val="000000"/>
      <w:kern w:val="3"/>
      <w:sz w:val="16"/>
      <w:szCs w:val="16"/>
      <w:lang w:val="lv-LV" w:eastAsia="ar-SA"/>
    </w:rPr>
  </w:style>
  <w:style w:type="character" w:customStyle="1" w:styleId="CommentSubjectChar">
    <w:name w:val="Comment Subject Char"/>
    <w:basedOn w:val="CommentTextChar"/>
    <w:link w:val="CommentSubject"/>
    <w:uiPriority w:val="99"/>
    <w:semiHidden/>
    <w:rsid w:val="00A20315"/>
    <w:rPr>
      <w:rFonts w:ascii="Arial" w:eastAsia="ヒラギノ角ゴ Pro W3" w:hAnsi="Arial" w:cs="Times New Roman"/>
      <w:b/>
      <w:bCs/>
      <w:color w:val="000000"/>
      <w:kern w:val="3"/>
      <w:sz w:val="20"/>
      <w:szCs w:val="20"/>
      <w:lang w:val="lv-LV" w:eastAsia="ar-SA"/>
    </w:rPr>
  </w:style>
  <w:style w:type="paragraph" w:styleId="CommentSubject">
    <w:name w:val="annotation subject"/>
    <w:basedOn w:val="CommentText"/>
    <w:next w:val="CommentText"/>
    <w:link w:val="CommentSubjectChar"/>
    <w:uiPriority w:val="99"/>
    <w:semiHidden/>
    <w:unhideWhenUsed/>
    <w:rsid w:val="00A20315"/>
    <w:rPr>
      <w:b/>
      <w:bCs/>
    </w:rPr>
  </w:style>
  <w:style w:type="character" w:customStyle="1" w:styleId="CommentSubjectChar1">
    <w:name w:val="Comment Subject Char1"/>
    <w:basedOn w:val="CommentTextChar"/>
    <w:uiPriority w:val="99"/>
    <w:semiHidden/>
    <w:rsid w:val="00A20315"/>
    <w:rPr>
      <w:rFonts w:ascii="Arial" w:eastAsia="ヒラギノ角ゴ Pro W3" w:hAnsi="Arial" w:cs="Times New Roman"/>
      <w:b/>
      <w:bCs/>
      <w:color w:val="000000"/>
      <w:kern w:val="3"/>
      <w:sz w:val="20"/>
      <w:szCs w:val="20"/>
      <w:lang w:val="lv-LV" w:eastAsia="ar-SA"/>
    </w:rPr>
  </w:style>
  <w:style w:type="character" w:styleId="CommentReference">
    <w:name w:val="annotation reference"/>
    <w:basedOn w:val="DefaultParagraphFont"/>
    <w:uiPriority w:val="99"/>
    <w:semiHidden/>
    <w:unhideWhenUsed/>
    <w:rsid w:val="00A20315"/>
    <w:rPr>
      <w:sz w:val="16"/>
      <w:szCs w:val="16"/>
    </w:rPr>
  </w:style>
  <w:style w:type="paragraph" w:customStyle="1" w:styleId="c4">
    <w:name w:val="c4"/>
    <w:basedOn w:val="Normal"/>
    <w:rsid w:val="00DF00AE"/>
    <w:pPr>
      <w:autoSpaceDN/>
      <w:spacing w:before="100" w:beforeAutospacing="1" w:after="100" w:afterAutospacing="1"/>
      <w:textAlignment w:val="auto"/>
    </w:pPr>
    <w:rPr>
      <w:rFonts w:ascii="Times New Roman" w:eastAsia="Times New Roman" w:hAnsi="Times New Roman"/>
      <w:color w:val="auto"/>
      <w:kern w:val="0"/>
      <w:lang w:val="en-US" w:eastAsia="en-US"/>
    </w:rPr>
  </w:style>
  <w:style w:type="paragraph" w:customStyle="1" w:styleId="c5">
    <w:name w:val="c5"/>
    <w:basedOn w:val="Normal"/>
    <w:rsid w:val="00DF00AE"/>
    <w:pPr>
      <w:autoSpaceDN/>
      <w:spacing w:before="100" w:beforeAutospacing="1" w:after="100" w:afterAutospacing="1"/>
      <w:textAlignment w:val="auto"/>
    </w:pPr>
    <w:rPr>
      <w:rFonts w:ascii="Times New Roman" w:eastAsia="Times New Roman" w:hAnsi="Times New Roman"/>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laura.gintere@varam.go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rakst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6966</Words>
  <Characters>48417</Characters>
  <Application>Microsoft Office Word</Application>
  <DocSecurity>0</DocSecurity>
  <Lines>1308</Lines>
  <Paragraphs>692</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Gadzāns</dc:creator>
  <cp:lastModifiedBy>Laura Gintere</cp:lastModifiedBy>
  <cp:revision>2</cp:revision>
  <dcterms:created xsi:type="dcterms:W3CDTF">2016-11-04T12:13:00Z</dcterms:created>
  <dcterms:modified xsi:type="dcterms:W3CDTF">2016-11-04T12:13:00Z</dcterms:modified>
</cp:coreProperties>
</file>