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96" w:rsidRDefault="003B585F" w:rsidP="00685934">
      <w:pPr>
        <w:autoSpaceDE w:val="0"/>
        <w:autoSpaceDN w:val="0"/>
        <w:adjustRightInd w:val="0"/>
        <w:jc w:val="center"/>
        <w:rPr>
          <w:b/>
          <w:szCs w:val="28"/>
        </w:rPr>
      </w:pPr>
      <w:r w:rsidRPr="00685934">
        <w:rPr>
          <w:b/>
          <w:szCs w:val="28"/>
        </w:rPr>
        <w:t xml:space="preserve">Ministru kabineta noteikumu projekta </w:t>
      </w:r>
    </w:p>
    <w:p w:rsidR="000F5451" w:rsidRPr="000F5451" w:rsidRDefault="009E5AE0" w:rsidP="000F5451">
      <w:pPr>
        <w:autoSpaceDE w:val="0"/>
        <w:autoSpaceDN w:val="0"/>
        <w:adjustRightInd w:val="0"/>
        <w:jc w:val="center"/>
        <w:rPr>
          <w:b/>
          <w:szCs w:val="28"/>
        </w:rPr>
      </w:pPr>
      <w:r>
        <w:rPr>
          <w:b/>
          <w:szCs w:val="28"/>
        </w:rPr>
        <w:t>“</w:t>
      </w:r>
      <w:r w:rsidR="000F5451" w:rsidRPr="000F5451">
        <w:rPr>
          <w:b/>
          <w:szCs w:val="28"/>
        </w:rPr>
        <w:t>Grozījum</w:t>
      </w:r>
      <w:r w:rsidR="005E5050">
        <w:rPr>
          <w:b/>
          <w:szCs w:val="28"/>
        </w:rPr>
        <w:t>i</w:t>
      </w:r>
      <w:r w:rsidR="000F5451" w:rsidRPr="000F5451">
        <w:rPr>
          <w:b/>
          <w:szCs w:val="28"/>
        </w:rPr>
        <w:t xml:space="preserve"> Ministru kabineta 2011.gada 24.maija noteikumos Nr.401</w:t>
      </w:r>
    </w:p>
    <w:p w:rsidR="00441496" w:rsidRDefault="000F5451" w:rsidP="000F5451">
      <w:pPr>
        <w:autoSpaceDE w:val="0"/>
        <w:autoSpaceDN w:val="0"/>
        <w:adjustRightInd w:val="0"/>
        <w:jc w:val="center"/>
        <w:rPr>
          <w:b/>
          <w:szCs w:val="28"/>
        </w:rPr>
      </w:pPr>
      <w:r w:rsidRPr="000F5451">
        <w:rPr>
          <w:b/>
          <w:szCs w:val="28"/>
        </w:rPr>
        <w:t>„Prasības atkritumu sadedzināšanai un atkritumu sadedzināšanas iekārtu darbībai”</w:t>
      </w:r>
      <w:r w:rsidR="009E5AE0">
        <w:rPr>
          <w:b/>
          <w:szCs w:val="28"/>
        </w:rPr>
        <w:t>”</w:t>
      </w:r>
      <w:r w:rsidR="003B585F" w:rsidRPr="00441496">
        <w:rPr>
          <w:b/>
          <w:szCs w:val="28"/>
        </w:rPr>
        <w:t xml:space="preserve"> </w:t>
      </w:r>
    </w:p>
    <w:p w:rsidR="0002029A" w:rsidRPr="00685934" w:rsidRDefault="003B585F" w:rsidP="00685934">
      <w:pPr>
        <w:autoSpaceDE w:val="0"/>
        <w:autoSpaceDN w:val="0"/>
        <w:adjustRightInd w:val="0"/>
        <w:jc w:val="center"/>
        <w:rPr>
          <w:b/>
          <w:bCs/>
        </w:rPr>
      </w:pPr>
      <w:r w:rsidRPr="00685934">
        <w:rPr>
          <w:b/>
          <w:szCs w:val="28"/>
        </w:rPr>
        <w:t xml:space="preserve">sākotnējās ietekmes novērtējuma ziņojums </w:t>
      </w:r>
      <w:r w:rsidR="0002029A" w:rsidRPr="00685934">
        <w:rPr>
          <w:b/>
          <w:szCs w:val="28"/>
        </w:rPr>
        <w:t>(anotācija)</w:t>
      </w:r>
    </w:p>
    <w:p w:rsidR="00F37F7E" w:rsidRPr="00BA0DE8" w:rsidRDefault="00F37F7E" w:rsidP="00F37F7E">
      <w:pPr>
        <w:pStyle w:val="naisc"/>
        <w:widowControl w:val="0"/>
        <w:spacing w:before="0" w:beforeAutospacing="0" w:after="0" w:afterAutospacing="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837"/>
        <w:gridCol w:w="531"/>
        <w:gridCol w:w="6386"/>
      </w:tblGrid>
      <w:tr w:rsidR="00BA0DE8" w:rsidRPr="00BA0DE8" w:rsidTr="00133DFE">
        <w:tc>
          <w:tcPr>
            <w:tcW w:w="5000" w:type="pct"/>
            <w:gridSpan w:val="4"/>
          </w:tcPr>
          <w:p w:rsidR="00C62422" w:rsidRDefault="00AC145B" w:rsidP="003037FE">
            <w:pPr>
              <w:pStyle w:val="naislab"/>
              <w:spacing w:before="0" w:after="0"/>
              <w:jc w:val="center"/>
              <w:outlineLvl w:val="0"/>
              <w:rPr>
                <w:b/>
              </w:rPr>
            </w:pPr>
            <w:r w:rsidRPr="00BA0DE8">
              <w:rPr>
                <w:b/>
              </w:rPr>
              <w:t xml:space="preserve">I. Tiesību akta projekta izstrādes </w:t>
            </w:r>
          </w:p>
          <w:p w:rsidR="00AC145B" w:rsidRPr="00BA0DE8" w:rsidRDefault="00AC145B" w:rsidP="003037FE">
            <w:pPr>
              <w:pStyle w:val="naislab"/>
              <w:spacing w:before="0" w:after="0"/>
              <w:jc w:val="center"/>
              <w:outlineLvl w:val="0"/>
              <w:rPr>
                <w:b/>
                <w:sz w:val="28"/>
                <w:szCs w:val="28"/>
              </w:rPr>
            </w:pPr>
            <w:r w:rsidRPr="00BA0DE8">
              <w:rPr>
                <w:b/>
              </w:rPr>
              <w:t>nepieciešamība</w:t>
            </w:r>
          </w:p>
        </w:tc>
      </w:tr>
      <w:tr w:rsidR="00BA0DE8" w:rsidRPr="00BA0DE8" w:rsidTr="008E3636">
        <w:tc>
          <w:tcPr>
            <w:tcW w:w="287" w:type="pct"/>
          </w:tcPr>
          <w:p w:rsidR="00AC145B" w:rsidRPr="00BA0DE8" w:rsidRDefault="00AC145B" w:rsidP="003037FE">
            <w:pPr>
              <w:pStyle w:val="naislab"/>
              <w:spacing w:before="0" w:after="0"/>
              <w:jc w:val="center"/>
              <w:outlineLvl w:val="0"/>
            </w:pPr>
            <w:r w:rsidRPr="00BA0DE8">
              <w:t>1.</w:t>
            </w:r>
          </w:p>
        </w:tc>
        <w:tc>
          <w:tcPr>
            <w:tcW w:w="1275" w:type="pct"/>
            <w:gridSpan w:val="2"/>
          </w:tcPr>
          <w:p w:rsidR="00AC145B" w:rsidRPr="00BA0DE8" w:rsidRDefault="00AC145B" w:rsidP="003037FE">
            <w:pPr>
              <w:pStyle w:val="naislab"/>
              <w:spacing w:before="0" w:after="0"/>
              <w:jc w:val="both"/>
              <w:outlineLvl w:val="0"/>
            </w:pPr>
            <w:r w:rsidRPr="00BA0DE8">
              <w:t>Pamatojums</w:t>
            </w:r>
          </w:p>
        </w:tc>
        <w:tc>
          <w:tcPr>
            <w:tcW w:w="3438" w:type="pct"/>
          </w:tcPr>
          <w:p w:rsidR="00AC145B" w:rsidRPr="00193C5A" w:rsidRDefault="003B585F" w:rsidP="005E5050">
            <w:pPr>
              <w:pStyle w:val="Pamatteksts"/>
              <w:jc w:val="both"/>
              <w:rPr>
                <w:b w:val="0"/>
                <w:sz w:val="24"/>
                <w:szCs w:val="24"/>
              </w:rPr>
            </w:pPr>
            <w:r w:rsidRPr="00193C5A">
              <w:rPr>
                <w:b w:val="0"/>
                <w:sz w:val="24"/>
                <w:szCs w:val="24"/>
              </w:rPr>
              <w:t xml:space="preserve">Ministru kabineta noteikumu projekts </w:t>
            </w:r>
            <w:r w:rsidR="00193C5A" w:rsidRPr="00193C5A">
              <w:rPr>
                <w:b w:val="0"/>
                <w:sz w:val="24"/>
                <w:szCs w:val="24"/>
              </w:rPr>
              <w:t>„</w:t>
            </w:r>
            <w:r w:rsidR="000F5451" w:rsidRPr="000F5451">
              <w:rPr>
                <w:b w:val="0"/>
                <w:sz w:val="24"/>
                <w:szCs w:val="24"/>
              </w:rPr>
              <w:t>Grozījum</w:t>
            </w:r>
            <w:r w:rsidR="005E5050">
              <w:rPr>
                <w:b w:val="0"/>
                <w:sz w:val="24"/>
                <w:szCs w:val="24"/>
              </w:rPr>
              <w:t>i</w:t>
            </w:r>
            <w:r w:rsidR="000F5451" w:rsidRPr="000F5451">
              <w:rPr>
                <w:b w:val="0"/>
                <w:sz w:val="24"/>
                <w:szCs w:val="24"/>
              </w:rPr>
              <w:t xml:space="preserve"> Ministru kabineta 2011.gada 24.maija noteikumos Nr.401</w:t>
            </w:r>
            <w:r w:rsidR="000F5451">
              <w:rPr>
                <w:b w:val="0"/>
                <w:sz w:val="24"/>
                <w:szCs w:val="24"/>
              </w:rPr>
              <w:t xml:space="preserve"> </w:t>
            </w:r>
            <w:r w:rsidR="000F5451" w:rsidRPr="000F5451">
              <w:rPr>
                <w:b w:val="0"/>
                <w:sz w:val="24"/>
                <w:szCs w:val="24"/>
              </w:rPr>
              <w:t>„Prasības atkritumu sadedzināšanai un atkritumu sadedzināšanas iekārtu darbībai”</w:t>
            </w:r>
            <w:r w:rsidR="00A901C8" w:rsidRPr="00A901C8">
              <w:rPr>
                <w:b w:val="0"/>
                <w:sz w:val="24"/>
                <w:szCs w:val="24"/>
              </w:rPr>
              <w:t>”</w:t>
            </w:r>
            <w:r w:rsidR="00193C5A" w:rsidRPr="00885D66">
              <w:rPr>
                <w:b w:val="0"/>
                <w:sz w:val="24"/>
                <w:szCs w:val="24"/>
              </w:rPr>
              <w:t xml:space="preserve"> </w:t>
            </w:r>
            <w:r w:rsidRPr="00885D66">
              <w:rPr>
                <w:b w:val="0"/>
                <w:sz w:val="24"/>
                <w:szCs w:val="24"/>
              </w:rPr>
              <w:t>(turpmāk – noteikumu projekts) sagatavots, pamatojoties uz</w:t>
            </w:r>
            <w:r w:rsidR="00193C5A" w:rsidRPr="00885D66">
              <w:rPr>
                <w:b w:val="0"/>
                <w:sz w:val="24"/>
                <w:szCs w:val="24"/>
              </w:rPr>
              <w:t xml:space="preserve"> </w:t>
            </w:r>
            <w:r w:rsidR="000F5451" w:rsidRPr="000F5451">
              <w:rPr>
                <w:b w:val="0"/>
                <w:sz w:val="24"/>
                <w:szCs w:val="24"/>
              </w:rPr>
              <w:t>Atkritumu apsaimniekošanas likuma 22.panta otrās daļas 3.punktu un likuma "Par piesārņojumu" 11.panta otrās daļas 7.punktu</w:t>
            </w:r>
            <w:r w:rsidR="00193C5A" w:rsidRPr="00885D66">
              <w:rPr>
                <w:b w:val="0"/>
                <w:sz w:val="24"/>
                <w:szCs w:val="24"/>
              </w:rPr>
              <w:t>.</w:t>
            </w:r>
          </w:p>
        </w:tc>
      </w:tr>
      <w:tr w:rsidR="00BA0DE8" w:rsidRPr="00BA0DE8" w:rsidTr="008E3636">
        <w:tc>
          <w:tcPr>
            <w:tcW w:w="287" w:type="pct"/>
          </w:tcPr>
          <w:p w:rsidR="00AC145B" w:rsidRPr="00BA0DE8" w:rsidRDefault="00AC145B" w:rsidP="003037FE">
            <w:pPr>
              <w:pStyle w:val="naislab"/>
              <w:spacing w:before="0" w:after="0"/>
              <w:jc w:val="center"/>
              <w:outlineLvl w:val="0"/>
            </w:pPr>
            <w:r w:rsidRPr="00BA0DE8">
              <w:t>2.</w:t>
            </w:r>
          </w:p>
        </w:tc>
        <w:tc>
          <w:tcPr>
            <w:tcW w:w="1275" w:type="pct"/>
            <w:gridSpan w:val="2"/>
          </w:tcPr>
          <w:p w:rsidR="00AC145B" w:rsidRPr="00885D66" w:rsidRDefault="00AC145B" w:rsidP="003037FE">
            <w:pPr>
              <w:pStyle w:val="naislab"/>
              <w:spacing w:before="0" w:after="0"/>
              <w:jc w:val="both"/>
              <w:outlineLvl w:val="0"/>
            </w:pPr>
            <w:r w:rsidRPr="00885D66">
              <w:t>Pašreizējā situācija un problēmas, kuru risināšanai tiesību akta projekts izstrādāts, tiesiskā regulējuma mērķis un būtība</w:t>
            </w:r>
          </w:p>
        </w:tc>
        <w:tc>
          <w:tcPr>
            <w:tcW w:w="3438" w:type="pct"/>
          </w:tcPr>
          <w:p w:rsidR="000623AC" w:rsidRDefault="003B585F" w:rsidP="000623AC">
            <w:pPr>
              <w:jc w:val="both"/>
              <w:rPr>
                <w:bCs/>
              </w:rPr>
            </w:pPr>
            <w:r w:rsidRPr="00885D66">
              <w:rPr>
                <w:bCs/>
              </w:rPr>
              <w:t>Patlaban spēkā ir</w:t>
            </w:r>
            <w:r w:rsidR="00F55839">
              <w:rPr>
                <w:bCs/>
              </w:rPr>
              <w:t>:</w:t>
            </w:r>
          </w:p>
          <w:p w:rsidR="00F55839" w:rsidRPr="000623AC" w:rsidRDefault="000623AC" w:rsidP="000623AC">
            <w:pPr>
              <w:jc w:val="both"/>
              <w:rPr>
                <w:bCs/>
              </w:rPr>
            </w:pPr>
            <w:r>
              <w:rPr>
                <w:bCs/>
              </w:rPr>
              <w:t xml:space="preserve">1) </w:t>
            </w:r>
            <w:r w:rsidR="000F5451" w:rsidRPr="000623AC">
              <w:rPr>
                <w:bCs/>
              </w:rPr>
              <w:t>Ministru kabineta 2011.gada 24.maija noteikum</w:t>
            </w:r>
            <w:r w:rsidR="009E5AE0">
              <w:rPr>
                <w:bCs/>
              </w:rPr>
              <w:t>i</w:t>
            </w:r>
            <w:r w:rsidR="000F5451" w:rsidRPr="000623AC">
              <w:rPr>
                <w:bCs/>
              </w:rPr>
              <w:t xml:space="preserve"> Nr.401 „Prasības atkritumu sadedzināšanai un atkritumu sadedzināšanas iekārtu darbībai” </w:t>
            </w:r>
            <w:r w:rsidR="003B585F" w:rsidRPr="000623AC">
              <w:rPr>
                <w:bCs/>
              </w:rPr>
              <w:t>(turpmāk – noteikumi Nr.</w:t>
            </w:r>
            <w:r w:rsidR="000F5451" w:rsidRPr="000623AC">
              <w:rPr>
                <w:bCs/>
              </w:rPr>
              <w:t>401</w:t>
            </w:r>
            <w:r w:rsidR="000C4E8B" w:rsidRPr="000623AC">
              <w:rPr>
                <w:bCs/>
              </w:rPr>
              <w:t>)</w:t>
            </w:r>
            <w:r w:rsidR="00F55839" w:rsidRPr="000623AC">
              <w:rPr>
                <w:bCs/>
              </w:rPr>
              <w:t>;</w:t>
            </w:r>
          </w:p>
          <w:p w:rsidR="003B585F" w:rsidRPr="000623AC" w:rsidRDefault="000623AC" w:rsidP="000623AC">
            <w:pPr>
              <w:jc w:val="both"/>
              <w:rPr>
                <w:bCs/>
              </w:rPr>
            </w:pPr>
            <w:r>
              <w:rPr>
                <w:bCs/>
              </w:rPr>
              <w:t xml:space="preserve">2) </w:t>
            </w:r>
            <w:r w:rsidR="00F55839" w:rsidRPr="000623AC">
              <w:rPr>
                <w:bCs/>
              </w:rPr>
              <w:t>Eiropas</w:t>
            </w:r>
            <w:r w:rsidR="000C4E8B" w:rsidRPr="000623AC">
              <w:rPr>
                <w:bCs/>
              </w:rPr>
              <w:t xml:space="preserve"> Parlamenta un Padomes 2009.gada 21.oktobra </w:t>
            </w:r>
            <w:r w:rsidR="009E5AE0">
              <w:rPr>
                <w:bCs/>
              </w:rPr>
              <w:t>R</w:t>
            </w:r>
            <w:r w:rsidR="000C4E8B" w:rsidRPr="000623AC">
              <w:rPr>
                <w:bCs/>
              </w:rPr>
              <w:t>egula (EK) Nr.1069/2009</w:t>
            </w:r>
            <w:r w:rsidR="009E5AE0">
              <w:rPr>
                <w:bCs/>
              </w:rPr>
              <w:t>,</w:t>
            </w:r>
            <w:r w:rsidR="000C4E8B" w:rsidRPr="000623AC">
              <w:rPr>
                <w:bCs/>
              </w:rPr>
              <w:t xml:space="preserve"> </w:t>
            </w:r>
            <w:r w:rsidR="000C4E8B" w:rsidRPr="00F27110">
              <w:t xml:space="preserve">ar ko nosaka veselības aizsardzības noteikumus attiecībā uz dzīvnieku izcelsmes blakusproduktiem un atvasinātajiem produktiem, kuri nav paredzēti cilvēku patēriņam, un ar ko atceļ Regulu (EK) Nr.1774/2002 (Dzīvnieku izcelsmes blakusproduktu regula) (turpmāk </w:t>
            </w:r>
            <w:r w:rsidR="009E5AE0">
              <w:t>–</w:t>
            </w:r>
            <w:r w:rsidR="000C4E8B" w:rsidRPr="00F27110">
              <w:t xml:space="preserve"> regula Nr.1069/2009)</w:t>
            </w:r>
            <w:r w:rsidR="00F55839" w:rsidRPr="000623AC">
              <w:rPr>
                <w:bCs/>
              </w:rPr>
              <w:t>;</w:t>
            </w:r>
          </w:p>
          <w:p w:rsidR="00F55839" w:rsidRPr="000623AC" w:rsidRDefault="000623AC" w:rsidP="000623AC">
            <w:pPr>
              <w:jc w:val="both"/>
              <w:rPr>
                <w:bCs/>
              </w:rPr>
            </w:pPr>
            <w:r>
              <w:rPr>
                <w:bCs/>
              </w:rPr>
              <w:t xml:space="preserve">3) </w:t>
            </w:r>
            <w:r w:rsidR="00F55839" w:rsidRPr="000623AC">
              <w:rPr>
                <w:bCs/>
              </w:rPr>
              <w:t>Eiropas Komisijas 2011.gada 25.februāra Regula (ES) Nr.142/2011, ar kuru īsteno Eiropas Parlamenta un Padomes Regulu (EK)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 regula Nr.142/2011).</w:t>
            </w:r>
          </w:p>
          <w:p w:rsidR="000F5451" w:rsidRDefault="009E5AE0" w:rsidP="000249F2">
            <w:pPr>
              <w:pStyle w:val="naiskr"/>
              <w:spacing w:before="0" w:beforeAutospacing="0" w:after="0" w:afterAutospacing="0"/>
              <w:jc w:val="both"/>
            </w:pPr>
            <w:r>
              <w:t>Patlaban</w:t>
            </w:r>
            <w:r w:rsidR="00166AFB">
              <w:t xml:space="preserve"> </w:t>
            </w:r>
            <w:r w:rsidR="00166AFB" w:rsidRPr="00166AFB">
              <w:t>noteikumi Nr.</w:t>
            </w:r>
            <w:r w:rsidR="000F5451">
              <w:t>401</w:t>
            </w:r>
            <w:r w:rsidR="00166AFB">
              <w:t xml:space="preserve"> nosaka, ka </w:t>
            </w:r>
            <w:r w:rsidR="000F5451">
              <w:t xml:space="preserve">noteikumu prasības neattiecas uz iekārtām, kurās pārstrādā vai sadedzina </w:t>
            </w:r>
            <w:r w:rsidR="000F5451" w:rsidRPr="000F5451">
              <w:t xml:space="preserve">dzīvnieku izcelsmes blakusproduktus, kas nav paredzēti cilvēku patēriņam, saskaņā ar </w:t>
            </w:r>
            <w:r>
              <w:t>r</w:t>
            </w:r>
            <w:r w:rsidR="000F5451" w:rsidRPr="000F5451">
              <w:t xml:space="preserve">egulu Nr.1069/2009, izņemot </w:t>
            </w:r>
            <w:r w:rsidR="0026787B">
              <w:t xml:space="preserve">saskaņā ar </w:t>
            </w:r>
            <w:r w:rsidR="000F5451" w:rsidRPr="000F5451">
              <w:t>minētās regulas 12.panta "a" un "b" apakšpunktā, 13.panta 2.punkta "a" un "b" apakšpunktā, kā arī 14.panta "a" un "b" apakšpunktā noteikto, ja tos tiešā veidā iznīcina kā atkritumus</w:t>
            </w:r>
            <w:r w:rsidR="000F5451">
              <w:t xml:space="preserve">. </w:t>
            </w:r>
          </w:p>
          <w:p w:rsidR="005E5050" w:rsidRDefault="00166AFB" w:rsidP="005E5050">
            <w:pPr>
              <w:pStyle w:val="naiskr"/>
              <w:spacing w:before="0" w:beforeAutospacing="0" w:after="0" w:afterAutospacing="0"/>
              <w:jc w:val="both"/>
              <w:rPr>
                <w:b/>
              </w:rPr>
            </w:pPr>
            <w:r>
              <w:t>T</w:t>
            </w:r>
            <w:r w:rsidR="009E5AE0">
              <w:t>ā kā</w:t>
            </w:r>
            <w:r>
              <w:t xml:space="preserve"> </w:t>
            </w:r>
            <w:r w:rsidR="009E5AE0">
              <w:t>r</w:t>
            </w:r>
            <w:r w:rsidR="002179B6">
              <w:t>egulas</w:t>
            </w:r>
            <w:r w:rsidR="00D61CFA" w:rsidRPr="00D61CFA">
              <w:t xml:space="preserve"> </w:t>
            </w:r>
            <w:r w:rsidRPr="00166AFB">
              <w:t>Nr.1069/2009 1</w:t>
            </w:r>
            <w:r w:rsidR="000F5451">
              <w:t>3</w:t>
            </w:r>
            <w:r w:rsidRPr="00166AFB">
              <w:t>.pant</w:t>
            </w:r>
            <w:r w:rsidR="000F5451">
              <w:t>a redakcijā</w:t>
            </w:r>
            <w:r w:rsidRPr="00166AFB">
              <w:t xml:space="preserve"> </w:t>
            </w:r>
            <w:r w:rsidR="000F5451">
              <w:t>nav 2.punkta</w:t>
            </w:r>
            <w:r w:rsidR="009E5AE0">
              <w:t xml:space="preserve">, </w:t>
            </w:r>
            <w:r w:rsidR="00652579" w:rsidRPr="007C16F6">
              <w:t>noteikum</w:t>
            </w:r>
            <w:r w:rsidR="000F5451" w:rsidRPr="007C16F6">
              <w:t>u</w:t>
            </w:r>
            <w:r w:rsidR="00652579" w:rsidRPr="007C16F6">
              <w:t xml:space="preserve"> Nr.</w:t>
            </w:r>
            <w:r w:rsidR="000F5451" w:rsidRPr="007C16F6">
              <w:t>401</w:t>
            </w:r>
            <w:r w:rsidR="00652579" w:rsidRPr="007C16F6">
              <w:t xml:space="preserve"> </w:t>
            </w:r>
            <w:r w:rsidR="000F5451" w:rsidRPr="007C16F6">
              <w:t>3.1.6.apakšpunktu n</w:t>
            </w:r>
            <w:r w:rsidR="000F5451" w:rsidRPr="007C16F6">
              <w:rPr>
                <w:bCs/>
              </w:rPr>
              <w:t>epieciešams precizēt</w:t>
            </w:r>
            <w:r w:rsidR="009E5AE0">
              <w:rPr>
                <w:bCs/>
              </w:rPr>
              <w:t>,</w:t>
            </w:r>
            <w:r w:rsidR="000F5451" w:rsidRPr="007C16F6">
              <w:rPr>
                <w:bCs/>
              </w:rPr>
              <w:t xml:space="preserve"> svītro</w:t>
            </w:r>
            <w:r w:rsidR="0026787B" w:rsidRPr="007C16F6">
              <w:rPr>
                <w:bCs/>
              </w:rPr>
              <w:t>jot</w:t>
            </w:r>
            <w:r w:rsidR="000F5451" w:rsidRPr="007C16F6">
              <w:t xml:space="preserve"> skaitli un vārdu „2.punkta”.</w:t>
            </w:r>
            <w:r w:rsidR="000F5451" w:rsidRPr="000249F2">
              <w:rPr>
                <w:b/>
              </w:rPr>
              <w:t xml:space="preserve"> </w:t>
            </w:r>
          </w:p>
          <w:p w:rsidR="00935269" w:rsidRPr="00B64910" w:rsidRDefault="00C00555" w:rsidP="005E5050">
            <w:pPr>
              <w:pStyle w:val="naiskr"/>
              <w:spacing w:before="0" w:beforeAutospacing="0" w:after="0" w:afterAutospacing="0"/>
              <w:jc w:val="both"/>
              <w:rPr>
                <w:b/>
              </w:rPr>
            </w:pPr>
            <w:r w:rsidRPr="00C00555">
              <w:rPr>
                <w:b/>
              </w:rPr>
              <w:t xml:space="preserve">Tā kā noteikumos Nr.401 minētais standarts </w:t>
            </w:r>
            <w:r w:rsidR="0083528F">
              <w:rPr>
                <w:b/>
              </w:rPr>
              <w:t>–</w:t>
            </w:r>
            <w:r w:rsidRPr="00C00555">
              <w:rPr>
                <w:b/>
              </w:rPr>
              <w:t xml:space="preserve"> kopējā organiskā oglekļa noteikšana </w:t>
            </w:r>
            <w:r w:rsidR="0083528F">
              <w:rPr>
                <w:b/>
              </w:rPr>
              <w:t>(</w:t>
            </w:r>
            <w:r w:rsidRPr="00C00555">
              <w:rPr>
                <w:b/>
              </w:rPr>
              <w:t>LVS EN 12619:2004 "Stacionāro avotu izmeši – Mazu kopējā gāzveida organiskā oglekļa masas koncentrāciju noteikšana dūmgāzēs – Nepārtrauktā mērīšanas metode, lietojot liesmas jonizācijas detektoru"</w:t>
            </w:r>
            <w:r w:rsidR="0083528F">
              <w:rPr>
                <w:b/>
              </w:rPr>
              <w:t>) –</w:t>
            </w:r>
            <w:r w:rsidRPr="00C00555">
              <w:rPr>
                <w:b/>
              </w:rPr>
              <w:t xml:space="preserve"> vairs nav spēkā no 2013.gada 16.maija, noteikumu Nr.401 46.6.apakšpunktu </w:t>
            </w:r>
            <w:r w:rsidRPr="00C00555">
              <w:rPr>
                <w:b/>
              </w:rPr>
              <w:lastRenderedPageBreak/>
              <w:t xml:space="preserve">nepieciešams precizēt, aizstājot atsauci uz spēku zaudējušu standartu ar atsauci uz spēkā esošu standartu </w:t>
            </w:r>
            <w:r w:rsidR="0083528F">
              <w:rPr>
                <w:b/>
              </w:rPr>
              <w:t>–</w:t>
            </w:r>
            <w:r w:rsidRPr="00C00555">
              <w:rPr>
                <w:b/>
              </w:rPr>
              <w:t xml:space="preserve"> LVS EN 12619:2013 "Stacionāro avotu izmeši. Gāzveida organiskā oglekļa masas koncentrācijas noteikšana dūmgāzēs. Nepārtraukta noteikšana ar liesmas jonizācijas detektoru". Noteikumi Nr.401 ietver norādes uz Latvijas nacionālajiem standartiem, kas piemērojami ar noteiktu atbilstības nodrošināšanas mērķi un nav tulkoti latviešu valodā. Visi noteikumos Nr.401 minētie Latvijas nacionālie standarti ir publicēti Latvijas Nacionālās standartizācijas institūcijas „Latvijas standarts” (turpmāk – LVS) tīmekļvietnē (</w:t>
            </w:r>
            <w:hyperlink r:id="rId8" w:history="1">
              <w:r w:rsidRPr="00507C0F">
                <w:rPr>
                  <w:rStyle w:val="Hipersaite"/>
                  <w:b/>
                </w:rPr>
                <w:t>www.lvs.lv</w:t>
              </w:r>
            </w:hyperlink>
            <w:r>
              <w:rPr>
                <w:b/>
              </w:rPr>
              <w:t xml:space="preserve"> </w:t>
            </w:r>
            <w:r w:rsidRPr="00C00555">
              <w:rPr>
                <w:b/>
              </w:rPr>
              <w:t>) un ir pieejami par maksu. LVS standartu lasītavā bez maksas var meklēt informāciju iespiestajos katalogos, elektroniskajās datubāzēs vai internetā un iepazīties ar fondā esošajiem standartiem un citiem dokumentiem.</w:t>
            </w:r>
          </w:p>
          <w:p w:rsidR="00926503" w:rsidRPr="00885D66" w:rsidRDefault="00926503" w:rsidP="000249F2">
            <w:pPr>
              <w:jc w:val="both"/>
              <w:rPr>
                <w:bCs/>
                <w:u w:val="single"/>
              </w:rPr>
            </w:pPr>
            <w:r w:rsidRPr="00885D66">
              <w:t>Minētās problēmas noteikumu projekts atrisinās pilnībā.</w:t>
            </w:r>
          </w:p>
        </w:tc>
      </w:tr>
      <w:tr w:rsidR="00BA0DE8" w:rsidRPr="00BA0DE8" w:rsidTr="008E3636">
        <w:tc>
          <w:tcPr>
            <w:tcW w:w="287" w:type="pct"/>
          </w:tcPr>
          <w:p w:rsidR="00AC145B" w:rsidRPr="00BA0DE8" w:rsidRDefault="00243D1D" w:rsidP="003037FE">
            <w:pPr>
              <w:pStyle w:val="Galvene"/>
              <w:jc w:val="center"/>
              <w:outlineLvl w:val="0"/>
            </w:pPr>
            <w:r w:rsidRPr="00BA0DE8">
              <w:lastRenderedPageBreak/>
              <w:t>3</w:t>
            </w:r>
            <w:r w:rsidR="00AC145B" w:rsidRPr="00BA0DE8">
              <w:t>.</w:t>
            </w:r>
          </w:p>
        </w:tc>
        <w:tc>
          <w:tcPr>
            <w:tcW w:w="1275" w:type="pct"/>
            <w:gridSpan w:val="2"/>
          </w:tcPr>
          <w:p w:rsidR="00AC145B" w:rsidRPr="00BA0DE8" w:rsidRDefault="00AC145B" w:rsidP="003037FE">
            <w:pPr>
              <w:pStyle w:val="Galvene"/>
              <w:jc w:val="both"/>
              <w:outlineLvl w:val="0"/>
            </w:pPr>
            <w:r w:rsidRPr="00BA0DE8">
              <w:t>Projekta izstrādē iesaistītās institūcijas</w:t>
            </w:r>
          </w:p>
        </w:tc>
        <w:tc>
          <w:tcPr>
            <w:tcW w:w="3438" w:type="pct"/>
          </w:tcPr>
          <w:p w:rsidR="00AC145B" w:rsidRPr="00BA0DE8" w:rsidRDefault="00940B60" w:rsidP="000623AC">
            <w:pPr>
              <w:jc w:val="both"/>
            </w:pPr>
            <w:r w:rsidRPr="00940B60">
              <w:t>Pārtikas un veterinārais dienests</w:t>
            </w:r>
          </w:p>
        </w:tc>
      </w:tr>
      <w:tr w:rsidR="005C3223" w:rsidRPr="00BA0DE8" w:rsidTr="008E3636">
        <w:tc>
          <w:tcPr>
            <w:tcW w:w="287" w:type="pct"/>
          </w:tcPr>
          <w:p w:rsidR="00AC145B" w:rsidRPr="00BA0DE8" w:rsidRDefault="00243D1D" w:rsidP="003037FE">
            <w:pPr>
              <w:pStyle w:val="naislab"/>
              <w:spacing w:before="0" w:after="0"/>
              <w:jc w:val="center"/>
              <w:outlineLvl w:val="0"/>
            </w:pPr>
            <w:r w:rsidRPr="00BA0DE8">
              <w:t>4</w:t>
            </w:r>
            <w:r w:rsidR="00AC145B" w:rsidRPr="00BA0DE8">
              <w:t>.</w:t>
            </w:r>
          </w:p>
        </w:tc>
        <w:tc>
          <w:tcPr>
            <w:tcW w:w="1275" w:type="pct"/>
            <w:gridSpan w:val="2"/>
          </w:tcPr>
          <w:p w:rsidR="00AC145B" w:rsidRPr="00BA0DE8" w:rsidRDefault="00AC145B" w:rsidP="003037FE">
            <w:pPr>
              <w:pStyle w:val="naislab"/>
              <w:spacing w:before="0" w:after="0"/>
              <w:jc w:val="both"/>
              <w:outlineLvl w:val="0"/>
            </w:pPr>
            <w:r w:rsidRPr="00BA0DE8">
              <w:t>Cita informācija</w:t>
            </w:r>
          </w:p>
        </w:tc>
        <w:tc>
          <w:tcPr>
            <w:tcW w:w="3438" w:type="pct"/>
          </w:tcPr>
          <w:p w:rsidR="00AC145B" w:rsidRPr="00072B42" w:rsidRDefault="006869F5" w:rsidP="00072B42">
            <w:pPr>
              <w:jc w:val="both"/>
            </w:pPr>
            <w:r>
              <w:t>Nav</w:t>
            </w:r>
            <w:r w:rsidR="00AB1AA9" w:rsidRPr="00072B42">
              <w:t xml:space="preserve">. </w:t>
            </w:r>
          </w:p>
        </w:tc>
      </w:tr>
      <w:tr w:rsidR="00BA0DE8" w:rsidRPr="00BA0DE8" w:rsidTr="00133DFE">
        <w:tc>
          <w:tcPr>
            <w:tcW w:w="5000" w:type="pct"/>
            <w:gridSpan w:val="4"/>
          </w:tcPr>
          <w:p w:rsidR="00C62422" w:rsidRDefault="00AC145B" w:rsidP="003037FE">
            <w:pPr>
              <w:jc w:val="center"/>
              <w:rPr>
                <w:b/>
              </w:rPr>
            </w:pPr>
            <w:r w:rsidRPr="00BA0DE8">
              <w:rPr>
                <w:b/>
              </w:rPr>
              <w:t xml:space="preserve">II. Tiesību akta projekta ietekme uz sabiedrību, </w:t>
            </w:r>
          </w:p>
          <w:p w:rsidR="00AC145B" w:rsidRPr="00BA0DE8" w:rsidRDefault="00AC145B" w:rsidP="003037FE">
            <w:pPr>
              <w:jc w:val="center"/>
              <w:rPr>
                <w:b/>
              </w:rPr>
            </w:pPr>
            <w:r w:rsidRPr="00BA0DE8">
              <w:rPr>
                <w:b/>
              </w:rPr>
              <w:t>tautsaimniecības attīstību un administratīvo slogu</w:t>
            </w:r>
          </w:p>
        </w:tc>
      </w:tr>
      <w:tr w:rsidR="00BA0DE8" w:rsidRPr="00BA0DE8" w:rsidTr="00BC349A">
        <w:tc>
          <w:tcPr>
            <w:tcW w:w="285" w:type="pct"/>
          </w:tcPr>
          <w:p w:rsidR="00AC145B" w:rsidRPr="00BA0DE8" w:rsidRDefault="00AC145B" w:rsidP="003037FE">
            <w:pPr>
              <w:pStyle w:val="naislab"/>
              <w:spacing w:before="0" w:after="0"/>
              <w:jc w:val="center"/>
              <w:outlineLvl w:val="0"/>
            </w:pPr>
            <w:r w:rsidRPr="00BA0DE8">
              <w:t>1.</w:t>
            </w:r>
          </w:p>
        </w:tc>
        <w:tc>
          <w:tcPr>
            <w:tcW w:w="989" w:type="pct"/>
          </w:tcPr>
          <w:p w:rsidR="00AC145B" w:rsidRPr="00BA0DE8" w:rsidRDefault="00AC145B" w:rsidP="003037FE">
            <w:pPr>
              <w:pStyle w:val="naislab"/>
              <w:spacing w:before="0" w:after="0"/>
              <w:jc w:val="both"/>
              <w:outlineLvl w:val="0"/>
            </w:pPr>
            <w:r w:rsidRPr="00BA0DE8">
              <w:t>Sabiedrības mērķgrupas, kuras tiesiskais regulējums ietekmē vai varētu ietekmēt</w:t>
            </w:r>
          </w:p>
        </w:tc>
        <w:tc>
          <w:tcPr>
            <w:tcW w:w="3726" w:type="pct"/>
            <w:gridSpan w:val="2"/>
          </w:tcPr>
          <w:p w:rsidR="00072B42" w:rsidRPr="00B86B73" w:rsidRDefault="00940B60" w:rsidP="007C16F6">
            <w:pPr>
              <w:jc w:val="both"/>
              <w:rPr>
                <w:highlight w:val="yellow"/>
              </w:rPr>
            </w:pPr>
            <w:r w:rsidRPr="00885D66">
              <w:t>Noteikumu projekta tiesiskais regulējums attie</w:t>
            </w:r>
            <w:r w:rsidR="00D12016">
              <w:t>cas</w:t>
            </w:r>
            <w:r w:rsidRPr="00885D66">
              <w:t xml:space="preserve"> uz</w:t>
            </w:r>
            <w:r w:rsidR="00C6168F" w:rsidRPr="00885D66">
              <w:t xml:space="preserve"> </w:t>
            </w:r>
            <w:r w:rsidR="0026787B">
              <w:t>sadedzināšanas un līdzsadedzināšanas iekārtām, kurās ti</w:t>
            </w:r>
            <w:r w:rsidR="00D12016">
              <w:t>e</w:t>
            </w:r>
            <w:r w:rsidR="0026787B">
              <w:t xml:space="preserve">k sadedzināti vai līdzsadedzināti </w:t>
            </w:r>
            <w:r w:rsidR="0026787B" w:rsidRPr="0026787B">
              <w:t>dzīvnieku izcelsmes blakusprodukt</w:t>
            </w:r>
            <w:r w:rsidR="0026787B">
              <w:t>i un atvasināti produkti</w:t>
            </w:r>
            <w:r w:rsidR="0026787B" w:rsidRPr="0026787B">
              <w:t>, kas nav paredzēti cilvēku patēriņam,</w:t>
            </w:r>
            <w:r w:rsidR="0026787B">
              <w:t xml:space="preserve"> tostarp dzīvnieku līķi</w:t>
            </w:r>
            <w:r w:rsidR="006869F5">
              <w:t xml:space="preserve">. </w:t>
            </w:r>
            <w:r w:rsidR="00885D66" w:rsidRPr="004C1BC4">
              <w:t xml:space="preserve">Latvijā </w:t>
            </w:r>
            <w:r w:rsidR="0026787B">
              <w:t xml:space="preserve">saskaņā ar </w:t>
            </w:r>
            <w:r w:rsidR="009E5AE0">
              <w:t>r</w:t>
            </w:r>
            <w:r w:rsidR="0026787B" w:rsidRPr="0026787B">
              <w:t>egulas Nr.1069/2009 24</w:t>
            </w:r>
            <w:r w:rsidR="0026787B">
              <w:t xml:space="preserve">.panta </w:t>
            </w:r>
            <w:r w:rsidR="0026787B" w:rsidRPr="0026787B">
              <w:t>1</w:t>
            </w:r>
            <w:r w:rsidR="0026787B">
              <w:t>.punkta „</w:t>
            </w:r>
            <w:r w:rsidR="0026787B" w:rsidRPr="0026787B">
              <w:t>b</w:t>
            </w:r>
            <w:r w:rsidR="0026787B">
              <w:t>” un „</w:t>
            </w:r>
            <w:r w:rsidR="0026787B" w:rsidRPr="0026787B">
              <w:t>c</w:t>
            </w:r>
            <w:r w:rsidR="0026787B">
              <w:t>” apakšpunktu Pārtikas un veterinārā dienestā ir</w:t>
            </w:r>
            <w:r w:rsidR="009B2FA7">
              <w:t xml:space="preserve"> </w:t>
            </w:r>
            <w:r w:rsidR="0026787B">
              <w:t>atzītas 11</w:t>
            </w:r>
            <w:r w:rsidR="009E5AE0">
              <w:t> </w:t>
            </w:r>
            <w:r w:rsidR="0026787B" w:rsidRPr="0026787B">
              <w:t>sadedzināšana</w:t>
            </w:r>
            <w:r w:rsidR="0026787B">
              <w:t>s un līdzsadedzināšanas iekārtas</w:t>
            </w:r>
            <w:r w:rsidR="00D12016">
              <w:t xml:space="preserve"> (</w:t>
            </w:r>
            <w:r w:rsidR="009E5AE0">
              <w:t>no tām</w:t>
            </w:r>
            <w:r w:rsidR="00D12016">
              <w:t xml:space="preserve"> 6</w:t>
            </w:r>
            <w:r w:rsidR="009E5AE0">
              <w:t> </w:t>
            </w:r>
            <w:r w:rsidR="00D12016">
              <w:t>sadedzināšanas iekārtas atrodas robežkontroles punktos uz Latvijas robežas</w:t>
            </w:r>
            <w:r w:rsidR="009E5AE0">
              <w:t>)</w:t>
            </w:r>
            <w:r w:rsidR="000A4D5D">
              <w:t>.</w:t>
            </w:r>
          </w:p>
        </w:tc>
      </w:tr>
      <w:tr w:rsidR="00BA0DE8" w:rsidRPr="00BA0DE8" w:rsidTr="00BC349A">
        <w:tc>
          <w:tcPr>
            <w:tcW w:w="285" w:type="pct"/>
          </w:tcPr>
          <w:p w:rsidR="00AC145B" w:rsidRPr="00BA0DE8" w:rsidRDefault="00AC145B" w:rsidP="003037FE">
            <w:pPr>
              <w:pStyle w:val="naislab"/>
              <w:spacing w:before="0" w:after="0"/>
              <w:jc w:val="center"/>
              <w:outlineLvl w:val="0"/>
            </w:pPr>
            <w:r w:rsidRPr="00BA0DE8">
              <w:t>2.</w:t>
            </w:r>
          </w:p>
        </w:tc>
        <w:tc>
          <w:tcPr>
            <w:tcW w:w="989" w:type="pct"/>
          </w:tcPr>
          <w:p w:rsidR="00AC145B" w:rsidRPr="00BA0DE8" w:rsidRDefault="00AC145B" w:rsidP="003037FE">
            <w:pPr>
              <w:pStyle w:val="naislab"/>
              <w:spacing w:before="0" w:after="0"/>
              <w:jc w:val="both"/>
              <w:outlineLvl w:val="0"/>
            </w:pPr>
            <w:r w:rsidRPr="00BA0DE8">
              <w:t>Tiesiskā regulējuma ietekme uz tautsaimniecību un administratīvo slogu</w:t>
            </w:r>
          </w:p>
        </w:tc>
        <w:tc>
          <w:tcPr>
            <w:tcW w:w="3726" w:type="pct"/>
            <w:gridSpan w:val="2"/>
          </w:tcPr>
          <w:p w:rsidR="00AC145B" w:rsidRPr="00BA0DE8" w:rsidRDefault="00926503" w:rsidP="006E65F9">
            <w:pPr>
              <w:jc w:val="both"/>
            </w:pPr>
            <w:r w:rsidRPr="000E674D">
              <w:t>Projekts šo jomu neskar.</w:t>
            </w:r>
          </w:p>
        </w:tc>
      </w:tr>
      <w:tr w:rsidR="00BA0DE8" w:rsidRPr="00BA0DE8" w:rsidTr="00BC349A">
        <w:tc>
          <w:tcPr>
            <w:tcW w:w="285" w:type="pct"/>
          </w:tcPr>
          <w:p w:rsidR="00AC145B" w:rsidRPr="00BA0DE8" w:rsidRDefault="00AC145B" w:rsidP="003037FE">
            <w:pPr>
              <w:pStyle w:val="naislab"/>
              <w:spacing w:before="0" w:after="0"/>
              <w:jc w:val="center"/>
              <w:outlineLvl w:val="0"/>
            </w:pPr>
            <w:r w:rsidRPr="00BA0DE8">
              <w:t>3.</w:t>
            </w:r>
          </w:p>
        </w:tc>
        <w:tc>
          <w:tcPr>
            <w:tcW w:w="989" w:type="pct"/>
          </w:tcPr>
          <w:p w:rsidR="00AC145B" w:rsidRPr="00BA0DE8" w:rsidRDefault="00AC145B" w:rsidP="003037FE">
            <w:pPr>
              <w:pStyle w:val="naislab"/>
              <w:spacing w:before="0" w:after="0"/>
              <w:jc w:val="both"/>
              <w:outlineLvl w:val="0"/>
            </w:pPr>
            <w:r w:rsidRPr="00BA0DE8">
              <w:t>Administratīvo izmaksu monetārs novērtējums</w:t>
            </w:r>
          </w:p>
        </w:tc>
        <w:tc>
          <w:tcPr>
            <w:tcW w:w="3726" w:type="pct"/>
            <w:gridSpan w:val="2"/>
          </w:tcPr>
          <w:p w:rsidR="00AC145B" w:rsidRPr="000B43C3" w:rsidRDefault="00DF5EE4" w:rsidP="003037FE">
            <w:pPr>
              <w:jc w:val="both"/>
            </w:pPr>
            <w:r w:rsidRPr="000E674D">
              <w:t>Projekts šo jomu neskar.</w:t>
            </w:r>
          </w:p>
        </w:tc>
      </w:tr>
      <w:tr w:rsidR="005C3223" w:rsidRPr="00BA0DE8" w:rsidTr="00BC349A">
        <w:tc>
          <w:tcPr>
            <w:tcW w:w="285" w:type="pct"/>
          </w:tcPr>
          <w:p w:rsidR="00AC145B" w:rsidRPr="00BA0DE8" w:rsidRDefault="00AC145B" w:rsidP="003037FE">
            <w:pPr>
              <w:pStyle w:val="naislab"/>
              <w:spacing w:before="0" w:after="0"/>
              <w:jc w:val="center"/>
              <w:outlineLvl w:val="0"/>
            </w:pPr>
            <w:r w:rsidRPr="00BA0DE8">
              <w:t>4.</w:t>
            </w:r>
          </w:p>
        </w:tc>
        <w:tc>
          <w:tcPr>
            <w:tcW w:w="989" w:type="pct"/>
          </w:tcPr>
          <w:p w:rsidR="00AC145B" w:rsidRPr="00BA0DE8" w:rsidRDefault="00AC145B" w:rsidP="003037FE">
            <w:pPr>
              <w:pStyle w:val="naislab"/>
              <w:spacing w:before="0" w:after="0"/>
              <w:jc w:val="both"/>
              <w:outlineLvl w:val="0"/>
            </w:pPr>
            <w:r w:rsidRPr="00BA0DE8">
              <w:t>Cita informācija</w:t>
            </w:r>
          </w:p>
        </w:tc>
        <w:tc>
          <w:tcPr>
            <w:tcW w:w="3726" w:type="pct"/>
            <w:gridSpan w:val="2"/>
          </w:tcPr>
          <w:p w:rsidR="00AC145B" w:rsidRPr="00BA0DE8" w:rsidRDefault="00AC145B" w:rsidP="003037FE">
            <w:pPr>
              <w:jc w:val="both"/>
            </w:pPr>
            <w:r w:rsidRPr="00BA0DE8">
              <w:t>Nav.</w:t>
            </w:r>
          </w:p>
        </w:tc>
      </w:tr>
    </w:tbl>
    <w:p w:rsidR="00AC515F" w:rsidRPr="00AC515F" w:rsidRDefault="00AC515F" w:rsidP="00AC515F">
      <w:pPr>
        <w:rPr>
          <w:i/>
        </w:rPr>
      </w:pPr>
      <w:r w:rsidRPr="00AC515F">
        <w:rPr>
          <w:i/>
        </w:rPr>
        <w:t>Anotācijas III un IV sadaļa – projekts šīs jomas neskar.</w:t>
      </w:r>
    </w:p>
    <w:p w:rsidR="00AC515F" w:rsidRPr="00AC515F" w:rsidRDefault="00AC515F" w:rsidP="00AC515F">
      <w:pPr>
        <w:rPr>
          <w:i/>
        </w:rPr>
      </w:pPr>
    </w:p>
    <w:tbl>
      <w:tblPr>
        <w:tblW w:w="4905" w:type="pct"/>
        <w:tblInd w:w="7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95"/>
        <w:gridCol w:w="2196"/>
        <w:gridCol w:w="75"/>
        <w:gridCol w:w="1974"/>
        <w:gridCol w:w="2766"/>
        <w:gridCol w:w="1699"/>
      </w:tblGrid>
      <w:tr w:rsidR="00AC515F" w:rsidRPr="00AC515F" w:rsidTr="00DC2257">
        <w:tc>
          <w:tcPr>
            <w:tcW w:w="5000" w:type="pct"/>
            <w:gridSpan w:val="6"/>
            <w:tcBorders>
              <w:top w:val="outset" w:sz="6" w:space="0" w:color="auto"/>
              <w:left w:val="outset" w:sz="6" w:space="0" w:color="auto"/>
              <w:bottom w:val="outset" w:sz="6" w:space="0" w:color="auto"/>
              <w:right w:val="outset" w:sz="6" w:space="0" w:color="auto"/>
            </w:tcBorders>
          </w:tcPr>
          <w:p w:rsidR="00C62422" w:rsidRDefault="00AC515F" w:rsidP="00AC515F">
            <w:pPr>
              <w:jc w:val="center"/>
              <w:rPr>
                <w:b/>
              </w:rPr>
            </w:pPr>
            <w:r w:rsidRPr="00AC515F">
              <w:rPr>
                <w:b/>
              </w:rPr>
              <w:t xml:space="preserve"> V. Tiesību akta projekta atbilstība Latvijas Republikas </w:t>
            </w:r>
          </w:p>
          <w:p w:rsidR="00AC515F" w:rsidRPr="00AC515F" w:rsidRDefault="00AC515F" w:rsidP="00AC515F">
            <w:pPr>
              <w:jc w:val="center"/>
              <w:rPr>
                <w:b/>
              </w:rPr>
            </w:pPr>
            <w:r w:rsidRPr="00AC515F">
              <w:rPr>
                <w:b/>
              </w:rPr>
              <w:t>starptautiskajām saistībām</w:t>
            </w:r>
          </w:p>
        </w:tc>
      </w:tr>
      <w:tr w:rsidR="00AC515F" w:rsidRPr="00AC515F" w:rsidTr="00DC2257">
        <w:tc>
          <w:tcPr>
            <w:tcW w:w="217" w:type="pct"/>
            <w:tcBorders>
              <w:top w:val="outset" w:sz="6" w:space="0" w:color="auto"/>
              <w:left w:val="outset" w:sz="6" w:space="0" w:color="auto"/>
              <w:bottom w:val="outset" w:sz="6" w:space="0" w:color="auto"/>
              <w:right w:val="outset" w:sz="6" w:space="0" w:color="auto"/>
            </w:tcBorders>
          </w:tcPr>
          <w:p w:rsidR="00AC515F" w:rsidRPr="00AC515F" w:rsidRDefault="00AC515F" w:rsidP="00AC515F">
            <w:r w:rsidRPr="00AC515F">
              <w:t>1.</w:t>
            </w:r>
          </w:p>
        </w:tc>
        <w:tc>
          <w:tcPr>
            <w:tcW w:w="1247" w:type="pct"/>
            <w:gridSpan w:val="2"/>
            <w:tcBorders>
              <w:top w:val="outset" w:sz="6" w:space="0" w:color="auto"/>
              <w:left w:val="outset" w:sz="6" w:space="0" w:color="auto"/>
              <w:bottom w:val="outset" w:sz="6" w:space="0" w:color="auto"/>
              <w:right w:val="outset" w:sz="6" w:space="0" w:color="auto"/>
            </w:tcBorders>
          </w:tcPr>
          <w:p w:rsidR="00AC515F" w:rsidRPr="00AC515F" w:rsidRDefault="00AC515F" w:rsidP="00AC515F">
            <w:r w:rsidRPr="00AC515F">
              <w:t>Saistības pret Eiropas Savienību</w:t>
            </w:r>
          </w:p>
        </w:tc>
        <w:tc>
          <w:tcPr>
            <w:tcW w:w="3536" w:type="pct"/>
            <w:gridSpan w:val="3"/>
            <w:tcBorders>
              <w:top w:val="outset" w:sz="6" w:space="0" w:color="auto"/>
              <w:left w:val="outset" w:sz="6" w:space="0" w:color="auto"/>
              <w:bottom w:val="outset" w:sz="6" w:space="0" w:color="auto"/>
              <w:right w:val="outset" w:sz="6" w:space="0" w:color="auto"/>
            </w:tcBorders>
          </w:tcPr>
          <w:p w:rsidR="00AC515F" w:rsidRPr="00AC515F" w:rsidRDefault="00AC515F" w:rsidP="00AC515F">
            <w:pPr>
              <w:jc w:val="both"/>
              <w:rPr>
                <w:b/>
                <w:lang w:eastAsia="en-US"/>
              </w:rPr>
            </w:pPr>
            <w:r w:rsidRPr="00AC515F">
              <w:rPr>
                <w:bCs/>
                <w:lang w:eastAsia="en-US"/>
              </w:rPr>
              <w:t>1. Regula Nr.1069/2009</w:t>
            </w:r>
            <w:r w:rsidRPr="00AC515F">
              <w:rPr>
                <w:lang w:eastAsia="en-US"/>
              </w:rPr>
              <w:t>.</w:t>
            </w:r>
          </w:p>
          <w:p w:rsidR="00AC515F" w:rsidRPr="00AC515F" w:rsidRDefault="00AC515F" w:rsidP="00AC515F">
            <w:pPr>
              <w:autoSpaceDE w:val="0"/>
              <w:autoSpaceDN w:val="0"/>
              <w:adjustRightInd w:val="0"/>
              <w:jc w:val="both"/>
            </w:pPr>
            <w:r w:rsidRPr="00AC515F">
              <w:t>2. Regula</w:t>
            </w:r>
            <w:r w:rsidRPr="00AC515F">
              <w:rPr>
                <w:b/>
                <w:bCs/>
              </w:rPr>
              <w:t xml:space="preserve"> </w:t>
            </w:r>
            <w:r w:rsidRPr="00AC515F">
              <w:t>Nr.142/2011.</w:t>
            </w:r>
          </w:p>
        </w:tc>
      </w:tr>
      <w:tr w:rsidR="00AC515F" w:rsidRPr="00AC515F" w:rsidTr="00DC2257">
        <w:tc>
          <w:tcPr>
            <w:tcW w:w="217" w:type="pct"/>
            <w:tcBorders>
              <w:top w:val="outset" w:sz="6" w:space="0" w:color="auto"/>
              <w:left w:val="outset" w:sz="6" w:space="0" w:color="auto"/>
              <w:bottom w:val="outset" w:sz="6" w:space="0" w:color="auto"/>
              <w:right w:val="outset" w:sz="6" w:space="0" w:color="auto"/>
            </w:tcBorders>
          </w:tcPr>
          <w:p w:rsidR="00AC515F" w:rsidRPr="00AC515F" w:rsidRDefault="00AC515F" w:rsidP="00AC515F">
            <w:r w:rsidRPr="00AC515F">
              <w:lastRenderedPageBreak/>
              <w:t>2.</w:t>
            </w:r>
          </w:p>
        </w:tc>
        <w:tc>
          <w:tcPr>
            <w:tcW w:w="1247" w:type="pct"/>
            <w:gridSpan w:val="2"/>
            <w:tcBorders>
              <w:top w:val="outset" w:sz="6" w:space="0" w:color="auto"/>
              <w:left w:val="outset" w:sz="6" w:space="0" w:color="auto"/>
              <w:bottom w:val="outset" w:sz="6" w:space="0" w:color="auto"/>
              <w:right w:val="outset" w:sz="6" w:space="0" w:color="auto"/>
            </w:tcBorders>
          </w:tcPr>
          <w:p w:rsidR="00AC515F" w:rsidRPr="00AC515F" w:rsidRDefault="00AC515F" w:rsidP="00AC515F">
            <w:r w:rsidRPr="00AC515F">
              <w:t>Citas starptautiskās saistības</w:t>
            </w:r>
          </w:p>
        </w:tc>
        <w:tc>
          <w:tcPr>
            <w:tcW w:w="3536" w:type="pct"/>
            <w:gridSpan w:val="3"/>
            <w:tcBorders>
              <w:top w:val="outset" w:sz="6" w:space="0" w:color="auto"/>
              <w:left w:val="outset" w:sz="6" w:space="0" w:color="auto"/>
              <w:bottom w:val="outset" w:sz="6" w:space="0" w:color="auto"/>
              <w:right w:val="outset" w:sz="6" w:space="0" w:color="auto"/>
            </w:tcBorders>
          </w:tcPr>
          <w:p w:rsidR="00AC515F" w:rsidRPr="00AC515F" w:rsidRDefault="00AC515F" w:rsidP="00AC515F">
            <w:r w:rsidRPr="00AC515F">
              <w:t>Projekts šo jomu neskar.</w:t>
            </w:r>
          </w:p>
        </w:tc>
      </w:tr>
      <w:tr w:rsidR="00AC515F" w:rsidRPr="00AC515F" w:rsidTr="00DC2257">
        <w:tc>
          <w:tcPr>
            <w:tcW w:w="217" w:type="pct"/>
            <w:tcBorders>
              <w:top w:val="outset" w:sz="6" w:space="0" w:color="auto"/>
              <w:left w:val="outset" w:sz="6" w:space="0" w:color="auto"/>
              <w:bottom w:val="outset" w:sz="6" w:space="0" w:color="auto"/>
              <w:right w:val="outset" w:sz="6" w:space="0" w:color="auto"/>
            </w:tcBorders>
          </w:tcPr>
          <w:p w:rsidR="00AC515F" w:rsidRPr="00AC515F" w:rsidRDefault="00AC515F" w:rsidP="00AC515F">
            <w:r w:rsidRPr="00AC515F">
              <w:t>3.</w:t>
            </w:r>
          </w:p>
        </w:tc>
        <w:tc>
          <w:tcPr>
            <w:tcW w:w="1247" w:type="pct"/>
            <w:gridSpan w:val="2"/>
            <w:tcBorders>
              <w:top w:val="outset" w:sz="6" w:space="0" w:color="auto"/>
              <w:left w:val="outset" w:sz="6" w:space="0" w:color="auto"/>
              <w:bottom w:val="outset" w:sz="6" w:space="0" w:color="auto"/>
              <w:right w:val="outset" w:sz="6" w:space="0" w:color="auto"/>
            </w:tcBorders>
          </w:tcPr>
          <w:p w:rsidR="00AC515F" w:rsidRPr="00AC515F" w:rsidRDefault="00AC515F" w:rsidP="00AC515F">
            <w:r w:rsidRPr="00AC515F">
              <w:t>Cita informācija</w:t>
            </w:r>
          </w:p>
        </w:tc>
        <w:tc>
          <w:tcPr>
            <w:tcW w:w="3536" w:type="pct"/>
            <w:gridSpan w:val="3"/>
            <w:tcBorders>
              <w:top w:val="outset" w:sz="6" w:space="0" w:color="auto"/>
              <w:left w:val="outset" w:sz="6" w:space="0" w:color="auto"/>
              <w:bottom w:val="outset" w:sz="6" w:space="0" w:color="auto"/>
              <w:right w:val="outset" w:sz="6" w:space="0" w:color="auto"/>
            </w:tcBorders>
          </w:tcPr>
          <w:p w:rsidR="00AC515F" w:rsidRPr="00AC515F" w:rsidRDefault="00AC515F" w:rsidP="00AC515F">
            <w:r w:rsidRPr="00AC515F">
              <w:t>Nav</w:t>
            </w:r>
          </w:p>
        </w:tc>
      </w:tr>
      <w:tr w:rsidR="00AC515F" w:rsidRPr="00AC515F" w:rsidTr="00DC2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6"/>
          </w:tcPr>
          <w:p w:rsidR="00AC515F" w:rsidRPr="00AC515F" w:rsidRDefault="00AC515F" w:rsidP="00AC515F">
            <w:pPr>
              <w:jc w:val="center"/>
              <w:rPr>
                <w:b/>
              </w:rPr>
            </w:pPr>
            <w:r w:rsidRPr="00AC515F">
              <w:rPr>
                <w:b/>
              </w:rPr>
              <w:t xml:space="preserve">1.tabula </w:t>
            </w:r>
          </w:p>
          <w:p w:rsidR="00AC515F" w:rsidRPr="00AC515F" w:rsidRDefault="00AC515F" w:rsidP="00AC515F">
            <w:pPr>
              <w:jc w:val="center"/>
            </w:pPr>
            <w:r w:rsidRPr="00AC515F">
              <w:rPr>
                <w:b/>
              </w:rPr>
              <w:t>Tiesību akta projekta atbilstība ES tiesību aktiem</w:t>
            </w:r>
          </w:p>
        </w:tc>
      </w:tr>
      <w:tr w:rsidR="00AC515F" w:rsidRPr="00AC515F" w:rsidTr="00DC2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23" w:type="pct"/>
            <w:gridSpan w:val="2"/>
          </w:tcPr>
          <w:p w:rsidR="00AC515F" w:rsidRPr="00AC515F" w:rsidRDefault="00AC515F" w:rsidP="00AC515F">
            <w:pPr>
              <w:spacing w:beforeAutospacing="1" w:afterAutospacing="1"/>
              <w:jc w:val="both"/>
            </w:pPr>
            <w:r w:rsidRPr="00AC515F">
              <w:t>Attiecīgā ES tiesību akta datums, numurs un nosaukums</w:t>
            </w:r>
          </w:p>
        </w:tc>
        <w:tc>
          <w:tcPr>
            <w:tcW w:w="3577" w:type="pct"/>
            <w:gridSpan w:val="4"/>
          </w:tcPr>
          <w:p w:rsidR="00AC515F" w:rsidRPr="00AC515F" w:rsidRDefault="00AC515F" w:rsidP="00AC515F">
            <w:pPr>
              <w:jc w:val="both"/>
              <w:rPr>
                <w:b/>
                <w:lang w:eastAsia="en-US"/>
              </w:rPr>
            </w:pPr>
            <w:r w:rsidRPr="00AC515F">
              <w:rPr>
                <w:bCs/>
                <w:lang w:eastAsia="en-US"/>
              </w:rPr>
              <w:t>1. Regula Nr.1069/2009</w:t>
            </w:r>
            <w:r w:rsidRPr="00AC515F">
              <w:rPr>
                <w:lang w:eastAsia="en-US"/>
              </w:rPr>
              <w:t>.</w:t>
            </w:r>
          </w:p>
          <w:p w:rsidR="00AC515F" w:rsidRPr="00AC515F" w:rsidRDefault="00AC515F" w:rsidP="00AC515F">
            <w:pPr>
              <w:autoSpaceDE w:val="0"/>
              <w:autoSpaceDN w:val="0"/>
              <w:adjustRightInd w:val="0"/>
              <w:jc w:val="both"/>
            </w:pPr>
            <w:r w:rsidRPr="00AC515F">
              <w:t>2. Regula</w:t>
            </w:r>
            <w:r w:rsidRPr="00AC515F">
              <w:rPr>
                <w:b/>
                <w:bCs/>
              </w:rPr>
              <w:t xml:space="preserve"> </w:t>
            </w:r>
            <w:r w:rsidRPr="00AC515F">
              <w:t>Nr.142/2011.</w:t>
            </w:r>
          </w:p>
        </w:tc>
      </w:tr>
      <w:tr w:rsidR="00AC515F" w:rsidRPr="00AC515F" w:rsidTr="00DC2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23" w:type="pct"/>
            <w:gridSpan w:val="2"/>
          </w:tcPr>
          <w:p w:rsidR="00AC515F" w:rsidRPr="00AC515F" w:rsidRDefault="00AC515F" w:rsidP="00AC515F">
            <w:pPr>
              <w:spacing w:beforeAutospacing="1" w:afterAutospacing="1"/>
            </w:pPr>
            <w:r w:rsidRPr="00AC515F">
              <w:t>A</w:t>
            </w:r>
          </w:p>
        </w:tc>
        <w:tc>
          <w:tcPr>
            <w:tcW w:w="1125" w:type="pct"/>
            <w:gridSpan w:val="2"/>
          </w:tcPr>
          <w:p w:rsidR="00AC515F" w:rsidRPr="00AC515F" w:rsidRDefault="00AC515F" w:rsidP="00AC515F">
            <w:pPr>
              <w:spacing w:beforeAutospacing="1" w:afterAutospacing="1"/>
            </w:pPr>
            <w:r w:rsidRPr="00AC515F">
              <w:t>B</w:t>
            </w:r>
          </w:p>
        </w:tc>
        <w:tc>
          <w:tcPr>
            <w:tcW w:w="1519" w:type="pct"/>
          </w:tcPr>
          <w:p w:rsidR="00AC515F" w:rsidRPr="00AC515F" w:rsidRDefault="00AC515F" w:rsidP="00AC515F">
            <w:pPr>
              <w:spacing w:beforeAutospacing="1" w:afterAutospacing="1"/>
            </w:pPr>
            <w:r w:rsidRPr="00AC515F">
              <w:t>C</w:t>
            </w:r>
          </w:p>
        </w:tc>
        <w:tc>
          <w:tcPr>
            <w:tcW w:w="933" w:type="pct"/>
          </w:tcPr>
          <w:p w:rsidR="00AC515F" w:rsidRPr="00AC515F" w:rsidRDefault="00AC515F" w:rsidP="00AC515F">
            <w:pPr>
              <w:spacing w:beforeAutospacing="1" w:afterAutospacing="1"/>
            </w:pPr>
            <w:r w:rsidRPr="00AC515F">
              <w:t>D</w:t>
            </w:r>
          </w:p>
        </w:tc>
      </w:tr>
      <w:tr w:rsidR="00AC515F" w:rsidRPr="00AC515F" w:rsidTr="00DC2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23" w:type="pct"/>
            <w:gridSpan w:val="2"/>
          </w:tcPr>
          <w:p w:rsidR="00AC515F" w:rsidRPr="00AC515F" w:rsidRDefault="00AC515F" w:rsidP="00AC515F">
            <w:pPr>
              <w:spacing w:beforeAutospacing="1" w:afterAutospacing="1"/>
              <w:jc w:val="both"/>
            </w:pPr>
            <w:r w:rsidRPr="00AC515F">
              <w:t>Attiecīgā ES tiesību akta panta numurs (uzskaitot katru tiesību akta vienību-pantu, daļu, punktu, apakšpunktu)</w:t>
            </w:r>
          </w:p>
        </w:tc>
        <w:tc>
          <w:tcPr>
            <w:tcW w:w="1125" w:type="pct"/>
            <w:gridSpan w:val="2"/>
          </w:tcPr>
          <w:p w:rsidR="00AC515F" w:rsidRPr="00AC515F" w:rsidRDefault="00AC515F" w:rsidP="00AC515F">
            <w:pPr>
              <w:spacing w:beforeAutospacing="1" w:afterAutospacing="1"/>
              <w:jc w:val="both"/>
            </w:pPr>
            <w:r w:rsidRPr="00AC515F">
              <w:t>Projekta vienība, kas pārņem vai ievieš katru šīs tabulas A ailē minēto ES tiesību akta vienību, vai tiesību akts, kur attiecīgā ES tiesību akta vienība pārņemta vai ieviesta</w:t>
            </w:r>
          </w:p>
        </w:tc>
        <w:tc>
          <w:tcPr>
            <w:tcW w:w="1519" w:type="pct"/>
          </w:tcPr>
          <w:p w:rsidR="00AC515F" w:rsidRPr="00AC515F" w:rsidRDefault="00AC515F" w:rsidP="00AC515F">
            <w:pPr>
              <w:spacing w:beforeAutospacing="1" w:afterAutospacing="1"/>
              <w:jc w:val="both"/>
            </w:pPr>
            <w:r w:rsidRPr="00AC515F">
              <w:t>Informācija par to, vai šīs tabulas A ailē minētās ES tiesību akta vienības tiek pārņemtas vai ieviestas pilnībā vai daļēji. Ja attiecīgā ES tiesību akta vienība tiek pārņemta vai ieviesta daļēji, sniedz attiecīgu skaidrojumu, kā arī precīzi norāda, kad un kādā veidā ES tiesību akta vienība tiks pārņemta vai ieviesta pilnībā.</w:t>
            </w:r>
          </w:p>
          <w:p w:rsidR="00AC515F" w:rsidRPr="00AC515F" w:rsidRDefault="00AC515F" w:rsidP="00AC515F">
            <w:pPr>
              <w:spacing w:beforeAutospacing="1" w:afterAutospacing="1"/>
              <w:jc w:val="both"/>
            </w:pPr>
            <w:r w:rsidRPr="00AC515F">
              <w:t>Norāda institūciju, kas ir atbildīga par šo saistību izpildi pilnībā</w:t>
            </w:r>
          </w:p>
        </w:tc>
        <w:tc>
          <w:tcPr>
            <w:tcW w:w="933" w:type="pct"/>
          </w:tcPr>
          <w:p w:rsidR="00AC515F" w:rsidRPr="00AC515F" w:rsidRDefault="00AC515F" w:rsidP="00AC515F">
            <w:pPr>
              <w:spacing w:beforeAutospacing="1" w:afterAutospacing="1"/>
              <w:jc w:val="both"/>
            </w:pPr>
            <w:r w:rsidRPr="00AC515F">
              <w:t xml:space="preserve">Informācija par to, vai šīs tabulas B ailē minētās projekta vienības paredz stingrākas prasības nekā šīs tabulas A ailē minētās ES tiesību akta vienības. Ja projekts satur stingrākas prasības nekā attiecīgais ES tiesību </w:t>
            </w:r>
            <w:smartTag w:uri="schemas-tilde-lv/tildestengine" w:element="veidnes">
              <w:smartTagPr>
                <w:attr w:name="id" w:val="-1"/>
                <w:attr w:name="baseform" w:val="akts"/>
                <w:attr w:name="text" w:val="akts"/>
              </w:smartTagPr>
              <w:r w:rsidRPr="00AC515F">
                <w:t>akts</w:t>
              </w:r>
            </w:smartTag>
            <w:r w:rsidRPr="00AC515F">
              <w:t>, norāda pamatojumu un samērīgumu.</w:t>
            </w:r>
          </w:p>
          <w:p w:rsidR="00AC515F" w:rsidRPr="00AC515F" w:rsidRDefault="00AC515F" w:rsidP="00AC515F">
            <w:pPr>
              <w:spacing w:beforeAutospacing="1" w:afterAutospacing="1"/>
              <w:jc w:val="both"/>
            </w:pPr>
            <w:r w:rsidRPr="00AC515F">
              <w:t xml:space="preserve">Norāda iespējamās alternatīvas (t.sk. alternatīvas, kas neparedz tiesiskā regulējuma izstrādi)- kādos gadījumos būtu iespējams izvairīties no stingrāku prasību noteikšanas, nekā paredzēts </w:t>
            </w:r>
            <w:r w:rsidRPr="00AC515F">
              <w:lastRenderedPageBreak/>
              <w:t>attiecīgajos ES tiesību aktos</w:t>
            </w:r>
          </w:p>
        </w:tc>
      </w:tr>
      <w:tr w:rsidR="00AC515F" w:rsidRPr="00AC515F" w:rsidTr="00DC2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23" w:type="pct"/>
            <w:gridSpan w:val="2"/>
          </w:tcPr>
          <w:p w:rsidR="00D12016" w:rsidRPr="00AC515F" w:rsidRDefault="00AC515F" w:rsidP="00D12016">
            <w:pPr>
              <w:rPr>
                <w:lang w:val="en-GB" w:eastAsia="en-US"/>
              </w:rPr>
            </w:pPr>
            <w:r w:rsidRPr="00AC515F">
              <w:rPr>
                <w:lang w:eastAsia="en-US"/>
              </w:rPr>
              <w:lastRenderedPageBreak/>
              <w:t>Regulas</w:t>
            </w:r>
            <w:r w:rsidRPr="00AC515F">
              <w:rPr>
                <w:lang w:val="en-GB" w:eastAsia="en-US"/>
              </w:rPr>
              <w:t xml:space="preserve"> Nr.1069/2009 </w:t>
            </w:r>
            <w:r w:rsidR="00D12016" w:rsidRPr="00D12016">
              <w:rPr>
                <w:lang w:val="en-GB" w:eastAsia="en-US"/>
              </w:rPr>
              <w:t xml:space="preserve">13.panta "a" un "b" </w:t>
            </w:r>
            <w:r w:rsidRPr="00AC515F">
              <w:rPr>
                <w:lang w:val="en-GB" w:eastAsia="en-US"/>
              </w:rPr>
              <w:t>apakšpunkt</w:t>
            </w:r>
            <w:r w:rsidR="008E3F50">
              <w:rPr>
                <w:lang w:val="en-GB" w:eastAsia="en-US"/>
              </w:rPr>
              <w:t>s</w:t>
            </w:r>
          </w:p>
          <w:p w:rsidR="00AC515F" w:rsidRPr="00AC515F" w:rsidRDefault="00AC515F" w:rsidP="008E3F50">
            <w:pPr>
              <w:rPr>
                <w:lang w:val="en-GB" w:eastAsia="en-US"/>
              </w:rPr>
            </w:pPr>
          </w:p>
        </w:tc>
        <w:tc>
          <w:tcPr>
            <w:tcW w:w="1125" w:type="pct"/>
            <w:gridSpan w:val="2"/>
          </w:tcPr>
          <w:p w:rsidR="00AC515F" w:rsidRPr="00AC515F" w:rsidRDefault="00D12016" w:rsidP="008E3F50">
            <w:pPr>
              <w:rPr>
                <w:lang w:val="en-GB" w:eastAsia="en-US"/>
              </w:rPr>
            </w:pPr>
            <w:r w:rsidRPr="00D12016">
              <w:rPr>
                <w:lang w:eastAsia="en-US"/>
              </w:rPr>
              <w:t>3.1.6.apakšpunkt</w:t>
            </w:r>
            <w:r>
              <w:rPr>
                <w:lang w:eastAsia="en-US"/>
              </w:rPr>
              <w:t>s</w:t>
            </w:r>
          </w:p>
        </w:tc>
        <w:tc>
          <w:tcPr>
            <w:tcW w:w="1519" w:type="pct"/>
          </w:tcPr>
          <w:p w:rsidR="00AC515F" w:rsidRPr="00AC515F" w:rsidRDefault="00AC515F" w:rsidP="00AC515F">
            <w:pPr>
              <w:jc w:val="both"/>
              <w:rPr>
                <w:lang w:eastAsia="en-US"/>
              </w:rPr>
            </w:pPr>
            <w:r w:rsidRPr="00AC515F">
              <w:rPr>
                <w:lang w:eastAsia="en-US"/>
              </w:rPr>
              <w:t>ES tiesību akta vienība tiek ieviesta pilnībā.</w:t>
            </w:r>
          </w:p>
        </w:tc>
        <w:tc>
          <w:tcPr>
            <w:tcW w:w="933" w:type="pct"/>
          </w:tcPr>
          <w:p w:rsidR="00AC515F" w:rsidRPr="00AC515F" w:rsidRDefault="00AC515F" w:rsidP="00AC515F">
            <w:pPr>
              <w:jc w:val="both"/>
              <w:rPr>
                <w:lang w:eastAsia="en-US"/>
              </w:rPr>
            </w:pPr>
            <w:r w:rsidRPr="00AC515F">
              <w:rPr>
                <w:lang w:eastAsia="en-US"/>
              </w:rPr>
              <w:t>Attiecīgais noteikumu projekta punkts neparedz stingrākas prasības kā ES tiesību aktā.</w:t>
            </w:r>
          </w:p>
        </w:tc>
      </w:tr>
      <w:tr w:rsidR="00AC515F" w:rsidRPr="00AC515F" w:rsidTr="00DC2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23" w:type="pct"/>
            <w:gridSpan w:val="2"/>
          </w:tcPr>
          <w:p w:rsidR="00AC515F" w:rsidRPr="00AC515F" w:rsidRDefault="00AC515F" w:rsidP="00AC515F">
            <w:pPr>
              <w:jc w:val="both"/>
            </w:pPr>
            <w:r w:rsidRPr="00AC515F">
              <w:t>Kā ir izmantota ES tiesību aktā paredzētā rīcības brīvība dalībvalstij pārņemt vai ieviest noteiktas ES tiesību akta normas?</w:t>
            </w:r>
          </w:p>
          <w:p w:rsidR="00AC515F" w:rsidRPr="00AC515F" w:rsidRDefault="00AC515F" w:rsidP="00AC515F">
            <w:pPr>
              <w:jc w:val="both"/>
            </w:pPr>
            <w:r w:rsidRPr="00AC515F">
              <w:t>Kādēļ?</w:t>
            </w:r>
          </w:p>
        </w:tc>
        <w:tc>
          <w:tcPr>
            <w:tcW w:w="3577" w:type="pct"/>
            <w:gridSpan w:val="4"/>
          </w:tcPr>
          <w:p w:rsidR="00D12016" w:rsidRDefault="00AC515F" w:rsidP="00D12016">
            <w:pPr>
              <w:jc w:val="both"/>
            </w:pPr>
            <w:r>
              <w:t>R</w:t>
            </w:r>
            <w:r w:rsidRPr="00AC515F">
              <w:t xml:space="preserve">egulas Nr.1069/2009 </w:t>
            </w:r>
            <w:r w:rsidR="00D12016" w:rsidRPr="00D12016">
              <w:t>13.panta "a" un "b" apakšpunkts</w:t>
            </w:r>
            <w:r w:rsidRPr="00AC515F">
              <w:t xml:space="preserve"> nosaka, ka </w:t>
            </w:r>
            <w:r w:rsidR="00D12016">
              <w:t>otrās kategorijas dzīvnieku izcelsmes blakusproduktu materiālu</w:t>
            </w:r>
            <w:r w:rsidR="00B818AA">
              <w:t xml:space="preserve"> (tostarp dzīvnieku līķus)</w:t>
            </w:r>
            <w:r w:rsidR="00D12016">
              <w:t xml:space="preserve"> sadedzināšanas iekārtā </w:t>
            </w:r>
            <w:r w:rsidR="00B818AA">
              <w:t xml:space="preserve">likvidē kā atkritumus </w:t>
            </w:r>
            <w:r w:rsidR="00D12016">
              <w:t xml:space="preserve">vai </w:t>
            </w:r>
            <w:r w:rsidR="00B818AA">
              <w:t xml:space="preserve">līdzsadedzināšanas iekārtā </w:t>
            </w:r>
            <w:r w:rsidR="00D12016">
              <w:t>likvidē vai reģenerē, ja otrās kategorijas materiāls ir atkritumi:</w:t>
            </w:r>
          </w:p>
          <w:p w:rsidR="00D12016" w:rsidRDefault="00072610" w:rsidP="00D12016">
            <w:pPr>
              <w:jc w:val="both"/>
            </w:pPr>
            <w:r>
              <w:t>1</w:t>
            </w:r>
            <w:r w:rsidR="00D12016">
              <w:t>) tieši, bez iepriekšējas pārstrādes vai</w:t>
            </w:r>
          </w:p>
          <w:p w:rsidR="00D12016" w:rsidRDefault="00072610" w:rsidP="00D12016">
            <w:pPr>
              <w:jc w:val="both"/>
            </w:pPr>
            <w:r>
              <w:t>2</w:t>
            </w:r>
            <w:r w:rsidR="00D12016">
              <w:t>) pēc pārstrādes, veicot sterilizāciju spiediena ietekmē</w:t>
            </w:r>
            <w:r w:rsidR="009E5AE0">
              <w:t>,</w:t>
            </w:r>
            <w:r w:rsidR="00D12016">
              <w:t xml:space="preserve"> ja to prasa kompetentā iestāde, un iezīmējot iegūto materiālu ar permanentu marķējumu</w:t>
            </w:r>
            <w:r>
              <w:t>.</w:t>
            </w:r>
          </w:p>
          <w:p w:rsidR="00AC515F" w:rsidRPr="00AC515F" w:rsidRDefault="00072610">
            <w:pPr>
              <w:jc w:val="both"/>
            </w:pPr>
            <w:r w:rsidRPr="00072610">
              <w:t>T</w:t>
            </w:r>
            <w:r>
              <w:t xml:space="preserve">ā kā </w:t>
            </w:r>
            <w:r w:rsidR="0083528F">
              <w:t>r</w:t>
            </w:r>
            <w:r w:rsidRPr="00072610">
              <w:t>egulas Nr.1069/2009 13.panta redakcijā nav 2.punkta</w:t>
            </w:r>
            <w:r>
              <w:t xml:space="preserve">, </w:t>
            </w:r>
            <w:r w:rsidRPr="00072610">
              <w:t>nepieciešams noteikumu Nr.401 3.1.6.apakšpunkt</w:t>
            </w:r>
            <w:r>
              <w:t>a redakciju</w:t>
            </w:r>
            <w:r w:rsidRPr="00072610">
              <w:t xml:space="preserve"> precizēt</w:t>
            </w:r>
            <w:r>
              <w:t>,</w:t>
            </w:r>
            <w:r w:rsidRPr="00072610">
              <w:t xml:space="preserve"> svītrojot skaitli un vārdu „2.punkta”.</w:t>
            </w:r>
          </w:p>
        </w:tc>
      </w:tr>
      <w:tr w:rsidR="00AC515F" w:rsidRPr="00AC515F" w:rsidTr="00DC2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23" w:type="pct"/>
            <w:gridSpan w:val="2"/>
          </w:tcPr>
          <w:p w:rsidR="00AC515F" w:rsidRPr="00AC515F" w:rsidRDefault="00AC515F" w:rsidP="00AC515F">
            <w:pPr>
              <w:spacing w:beforeAutospacing="1" w:afterAutospacing="1"/>
              <w:jc w:val="both"/>
            </w:pPr>
            <w:r w:rsidRPr="00AC515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77" w:type="pct"/>
            <w:gridSpan w:val="4"/>
          </w:tcPr>
          <w:p w:rsidR="00AC515F" w:rsidRPr="00AC515F" w:rsidRDefault="00AC515F" w:rsidP="00AC515F">
            <w:pPr>
              <w:spacing w:beforeAutospacing="1" w:afterAutospacing="1"/>
              <w:jc w:val="both"/>
            </w:pPr>
            <w:r w:rsidRPr="00AC515F">
              <w:t>Projekts šo jomu neskar.</w:t>
            </w:r>
          </w:p>
        </w:tc>
      </w:tr>
      <w:tr w:rsidR="00AC515F" w:rsidRPr="00AC515F" w:rsidTr="00DC2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23" w:type="pct"/>
            <w:gridSpan w:val="2"/>
          </w:tcPr>
          <w:p w:rsidR="00AC515F" w:rsidRPr="00AC515F" w:rsidRDefault="00AC515F" w:rsidP="00AC515F">
            <w:pPr>
              <w:spacing w:beforeAutospacing="1" w:afterAutospacing="1"/>
              <w:jc w:val="both"/>
            </w:pPr>
            <w:r w:rsidRPr="00AC515F">
              <w:t>Cita informācija</w:t>
            </w:r>
          </w:p>
        </w:tc>
        <w:tc>
          <w:tcPr>
            <w:tcW w:w="3577" w:type="pct"/>
            <w:gridSpan w:val="4"/>
          </w:tcPr>
          <w:p w:rsidR="00AC515F" w:rsidRPr="00AC515F" w:rsidRDefault="00AC515F" w:rsidP="00AC515F">
            <w:pPr>
              <w:spacing w:beforeAutospacing="1" w:afterAutospacing="1"/>
              <w:jc w:val="both"/>
            </w:pPr>
            <w:r w:rsidRPr="00AC515F">
              <w:t>Nav</w:t>
            </w:r>
          </w:p>
        </w:tc>
      </w:tr>
    </w:tbl>
    <w:p w:rsidR="00AC515F" w:rsidRPr="00AC515F" w:rsidRDefault="00AC515F" w:rsidP="00AC515F">
      <w:pPr>
        <w:rPr>
          <w:i/>
          <w:lang w:eastAsia="en-US"/>
        </w:rPr>
      </w:pPr>
      <w:r w:rsidRPr="00AC515F">
        <w:rPr>
          <w:i/>
          <w:lang w:eastAsia="en-US"/>
        </w:rPr>
        <w:t>Anotācijas V sadaļas 2.tabula – projekts šo jomu neskar.</w:t>
      </w:r>
    </w:p>
    <w:p w:rsidR="00926503" w:rsidRDefault="00926503" w:rsidP="00926503">
      <w:pPr>
        <w:pStyle w:val="naisf"/>
        <w:spacing w:before="0" w:beforeAutospacing="0" w:after="0" w:afterAutospacing="0"/>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3371"/>
        <w:gridCol w:w="5351"/>
      </w:tblGrid>
      <w:tr w:rsidR="00BA0DE8" w:rsidRPr="00BA0DE8" w:rsidTr="00133DFE">
        <w:trPr>
          <w:trHeight w:val="279"/>
        </w:trPr>
        <w:tc>
          <w:tcPr>
            <w:tcW w:w="5000" w:type="pct"/>
            <w:gridSpan w:val="3"/>
          </w:tcPr>
          <w:p w:rsidR="00C62422" w:rsidRDefault="00AC145B" w:rsidP="003037FE">
            <w:pPr>
              <w:jc w:val="center"/>
              <w:rPr>
                <w:b/>
              </w:rPr>
            </w:pPr>
            <w:r w:rsidRPr="00BA0DE8">
              <w:rPr>
                <w:b/>
              </w:rPr>
              <w:t xml:space="preserve">VI. Sabiedrības līdzdalība un komunikācijas </w:t>
            </w:r>
          </w:p>
          <w:p w:rsidR="00AC145B" w:rsidRPr="00BA0DE8" w:rsidRDefault="00AC145B" w:rsidP="003037FE">
            <w:pPr>
              <w:jc w:val="center"/>
              <w:rPr>
                <w:b/>
              </w:rPr>
            </w:pPr>
            <w:r w:rsidRPr="00BA0DE8">
              <w:rPr>
                <w:b/>
              </w:rPr>
              <w:t>aktivitātes</w:t>
            </w:r>
          </w:p>
        </w:tc>
      </w:tr>
      <w:tr w:rsidR="00BA0DE8" w:rsidRPr="00BA0DE8" w:rsidTr="000623AC">
        <w:trPr>
          <w:trHeight w:val="279"/>
        </w:trPr>
        <w:tc>
          <w:tcPr>
            <w:tcW w:w="304" w:type="pct"/>
          </w:tcPr>
          <w:p w:rsidR="00AC145B" w:rsidRPr="00BA0DE8" w:rsidRDefault="00AC145B" w:rsidP="003037FE">
            <w:pPr>
              <w:jc w:val="both"/>
            </w:pPr>
            <w:r w:rsidRPr="00BA0DE8">
              <w:t>1.</w:t>
            </w:r>
          </w:p>
        </w:tc>
        <w:tc>
          <w:tcPr>
            <w:tcW w:w="1815" w:type="pct"/>
          </w:tcPr>
          <w:p w:rsidR="00AC145B" w:rsidRPr="00BA0DE8" w:rsidRDefault="00AC145B" w:rsidP="000623AC">
            <w:pPr>
              <w:jc w:val="both"/>
            </w:pPr>
            <w:r w:rsidRPr="00BA0DE8">
              <w:t>Plānotās sabiedrības līdzdalības un komunikācijas aktivitātes saistībā ar projektu</w:t>
            </w:r>
          </w:p>
        </w:tc>
        <w:tc>
          <w:tcPr>
            <w:tcW w:w="2881" w:type="pct"/>
          </w:tcPr>
          <w:p w:rsidR="00C61931" w:rsidRPr="00BA0DE8" w:rsidRDefault="000623AC" w:rsidP="009F441F">
            <w:pPr>
              <w:jc w:val="both"/>
            </w:pPr>
            <w:r w:rsidRPr="000623AC">
              <w:t>Projekts šo jomu neskar</w:t>
            </w:r>
            <w:r>
              <w:t>.</w:t>
            </w:r>
          </w:p>
        </w:tc>
      </w:tr>
      <w:tr w:rsidR="00BA0DE8" w:rsidRPr="00BA0DE8" w:rsidTr="000623AC">
        <w:trPr>
          <w:trHeight w:val="279"/>
        </w:trPr>
        <w:tc>
          <w:tcPr>
            <w:tcW w:w="304" w:type="pct"/>
          </w:tcPr>
          <w:p w:rsidR="00AC145B" w:rsidRPr="00BA0DE8" w:rsidRDefault="00AC145B" w:rsidP="003037FE">
            <w:pPr>
              <w:jc w:val="both"/>
            </w:pPr>
            <w:r w:rsidRPr="00BA0DE8">
              <w:t>2.</w:t>
            </w:r>
          </w:p>
        </w:tc>
        <w:tc>
          <w:tcPr>
            <w:tcW w:w="1815" w:type="pct"/>
          </w:tcPr>
          <w:p w:rsidR="00AC145B" w:rsidRPr="00BA0DE8" w:rsidRDefault="00AC145B" w:rsidP="003037FE">
            <w:pPr>
              <w:jc w:val="both"/>
            </w:pPr>
            <w:r w:rsidRPr="00BA0DE8">
              <w:t>Sabiedrības līdzdalība projekta izstrādē</w:t>
            </w:r>
          </w:p>
        </w:tc>
        <w:tc>
          <w:tcPr>
            <w:tcW w:w="2881" w:type="pct"/>
          </w:tcPr>
          <w:p w:rsidR="0091351B" w:rsidRPr="00265A45" w:rsidRDefault="000623AC" w:rsidP="000623AC">
            <w:pPr>
              <w:pStyle w:val="naiskr"/>
              <w:spacing w:before="0" w:beforeAutospacing="0" w:after="0" w:afterAutospacing="0"/>
              <w:jc w:val="both"/>
              <w:rPr>
                <w:iCs/>
              </w:rPr>
            </w:pPr>
            <w:r w:rsidRPr="000623AC">
              <w:rPr>
                <w:iCs/>
              </w:rPr>
              <w:t xml:space="preserve">Sabiedrības līdzdalība nav nepieciešama, jo noteikumu projekts ir tehniska rakstura un precizē </w:t>
            </w:r>
            <w:r>
              <w:rPr>
                <w:iCs/>
              </w:rPr>
              <w:t xml:space="preserve">atsauci uz </w:t>
            </w:r>
            <w:r w:rsidRPr="000623AC">
              <w:rPr>
                <w:iCs/>
              </w:rPr>
              <w:t>cit</w:t>
            </w:r>
            <w:r>
              <w:rPr>
                <w:iCs/>
              </w:rPr>
              <w:t>u</w:t>
            </w:r>
            <w:r w:rsidRPr="000623AC">
              <w:rPr>
                <w:iCs/>
              </w:rPr>
              <w:t xml:space="preserve"> spēkā esoš</w:t>
            </w:r>
            <w:r>
              <w:rPr>
                <w:iCs/>
              </w:rPr>
              <w:t>u</w:t>
            </w:r>
            <w:r w:rsidRPr="000623AC">
              <w:rPr>
                <w:iCs/>
              </w:rPr>
              <w:t xml:space="preserve"> normatīv</w:t>
            </w:r>
            <w:r>
              <w:rPr>
                <w:iCs/>
              </w:rPr>
              <w:t>o</w:t>
            </w:r>
            <w:r w:rsidRPr="000623AC">
              <w:rPr>
                <w:iCs/>
              </w:rPr>
              <w:t xml:space="preserve"> akt</w:t>
            </w:r>
            <w:r>
              <w:rPr>
                <w:iCs/>
              </w:rPr>
              <w:t>u</w:t>
            </w:r>
            <w:r w:rsidRPr="000623AC">
              <w:rPr>
                <w:iCs/>
              </w:rPr>
              <w:t>.</w:t>
            </w:r>
          </w:p>
        </w:tc>
      </w:tr>
      <w:tr w:rsidR="00BA0DE8" w:rsidRPr="00BA0DE8" w:rsidTr="000623AC">
        <w:trPr>
          <w:trHeight w:val="279"/>
        </w:trPr>
        <w:tc>
          <w:tcPr>
            <w:tcW w:w="304" w:type="pct"/>
          </w:tcPr>
          <w:p w:rsidR="00AC145B" w:rsidRPr="00BA0DE8" w:rsidRDefault="00AC145B" w:rsidP="003037FE">
            <w:pPr>
              <w:jc w:val="both"/>
            </w:pPr>
            <w:r w:rsidRPr="00BA0DE8">
              <w:t>3.</w:t>
            </w:r>
          </w:p>
        </w:tc>
        <w:tc>
          <w:tcPr>
            <w:tcW w:w="1815" w:type="pct"/>
          </w:tcPr>
          <w:p w:rsidR="00AC145B" w:rsidRPr="00BA0DE8" w:rsidRDefault="00AC145B" w:rsidP="003037FE">
            <w:pPr>
              <w:jc w:val="both"/>
            </w:pPr>
            <w:r w:rsidRPr="00BA0DE8">
              <w:t>Sabiedrības līdzdalības rezultāti</w:t>
            </w:r>
          </w:p>
        </w:tc>
        <w:tc>
          <w:tcPr>
            <w:tcW w:w="2881" w:type="pct"/>
          </w:tcPr>
          <w:p w:rsidR="009D274B" w:rsidRPr="00BA0DE8" w:rsidRDefault="000623AC" w:rsidP="00072610">
            <w:pPr>
              <w:pStyle w:val="naiskr"/>
              <w:spacing w:before="0" w:beforeAutospacing="0" w:after="0" w:afterAutospacing="0"/>
              <w:jc w:val="both"/>
            </w:pPr>
            <w:r w:rsidRPr="000623AC">
              <w:t>Projekts šo jomu neskar</w:t>
            </w:r>
            <w:r>
              <w:t>.</w:t>
            </w:r>
          </w:p>
        </w:tc>
      </w:tr>
      <w:tr w:rsidR="005C3223" w:rsidRPr="00BA0DE8" w:rsidTr="000623AC">
        <w:trPr>
          <w:trHeight w:val="279"/>
        </w:trPr>
        <w:tc>
          <w:tcPr>
            <w:tcW w:w="304" w:type="pct"/>
          </w:tcPr>
          <w:p w:rsidR="00AC145B" w:rsidRPr="00BA0DE8" w:rsidRDefault="00AC145B" w:rsidP="003037FE">
            <w:pPr>
              <w:jc w:val="both"/>
            </w:pPr>
            <w:r w:rsidRPr="00BA0DE8">
              <w:t>4.</w:t>
            </w:r>
          </w:p>
        </w:tc>
        <w:tc>
          <w:tcPr>
            <w:tcW w:w="1815" w:type="pct"/>
          </w:tcPr>
          <w:p w:rsidR="00AC145B" w:rsidRPr="00BA0DE8" w:rsidRDefault="00AC145B" w:rsidP="003037FE">
            <w:pPr>
              <w:jc w:val="both"/>
            </w:pPr>
            <w:r w:rsidRPr="00BA0DE8">
              <w:t>Cita informācija</w:t>
            </w:r>
          </w:p>
        </w:tc>
        <w:tc>
          <w:tcPr>
            <w:tcW w:w="2881" w:type="pct"/>
          </w:tcPr>
          <w:p w:rsidR="00AC145B" w:rsidRPr="00BA0DE8" w:rsidRDefault="00ED5018" w:rsidP="00ED5018">
            <w:pPr>
              <w:jc w:val="both"/>
            </w:pPr>
            <w:r>
              <w:t>Nav.</w:t>
            </w:r>
          </w:p>
        </w:tc>
      </w:tr>
    </w:tbl>
    <w:p w:rsidR="00AC145B" w:rsidRPr="00BA0DE8" w:rsidRDefault="00AC145B"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3354"/>
        <w:gridCol w:w="5368"/>
      </w:tblGrid>
      <w:tr w:rsidR="00BA0DE8" w:rsidRPr="00BA0DE8" w:rsidTr="00133DFE">
        <w:trPr>
          <w:trHeight w:val="279"/>
        </w:trPr>
        <w:tc>
          <w:tcPr>
            <w:tcW w:w="5000" w:type="pct"/>
            <w:gridSpan w:val="3"/>
          </w:tcPr>
          <w:p w:rsidR="00C62422" w:rsidRDefault="00AC145B" w:rsidP="003037FE">
            <w:pPr>
              <w:jc w:val="center"/>
              <w:rPr>
                <w:b/>
              </w:rPr>
            </w:pPr>
            <w:r w:rsidRPr="00BA0DE8">
              <w:rPr>
                <w:b/>
              </w:rPr>
              <w:t xml:space="preserve">VII. Tiesību akta projekta izpildes nodrošināšana </w:t>
            </w:r>
          </w:p>
          <w:p w:rsidR="00AC145B" w:rsidRPr="00BA0DE8" w:rsidRDefault="00AC145B" w:rsidP="003037FE">
            <w:pPr>
              <w:jc w:val="center"/>
              <w:rPr>
                <w:b/>
              </w:rPr>
            </w:pPr>
            <w:r w:rsidRPr="00BA0DE8">
              <w:rPr>
                <w:b/>
              </w:rPr>
              <w:t>un tās ietekme uz institūcijām</w:t>
            </w:r>
          </w:p>
        </w:tc>
      </w:tr>
      <w:tr w:rsidR="00BA0DE8" w:rsidRPr="00BA0DE8" w:rsidTr="00133DFE">
        <w:trPr>
          <w:trHeight w:val="279"/>
        </w:trPr>
        <w:tc>
          <w:tcPr>
            <w:tcW w:w="304" w:type="pct"/>
          </w:tcPr>
          <w:p w:rsidR="00AC145B" w:rsidRPr="00BA0DE8" w:rsidRDefault="00AC145B" w:rsidP="003037FE">
            <w:pPr>
              <w:jc w:val="both"/>
            </w:pPr>
            <w:r w:rsidRPr="00BA0DE8">
              <w:t>1.</w:t>
            </w:r>
          </w:p>
        </w:tc>
        <w:tc>
          <w:tcPr>
            <w:tcW w:w="1806" w:type="pct"/>
          </w:tcPr>
          <w:p w:rsidR="00AC145B" w:rsidRPr="00BA0DE8" w:rsidRDefault="00AC145B" w:rsidP="003037FE">
            <w:pPr>
              <w:jc w:val="both"/>
            </w:pPr>
            <w:r w:rsidRPr="00BA0DE8">
              <w:t xml:space="preserve">Projekta izpildē iesaistītās </w:t>
            </w:r>
            <w:r w:rsidRPr="00BA0DE8">
              <w:lastRenderedPageBreak/>
              <w:t>institūcijas</w:t>
            </w:r>
          </w:p>
        </w:tc>
        <w:tc>
          <w:tcPr>
            <w:tcW w:w="2890" w:type="pct"/>
          </w:tcPr>
          <w:p w:rsidR="00AC145B" w:rsidRPr="00ED5018" w:rsidRDefault="007D3F1B" w:rsidP="00B05615">
            <w:pPr>
              <w:pStyle w:val="naisnod"/>
              <w:spacing w:before="0" w:after="0"/>
              <w:ind w:right="57"/>
              <w:jc w:val="both"/>
            </w:pPr>
            <w:r w:rsidRPr="00ED5018">
              <w:lastRenderedPageBreak/>
              <w:t>Pārtikas un veterinārais dienests</w:t>
            </w:r>
            <w:r w:rsidR="000623AC">
              <w:t xml:space="preserve"> un Valsts vides </w:t>
            </w:r>
            <w:r w:rsidR="000623AC">
              <w:lastRenderedPageBreak/>
              <w:t>dienests</w:t>
            </w:r>
            <w:r w:rsidR="00ED5018" w:rsidRPr="00ED5018">
              <w:t xml:space="preserve"> </w:t>
            </w:r>
          </w:p>
        </w:tc>
      </w:tr>
      <w:tr w:rsidR="00BA0DE8" w:rsidRPr="00BA0DE8" w:rsidTr="00133DFE">
        <w:trPr>
          <w:trHeight w:val="279"/>
        </w:trPr>
        <w:tc>
          <w:tcPr>
            <w:tcW w:w="304" w:type="pct"/>
          </w:tcPr>
          <w:p w:rsidR="00AC145B" w:rsidRPr="00BA0DE8" w:rsidRDefault="00AC145B" w:rsidP="003037FE">
            <w:pPr>
              <w:jc w:val="both"/>
            </w:pPr>
            <w:r w:rsidRPr="00BA0DE8">
              <w:lastRenderedPageBreak/>
              <w:t>2.</w:t>
            </w:r>
          </w:p>
        </w:tc>
        <w:tc>
          <w:tcPr>
            <w:tcW w:w="1806" w:type="pct"/>
          </w:tcPr>
          <w:p w:rsidR="00AC145B" w:rsidRPr="00BA0DE8" w:rsidRDefault="00AC145B" w:rsidP="000623AC">
            <w:pPr>
              <w:jc w:val="both"/>
            </w:pPr>
            <w:r w:rsidRPr="00BA0DE8">
              <w:t>Projekta izpildes ietekme uz pārvaldes funkcijām un institucionālo struktūru.</w:t>
            </w:r>
          </w:p>
          <w:p w:rsidR="00AC145B" w:rsidRPr="00BA0DE8" w:rsidRDefault="00AC145B" w:rsidP="000623AC">
            <w:pPr>
              <w:jc w:val="both"/>
            </w:pPr>
            <w:r w:rsidRPr="00BA0DE8">
              <w:t>Jaunu institūciju izveide, esošu institūciju likvidācija vai reorganizācija, to ietekme uz institūcijas cilvēkresursiem</w:t>
            </w:r>
          </w:p>
        </w:tc>
        <w:tc>
          <w:tcPr>
            <w:tcW w:w="2890" w:type="pct"/>
          </w:tcPr>
          <w:p w:rsidR="00AC145B" w:rsidRPr="00BA0DE8" w:rsidRDefault="00926503" w:rsidP="0086560D">
            <w:pPr>
              <w:pStyle w:val="naisnod"/>
              <w:spacing w:before="0" w:beforeAutospacing="0" w:after="0" w:afterAutospacing="0"/>
              <w:ind w:right="57"/>
              <w:jc w:val="both"/>
              <w:rPr>
                <w:b/>
              </w:rPr>
            </w:pPr>
            <w:r w:rsidRPr="000361BC">
              <w:t>Projekts šo jomu neskar.</w:t>
            </w:r>
          </w:p>
        </w:tc>
      </w:tr>
      <w:tr w:rsidR="005C3223" w:rsidRPr="00BA0DE8" w:rsidTr="00133DFE">
        <w:trPr>
          <w:trHeight w:val="279"/>
        </w:trPr>
        <w:tc>
          <w:tcPr>
            <w:tcW w:w="304" w:type="pct"/>
          </w:tcPr>
          <w:p w:rsidR="00AC145B" w:rsidRPr="00BA0DE8" w:rsidRDefault="00AC145B" w:rsidP="003037FE">
            <w:pPr>
              <w:jc w:val="both"/>
            </w:pPr>
            <w:r w:rsidRPr="00BA0DE8">
              <w:t>3.</w:t>
            </w:r>
          </w:p>
        </w:tc>
        <w:tc>
          <w:tcPr>
            <w:tcW w:w="1806" w:type="pct"/>
          </w:tcPr>
          <w:p w:rsidR="00AC145B" w:rsidRPr="00BA0DE8" w:rsidRDefault="00AC145B" w:rsidP="003037FE">
            <w:pPr>
              <w:jc w:val="both"/>
            </w:pPr>
            <w:r w:rsidRPr="00BA0DE8">
              <w:t>Cita informācija</w:t>
            </w:r>
          </w:p>
        </w:tc>
        <w:tc>
          <w:tcPr>
            <w:tcW w:w="2890" w:type="pct"/>
          </w:tcPr>
          <w:p w:rsidR="00AC145B" w:rsidRPr="00BA0DE8" w:rsidRDefault="00AC145B" w:rsidP="0086560D">
            <w:pPr>
              <w:pStyle w:val="naiskr"/>
              <w:spacing w:before="0" w:after="0"/>
              <w:ind w:right="57"/>
            </w:pPr>
            <w:r w:rsidRPr="00BA0DE8">
              <w:t>Nav.</w:t>
            </w:r>
          </w:p>
        </w:tc>
      </w:tr>
    </w:tbl>
    <w:p w:rsidR="00E1791D" w:rsidRDefault="00E1791D" w:rsidP="00F37F7E">
      <w:pPr>
        <w:pStyle w:val="naisf"/>
        <w:spacing w:before="0" w:beforeAutospacing="0" w:after="0" w:afterAutospacing="0"/>
        <w:ind w:firstLine="720"/>
        <w:rPr>
          <w:sz w:val="28"/>
          <w:szCs w:val="28"/>
        </w:rPr>
      </w:pPr>
    </w:p>
    <w:p w:rsidR="000623AC" w:rsidRDefault="000623AC" w:rsidP="008915E9">
      <w:pPr>
        <w:pStyle w:val="naisf"/>
        <w:spacing w:before="0" w:beforeAutospacing="0" w:after="0" w:afterAutospacing="0"/>
        <w:rPr>
          <w:sz w:val="28"/>
          <w:szCs w:val="28"/>
        </w:rPr>
      </w:pPr>
    </w:p>
    <w:p w:rsidR="00F37F7E" w:rsidRPr="00BA0DE8" w:rsidRDefault="00F37F7E" w:rsidP="00FE3353">
      <w:pPr>
        <w:pStyle w:val="naisf"/>
        <w:spacing w:before="0" w:beforeAutospacing="0" w:after="0" w:afterAutospacing="0"/>
        <w:rPr>
          <w:szCs w:val="28"/>
        </w:rPr>
      </w:pPr>
      <w:r w:rsidRPr="00BA0DE8">
        <w:rPr>
          <w:szCs w:val="28"/>
        </w:rPr>
        <w:t>Zemkopības ministr</w:t>
      </w:r>
      <w:r w:rsidR="00E01809" w:rsidRPr="00BA0DE8">
        <w:rPr>
          <w:szCs w:val="28"/>
        </w:rPr>
        <w:t>s</w:t>
      </w:r>
      <w:r w:rsidRPr="00BA0DE8">
        <w:rPr>
          <w:szCs w:val="28"/>
        </w:rPr>
        <w:tab/>
      </w:r>
      <w:r w:rsidRPr="00BA0DE8">
        <w:rPr>
          <w:szCs w:val="28"/>
        </w:rPr>
        <w:tab/>
      </w:r>
      <w:r w:rsidRPr="00BA0DE8">
        <w:rPr>
          <w:szCs w:val="28"/>
        </w:rPr>
        <w:tab/>
      </w:r>
      <w:r w:rsidRPr="00BA0DE8">
        <w:rPr>
          <w:szCs w:val="28"/>
        </w:rPr>
        <w:tab/>
      </w:r>
      <w:r w:rsidR="00E01809" w:rsidRPr="00BA0DE8">
        <w:rPr>
          <w:szCs w:val="28"/>
        </w:rPr>
        <w:tab/>
      </w:r>
      <w:r w:rsidR="00FE3353">
        <w:rPr>
          <w:szCs w:val="28"/>
        </w:rPr>
        <w:tab/>
      </w:r>
      <w:r w:rsidR="00FE3353">
        <w:rPr>
          <w:szCs w:val="28"/>
        </w:rPr>
        <w:tab/>
      </w:r>
      <w:r w:rsidR="00FE3353">
        <w:rPr>
          <w:szCs w:val="28"/>
        </w:rPr>
        <w:tab/>
      </w:r>
      <w:r w:rsidR="00E01809" w:rsidRPr="00BA0DE8">
        <w:rPr>
          <w:szCs w:val="28"/>
        </w:rPr>
        <w:t>J</w:t>
      </w:r>
      <w:r w:rsidR="00E44687">
        <w:rPr>
          <w:szCs w:val="28"/>
        </w:rPr>
        <w:t xml:space="preserve">ānis </w:t>
      </w:r>
      <w:r w:rsidR="00E01809" w:rsidRPr="00BA0DE8">
        <w:rPr>
          <w:szCs w:val="28"/>
        </w:rPr>
        <w:t>Dūklavs</w:t>
      </w:r>
    </w:p>
    <w:p w:rsidR="00652543" w:rsidRDefault="00652543" w:rsidP="00AD4B66">
      <w:pPr>
        <w:pStyle w:val="naisf"/>
        <w:spacing w:before="0" w:beforeAutospacing="0" w:after="0" w:afterAutospacing="0"/>
        <w:rPr>
          <w:sz w:val="20"/>
          <w:szCs w:val="20"/>
        </w:rPr>
      </w:pPr>
    </w:p>
    <w:p w:rsidR="00C62422" w:rsidRDefault="00C62422"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AD4B66">
      <w:pPr>
        <w:pStyle w:val="naisf"/>
        <w:spacing w:before="0" w:beforeAutospacing="0" w:after="0" w:afterAutospacing="0"/>
        <w:rPr>
          <w:sz w:val="20"/>
          <w:szCs w:val="20"/>
        </w:rPr>
      </w:pPr>
    </w:p>
    <w:p w:rsidR="008915E9" w:rsidRDefault="008915E9" w:rsidP="006869F5">
      <w:pPr>
        <w:jc w:val="both"/>
        <w:rPr>
          <w:rFonts w:eastAsia="Calibri"/>
          <w:sz w:val="20"/>
          <w:szCs w:val="20"/>
          <w:lang w:eastAsia="en-US"/>
        </w:rPr>
      </w:pPr>
      <w:r>
        <w:rPr>
          <w:rFonts w:eastAsia="Calibri"/>
          <w:sz w:val="20"/>
          <w:szCs w:val="20"/>
          <w:lang w:eastAsia="en-US"/>
        </w:rPr>
        <w:t>24.10.2016. 16:05</w:t>
      </w:r>
    </w:p>
    <w:p w:rsidR="008915E9" w:rsidRDefault="008915E9" w:rsidP="006869F5">
      <w:pPr>
        <w:jc w:val="both"/>
        <w:rPr>
          <w:rFonts w:eastAsia="Calibri"/>
          <w:sz w:val="20"/>
          <w:szCs w:val="20"/>
          <w:lang w:eastAsia="en-US"/>
        </w:rPr>
      </w:pPr>
      <w:r>
        <w:rPr>
          <w:rFonts w:eastAsia="Calibri"/>
          <w:sz w:val="20"/>
          <w:szCs w:val="20"/>
          <w:lang w:eastAsia="en-US"/>
        </w:rPr>
        <w:fldChar w:fldCharType="begin"/>
      </w:r>
      <w:r>
        <w:rPr>
          <w:rFonts w:eastAsia="Calibri"/>
          <w:sz w:val="20"/>
          <w:szCs w:val="20"/>
          <w:lang w:eastAsia="en-US"/>
        </w:rPr>
        <w:instrText xml:space="preserve"> NUMWORDS   \* MERGEFORMAT </w:instrText>
      </w:r>
      <w:r>
        <w:rPr>
          <w:rFonts w:eastAsia="Calibri"/>
          <w:sz w:val="20"/>
          <w:szCs w:val="20"/>
          <w:lang w:eastAsia="en-US"/>
        </w:rPr>
        <w:fldChar w:fldCharType="separate"/>
      </w:r>
      <w:r>
        <w:rPr>
          <w:rFonts w:eastAsia="Calibri"/>
          <w:noProof/>
          <w:sz w:val="20"/>
          <w:szCs w:val="20"/>
          <w:lang w:eastAsia="en-US"/>
        </w:rPr>
        <w:t>1079</w:t>
      </w:r>
      <w:r>
        <w:rPr>
          <w:rFonts w:eastAsia="Calibri"/>
          <w:sz w:val="20"/>
          <w:szCs w:val="20"/>
          <w:lang w:eastAsia="en-US"/>
        </w:rPr>
        <w:fldChar w:fldCharType="end"/>
      </w:r>
    </w:p>
    <w:p w:rsidR="006869F5" w:rsidRPr="006869F5" w:rsidRDefault="006869F5" w:rsidP="006869F5">
      <w:pPr>
        <w:jc w:val="both"/>
        <w:rPr>
          <w:rFonts w:eastAsia="Calibri"/>
          <w:sz w:val="20"/>
          <w:szCs w:val="20"/>
          <w:lang w:eastAsia="en-US"/>
        </w:rPr>
      </w:pPr>
      <w:bookmarkStart w:id="0" w:name="_GoBack"/>
      <w:bookmarkEnd w:id="0"/>
      <w:r w:rsidRPr="006869F5">
        <w:rPr>
          <w:rFonts w:eastAsia="Calibri"/>
          <w:sz w:val="20"/>
          <w:szCs w:val="20"/>
          <w:lang w:eastAsia="en-US"/>
        </w:rPr>
        <w:t>A.Tora</w:t>
      </w:r>
    </w:p>
    <w:p w:rsidR="006869F5" w:rsidRPr="006869F5" w:rsidRDefault="006869F5" w:rsidP="006869F5">
      <w:pPr>
        <w:jc w:val="both"/>
        <w:rPr>
          <w:rFonts w:eastAsia="Calibri"/>
          <w:sz w:val="28"/>
          <w:szCs w:val="28"/>
          <w:lang w:eastAsia="en-US"/>
        </w:rPr>
      </w:pPr>
      <w:r w:rsidRPr="006869F5">
        <w:rPr>
          <w:rFonts w:eastAsia="Calibri"/>
          <w:sz w:val="20"/>
          <w:szCs w:val="20"/>
          <w:lang w:eastAsia="en-US"/>
        </w:rPr>
        <w:t xml:space="preserve">67027620, </w:t>
      </w:r>
      <w:hyperlink r:id="rId9" w:history="1">
        <w:r w:rsidR="00097193" w:rsidRPr="00FB18D8">
          <w:rPr>
            <w:rStyle w:val="Hipersaite"/>
            <w:rFonts w:eastAsia="Calibri"/>
            <w:sz w:val="20"/>
            <w:szCs w:val="20"/>
            <w:lang w:eastAsia="en-US"/>
          </w:rPr>
          <w:t>Aija.Tora@zm.gov.lv</w:t>
        </w:r>
      </w:hyperlink>
      <w:r w:rsidR="00097193">
        <w:rPr>
          <w:rFonts w:eastAsia="Calibri"/>
          <w:sz w:val="20"/>
          <w:szCs w:val="20"/>
          <w:lang w:eastAsia="en-US"/>
        </w:rPr>
        <w:t xml:space="preserve"> </w:t>
      </w:r>
    </w:p>
    <w:sectPr w:rsidR="006869F5" w:rsidRPr="006869F5" w:rsidSect="00C62422">
      <w:headerReference w:type="even" r:id="rId10"/>
      <w:headerReference w:type="default" r:id="rId11"/>
      <w:footerReference w:type="default" r:id="rId12"/>
      <w:footerReference w:type="first" r:id="rId13"/>
      <w:pgSz w:w="11906" w:h="16838" w:code="9"/>
      <w:pgMar w:top="124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B5" w:rsidRDefault="007E19B5" w:rsidP="00F37F7E">
      <w:pPr>
        <w:pStyle w:val="naiskr"/>
      </w:pPr>
      <w:r>
        <w:separator/>
      </w:r>
    </w:p>
  </w:endnote>
  <w:endnote w:type="continuationSeparator" w:id="0">
    <w:p w:rsidR="007E19B5" w:rsidRDefault="007E19B5"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4A2" w:rsidRPr="00072610" w:rsidRDefault="008915E9" w:rsidP="00072610">
    <w:pPr>
      <w:pStyle w:val="Kjene"/>
    </w:pPr>
    <w:r w:rsidRPr="008915E9">
      <w:rPr>
        <w:sz w:val="20"/>
        <w:szCs w:val="20"/>
      </w:rPr>
      <w:t>ZMAnot_010816_atkritumdedz</w:t>
    </w:r>
    <w:r w:rsidR="00072610" w:rsidRPr="00072610">
      <w:rPr>
        <w:sz w:val="20"/>
        <w:szCs w:val="20"/>
      </w:rPr>
      <w:t>; Ministru kabineta noteikumu projekta „Grozījum</w:t>
    </w:r>
    <w:r w:rsidR="005E5050">
      <w:rPr>
        <w:sz w:val="20"/>
        <w:szCs w:val="20"/>
      </w:rPr>
      <w:t>i</w:t>
    </w:r>
    <w:r w:rsidR="00072610" w:rsidRPr="00072610">
      <w:rPr>
        <w:sz w:val="20"/>
        <w:szCs w:val="20"/>
      </w:rPr>
      <w:t xml:space="preserve"> Ministru kabineta 2011.gada 24.maija noteikumos Nr.401 „Prasības atkritumu sadedzināšanai un atkritumu sadedzināšanas iekārtu darbībai””</w:t>
    </w:r>
    <w:r w:rsidR="00072610">
      <w:rPr>
        <w:sz w:val="20"/>
        <w:szCs w:val="20"/>
      </w:rPr>
      <w:t xml:space="preserve"> </w:t>
    </w:r>
    <w:r w:rsidR="00072610" w:rsidRPr="00072610">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66" w:rsidRPr="00885D66" w:rsidRDefault="008915E9" w:rsidP="00885D66">
    <w:pPr>
      <w:jc w:val="both"/>
      <w:rPr>
        <w:bCs/>
        <w:sz w:val="20"/>
        <w:szCs w:val="20"/>
      </w:rPr>
    </w:pPr>
    <w:r w:rsidRPr="008915E9">
      <w:rPr>
        <w:sz w:val="20"/>
        <w:szCs w:val="20"/>
      </w:rPr>
      <w:t>ZMAnot_010816_atkritumdedz</w:t>
    </w:r>
    <w:r w:rsidR="006869F5" w:rsidRPr="006869F5">
      <w:rPr>
        <w:sz w:val="20"/>
        <w:szCs w:val="20"/>
      </w:rPr>
      <w:t xml:space="preserve">; </w:t>
    </w:r>
    <w:r w:rsidR="00072610" w:rsidRPr="00072610">
      <w:rPr>
        <w:sz w:val="20"/>
        <w:szCs w:val="20"/>
      </w:rPr>
      <w:t>Ministru kabineta noteikumu projekt</w:t>
    </w:r>
    <w:r w:rsidR="00072610">
      <w:rPr>
        <w:sz w:val="20"/>
        <w:szCs w:val="20"/>
      </w:rPr>
      <w:t>a</w:t>
    </w:r>
    <w:r w:rsidR="00072610" w:rsidRPr="00072610">
      <w:rPr>
        <w:sz w:val="20"/>
        <w:szCs w:val="20"/>
      </w:rPr>
      <w:t xml:space="preserve"> „Grozījum</w:t>
    </w:r>
    <w:r w:rsidR="005E5050">
      <w:rPr>
        <w:sz w:val="20"/>
        <w:szCs w:val="20"/>
      </w:rPr>
      <w:t>i</w:t>
    </w:r>
    <w:r w:rsidR="00072610" w:rsidRPr="00072610">
      <w:rPr>
        <w:sz w:val="20"/>
        <w:szCs w:val="20"/>
      </w:rPr>
      <w:t xml:space="preserve"> Ministru kabineta 2011.gada 24.maija noteikumos Nr.401 „Prasības atkritumu sadedzināšanai un atkritumu sadedzināšanas iekārtu darbībai””</w:t>
    </w:r>
    <w:r w:rsidR="00072610">
      <w:rPr>
        <w:sz w:val="20"/>
        <w:szCs w:val="20"/>
      </w:rPr>
      <w:t xml:space="preserve"> </w:t>
    </w:r>
    <w:r w:rsidR="0053639D" w:rsidRPr="00E86961">
      <w:rPr>
        <w:sz w:val="20"/>
        <w:szCs w:val="20"/>
      </w:rPr>
      <w:t xml:space="preserve">sākotnējās ietekmes novērtējuma ziņojums </w:t>
    </w:r>
    <w:r w:rsidR="0053639D">
      <w:rPr>
        <w:sz w:val="20"/>
        <w:szCs w:val="20"/>
      </w:rPr>
      <w:t>(</w:t>
    </w:r>
    <w:r w:rsidR="00885D66" w:rsidRPr="00885D66">
      <w:rPr>
        <w:sz w:val="20"/>
        <w:szCs w:val="20"/>
      </w:rPr>
      <w:t>anotācija</w:t>
    </w:r>
    <w:r w:rsidR="0053639D">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B5" w:rsidRDefault="007E19B5" w:rsidP="00F37F7E">
      <w:pPr>
        <w:pStyle w:val="naiskr"/>
      </w:pPr>
      <w:r>
        <w:separator/>
      </w:r>
    </w:p>
  </w:footnote>
  <w:footnote w:type="continuationSeparator" w:id="0">
    <w:p w:rsidR="007E19B5" w:rsidRDefault="007E19B5"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4A2" w:rsidRDefault="00BF7B52">
    <w:pPr>
      <w:pStyle w:val="Galvene"/>
      <w:framePr w:wrap="around" w:vAnchor="text" w:hAnchor="margin" w:xAlign="center" w:y="1"/>
      <w:rPr>
        <w:rStyle w:val="Lappusesnumurs"/>
      </w:rPr>
    </w:pPr>
    <w:r>
      <w:rPr>
        <w:rStyle w:val="Lappusesnumurs"/>
      </w:rPr>
      <w:fldChar w:fldCharType="begin"/>
    </w:r>
    <w:r w:rsidR="009434A2">
      <w:rPr>
        <w:rStyle w:val="Lappusesnumurs"/>
      </w:rPr>
      <w:instrText xml:space="preserve">PAGE  </w:instrText>
    </w:r>
    <w:r>
      <w:rPr>
        <w:rStyle w:val="Lappusesnumurs"/>
      </w:rPr>
      <w:fldChar w:fldCharType="end"/>
    </w:r>
  </w:p>
  <w:p w:rsidR="009434A2" w:rsidRDefault="009434A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4A2" w:rsidRDefault="00BF7B52">
    <w:pPr>
      <w:pStyle w:val="Galvene"/>
      <w:framePr w:wrap="around" w:vAnchor="text" w:hAnchor="margin" w:xAlign="center" w:y="1"/>
      <w:rPr>
        <w:rStyle w:val="Lappusesnumurs"/>
      </w:rPr>
    </w:pPr>
    <w:r>
      <w:rPr>
        <w:rStyle w:val="Lappusesnumurs"/>
      </w:rPr>
      <w:fldChar w:fldCharType="begin"/>
    </w:r>
    <w:r w:rsidR="009434A2">
      <w:rPr>
        <w:rStyle w:val="Lappusesnumurs"/>
      </w:rPr>
      <w:instrText xml:space="preserve">PAGE  </w:instrText>
    </w:r>
    <w:r>
      <w:rPr>
        <w:rStyle w:val="Lappusesnumurs"/>
      </w:rPr>
      <w:fldChar w:fldCharType="separate"/>
    </w:r>
    <w:r w:rsidR="008915E9">
      <w:rPr>
        <w:rStyle w:val="Lappusesnumurs"/>
        <w:noProof/>
      </w:rPr>
      <w:t>5</w:t>
    </w:r>
    <w:r>
      <w:rPr>
        <w:rStyle w:val="Lappusesnumurs"/>
      </w:rPr>
      <w:fldChar w:fldCharType="end"/>
    </w:r>
  </w:p>
  <w:p w:rsidR="009434A2" w:rsidRDefault="009434A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955BF"/>
    <w:multiLevelType w:val="hybridMultilevel"/>
    <w:tmpl w:val="DF380B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7E"/>
    <w:rsid w:val="000004CF"/>
    <w:rsid w:val="00002015"/>
    <w:rsid w:val="000033B2"/>
    <w:rsid w:val="000052DC"/>
    <w:rsid w:val="00015974"/>
    <w:rsid w:val="000160EE"/>
    <w:rsid w:val="00017851"/>
    <w:rsid w:val="0002029A"/>
    <w:rsid w:val="000242CD"/>
    <w:rsid w:val="000249F2"/>
    <w:rsid w:val="00024B0B"/>
    <w:rsid w:val="000273EA"/>
    <w:rsid w:val="00027BE3"/>
    <w:rsid w:val="000319E9"/>
    <w:rsid w:val="000378F3"/>
    <w:rsid w:val="00037F77"/>
    <w:rsid w:val="0004078B"/>
    <w:rsid w:val="00041376"/>
    <w:rsid w:val="00043064"/>
    <w:rsid w:val="000445E1"/>
    <w:rsid w:val="000500AE"/>
    <w:rsid w:val="00051187"/>
    <w:rsid w:val="00054F83"/>
    <w:rsid w:val="00055CF3"/>
    <w:rsid w:val="00056F5F"/>
    <w:rsid w:val="000623AC"/>
    <w:rsid w:val="00065E62"/>
    <w:rsid w:val="00067716"/>
    <w:rsid w:val="00067A11"/>
    <w:rsid w:val="00070FEB"/>
    <w:rsid w:val="000713AA"/>
    <w:rsid w:val="00072610"/>
    <w:rsid w:val="00072B42"/>
    <w:rsid w:val="00074178"/>
    <w:rsid w:val="000813CF"/>
    <w:rsid w:val="0008641C"/>
    <w:rsid w:val="00093DC3"/>
    <w:rsid w:val="00094946"/>
    <w:rsid w:val="000956B0"/>
    <w:rsid w:val="000957DB"/>
    <w:rsid w:val="00096BD9"/>
    <w:rsid w:val="00097193"/>
    <w:rsid w:val="000A230B"/>
    <w:rsid w:val="000A2D0B"/>
    <w:rsid w:val="000A305A"/>
    <w:rsid w:val="000A4D5D"/>
    <w:rsid w:val="000B2338"/>
    <w:rsid w:val="000B43C3"/>
    <w:rsid w:val="000C1F1C"/>
    <w:rsid w:val="000C4826"/>
    <w:rsid w:val="000C4E8B"/>
    <w:rsid w:val="000C5E19"/>
    <w:rsid w:val="000C6049"/>
    <w:rsid w:val="000C711D"/>
    <w:rsid w:val="000D5249"/>
    <w:rsid w:val="000D5719"/>
    <w:rsid w:val="000D677F"/>
    <w:rsid w:val="000D6A4F"/>
    <w:rsid w:val="000D7729"/>
    <w:rsid w:val="000D7FA2"/>
    <w:rsid w:val="000E10EC"/>
    <w:rsid w:val="000E674D"/>
    <w:rsid w:val="000F0147"/>
    <w:rsid w:val="000F328E"/>
    <w:rsid w:val="000F3449"/>
    <w:rsid w:val="000F4B00"/>
    <w:rsid w:val="000F4ED4"/>
    <w:rsid w:val="000F4F14"/>
    <w:rsid w:val="000F5451"/>
    <w:rsid w:val="000F54FF"/>
    <w:rsid w:val="00100684"/>
    <w:rsid w:val="0010345D"/>
    <w:rsid w:val="001039CA"/>
    <w:rsid w:val="00104613"/>
    <w:rsid w:val="00111DC0"/>
    <w:rsid w:val="00112881"/>
    <w:rsid w:val="00112DF5"/>
    <w:rsid w:val="00115738"/>
    <w:rsid w:val="0011697F"/>
    <w:rsid w:val="001175F8"/>
    <w:rsid w:val="0012150C"/>
    <w:rsid w:val="00124ACB"/>
    <w:rsid w:val="00126A8D"/>
    <w:rsid w:val="00127E82"/>
    <w:rsid w:val="001321D5"/>
    <w:rsid w:val="00133DFE"/>
    <w:rsid w:val="00134BEB"/>
    <w:rsid w:val="00135F2B"/>
    <w:rsid w:val="00143CB1"/>
    <w:rsid w:val="00145E1F"/>
    <w:rsid w:val="00147420"/>
    <w:rsid w:val="001500A4"/>
    <w:rsid w:val="00152B50"/>
    <w:rsid w:val="00153834"/>
    <w:rsid w:val="00154FA1"/>
    <w:rsid w:val="00155D92"/>
    <w:rsid w:val="00155DDA"/>
    <w:rsid w:val="001611DB"/>
    <w:rsid w:val="001668A1"/>
    <w:rsid w:val="00166AFB"/>
    <w:rsid w:val="00172BC0"/>
    <w:rsid w:val="001748D2"/>
    <w:rsid w:val="00174BD8"/>
    <w:rsid w:val="00177DDA"/>
    <w:rsid w:val="001814E3"/>
    <w:rsid w:val="00181867"/>
    <w:rsid w:val="00185A1F"/>
    <w:rsid w:val="00186CB1"/>
    <w:rsid w:val="00187944"/>
    <w:rsid w:val="00191CC1"/>
    <w:rsid w:val="001928BE"/>
    <w:rsid w:val="00193A34"/>
    <w:rsid w:val="00193C5A"/>
    <w:rsid w:val="00193C93"/>
    <w:rsid w:val="00193E2C"/>
    <w:rsid w:val="00194785"/>
    <w:rsid w:val="001A1C90"/>
    <w:rsid w:val="001A284C"/>
    <w:rsid w:val="001A4030"/>
    <w:rsid w:val="001A703F"/>
    <w:rsid w:val="001A7D16"/>
    <w:rsid w:val="001B3102"/>
    <w:rsid w:val="001B6383"/>
    <w:rsid w:val="001B644E"/>
    <w:rsid w:val="001C0BDB"/>
    <w:rsid w:val="001C3321"/>
    <w:rsid w:val="001C600D"/>
    <w:rsid w:val="001D12D3"/>
    <w:rsid w:val="001D3AC6"/>
    <w:rsid w:val="001D4C65"/>
    <w:rsid w:val="001E0876"/>
    <w:rsid w:val="001E1059"/>
    <w:rsid w:val="001E133E"/>
    <w:rsid w:val="001E4DEC"/>
    <w:rsid w:val="001E505C"/>
    <w:rsid w:val="001E68D0"/>
    <w:rsid w:val="001E6C66"/>
    <w:rsid w:val="001E71C9"/>
    <w:rsid w:val="001F1023"/>
    <w:rsid w:val="001F6EB8"/>
    <w:rsid w:val="001F728C"/>
    <w:rsid w:val="002041F1"/>
    <w:rsid w:val="002100B3"/>
    <w:rsid w:val="0021150A"/>
    <w:rsid w:val="002124B5"/>
    <w:rsid w:val="00214D08"/>
    <w:rsid w:val="002179B6"/>
    <w:rsid w:val="00223C04"/>
    <w:rsid w:val="0022456A"/>
    <w:rsid w:val="00227F59"/>
    <w:rsid w:val="002305A0"/>
    <w:rsid w:val="00237909"/>
    <w:rsid w:val="00243D1D"/>
    <w:rsid w:val="002513DF"/>
    <w:rsid w:val="00252057"/>
    <w:rsid w:val="00255D43"/>
    <w:rsid w:val="00257B87"/>
    <w:rsid w:val="00260221"/>
    <w:rsid w:val="002606DD"/>
    <w:rsid w:val="00264CFE"/>
    <w:rsid w:val="00265A45"/>
    <w:rsid w:val="00265BA0"/>
    <w:rsid w:val="00266247"/>
    <w:rsid w:val="00266734"/>
    <w:rsid w:val="0026787B"/>
    <w:rsid w:val="00273012"/>
    <w:rsid w:val="00277535"/>
    <w:rsid w:val="00277C39"/>
    <w:rsid w:val="00284E0B"/>
    <w:rsid w:val="00286B98"/>
    <w:rsid w:val="00286BE2"/>
    <w:rsid w:val="0028776A"/>
    <w:rsid w:val="00294C6B"/>
    <w:rsid w:val="002A0109"/>
    <w:rsid w:val="002A69AC"/>
    <w:rsid w:val="002A7C64"/>
    <w:rsid w:val="002B092E"/>
    <w:rsid w:val="002B13BA"/>
    <w:rsid w:val="002B1522"/>
    <w:rsid w:val="002B325F"/>
    <w:rsid w:val="002B436C"/>
    <w:rsid w:val="002B4887"/>
    <w:rsid w:val="002B79C3"/>
    <w:rsid w:val="002C2186"/>
    <w:rsid w:val="002C5FF8"/>
    <w:rsid w:val="002C60C7"/>
    <w:rsid w:val="002D0EFF"/>
    <w:rsid w:val="002D3117"/>
    <w:rsid w:val="002D429F"/>
    <w:rsid w:val="002D50B7"/>
    <w:rsid w:val="002E15E4"/>
    <w:rsid w:val="002E2E74"/>
    <w:rsid w:val="002E6873"/>
    <w:rsid w:val="002E69C0"/>
    <w:rsid w:val="002F1E3A"/>
    <w:rsid w:val="002F2D08"/>
    <w:rsid w:val="002F38DB"/>
    <w:rsid w:val="002F6A27"/>
    <w:rsid w:val="002F739C"/>
    <w:rsid w:val="00301471"/>
    <w:rsid w:val="003023B3"/>
    <w:rsid w:val="0030353C"/>
    <w:rsid w:val="003037FE"/>
    <w:rsid w:val="00307B77"/>
    <w:rsid w:val="00313B3C"/>
    <w:rsid w:val="00315662"/>
    <w:rsid w:val="003157FC"/>
    <w:rsid w:val="0032112A"/>
    <w:rsid w:val="003242DE"/>
    <w:rsid w:val="003257A4"/>
    <w:rsid w:val="00325A33"/>
    <w:rsid w:val="003274E7"/>
    <w:rsid w:val="0033095C"/>
    <w:rsid w:val="00331279"/>
    <w:rsid w:val="003350A5"/>
    <w:rsid w:val="00336851"/>
    <w:rsid w:val="00342823"/>
    <w:rsid w:val="00343441"/>
    <w:rsid w:val="00343E26"/>
    <w:rsid w:val="003460CD"/>
    <w:rsid w:val="00347B64"/>
    <w:rsid w:val="00350004"/>
    <w:rsid w:val="00351991"/>
    <w:rsid w:val="00354D7D"/>
    <w:rsid w:val="00355020"/>
    <w:rsid w:val="00355D4F"/>
    <w:rsid w:val="003561E6"/>
    <w:rsid w:val="00360A74"/>
    <w:rsid w:val="00360B91"/>
    <w:rsid w:val="003610A7"/>
    <w:rsid w:val="00362A82"/>
    <w:rsid w:val="00363DF8"/>
    <w:rsid w:val="00370A38"/>
    <w:rsid w:val="00371A65"/>
    <w:rsid w:val="00374754"/>
    <w:rsid w:val="003752C7"/>
    <w:rsid w:val="00380832"/>
    <w:rsid w:val="0038268B"/>
    <w:rsid w:val="003831C3"/>
    <w:rsid w:val="00384D74"/>
    <w:rsid w:val="00391F7B"/>
    <w:rsid w:val="00393207"/>
    <w:rsid w:val="003937EE"/>
    <w:rsid w:val="00393F06"/>
    <w:rsid w:val="0039523C"/>
    <w:rsid w:val="003A1B2D"/>
    <w:rsid w:val="003A4096"/>
    <w:rsid w:val="003A5061"/>
    <w:rsid w:val="003A5BC1"/>
    <w:rsid w:val="003B2B59"/>
    <w:rsid w:val="003B34B2"/>
    <w:rsid w:val="003B585F"/>
    <w:rsid w:val="003B7A18"/>
    <w:rsid w:val="003C1680"/>
    <w:rsid w:val="003C257A"/>
    <w:rsid w:val="003C2A47"/>
    <w:rsid w:val="003C3622"/>
    <w:rsid w:val="003C6AD2"/>
    <w:rsid w:val="003C7411"/>
    <w:rsid w:val="003D279C"/>
    <w:rsid w:val="003D3A27"/>
    <w:rsid w:val="003D4E3F"/>
    <w:rsid w:val="003D701C"/>
    <w:rsid w:val="003E413C"/>
    <w:rsid w:val="003E4150"/>
    <w:rsid w:val="003E5518"/>
    <w:rsid w:val="003F001C"/>
    <w:rsid w:val="003F3549"/>
    <w:rsid w:val="003F4081"/>
    <w:rsid w:val="003F753E"/>
    <w:rsid w:val="00400503"/>
    <w:rsid w:val="00403858"/>
    <w:rsid w:val="00405D73"/>
    <w:rsid w:val="00406A2C"/>
    <w:rsid w:val="00406B8C"/>
    <w:rsid w:val="004121C8"/>
    <w:rsid w:val="00412F9C"/>
    <w:rsid w:val="00414B20"/>
    <w:rsid w:val="00415631"/>
    <w:rsid w:val="00415B80"/>
    <w:rsid w:val="00417A1B"/>
    <w:rsid w:val="00421391"/>
    <w:rsid w:val="00422AF6"/>
    <w:rsid w:val="00424C48"/>
    <w:rsid w:val="00425E4D"/>
    <w:rsid w:val="0043328A"/>
    <w:rsid w:val="00433DA8"/>
    <w:rsid w:val="004357CE"/>
    <w:rsid w:val="00441496"/>
    <w:rsid w:val="00441E23"/>
    <w:rsid w:val="00444A7D"/>
    <w:rsid w:val="004464F7"/>
    <w:rsid w:val="0044738A"/>
    <w:rsid w:val="00447764"/>
    <w:rsid w:val="004511D3"/>
    <w:rsid w:val="004534B3"/>
    <w:rsid w:val="004547A9"/>
    <w:rsid w:val="00454D15"/>
    <w:rsid w:val="0045719F"/>
    <w:rsid w:val="00462078"/>
    <w:rsid w:val="004632CD"/>
    <w:rsid w:val="00463956"/>
    <w:rsid w:val="004639C0"/>
    <w:rsid w:val="00465A58"/>
    <w:rsid w:val="004662B4"/>
    <w:rsid w:val="00466CF9"/>
    <w:rsid w:val="004679FF"/>
    <w:rsid w:val="00467C61"/>
    <w:rsid w:val="004708A3"/>
    <w:rsid w:val="0047491E"/>
    <w:rsid w:val="00480EF1"/>
    <w:rsid w:val="00482A25"/>
    <w:rsid w:val="00484622"/>
    <w:rsid w:val="00486E83"/>
    <w:rsid w:val="00487A8F"/>
    <w:rsid w:val="00495127"/>
    <w:rsid w:val="00495A25"/>
    <w:rsid w:val="004966B8"/>
    <w:rsid w:val="00496959"/>
    <w:rsid w:val="004A0EAB"/>
    <w:rsid w:val="004A6C18"/>
    <w:rsid w:val="004A708B"/>
    <w:rsid w:val="004B0271"/>
    <w:rsid w:val="004B28A8"/>
    <w:rsid w:val="004B5C4E"/>
    <w:rsid w:val="004C0ED0"/>
    <w:rsid w:val="004C1BC4"/>
    <w:rsid w:val="004C4BC8"/>
    <w:rsid w:val="004C7C32"/>
    <w:rsid w:val="004D4F42"/>
    <w:rsid w:val="004D579E"/>
    <w:rsid w:val="004D64BE"/>
    <w:rsid w:val="004E1569"/>
    <w:rsid w:val="004E15D1"/>
    <w:rsid w:val="004E3F6C"/>
    <w:rsid w:val="004F1971"/>
    <w:rsid w:val="004F2E8D"/>
    <w:rsid w:val="004F598D"/>
    <w:rsid w:val="004F7B57"/>
    <w:rsid w:val="00502495"/>
    <w:rsid w:val="00513790"/>
    <w:rsid w:val="00514AED"/>
    <w:rsid w:val="0051633E"/>
    <w:rsid w:val="00516F18"/>
    <w:rsid w:val="00521C34"/>
    <w:rsid w:val="005229C2"/>
    <w:rsid w:val="005251F3"/>
    <w:rsid w:val="00533941"/>
    <w:rsid w:val="00536003"/>
    <w:rsid w:val="0053639D"/>
    <w:rsid w:val="00537386"/>
    <w:rsid w:val="005376CA"/>
    <w:rsid w:val="0054083D"/>
    <w:rsid w:val="0054677F"/>
    <w:rsid w:val="00552540"/>
    <w:rsid w:val="005545C2"/>
    <w:rsid w:val="00556D60"/>
    <w:rsid w:val="0056210B"/>
    <w:rsid w:val="00563A77"/>
    <w:rsid w:val="005645EF"/>
    <w:rsid w:val="005660EB"/>
    <w:rsid w:val="0057117B"/>
    <w:rsid w:val="00572009"/>
    <w:rsid w:val="0057499C"/>
    <w:rsid w:val="00580AE7"/>
    <w:rsid w:val="005827E6"/>
    <w:rsid w:val="00583239"/>
    <w:rsid w:val="00584D39"/>
    <w:rsid w:val="005854C5"/>
    <w:rsid w:val="00590F7E"/>
    <w:rsid w:val="00591E61"/>
    <w:rsid w:val="005940F9"/>
    <w:rsid w:val="0059419D"/>
    <w:rsid w:val="00595851"/>
    <w:rsid w:val="00596043"/>
    <w:rsid w:val="005A2698"/>
    <w:rsid w:val="005A5812"/>
    <w:rsid w:val="005A5CF6"/>
    <w:rsid w:val="005A76A3"/>
    <w:rsid w:val="005A771C"/>
    <w:rsid w:val="005C045F"/>
    <w:rsid w:val="005C2316"/>
    <w:rsid w:val="005C3223"/>
    <w:rsid w:val="005C37B4"/>
    <w:rsid w:val="005C5FCB"/>
    <w:rsid w:val="005D00FC"/>
    <w:rsid w:val="005D0F57"/>
    <w:rsid w:val="005D16B1"/>
    <w:rsid w:val="005D3D68"/>
    <w:rsid w:val="005D782F"/>
    <w:rsid w:val="005E402A"/>
    <w:rsid w:val="005E5050"/>
    <w:rsid w:val="005E52B6"/>
    <w:rsid w:val="005E5A9B"/>
    <w:rsid w:val="005F28C6"/>
    <w:rsid w:val="005F49F6"/>
    <w:rsid w:val="00601219"/>
    <w:rsid w:val="006056ED"/>
    <w:rsid w:val="0060636F"/>
    <w:rsid w:val="0060673F"/>
    <w:rsid w:val="00606E3A"/>
    <w:rsid w:val="00606F24"/>
    <w:rsid w:val="0060708E"/>
    <w:rsid w:val="0060719D"/>
    <w:rsid w:val="0061217E"/>
    <w:rsid w:val="00612ED0"/>
    <w:rsid w:val="006137F3"/>
    <w:rsid w:val="00616C4A"/>
    <w:rsid w:val="00617F41"/>
    <w:rsid w:val="00620D0D"/>
    <w:rsid w:val="00620DC4"/>
    <w:rsid w:val="006257A6"/>
    <w:rsid w:val="006266E3"/>
    <w:rsid w:val="006313A4"/>
    <w:rsid w:val="006368D6"/>
    <w:rsid w:val="00640AA9"/>
    <w:rsid w:val="00643797"/>
    <w:rsid w:val="0065138F"/>
    <w:rsid w:val="00652105"/>
    <w:rsid w:val="00652543"/>
    <w:rsid w:val="00652579"/>
    <w:rsid w:val="00654CED"/>
    <w:rsid w:val="00655689"/>
    <w:rsid w:val="00656C9A"/>
    <w:rsid w:val="006602BB"/>
    <w:rsid w:val="006606B7"/>
    <w:rsid w:val="00665362"/>
    <w:rsid w:val="006663BB"/>
    <w:rsid w:val="0066773A"/>
    <w:rsid w:val="00667A13"/>
    <w:rsid w:val="006714C5"/>
    <w:rsid w:val="0067366E"/>
    <w:rsid w:val="006748CD"/>
    <w:rsid w:val="00675CCE"/>
    <w:rsid w:val="006760F2"/>
    <w:rsid w:val="006820E7"/>
    <w:rsid w:val="00683886"/>
    <w:rsid w:val="00685243"/>
    <w:rsid w:val="00685934"/>
    <w:rsid w:val="006867F0"/>
    <w:rsid w:val="006869F5"/>
    <w:rsid w:val="0069134A"/>
    <w:rsid w:val="006972BD"/>
    <w:rsid w:val="00697AF8"/>
    <w:rsid w:val="006A344D"/>
    <w:rsid w:val="006B07C9"/>
    <w:rsid w:val="006B33B5"/>
    <w:rsid w:val="006B75D0"/>
    <w:rsid w:val="006C17D2"/>
    <w:rsid w:val="006C55B6"/>
    <w:rsid w:val="006D1130"/>
    <w:rsid w:val="006D1959"/>
    <w:rsid w:val="006E08F1"/>
    <w:rsid w:val="006E0C24"/>
    <w:rsid w:val="006E65F9"/>
    <w:rsid w:val="006F122E"/>
    <w:rsid w:val="006F2E6E"/>
    <w:rsid w:val="006F3043"/>
    <w:rsid w:val="006F682B"/>
    <w:rsid w:val="006F69AA"/>
    <w:rsid w:val="007002E0"/>
    <w:rsid w:val="007018E2"/>
    <w:rsid w:val="00702355"/>
    <w:rsid w:val="007028B5"/>
    <w:rsid w:val="0070415F"/>
    <w:rsid w:val="00705B6F"/>
    <w:rsid w:val="00707AB8"/>
    <w:rsid w:val="00707B6F"/>
    <w:rsid w:val="0071167F"/>
    <w:rsid w:val="0071337A"/>
    <w:rsid w:val="00713450"/>
    <w:rsid w:val="00713A7C"/>
    <w:rsid w:val="0071757F"/>
    <w:rsid w:val="00717734"/>
    <w:rsid w:val="00717F6E"/>
    <w:rsid w:val="00720F8D"/>
    <w:rsid w:val="00721B97"/>
    <w:rsid w:val="00721E49"/>
    <w:rsid w:val="00725FCD"/>
    <w:rsid w:val="00727844"/>
    <w:rsid w:val="007300EF"/>
    <w:rsid w:val="00733095"/>
    <w:rsid w:val="00736CD7"/>
    <w:rsid w:val="0074199B"/>
    <w:rsid w:val="00743D38"/>
    <w:rsid w:val="0074447B"/>
    <w:rsid w:val="00745821"/>
    <w:rsid w:val="00746954"/>
    <w:rsid w:val="0074755A"/>
    <w:rsid w:val="007523AC"/>
    <w:rsid w:val="00753382"/>
    <w:rsid w:val="00753DED"/>
    <w:rsid w:val="007546F1"/>
    <w:rsid w:val="00756BC2"/>
    <w:rsid w:val="00757876"/>
    <w:rsid w:val="00760085"/>
    <w:rsid w:val="00762EFD"/>
    <w:rsid w:val="00765966"/>
    <w:rsid w:val="00771FAC"/>
    <w:rsid w:val="0077256F"/>
    <w:rsid w:val="00773DA1"/>
    <w:rsid w:val="00776413"/>
    <w:rsid w:val="00776B2C"/>
    <w:rsid w:val="00781A15"/>
    <w:rsid w:val="00786F82"/>
    <w:rsid w:val="00791D65"/>
    <w:rsid w:val="00791E9E"/>
    <w:rsid w:val="0079264F"/>
    <w:rsid w:val="007926A0"/>
    <w:rsid w:val="0079282B"/>
    <w:rsid w:val="00793143"/>
    <w:rsid w:val="00794BF1"/>
    <w:rsid w:val="007A180B"/>
    <w:rsid w:val="007A71A2"/>
    <w:rsid w:val="007B2B19"/>
    <w:rsid w:val="007B2E09"/>
    <w:rsid w:val="007B3774"/>
    <w:rsid w:val="007B45D1"/>
    <w:rsid w:val="007B579E"/>
    <w:rsid w:val="007B5EE0"/>
    <w:rsid w:val="007B603D"/>
    <w:rsid w:val="007B7B96"/>
    <w:rsid w:val="007B7D15"/>
    <w:rsid w:val="007C1074"/>
    <w:rsid w:val="007C16F6"/>
    <w:rsid w:val="007C3EDD"/>
    <w:rsid w:val="007C4473"/>
    <w:rsid w:val="007C68DE"/>
    <w:rsid w:val="007C72EA"/>
    <w:rsid w:val="007D3F1B"/>
    <w:rsid w:val="007D44A6"/>
    <w:rsid w:val="007D4B81"/>
    <w:rsid w:val="007D5AA6"/>
    <w:rsid w:val="007E19B0"/>
    <w:rsid w:val="007E19B5"/>
    <w:rsid w:val="007E2460"/>
    <w:rsid w:val="007E7FB5"/>
    <w:rsid w:val="007F0FA8"/>
    <w:rsid w:val="007F1BBB"/>
    <w:rsid w:val="007F4ED1"/>
    <w:rsid w:val="00805705"/>
    <w:rsid w:val="00806EBD"/>
    <w:rsid w:val="00811225"/>
    <w:rsid w:val="008145F9"/>
    <w:rsid w:val="00817A87"/>
    <w:rsid w:val="00820FE9"/>
    <w:rsid w:val="00821E5D"/>
    <w:rsid w:val="00824538"/>
    <w:rsid w:val="0083086E"/>
    <w:rsid w:val="008339D3"/>
    <w:rsid w:val="00834142"/>
    <w:rsid w:val="0083528F"/>
    <w:rsid w:val="008353DA"/>
    <w:rsid w:val="008364B2"/>
    <w:rsid w:val="008370B1"/>
    <w:rsid w:val="008405E5"/>
    <w:rsid w:val="00840636"/>
    <w:rsid w:val="008416D9"/>
    <w:rsid w:val="00843508"/>
    <w:rsid w:val="00845907"/>
    <w:rsid w:val="00845BDC"/>
    <w:rsid w:val="0084701F"/>
    <w:rsid w:val="008471F4"/>
    <w:rsid w:val="00852C45"/>
    <w:rsid w:val="00853192"/>
    <w:rsid w:val="008561EF"/>
    <w:rsid w:val="00861D12"/>
    <w:rsid w:val="00863976"/>
    <w:rsid w:val="0086560D"/>
    <w:rsid w:val="00865B57"/>
    <w:rsid w:val="00870567"/>
    <w:rsid w:val="00870824"/>
    <w:rsid w:val="00872C23"/>
    <w:rsid w:val="008740F9"/>
    <w:rsid w:val="0087597A"/>
    <w:rsid w:val="008763E4"/>
    <w:rsid w:val="00880EF6"/>
    <w:rsid w:val="00881878"/>
    <w:rsid w:val="0088329E"/>
    <w:rsid w:val="00884A8B"/>
    <w:rsid w:val="0088598B"/>
    <w:rsid w:val="00885D66"/>
    <w:rsid w:val="00887B5B"/>
    <w:rsid w:val="00887D2F"/>
    <w:rsid w:val="008907B2"/>
    <w:rsid w:val="008915E9"/>
    <w:rsid w:val="00891CE4"/>
    <w:rsid w:val="00894BA2"/>
    <w:rsid w:val="00895763"/>
    <w:rsid w:val="008A28DC"/>
    <w:rsid w:val="008A5E04"/>
    <w:rsid w:val="008A6594"/>
    <w:rsid w:val="008A6921"/>
    <w:rsid w:val="008A7D5D"/>
    <w:rsid w:val="008B00E7"/>
    <w:rsid w:val="008B094F"/>
    <w:rsid w:val="008B11F5"/>
    <w:rsid w:val="008B43A5"/>
    <w:rsid w:val="008B63FA"/>
    <w:rsid w:val="008C3213"/>
    <w:rsid w:val="008C65C8"/>
    <w:rsid w:val="008D0074"/>
    <w:rsid w:val="008D23D3"/>
    <w:rsid w:val="008D2811"/>
    <w:rsid w:val="008D3BCB"/>
    <w:rsid w:val="008E33DE"/>
    <w:rsid w:val="008E3636"/>
    <w:rsid w:val="008E3F50"/>
    <w:rsid w:val="008E4ABE"/>
    <w:rsid w:val="008E4D95"/>
    <w:rsid w:val="008F28C0"/>
    <w:rsid w:val="008F343B"/>
    <w:rsid w:val="008F7874"/>
    <w:rsid w:val="00900BC9"/>
    <w:rsid w:val="0091351B"/>
    <w:rsid w:val="00915FF3"/>
    <w:rsid w:val="00916CBE"/>
    <w:rsid w:val="00923C24"/>
    <w:rsid w:val="009261AC"/>
    <w:rsid w:val="00926503"/>
    <w:rsid w:val="00927D6E"/>
    <w:rsid w:val="00930EA9"/>
    <w:rsid w:val="00934693"/>
    <w:rsid w:val="00935269"/>
    <w:rsid w:val="00940B60"/>
    <w:rsid w:val="009434A2"/>
    <w:rsid w:val="00945674"/>
    <w:rsid w:val="009459EA"/>
    <w:rsid w:val="009507A3"/>
    <w:rsid w:val="00951C9A"/>
    <w:rsid w:val="00952431"/>
    <w:rsid w:val="009527B3"/>
    <w:rsid w:val="0095373F"/>
    <w:rsid w:val="00954537"/>
    <w:rsid w:val="00955BEB"/>
    <w:rsid w:val="00956C17"/>
    <w:rsid w:val="009628DA"/>
    <w:rsid w:val="00964DAF"/>
    <w:rsid w:val="009665A9"/>
    <w:rsid w:val="00966CB8"/>
    <w:rsid w:val="00970CBF"/>
    <w:rsid w:val="00972058"/>
    <w:rsid w:val="00973CED"/>
    <w:rsid w:val="0097789B"/>
    <w:rsid w:val="00982DC2"/>
    <w:rsid w:val="00984A7D"/>
    <w:rsid w:val="00984CB2"/>
    <w:rsid w:val="009956A8"/>
    <w:rsid w:val="009A177C"/>
    <w:rsid w:val="009B1042"/>
    <w:rsid w:val="009B26A9"/>
    <w:rsid w:val="009B2D95"/>
    <w:rsid w:val="009B2FA7"/>
    <w:rsid w:val="009C001B"/>
    <w:rsid w:val="009C13CC"/>
    <w:rsid w:val="009C2867"/>
    <w:rsid w:val="009C58CE"/>
    <w:rsid w:val="009D1DBD"/>
    <w:rsid w:val="009D274B"/>
    <w:rsid w:val="009D4048"/>
    <w:rsid w:val="009D40D0"/>
    <w:rsid w:val="009D5905"/>
    <w:rsid w:val="009D69A1"/>
    <w:rsid w:val="009D6F8C"/>
    <w:rsid w:val="009D70DE"/>
    <w:rsid w:val="009E05E4"/>
    <w:rsid w:val="009E112D"/>
    <w:rsid w:val="009E41F0"/>
    <w:rsid w:val="009E5AE0"/>
    <w:rsid w:val="009F2252"/>
    <w:rsid w:val="009F2EA3"/>
    <w:rsid w:val="009F3E52"/>
    <w:rsid w:val="009F441F"/>
    <w:rsid w:val="009F5BC7"/>
    <w:rsid w:val="009F72AE"/>
    <w:rsid w:val="009F7DE0"/>
    <w:rsid w:val="00A00570"/>
    <w:rsid w:val="00A14353"/>
    <w:rsid w:val="00A164A1"/>
    <w:rsid w:val="00A16E36"/>
    <w:rsid w:val="00A179F9"/>
    <w:rsid w:val="00A21860"/>
    <w:rsid w:val="00A21F1F"/>
    <w:rsid w:val="00A239E6"/>
    <w:rsid w:val="00A23E0B"/>
    <w:rsid w:val="00A25A84"/>
    <w:rsid w:val="00A25F9B"/>
    <w:rsid w:val="00A26AB5"/>
    <w:rsid w:val="00A26F8B"/>
    <w:rsid w:val="00A30F4A"/>
    <w:rsid w:val="00A36C8C"/>
    <w:rsid w:val="00A40267"/>
    <w:rsid w:val="00A41E67"/>
    <w:rsid w:val="00A42620"/>
    <w:rsid w:val="00A42FA4"/>
    <w:rsid w:val="00A50377"/>
    <w:rsid w:val="00A51C96"/>
    <w:rsid w:val="00A52300"/>
    <w:rsid w:val="00A53E68"/>
    <w:rsid w:val="00A54E08"/>
    <w:rsid w:val="00A559EF"/>
    <w:rsid w:val="00A55EAB"/>
    <w:rsid w:val="00A6000F"/>
    <w:rsid w:val="00A61D9B"/>
    <w:rsid w:val="00A65C5A"/>
    <w:rsid w:val="00A708E5"/>
    <w:rsid w:val="00A708ED"/>
    <w:rsid w:val="00A7248A"/>
    <w:rsid w:val="00A75DEB"/>
    <w:rsid w:val="00A765C4"/>
    <w:rsid w:val="00A7728E"/>
    <w:rsid w:val="00A8230E"/>
    <w:rsid w:val="00A82E8C"/>
    <w:rsid w:val="00A8542D"/>
    <w:rsid w:val="00A8754B"/>
    <w:rsid w:val="00A901C8"/>
    <w:rsid w:val="00A92342"/>
    <w:rsid w:val="00A95A2F"/>
    <w:rsid w:val="00AA3732"/>
    <w:rsid w:val="00AA3A32"/>
    <w:rsid w:val="00AA61DA"/>
    <w:rsid w:val="00AA6478"/>
    <w:rsid w:val="00AA7992"/>
    <w:rsid w:val="00AB0041"/>
    <w:rsid w:val="00AB04E5"/>
    <w:rsid w:val="00AB170E"/>
    <w:rsid w:val="00AB1AA9"/>
    <w:rsid w:val="00AB29D0"/>
    <w:rsid w:val="00AB350B"/>
    <w:rsid w:val="00AB416C"/>
    <w:rsid w:val="00AB596F"/>
    <w:rsid w:val="00AC0726"/>
    <w:rsid w:val="00AC145B"/>
    <w:rsid w:val="00AC4C78"/>
    <w:rsid w:val="00AC515F"/>
    <w:rsid w:val="00AC51D8"/>
    <w:rsid w:val="00AD22C0"/>
    <w:rsid w:val="00AD4B66"/>
    <w:rsid w:val="00AD645F"/>
    <w:rsid w:val="00AE2DFA"/>
    <w:rsid w:val="00AE47E1"/>
    <w:rsid w:val="00AE5565"/>
    <w:rsid w:val="00AE7059"/>
    <w:rsid w:val="00AF0810"/>
    <w:rsid w:val="00AF0BAF"/>
    <w:rsid w:val="00AF1120"/>
    <w:rsid w:val="00AF142A"/>
    <w:rsid w:val="00AF268B"/>
    <w:rsid w:val="00AF42E7"/>
    <w:rsid w:val="00AF606C"/>
    <w:rsid w:val="00AF61D4"/>
    <w:rsid w:val="00AF7945"/>
    <w:rsid w:val="00B01A2B"/>
    <w:rsid w:val="00B02CCF"/>
    <w:rsid w:val="00B05615"/>
    <w:rsid w:val="00B05C53"/>
    <w:rsid w:val="00B103DE"/>
    <w:rsid w:val="00B11677"/>
    <w:rsid w:val="00B1481C"/>
    <w:rsid w:val="00B21A83"/>
    <w:rsid w:val="00B2596F"/>
    <w:rsid w:val="00B27F81"/>
    <w:rsid w:val="00B32B11"/>
    <w:rsid w:val="00B3458F"/>
    <w:rsid w:val="00B35402"/>
    <w:rsid w:val="00B42584"/>
    <w:rsid w:val="00B42FE7"/>
    <w:rsid w:val="00B44F97"/>
    <w:rsid w:val="00B46B32"/>
    <w:rsid w:val="00B47A4D"/>
    <w:rsid w:val="00B52182"/>
    <w:rsid w:val="00B53809"/>
    <w:rsid w:val="00B56189"/>
    <w:rsid w:val="00B60F97"/>
    <w:rsid w:val="00B64910"/>
    <w:rsid w:val="00B64D11"/>
    <w:rsid w:val="00B671E4"/>
    <w:rsid w:val="00B67AC5"/>
    <w:rsid w:val="00B701D2"/>
    <w:rsid w:val="00B7046A"/>
    <w:rsid w:val="00B74565"/>
    <w:rsid w:val="00B7692E"/>
    <w:rsid w:val="00B76D1A"/>
    <w:rsid w:val="00B774CB"/>
    <w:rsid w:val="00B818AA"/>
    <w:rsid w:val="00B81F83"/>
    <w:rsid w:val="00B84A56"/>
    <w:rsid w:val="00B84F1C"/>
    <w:rsid w:val="00B86B73"/>
    <w:rsid w:val="00B87CD9"/>
    <w:rsid w:val="00B92547"/>
    <w:rsid w:val="00B94A6C"/>
    <w:rsid w:val="00B95D4D"/>
    <w:rsid w:val="00B97126"/>
    <w:rsid w:val="00BA043A"/>
    <w:rsid w:val="00BA0943"/>
    <w:rsid w:val="00BA0DE8"/>
    <w:rsid w:val="00BA1447"/>
    <w:rsid w:val="00BA6A4D"/>
    <w:rsid w:val="00BA7BBE"/>
    <w:rsid w:val="00BB0BC4"/>
    <w:rsid w:val="00BB7716"/>
    <w:rsid w:val="00BC1BBD"/>
    <w:rsid w:val="00BC349A"/>
    <w:rsid w:val="00BC56DD"/>
    <w:rsid w:val="00BD2F47"/>
    <w:rsid w:val="00BD5673"/>
    <w:rsid w:val="00BD695F"/>
    <w:rsid w:val="00BD74DA"/>
    <w:rsid w:val="00BE211D"/>
    <w:rsid w:val="00BE2AA0"/>
    <w:rsid w:val="00BE3935"/>
    <w:rsid w:val="00BE4880"/>
    <w:rsid w:val="00BE6367"/>
    <w:rsid w:val="00BE63D3"/>
    <w:rsid w:val="00BF0619"/>
    <w:rsid w:val="00BF1E02"/>
    <w:rsid w:val="00BF2133"/>
    <w:rsid w:val="00BF3762"/>
    <w:rsid w:val="00BF5E25"/>
    <w:rsid w:val="00BF7B52"/>
    <w:rsid w:val="00BF7C60"/>
    <w:rsid w:val="00C00555"/>
    <w:rsid w:val="00C03340"/>
    <w:rsid w:val="00C038B5"/>
    <w:rsid w:val="00C057B7"/>
    <w:rsid w:val="00C10018"/>
    <w:rsid w:val="00C11675"/>
    <w:rsid w:val="00C11ED9"/>
    <w:rsid w:val="00C1471C"/>
    <w:rsid w:val="00C156E2"/>
    <w:rsid w:val="00C245C2"/>
    <w:rsid w:val="00C25FD5"/>
    <w:rsid w:val="00C26A14"/>
    <w:rsid w:val="00C27A4D"/>
    <w:rsid w:val="00C31017"/>
    <w:rsid w:val="00C3384E"/>
    <w:rsid w:val="00C35043"/>
    <w:rsid w:val="00C36B8C"/>
    <w:rsid w:val="00C43765"/>
    <w:rsid w:val="00C44519"/>
    <w:rsid w:val="00C44FE4"/>
    <w:rsid w:val="00C46337"/>
    <w:rsid w:val="00C511B6"/>
    <w:rsid w:val="00C51545"/>
    <w:rsid w:val="00C5442A"/>
    <w:rsid w:val="00C5479E"/>
    <w:rsid w:val="00C573AC"/>
    <w:rsid w:val="00C609A3"/>
    <w:rsid w:val="00C6168F"/>
    <w:rsid w:val="00C6178F"/>
    <w:rsid w:val="00C61931"/>
    <w:rsid w:val="00C619BB"/>
    <w:rsid w:val="00C61BE0"/>
    <w:rsid w:val="00C62422"/>
    <w:rsid w:val="00C64B59"/>
    <w:rsid w:val="00C65617"/>
    <w:rsid w:val="00C71503"/>
    <w:rsid w:val="00C71EFB"/>
    <w:rsid w:val="00C74EA5"/>
    <w:rsid w:val="00C7549F"/>
    <w:rsid w:val="00C762F7"/>
    <w:rsid w:val="00C80561"/>
    <w:rsid w:val="00C81817"/>
    <w:rsid w:val="00C82175"/>
    <w:rsid w:val="00C846EC"/>
    <w:rsid w:val="00C8499C"/>
    <w:rsid w:val="00C84FE9"/>
    <w:rsid w:val="00C91232"/>
    <w:rsid w:val="00CA2D36"/>
    <w:rsid w:val="00CB5AFB"/>
    <w:rsid w:val="00CC0C10"/>
    <w:rsid w:val="00CC3C39"/>
    <w:rsid w:val="00CC54B7"/>
    <w:rsid w:val="00CC5C35"/>
    <w:rsid w:val="00CD0F5E"/>
    <w:rsid w:val="00CD278A"/>
    <w:rsid w:val="00CD2CF8"/>
    <w:rsid w:val="00CD40FD"/>
    <w:rsid w:val="00CD47C9"/>
    <w:rsid w:val="00CD6126"/>
    <w:rsid w:val="00CE2C5E"/>
    <w:rsid w:val="00CE3E6C"/>
    <w:rsid w:val="00CE701B"/>
    <w:rsid w:val="00CE72CC"/>
    <w:rsid w:val="00CF0BD0"/>
    <w:rsid w:val="00CF16CB"/>
    <w:rsid w:val="00CF229C"/>
    <w:rsid w:val="00CF2B44"/>
    <w:rsid w:val="00CF326A"/>
    <w:rsid w:val="00CF3C48"/>
    <w:rsid w:val="00CF3C75"/>
    <w:rsid w:val="00CF5FA3"/>
    <w:rsid w:val="00CF7A2C"/>
    <w:rsid w:val="00D051D7"/>
    <w:rsid w:val="00D07028"/>
    <w:rsid w:val="00D112F5"/>
    <w:rsid w:val="00D12016"/>
    <w:rsid w:val="00D13FA9"/>
    <w:rsid w:val="00D16DBA"/>
    <w:rsid w:val="00D17C53"/>
    <w:rsid w:val="00D20B27"/>
    <w:rsid w:val="00D21ED3"/>
    <w:rsid w:val="00D23D5E"/>
    <w:rsid w:val="00D25A18"/>
    <w:rsid w:val="00D2653B"/>
    <w:rsid w:val="00D26560"/>
    <w:rsid w:val="00D27C66"/>
    <w:rsid w:val="00D32D0A"/>
    <w:rsid w:val="00D33117"/>
    <w:rsid w:val="00D36A7D"/>
    <w:rsid w:val="00D36CAE"/>
    <w:rsid w:val="00D37A74"/>
    <w:rsid w:val="00D37BE6"/>
    <w:rsid w:val="00D37FC0"/>
    <w:rsid w:val="00D4422B"/>
    <w:rsid w:val="00D467E4"/>
    <w:rsid w:val="00D51516"/>
    <w:rsid w:val="00D52881"/>
    <w:rsid w:val="00D531CA"/>
    <w:rsid w:val="00D5564A"/>
    <w:rsid w:val="00D55996"/>
    <w:rsid w:val="00D61CFA"/>
    <w:rsid w:val="00D63687"/>
    <w:rsid w:val="00D63AF8"/>
    <w:rsid w:val="00D64F63"/>
    <w:rsid w:val="00D66DA8"/>
    <w:rsid w:val="00D77B91"/>
    <w:rsid w:val="00D80A54"/>
    <w:rsid w:val="00D80CFE"/>
    <w:rsid w:val="00D814CF"/>
    <w:rsid w:val="00D81591"/>
    <w:rsid w:val="00D82850"/>
    <w:rsid w:val="00D90759"/>
    <w:rsid w:val="00D91601"/>
    <w:rsid w:val="00D927BB"/>
    <w:rsid w:val="00D9305B"/>
    <w:rsid w:val="00D9756C"/>
    <w:rsid w:val="00DA00B0"/>
    <w:rsid w:val="00DA06A2"/>
    <w:rsid w:val="00DA0E46"/>
    <w:rsid w:val="00DA206A"/>
    <w:rsid w:val="00DA304A"/>
    <w:rsid w:val="00DA4658"/>
    <w:rsid w:val="00DA48D5"/>
    <w:rsid w:val="00DA7E9A"/>
    <w:rsid w:val="00DB1932"/>
    <w:rsid w:val="00DB1F8B"/>
    <w:rsid w:val="00DB363D"/>
    <w:rsid w:val="00DB748F"/>
    <w:rsid w:val="00DC31BF"/>
    <w:rsid w:val="00DC3A48"/>
    <w:rsid w:val="00DD0F47"/>
    <w:rsid w:val="00DD3324"/>
    <w:rsid w:val="00DE1A75"/>
    <w:rsid w:val="00DE46F6"/>
    <w:rsid w:val="00DE4BBB"/>
    <w:rsid w:val="00DE4CFF"/>
    <w:rsid w:val="00DE622C"/>
    <w:rsid w:val="00DF07DA"/>
    <w:rsid w:val="00DF1527"/>
    <w:rsid w:val="00DF2343"/>
    <w:rsid w:val="00DF5EE4"/>
    <w:rsid w:val="00E00C33"/>
    <w:rsid w:val="00E01809"/>
    <w:rsid w:val="00E043BC"/>
    <w:rsid w:val="00E060F1"/>
    <w:rsid w:val="00E0680A"/>
    <w:rsid w:val="00E07A06"/>
    <w:rsid w:val="00E108C2"/>
    <w:rsid w:val="00E10A4B"/>
    <w:rsid w:val="00E13393"/>
    <w:rsid w:val="00E14D03"/>
    <w:rsid w:val="00E16A80"/>
    <w:rsid w:val="00E1791D"/>
    <w:rsid w:val="00E23864"/>
    <w:rsid w:val="00E2396A"/>
    <w:rsid w:val="00E23E06"/>
    <w:rsid w:val="00E35E52"/>
    <w:rsid w:val="00E368CE"/>
    <w:rsid w:val="00E36DE9"/>
    <w:rsid w:val="00E44687"/>
    <w:rsid w:val="00E46D4E"/>
    <w:rsid w:val="00E5394B"/>
    <w:rsid w:val="00E558C7"/>
    <w:rsid w:val="00E5642E"/>
    <w:rsid w:val="00E720E4"/>
    <w:rsid w:val="00E77889"/>
    <w:rsid w:val="00E80068"/>
    <w:rsid w:val="00E84326"/>
    <w:rsid w:val="00E9412E"/>
    <w:rsid w:val="00E9760B"/>
    <w:rsid w:val="00EA544E"/>
    <w:rsid w:val="00EA6D07"/>
    <w:rsid w:val="00EB4045"/>
    <w:rsid w:val="00EB5337"/>
    <w:rsid w:val="00EC0D69"/>
    <w:rsid w:val="00EC19B2"/>
    <w:rsid w:val="00ED20D4"/>
    <w:rsid w:val="00ED2F03"/>
    <w:rsid w:val="00ED3F12"/>
    <w:rsid w:val="00ED4BBC"/>
    <w:rsid w:val="00ED5018"/>
    <w:rsid w:val="00EE024A"/>
    <w:rsid w:val="00EE04DF"/>
    <w:rsid w:val="00EE2793"/>
    <w:rsid w:val="00EE2F67"/>
    <w:rsid w:val="00EE3DC6"/>
    <w:rsid w:val="00EE4375"/>
    <w:rsid w:val="00EF0066"/>
    <w:rsid w:val="00EF095D"/>
    <w:rsid w:val="00EF2B01"/>
    <w:rsid w:val="00EF678F"/>
    <w:rsid w:val="00F02737"/>
    <w:rsid w:val="00F039F3"/>
    <w:rsid w:val="00F03EA9"/>
    <w:rsid w:val="00F04121"/>
    <w:rsid w:val="00F0538B"/>
    <w:rsid w:val="00F1003D"/>
    <w:rsid w:val="00F10807"/>
    <w:rsid w:val="00F27110"/>
    <w:rsid w:val="00F3056C"/>
    <w:rsid w:val="00F324CE"/>
    <w:rsid w:val="00F327DB"/>
    <w:rsid w:val="00F370A8"/>
    <w:rsid w:val="00F37F7E"/>
    <w:rsid w:val="00F42C6F"/>
    <w:rsid w:val="00F53BDD"/>
    <w:rsid w:val="00F55839"/>
    <w:rsid w:val="00F57847"/>
    <w:rsid w:val="00F6068F"/>
    <w:rsid w:val="00F60A2C"/>
    <w:rsid w:val="00F621AA"/>
    <w:rsid w:val="00F62952"/>
    <w:rsid w:val="00F63103"/>
    <w:rsid w:val="00F64281"/>
    <w:rsid w:val="00F64E9A"/>
    <w:rsid w:val="00F726C6"/>
    <w:rsid w:val="00F7545F"/>
    <w:rsid w:val="00F76DCD"/>
    <w:rsid w:val="00F80460"/>
    <w:rsid w:val="00F83055"/>
    <w:rsid w:val="00F8405A"/>
    <w:rsid w:val="00F91DBE"/>
    <w:rsid w:val="00F93E87"/>
    <w:rsid w:val="00FA18A5"/>
    <w:rsid w:val="00FA5A46"/>
    <w:rsid w:val="00FA7288"/>
    <w:rsid w:val="00FB0955"/>
    <w:rsid w:val="00FB273F"/>
    <w:rsid w:val="00FB5D10"/>
    <w:rsid w:val="00FB7995"/>
    <w:rsid w:val="00FC11EF"/>
    <w:rsid w:val="00FC4F13"/>
    <w:rsid w:val="00FD17A0"/>
    <w:rsid w:val="00FD3450"/>
    <w:rsid w:val="00FD41CD"/>
    <w:rsid w:val="00FD4A7A"/>
    <w:rsid w:val="00FD6AC6"/>
    <w:rsid w:val="00FE086E"/>
    <w:rsid w:val="00FE09A0"/>
    <w:rsid w:val="00FE1B60"/>
    <w:rsid w:val="00FE2A89"/>
    <w:rsid w:val="00FE2C4C"/>
    <w:rsid w:val="00FE2E62"/>
    <w:rsid w:val="00FE3353"/>
    <w:rsid w:val="00FE7CED"/>
    <w:rsid w:val="00FE7F3C"/>
    <w:rsid w:val="00FF2014"/>
    <w:rsid w:val="00FF319C"/>
    <w:rsid w:val="00FF3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5:docId w15:val="{10AD256A-8142-43F0-9317-A22D7CDF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Point1">
    <w:name w:val="Point 1"/>
    <w:basedOn w:val="Parasts"/>
    <w:rsid w:val="00CF16CB"/>
    <w:pPr>
      <w:spacing w:before="120" w:after="120"/>
      <w:ind w:left="1417" w:hanging="567"/>
      <w:jc w:val="both"/>
    </w:pPr>
    <w:rPr>
      <w:snapToGrid w:val="0"/>
      <w:lang w:eastAsia="en-GB"/>
    </w:rPr>
  </w:style>
  <w:style w:type="paragraph" w:customStyle="1" w:styleId="Parastais1">
    <w:name w:val="Parastais1"/>
    <w:rsid w:val="000F014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7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ja.Tora@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E925-0E46-4910-970D-964C3695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1108</Words>
  <Characters>7717</Characters>
  <Application>Microsoft Office Word</Application>
  <DocSecurity>0</DocSecurity>
  <Lines>385</Lines>
  <Paragraphs>129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2014.gada 15.jūlija noteikumos Nr.393 „Lauksaimniecības un akvakultūras dzīvnieku, to ganāmpulku un novietņu reģistrēšanas kārtība, kā arī lauksaimniecības dzīvnieku apzīmēšanas kārtība””</vt:lpstr>
      <vt:lpstr>„Grozījumi Ministru kabineta 2014.gada 15.jūlija noteikumos Nr.393 „Lauksaimniecības un akvakultūras dzīvnieku, to ganāmpulku un novietņu reģistrēšanas kārtība, kā arī lauksaimniecības dzīvnieku apzīmēšanas kārtība””</vt:lpstr>
    </vt:vector>
  </TitlesOfParts>
  <Company>Zemkopības ministrija</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15.jūlija noteikumos Nr.393 „Lauksaimniecības un akvakultūras dzīvnieku, to ganāmpulku un novietņu reģistrēšanas kārtība, kā arī lauksaimniecības dzīvnieku apzīmēšanas kārtība””</dc:title>
  <dc:subject>Anotācija</dc:subject>
  <dc:creator>Ineta Lavrinoviča</dc:creator>
  <dc:description>Ineta.Lavrinovica@zm.gov.lv; 67027528</dc:description>
  <cp:lastModifiedBy>Sanita Žagare</cp:lastModifiedBy>
  <cp:revision>21</cp:revision>
  <cp:lastPrinted>2016-08-22T10:34:00Z</cp:lastPrinted>
  <dcterms:created xsi:type="dcterms:W3CDTF">2016-08-01T08:17:00Z</dcterms:created>
  <dcterms:modified xsi:type="dcterms:W3CDTF">2016-10-24T13:05:00Z</dcterms:modified>
</cp:coreProperties>
</file>