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F872" w14:textId="77777777" w:rsidR="00503E5C" w:rsidRPr="00805AFF" w:rsidRDefault="00503E5C" w:rsidP="00503E5C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bookmarkStart w:id="0" w:name="piel1"/>
      <w:bookmarkEnd w:id="0"/>
      <w:r w:rsidRPr="00805AFF">
        <w:rPr>
          <w:rFonts w:ascii="Times New Roman" w:eastAsia="Times New Roman" w:hAnsi="Times New Roman"/>
          <w:sz w:val="24"/>
          <w:szCs w:val="28"/>
          <w:lang w:eastAsia="lv-LV"/>
        </w:rPr>
        <w:t xml:space="preserve">1.pielikums </w:t>
      </w:r>
    </w:p>
    <w:p w14:paraId="79FFFCFC" w14:textId="77777777" w:rsidR="00503E5C" w:rsidRPr="00805AFF" w:rsidRDefault="00503E5C" w:rsidP="00503E5C">
      <w:pPr>
        <w:pStyle w:val="Bezatstarpm"/>
        <w:jc w:val="right"/>
        <w:rPr>
          <w:rFonts w:ascii="Times New Roman" w:hAnsi="Times New Roman"/>
          <w:sz w:val="24"/>
          <w:szCs w:val="28"/>
        </w:rPr>
      </w:pPr>
      <w:r w:rsidRPr="00805AFF">
        <w:rPr>
          <w:rFonts w:ascii="Times New Roman" w:hAnsi="Times New Roman"/>
          <w:sz w:val="24"/>
          <w:szCs w:val="28"/>
        </w:rPr>
        <w:t>Ministru kabineta</w:t>
      </w:r>
    </w:p>
    <w:p w14:paraId="6C994C00" w14:textId="77777777" w:rsidR="00503E5C" w:rsidRPr="00805AFF" w:rsidRDefault="00503E5C" w:rsidP="00503E5C">
      <w:pPr>
        <w:pStyle w:val="Bezatstarpm"/>
        <w:jc w:val="right"/>
        <w:rPr>
          <w:rFonts w:ascii="Times New Roman" w:hAnsi="Times New Roman"/>
          <w:sz w:val="24"/>
          <w:szCs w:val="28"/>
        </w:rPr>
      </w:pPr>
      <w:r w:rsidRPr="00805AFF">
        <w:rPr>
          <w:rFonts w:ascii="Times New Roman" w:hAnsi="Times New Roman"/>
          <w:sz w:val="24"/>
          <w:szCs w:val="28"/>
        </w:rPr>
        <w:t>2016</w:t>
      </w:r>
      <w:r>
        <w:rPr>
          <w:rFonts w:ascii="Times New Roman" w:hAnsi="Times New Roman"/>
          <w:sz w:val="24"/>
          <w:szCs w:val="28"/>
        </w:rPr>
        <w:t>.</w:t>
      </w:r>
      <w:r w:rsidRPr="00805AFF">
        <w:rPr>
          <w:rFonts w:ascii="Times New Roman" w:hAnsi="Times New Roman"/>
          <w:sz w:val="24"/>
          <w:szCs w:val="28"/>
        </w:rPr>
        <w:t>gada</w:t>
      </w:r>
      <w:r>
        <w:rPr>
          <w:rFonts w:ascii="Times New Roman" w:hAnsi="Times New Roman"/>
          <w:sz w:val="24"/>
          <w:szCs w:val="28"/>
        </w:rPr>
        <w:tab/>
        <w:t>.oktobra</w:t>
      </w:r>
    </w:p>
    <w:p w14:paraId="500590F6" w14:textId="77777777" w:rsidR="00503E5C" w:rsidRPr="00805AFF" w:rsidRDefault="00503E5C" w:rsidP="00503E5C">
      <w:pPr>
        <w:pStyle w:val="Bezatstarpm"/>
        <w:jc w:val="right"/>
        <w:rPr>
          <w:rFonts w:ascii="Times New Roman" w:hAnsi="Times New Roman"/>
          <w:sz w:val="24"/>
          <w:szCs w:val="28"/>
        </w:rPr>
      </w:pPr>
      <w:r w:rsidRPr="00805AFF"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65101FED" w14:textId="77777777" w:rsidR="005770C2" w:rsidRPr="00C71781" w:rsidRDefault="005770C2" w:rsidP="000808F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617ACD7" w14:textId="00122795" w:rsidR="000808F3" w:rsidRPr="00C71781" w:rsidRDefault="002255AF" w:rsidP="000808F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C71781">
        <w:rPr>
          <w:rFonts w:ascii="Times New Roman" w:eastAsia="Times New Roman" w:hAnsi="Times New Roman"/>
          <w:noProof/>
          <w:sz w:val="28"/>
          <w:szCs w:val="28"/>
        </w:rPr>
        <w:t>Būtiskās tehniskās prasības individuālajiem tramsportlīdzekļiem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8425"/>
      </w:tblGrid>
      <w:tr w:rsidR="00C71781" w:rsidRPr="00C71781" w14:paraId="2E2ACFB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6193E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4FD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Prasības</w:t>
            </w:r>
          </w:p>
        </w:tc>
      </w:tr>
      <w:tr w:rsidR="00C71781" w:rsidRPr="00C71781" w14:paraId="30B5B9D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36F7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8024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Vispārīgās prasības</w:t>
            </w:r>
          </w:p>
        </w:tc>
      </w:tr>
      <w:tr w:rsidR="00C71781" w:rsidRPr="00C71781" w14:paraId="4E9B219F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C0D76" w14:textId="0611A20C" w:rsidR="002255AF" w:rsidRPr="00C71781" w:rsidRDefault="002255AF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D491F" w14:textId="20AD7E17" w:rsidR="00786C1E" w:rsidRPr="002027DF" w:rsidRDefault="0022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Individuālākais transportlīdzeklis atbilst </w:t>
            </w:r>
            <w:r w:rsidR="008B53E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prasībām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noteiktas</w:t>
            </w:r>
            <w:r w:rsidR="008B53E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ajos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akt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traktortehnikas un tās piekabju valsts tehnisko apskati, tehnisko kontroli uz ceļiem,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kā arī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ceļu satiksmes un mašīnu drošības noteikum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</w:t>
            </w:r>
            <w:r w:rsidR="00786C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64D406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697D6" w14:textId="7737B91E" w:rsidR="005770C2" w:rsidRPr="00C71781" w:rsidRDefault="002255A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BD1D3" w14:textId="2195D725" w:rsidR="005770C2" w:rsidRPr="00C71781" w:rsidRDefault="006C0339" w:rsidP="002255AF">
            <w:pPr>
              <w:pStyle w:val="Bezatstarpm"/>
            </w:pPr>
            <w:r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Traktortehnikas, to piekabju vai maināmo velkamo iekārtu, kā arī </w:t>
            </w:r>
            <w:r w:rsidR="00CA360B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r w:rsidR="00CA360B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traktor</w:t>
            </w:r>
            <w:r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tehnik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transportlīdzeklis) m</w:t>
            </w:r>
            <w:r w:rsidR="00A63934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ezgli, </w:t>
            </w:r>
            <w:r w:rsidR="00BB6C7C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5770C2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gregāti</w:t>
            </w:r>
            <w:r w:rsidR="00587B3B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sistēma</w:t>
            </w:r>
            <w:r w:rsidR="00A63934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5770C2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</w:t>
            </w:r>
            <w:r w:rsidR="00587B3B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sakomplektēta</w:t>
            </w:r>
            <w:r w:rsidR="00A63934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</w:t>
            </w:r>
            <w:r w:rsidR="005770C2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savstarpēji saderīgi, lai nodrošinātu paredzēto funkciju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izpildi</w:t>
            </w:r>
            <w:r w:rsidR="00A63934" w:rsidRPr="008B47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D6D79D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8477" w14:textId="61F92A36" w:rsidR="005770C2" w:rsidRPr="00C71781" w:rsidRDefault="002255A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29150" w14:textId="61CF3003" w:rsidR="005770C2" w:rsidRPr="00C71781" w:rsidRDefault="005770C2" w:rsidP="00A63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pilnu masu slogota</w:t>
            </w:r>
            <w:r w:rsidR="00457B7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6393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</w:t>
            </w:r>
            <w:r w:rsidR="002C217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ass slodze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2C217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nepārsniedz 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ražotāja noteikto tehniski</w:t>
            </w:r>
            <w:r w:rsidR="002C217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pieļaujamo </w:t>
            </w:r>
            <w:r w:rsidR="002C217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maksimālo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ass slodzi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1EEE0A7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0DB8B" w14:textId="480C342C" w:rsidR="00A468B3" w:rsidRPr="00C71781" w:rsidRDefault="00A468B3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2255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33611" w14:textId="4AA7B0BB" w:rsidR="00A468B3" w:rsidRPr="00C71781" w:rsidRDefault="00A468B3" w:rsidP="00CA3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A360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dalībai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ceļu satiksmē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A360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atbilstoši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aprīko </w:t>
            </w:r>
            <w:r w:rsidR="00CA360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ievēro </w:t>
            </w:r>
            <w:r w:rsidR="00CA360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šo</w:t>
            </w:r>
            <w:r w:rsidR="000575E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noteikumu </w:t>
            </w:r>
            <w:r w:rsidR="00CA360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būtiskās tehniskās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prasības</w:t>
            </w:r>
            <w:r w:rsidR="005B5B5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FA0355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52674" w14:textId="31B6AB73" w:rsidR="000575E0" w:rsidRPr="00C71781" w:rsidRDefault="000575E0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  <w:r w:rsidR="002255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F692" w14:textId="24A53660" w:rsidR="000575E0" w:rsidRPr="00C71781" w:rsidRDefault="000575E0" w:rsidP="00A63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</w:t>
            </w:r>
            <w:r w:rsidR="00106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ekļus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intensīvas</w:t>
            </w:r>
            <w:r w:rsidR="00106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darba vides vai transporta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apstākļos aprīko ar paredzēt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marķējum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106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signāliem</w:t>
            </w:r>
            <w:r w:rsidR="002255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informatīviem brīdinājumiem.</w:t>
            </w:r>
          </w:p>
        </w:tc>
      </w:tr>
      <w:tr w:rsidR="00C71781" w:rsidRPr="00C71781" w14:paraId="09D04BF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8D7EB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3AE5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Kabīne</w:t>
            </w:r>
          </w:p>
        </w:tc>
      </w:tr>
      <w:tr w:rsidR="00C71781" w:rsidRPr="00C71781" w14:paraId="74D7051B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E33D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7B066" w14:textId="7123D9AA" w:rsidR="005770C2" w:rsidRPr="00C71781" w:rsidRDefault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</w:t>
            </w:r>
            <w:r w:rsidR="00A6393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nsportlīdzeklim </w:t>
            </w:r>
            <w:r w:rsidR="00470E7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</w:t>
            </w:r>
            <w:r w:rsidR="002A3C6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 </w:t>
            </w:r>
            <w:r w:rsidR="00EC350D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tam paredzētu kabīni.</w:t>
            </w:r>
          </w:p>
        </w:tc>
      </w:tr>
      <w:tr w:rsidR="00C71781" w:rsidRPr="00C71781" w14:paraId="1508DCD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C4A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457CB" w14:textId="6471C458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Uzstādāmās kabīnes stiprinājuma elementi, to skaits un izvietojums atbilst kabīnes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izgatavotāja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stiprinājuma element</w:t>
            </w:r>
            <w:r w:rsidR="002C4A5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A6393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skaitam un izvietojumam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9C2D0D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362A9" w14:textId="36A0209C" w:rsidR="00330049" w:rsidRPr="00C71781" w:rsidRDefault="00330049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BA46" w14:textId="7B865B54" w:rsidR="00330049" w:rsidRPr="00C71781" w:rsidRDefault="00330049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Kabīnē uzstādītās vadības ierīces un kontrolierīces nodrošina 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funkcionalitāti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1DA69F8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2556E" w14:textId="511C7DD5" w:rsidR="007230A8" w:rsidRPr="00C71781" w:rsidRDefault="007230A8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  <w:r w:rsidR="0033004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460E9" w14:textId="60960F75" w:rsidR="007230A8" w:rsidRPr="00C71781" w:rsidRDefault="007230A8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Uzstādītā kabīne darba vai transporta apstākļos nepārsniedz pieļaujamo trokšņu vai vibrācijas līmeni.</w:t>
            </w:r>
          </w:p>
        </w:tc>
      </w:tr>
      <w:tr w:rsidR="00C71781" w:rsidRPr="00C71781" w14:paraId="0F9BDEEE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DE9E" w14:textId="69C3FB51" w:rsidR="005605BB" w:rsidRPr="00C71781" w:rsidRDefault="005605BB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E3674" w14:textId="1024C24C" w:rsidR="005605BB" w:rsidRPr="00C71781" w:rsidRDefault="008B53EA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Kabīne ir a</w:t>
            </w:r>
            <w:r w:rsidR="005605B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prīkota ar tai paredzētajiem atpakaļskata spoguļiem</w:t>
            </w:r>
            <w:r w:rsidR="00CD032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vējstikla tīrītāju, </w:t>
            </w:r>
            <w:r w:rsidR="00A468B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apsildes sistēmu, </w:t>
            </w:r>
            <w:r w:rsidR="00CD032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regulējamu sēdekli, drošības jostu, skaņas signāl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</w:t>
            </w:r>
            <w:r w:rsidR="00CD032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gaismas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="00CD032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cēm</w:t>
            </w:r>
            <w:r w:rsidR="00A468B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D89246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CF2A2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4F21D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Stūres iekārta</w:t>
            </w:r>
          </w:p>
        </w:tc>
      </w:tr>
      <w:tr w:rsidR="00C71781" w:rsidRPr="00C71781" w14:paraId="1C0B4F2D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F2B7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CF68C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Stūres rats abos virzienos griežas viegli, vienmērīgi, bez ieķīlēšanās. Stūres pagrieziena leņķi no vidējā stāvokļa līdz atdurei ir vienādi abos virzienos.</w:t>
            </w:r>
          </w:p>
        </w:tc>
      </w:tr>
      <w:tr w:rsidR="00C71781" w:rsidRPr="00C71781" w14:paraId="1CE6676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2904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7D15" w14:textId="6C6A8CEA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Stūres mehānisms ir nostiprināts, nav pieļaujami metinājumi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506A31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A5713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609F" w14:textId="5166A226" w:rsidR="005770C2" w:rsidRPr="00C71781" w:rsidRDefault="005770C2" w:rsidP="00A63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Stūres stieņi nevienā stūres rata pagrieziena leņķī nepieskaras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pie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citām </w:t>
            </w:r>
            <w:r w:rsidR="00A6393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daļām.</w:t>
            </w:r>
          </w:p>
        </w:tc>
      </w:tr>
      <w:tr w:rsidR="00C71781" w:rsidRPr="00C71781" w14:paraId="5E6D19A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C1981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237B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Degvielas tvertne</w:t>
            </w:r>
          </w:p>
        </w:tc>
      </w:tr>
      <w:tr w:rsidR="00C71781" w:rsidRPr="00C71781" w14:paraId="386A3FF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EBC3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76EE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Degvielas tvertne ir nostiprināta ar izgatavotāja paredzētiem stiprinājuma elementiem.</w:t>
            </w:r>
          </w:p>
        </w:tc>
      </w:tr>
      <w:tr w:rsidR="00C71781" w:rsidRPr="00C71781" w14:paraId="47FCD23D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570E0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82268" w14:textId="12933EB6" w:rsidR="005770C2" w:rsidRPr="00C71781" w:rsidRDefault="005770C2" w:rsidP="0096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Degvielas tvertnes novietojums ir tāds, lai tvertne ar </w:t>
            </w:r>
            <w:r w:rsidR="00A6393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konstrukcijas elementiem 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pēc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iespēja</w:t>
            </w:r>
            <w:r w:rsidR="008B53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vairāk būtu aizsargāta no ārējo faktoru (piemēram, akmeņu,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ledus) nelabvēlīgās iedarbības ekspluatācijas laikā un no tiešas sadursmes ceļu satiksmes negadījumā. Degvielas tvertne neatrodas 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kabīnē.</w:t>
            </w:r>
          </w:p>
        </w:tc>
      </w:tr>
      <w:tr w:rsidR="00C71781" w:rsidRPr="00C71781" w14:paraId="58F66B0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A3B90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CF25" w14:textId="4EACE052" w:rsidR="005770C2" w:rsidRPr="00C71781" w:rsidRDefault="005770C2" w:rsidP="0096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Degvielas tvertnes uzpildes kakliņš atrodas 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ārpusē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5413A8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A1F2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56F73" w14:textId="35D9982C" w:rsidR="005770C2" w:rsidRPr="00C71781" w:rsidRDefault="005770C2" w:rsidP="00CA36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Traktortehnikas</w:t>
            </w:r>
            <w:r w:rsidR="00B4307C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vai </w:t>
            </w:r>
            <w:r w:rsidR="00CA360B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speciālās traktortehnik</w:t>
            </w:r>
            <w:r w:rsidR="00B4307C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as</w:t>
            </w:r>
            <w:r w:rsidR="00457B78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tilti</w:t>
            </w:r>
          </w:p>
        </w:tc>
      </w:tr>
      <w:tr w:rsidR="00C71781" w:rsidRPr="00C71781" w14:paraId="6F4EF82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821B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F305B" w14:textId="3B6294AC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Uzstādītā tilta tehniski pieļaujamā maksimālā 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ass slodze nav mazāka par tādas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attiecīgās ass slodzi, kura slogota ar pilnu masu</w:t>
            </w:r>
            <w:r w:rsidR="00B878D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4148A8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231D4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670F" w14:textId="50DBC08C" w:rsidR="005770C2" w:rsidRPr="008B471E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Uzstādītā dzenošā tilta reduktoru pārnesuma sk</w:t>
            </w:r>
            <w:r w:rsidR="00961CBE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aitļi nodrošina </w:t>
            </w:r>
            <w:r w:rsidR="003733FB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izgatavotāja </w:t>
            </w:r>
            <w:r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paredzēto</w:t>
            </w:r>
            <w:r w:rsidR="0071202F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turp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gaitas</w:t>
            </w:r>
            <w:r w:rsidR="0071202F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</w:t>
            </w:r>
            <w:r w:rsidR="00A662D8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atpakaļgaitas</w:t>
            </w:r>
            <w:r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maksimālo un minimālo ātrumu</w:t>
            </w:r>
            <w:r w:rsidR="005977CC" w:rsidRP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4A9A1E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71D2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561E7" w14:textId="2ACE8484" w:rsidR="005770C2" w:rsidRPr="00C71781" w:rsidRDefault="00961CBE" w:rsidP="00843B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tūrējamais tilts nodrošina stūres iekārtas darbību. Riteņi abos virzienos griežas viegl</w:t>
            </w:r>
            <w:r w:rsidR="005977C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i, vienmērīgi, bez ieķīlēšanās.</w:t>
            </w:r>
          </w:p>
        </w:tc>
      </w:tr>
      <w:tr w:rsidR="00C71781" w:rsidRPr="00C71781" w14:paraId="777C604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E8BE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476C0" w14:textId="05B6D2E4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Tilts ir nostiprināts </w:t>
            </w: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atbilstošās stiprinājuma vietās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stiprinājuma elementiem, nav pieļaujami metinājumi</w:t>
            </w:r>
            <w:r w:rsidR="003733F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F12A0A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6EE1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FF30" w14:textId="77AF9178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Traktortehnika</w:t>
            </w:r>
            <w:r w:rsidR="00B4307C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vai speciālā traktor</w:t>
            </w:r>
            <w:r w:rsidR="00961CBE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tehnika,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kas paredzēta darbam mežā</w:t>
            </w:r>
          </w:p>
        </w:tc>
      </w:tr>
      <w:tr w:rsidR="00C71781" w:rsidRPr="00C71781" w14:paraId="09F6161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98301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38584" w14:textId="12C0F39E" w:rsidR="005770C2" w:rsidRPr="00C71781" w:rsidRDefault="0096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 izgatavot</w:t>
            </w:r>
            <w:r w:rsidR="00665AD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aprīkot</w:t>
            </w:r>
            <w:r w:rsidR="00665AD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3733F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aizsargrāmi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motora pārsega, kabīnes un priekšējā stikla aizsardzībai </w:t>
            </w:r>
            <w:r w:rsidR="001A3B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krītošiem </w:t>
            </w:r>
            <w:r w:rsidR="00050D6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priekšmetiem</w:t>
            </w:r>
            <w:r w:rsidR="001A3B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Kabīnes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6D549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izsargrāmis </w:t>
            </w:r>
            <w:r w:rsidR="001A3B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var nebūt, ja tās 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izgatavoš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 </w:t>
            </w:r>
            <w:r w:rsidR="00976BC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noteikti citi drošības pasākumi aizsardzīb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</w:t>
            </w:r>
            <w:r w:rsidR="00976BC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pret krītošiem</w:t>
            </w:r>
            <w:r w:rsidR="00050D6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priekšmetiem</w:t>
            </w:r>
            <w:r w:rsidR="00976BC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062211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A0A81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DFC3" w14:textId="560F9F1E" w:rsidR="00FD0FF2" w:rsidRPr="00C71781" w:rsidRDefault="00961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prīko</w:t>
            </w:r>
            <w:r w:rsidR="00FD0FF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</w:t>
            </w:r>
            <w:r w:rsidR="00665AD4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</w:t>
            </w:r>
            <w:r w:rsidR="00FD0FF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aizsarg</w:t>
            </w:r>
            <w:r w:rsidR="00070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konstrukcijām</w:t>
            </w:r>
            <w:r w:rsidR="00FD0FF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radiatora aizsargrežģi, dzinēja kartera un kardānpārvadu aizsargbruņām, riteņu ventiļu aizsargiem un gaismas signālierīču aizsargiem. </w:t>
            </w:r>
            <w:r w:rsidR="007A337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Kabīni papildus aprīko ar</w:t>
            </w:r>
            <w:r w:rsidR="00FD0FF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kabīnes sānu un aizmugurējā stikla aizsargrežģi, ja nav noteikti citi drošības pasākumi aizsardzīb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</w:t>
            </w:r>
            <w:r w:rsidR="00FD0FF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pret caurdurošiem objektiem.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apildus var aprīkot ar atlokāmo kāpsl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un papildu darba apgaismojumu.</w:t>
            </w:r>
          </w:p>
        </w:tc>
      </w:tr>
      <w:tr w:rsidR="00C71781" w:rsidRPr="00C71781" w14:paraId="54C136D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723A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E7DE" w14:textId="3058222F" w:rsidR="005770C2" w:rsidRPr="00C71781" w:rsidRDefault="00DA1087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Aizsargrāmja konstrukcija tiek konstruēta tā, lai tā atbalsta vietas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nostiprinātas (pieskrū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vētas) tikai uz transportlīdzekļa </w:t>
            </w:r>
            <w:r w:rsidR="00070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šasijas (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rāmja</w:t>
            </w:r>
            <w:r w:rsidR="00070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daļām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to nostiprināšanai nav pieļaujami metinājumi. 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zstādītās konstrukcijas </w:t>
            </w:r>
            <w:r w:rsidR="00070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būtiski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nepasliktina</w:t>
            </w:r>
            <w:r w:rsidR="000661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operatora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</w:t>
            </w:r>
            <w:r w:rsidR="00961CBE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ārredzamību un net</w:t>
            </w:r>
            <w:r w:rsidR="000661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raucē transportlīdzekļa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apkalpošanu</w:t>
            </w:r>
          </w:p>
        </w:tc>
      </w:tr>
      <w:tr w:rsidR="00C71781" w:rsidRPr="00C71781" w14:paraId="46BC9DB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0E3D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188E0" w14:textId="40242836" w:rsidR="005770C2" w:rsidRPr="00C71781" w:rsidRDefault="000661AF" w:rsidP="00066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kabīnē atrodas nekustīgi nostiprināta vadības ierīce meža darbiem paredzēto agregātu vai iekārtu darbināšanai.</w:t>
            </w:r>
          </w:p>
        </w:tc>
      </w:tr>
      <w:tr w:rsidR="00C71781" w:rsidRPr="00C71781" w14:paraId="345DA2E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B52FE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BA81F" w14:textId="6902917F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Hidrosistēmas šļūtenēm un cauruļvadiem nav mehānisku bojājumu. Hidraulisko šļūteņu un cauruļvadu savienojuma vietās nav eļļas noplūde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s.</w:t>
            </w:r>
          </w:p>
        </w:tc>
      </w:tr>
      <w:tr w:rsidR="00C71781" w:rsidRPr="00C71781" w14:paraId="2E7460F4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C2E3" w14:textId="1471AA15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</w:t>
            </w:r>
            <w:r w:rsidR="005770C2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1CAA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Motors</w:t>
            </w:r>
          </w:p>
        </w:tc>
      </w:tr>
      <w:tr w:rsidR="00C71781" w:rsidRPr="00C71781" w14:paraId="738A9CE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42A6" w14:textId="67969961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1BFDE" w14:textId="46276FDE" w:rsidR="005770C2" w:rsidRPr="00C71781" w:rsidRDefault="005770C2" w:rsidP="00066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Motora stiprinājumu vietu skaits un izvietojums atbilst motora izgatavotāja noteiktajām prasībām. Motora stiprināšanai pie </w:t>
            </w:r>
            <w:r w:rsidR="000661A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rāmja izmantoti pārejas kronšteini. Metināšana nav pieļaujama.</w:t>
            </w:r>
          </w:p>
        </w:tc>
      </w:tr>
      <w:tr w:rsidR="00C71781" w:rsidRPr="00C71781" w14:paraId="1A2D154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27AC0" w14:textId="3368C097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E501" w14:textId="13D3F80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Akumulatora baterija 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 nostiprināta pret apgāšanos un nodrošina nepieciešamo strāvu,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spriegumu 12 vai 24 V</w:t>
            </w:r>
          </w:p>
        </w:tc>
      </w:tr>
      <w:tr w:rsidR="00C71781" w:rsidRPr="00C71781" w14:paraId="71AD360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539CD" w14:textId="54B12677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9984" w14:textId="787EE0A2" w:rsidR="005770C2" w:rsidRPr="00C71781" w:rsidRDefault="000661A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Uzstāda 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tbilstoša garuma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griezes momenta kardānpārvadu</w:t>
            </w:r>
            <w:r w:rsidR="005B5B5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DB3C38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1CB7" w14:textId="31B7DA55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4E5C" w14:textId="367CA8DA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Motora izplūdes gāzu sistēma ir hermētiska</w:t>
            </w:r>
            <w:r w:rsidR="005B5B5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25C48D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4DBE" w14:textId="753FB263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  <w:r w:rsidR="005770C2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3CE0" w14:textId="192DC541" w:rsidR="005770C2" w:rsidRPr="00C71781" w:rsidRDefault="000661AF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</w:t>
            </w:r>
            <w:r w:rsidR="005770C2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akabes ierīces konstrukcija</w:t>
            </w:r>
          </w:p>
        </w:tc>
      </w:tr>
      <w:tr w:rsidR="00C71781" w:rsidRPr="00C71781" w14:paraId="3A82C73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28C42" w14:textId="27AB730E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BB670" w14:textId="539458BB" w:rsidR="005770C2" w:rsidRPr="00C71781" w:rsidRDefault="000661A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Transportlīdzekļu</w:t>
            </w:r>
            <w:r w:rsidR="00AA4B2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kabes</w:t>
            </w:r>
            <w:r w:rsidR="00AA4B2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uzkares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ierīces konstrukcij</w:t>
            </w:r>
            <w:r w:rsidR="00A567F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ās izmantoto saderīgus mezglus, tie ir droši nostiprināti un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pilda</w:t>
            </w:r>
            <w:r w:rsidR="00A567F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paredzētās funkcijas.</w:t>
            </w:r>
          </w:p>
        </w:tc>
      </w:tr>
      <w:tr w:rsidR="00C71781" w:rsidRPr="00C71781" w14:paraId="5F388E2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A6F9C" w14:textId="17B20061" w:rsidR="0066606F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879E2" w14:textId="7D1CE901" w:rsidR="0066606F" w:rsidRPr="00C71781" w:rsidRDefault="000661A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Piekabju vai maināmo velkamo iekārtu s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akabes jūgstienis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aprīkots ar atbalsta</w:t>
            </w:r>
            <w:r w:rsidR="00B30DA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konstrukciju pret zemi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9F15848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A134" w14:textId="2E0E8AC5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8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3223" w14:textId="6712311A" w:rsidR="005770C2" w:rsidRPr="00C71781" w:rsidRDefault="00EC2FE1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Piekabju vai maināmo velkamo iekārtu s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akabes cilpa </w:t>
            </w:r>
            <w:r w:rsidR="00457B7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rūpnieciski ražota un</w:t>
            </w:r>
            <w:r w:rsidR="00457B7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 attiecīgajai slodzei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1A5BD10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4ADD4" w14:textId="1ED6053B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D7887" w14:textId="49779E1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Sakabes stieņa konstrukcija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garums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aprīkojums ar drošības ķēdi vai trosi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nodrošina piekabes pag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riešanos attiecībā pret vilcēju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bez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sadur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šanās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 to</w:t>
            </w:r>
            <w:r w:rsidR="00EC2FE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C23D7E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30FD6" w14:textId="13937430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7CB4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Bremžu iekārta</w:t>
            </w:r>
          </w:p>
        </w:tc>
      </w:tr>
      <w:tr w:rsidR="00C71781" w:rsidRPr="00C71781" w14:paraId="27B0FBE2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F8C7" w14:textId="1ADD216B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DD7EA" w14:textId="03AE4C61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Bremžu pārvadā izmantoti rūpnieciski ražoti mezgli un agregāti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306935DF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D8B4" w14:textId="3057C064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55CC" w14:textId="0CF956F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Cauruļvadi nav metināti vai lodēti. Pagarinot cauruļvadus, izmantoti rūpnieciski ražoti cauruļvadi. Cauruļvadu savienojuma vietu konstrukcija nodrošina bremžu sistēmas hermētiskumu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68B5214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7FC8" w14:textId="12CDAA7A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703D9" w14:textId="4A54150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Bremžu sistēma nodrošina bremzēšanas spēka vienmērīgu sadalījumu starp riteņiem, kas atrodas uz vienas ass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390017A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8B697" w14:textId="7711D565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72DB" w14:textId="19CC228D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Bremžu sistēma nodrošina transportlīdzekļa apturēšanu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1E8BCAD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7F7D9" w14:textId="0234840C" w:rsidR="005770C2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</w:t>
            </w:r>
            <w:r w:rsidR="005770C2"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10AF" w14:textId="220A7085" w:rsidR="005770C2" w:rsidRPr="00C71781" w:rsidRDefault="005770C2" w:rsidP="00BC28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piekabe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vai maināmas velkamās iekārtas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pilna masa nepārsniedz 2500 kg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atļauts ekspluatēt bez darba bremzēm un stāvbremzes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piekabes vai velkamās mašīnas pilna masa nepārsniedz vilcēja svaru</w:t>
            </w:r>
            <w:r w:rsidR="002F541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to aprīko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</w:t>
            </w:r>
            <w:r w:rsidR="00BC28B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vismaz diviem </w:t>
            </w:r>
            <w:r w:rsidR="005B5B5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stacionāri nostiprinātiem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speciāliem riteņu paliktņiem, kuru darba virsma ir ne mazāk kā 10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procent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riepas ārējā</w:t>
            </w:r>
            <w:r w:rsidR="0010698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aploces.</w:t>
            </w:r>
          </w:p>
        </w:tc>
      </w:tr>
      <w:tr w:rsidR="00C71781" w:rsidRPr="00C71781" w14:paraId="20A483D8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B0E0A" w14:textId="13DAE05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683A1" w14:textId="058B63D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Piekabes</w:t>
            </w:r>
            <w:r w:rsidR="0080092C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vai maināmās velkamās </w:t>
            </w:r>
            <w:r w:rsidR="005B5B5B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iekārtas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tilti</w:t>
            </w:r>
          </w:p>
        </w:tc>
      </w:tr>
      <w:tr w:rsidR="00C71781" w:rsidRPr="00C71781" w14:paraId="425535CB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636A4" w14:textId="6E0B631B" w:rsidR="002F541C" w:rsidRPr="00C71781" w:rsidRDefault="002F541C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B0D98" w14:textId="4AB756F8" w:rsidR="002F541C" w:rsidRPr="00C71781" w:rsidRDefault="002F541C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Pieļaujams uzstādīt tādu tiltu, kura stiprinājumi nodrošina tilta integritāti</w:t>
            </w:r>
            <w:r w:rsidR="00090E20"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435CC9"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ekspluatācijas laikā</w:t>
            </w:r>
            <w:r w:rsidR="0065631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1814DBD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2AC77" w14:textId="096596E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F541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F3781" w14:textId="300C5BD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Uzstādītā tilta tehniski pieļaujamā maksimālā ass slodz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 nav mazāka par tādas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attiecīgās ass slodzi, kura slogota ar pilnu masu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8093D84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051DC" w14:textId="432AEB13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2F541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24B0" w14:textId="52F4ED6E" w:rsidR="005770C2" w:rsidRPr="00C71781" w:rsidRDefault="002F5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 piekabes vai maināmās </w:t>
            </w:r>
            <w:r w:rsidR="008A13B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velkamās 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iekārtas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tehniskie raksturlielumi to paredz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uzstādāmajam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tiltam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jābūt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bremzēm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71781" w:rsidRPr="00C71781" w14:paraId="16771C5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9D908" w14:textId="1666A0A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7C6EB" w14:textId="312AF2E3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Tilt</w:t>
            </w:r>
            <w:r w:rsidR="008A13B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nostiprināt</w:t>
            </w:r>
            <w:r w:rsidR="008A13B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stiprinājuma elementiem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vienādā augstumā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nav pieļaujami metinājumi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25A4688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7B9FA" w14:textId="7A2DA218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B3BD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Rāmja konstrukcijas</w:t>
            </w:r>
          </w:p>
        </w:tc>
      </w:tr>
      <w:tr w:rsidR="00C71781" w:rsidRPr="00C71781" w14:paraId="3263D0AE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0A652" w14:textId="43B06FD9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98C9A" w14:textId="1945825C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Rāmja daļas, konstrukcija</w:t>
            </w:r>
            <w:r w:rsidR="00435CC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mezgl</w:t>
            </w:r>
            <w:r w:rsidR="00435CC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stiprinājum</w:t>
            </w:r>
            <w:r w:rsidR="00435CC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us izmanto no mašīnbūvniecībā paredzētiem un saderīgiem materiāliem, tie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 izgatavojamā transportlīdzekļa maksimālajai pieļaujamai slodzei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</w:t>
            </w:r>
            <w:r w:rsidR="00F55C1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izpildījums nodrošina stiprinājumu vietu izturību un drošību</w:t>
            </w:r>
            <w:r w:rsidR="00435CC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visā ekspluatācijas laikā.</w:t>
            </w:r>
          </w:p>
        </w:tc>
      </w:tr>
      <w:tr w:rsidR="00C71781" w:rsidRPr="00C71781" w14:paraId="091FFA4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D6751" w14:textId="2AD0F259" w:rsidR="00F05217" w:rsidRPr="00C71781" w:rsidRDefault="00F05217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196B9" w14:textId="111CF1D7" w:rsidR="00F05217" w:rsidRPr="00C71781" w:rsidRDefault="00F05217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pieļaujamas rāmja konstrukciju deformācijas.</w:t>
            </w:r>
          </w:p>
        </w:tc>
      </w:tr>
      <w:tr w:rsidR="00C71781" w:rsidRPr="00C71781" w14:paraId="105343C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817BB" w14:textId="0EC32E87" w:rsidR="00090E20" w:rsidRPr="00C71781" w:rsidRDefault="00F05217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11.3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309FF" w14:textId="1C51B41A" w:rsidR="00090E20" w:rsidRPr="00C71781" w:rsidRDefault="00090E20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Rāmja daļas, konstrukcijas, mezgli un stiprinājumi ir pārklāti ar pretkorozij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aizsargmateriāl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(grunt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krās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lak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8671B1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950BE" w14:textId="43B301E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6B7C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Kravas pašizgāzējs</w:t>
            </w:r>
          </w:p>
        </w:tc>
      </w:tr>
      <w:tr w:rsidR="00C71781" w:rsidRPr="00C71781" w14:paraId="312F96BB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6E6D2" w14:textId="455C9751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1E7A0" w14:textId="2F92D044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tilpnes stiprinājuma elementu skaits un to konstrukcija nepieļauj kra</w:t>
            </w:r>
            <w:r w:rsidR="00090E2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vas kastes nobīdi transportlīdzek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ļa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paātrin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āšanas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strauj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palēnin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āšanas laikā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0714B6D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0D234" w14:textId="469ECB5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2167E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CAEB" w14:textId="57AF600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Pašizgāzēja kravas tilpne ir fiksējama paceltā un nolaistā stāvoklī. Kravas tilpnes maksimālo pacelšanas augstumu ierobežo</w:t>
            </w:r>
            <w:r w:rsidR="00B25CF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speciālu maksimālā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augstuma ierobežotāju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ACDAF6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5575A" w14:textId="1FCE0C1C" w:rsidR="002167EB" w:rsidRPr="00C71781" w:rsidRDefault="002167EB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12.3.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4C746" w14:textId="3A5E007C" w:rsidR="002167EB" w:rsidRPr="00C71781" w:rsidRDefault="00F05217" w:rsidP="00F05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tilpnes konstrukcija vienmērīgi balstās uz rāmja konstrukcijas tai paredzētajās atbalsta vietās. Nav pieļaujamas kravas kastes rāmja konstrukciju deformācijas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09E4FF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54F6" w14:textId="1AAA0D20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33C54" w14:textId="71870340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Hidrosistēmas šļūtenēm un cauruļvadiem nav mehānisku bojājumu. Hidraulisko šļūteņu un cauruļvadu savienojuma vietās nav eļļas noplūde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s.</w:t>
            </w:r>
          </w:p>
        </w:tc>
      </w:tr>
      <w:tr w:rsidR="00C71781" w:rsidRPr="00C71781" w14:paraId="1B86968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5EDA" w14:textId="08C63482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7EAE" w14:textId="164550C3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cilindri i</w:t>
            </w:r>
            <w:r w:rsidR="00B25CF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 nostiprināti, bez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mehāniskiem bojājumiem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2D4859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9CAC" w14:textId="36D91553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.6.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F22BE" w14:textId="554789F4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tilpnes pacelšanas (nolaišanas) vadības ierīce atrodas viegli pieejamā vietā vadītāja kabīnē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015419A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62FBA" w14:textId="4113F089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.7.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1B0B1" w14:textId="717ACCF2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tilpnes pacelšanas (nolaišanas) hidrosistēma funkcionē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5DA56A3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DF166" w14:textId="2DE8F2D6" w:rsidR="00F55C13" w:rsidRPr="00C71781" w:rsidRDefault="00F55C13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12.8.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B6A4" w14:textId="2C94E8CE" w:rsidR="00F55C13" w:rsidRPr="00C71781" w:rsidRDefault="00F55C13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tilpne ir pārklāta ar pretkorozij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aizsargmateriāl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(grunt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krās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lak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1B63346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84C6" w14:textId="34FF9A60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56A0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Kravas kokvedējs</w:t>
            </w:r>
          </w:p>
        </w:tc>
      </w:tr>
      <w:tr w:rsidR="00C71781" w:rsidRPr="00C71781" w14:paraId="1CF29F60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C9908" w14:textId="17AE2CA1" w:rsidR="0066606F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7BCCC" w14:textId="302080B6" w:rsidR="0066606F" w:rsidRPr="00C71781" w:rsidRDefault="0066606F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Kokvedējs atbilst prasībām</w:t>
            </w:r>
            <w:r w:rsidR="00B25CF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attiecībā uz atbalsta sienas</w:t>
            </w:r>
            <w:r w:rsidR="00E52AB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konstrukciju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statņu un hidromanipulatora uzstādīšanu, maksimālo pilno masu un šķērsstabilitāti</w:t>
            </w:r>
            <w:r w:rsidR="0062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1C114DA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D6F1" w14:textId="36907191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BA3A2" w14:textId="69F68AC0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Statņu</w:t>
            </w:r>
            <w:r w:rsidR="00A833F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augstums nav augstāks par atbalsta sienas konstrukciju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833F8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to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maksimālais augstums H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lv-LV"/>
              </w:rPr>
              <w:t>max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1,80 m no </w:t>
            </w:r>
            <w:r w:rsidR="00F55C1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to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atbalsta virsmas</w:t>
            </w:r>
            <w:r w:rsidR="00620C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7F73EE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C44D" w14:textId="5E619B5F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A67F" w14:textId="3188859E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Kravas statņu stiprinājums pie traktortehnikas piekabes rāmja ir mehānisks (skavas, bultskrūves). Metināšana nav pieļaujama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EDCD3D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461C1" w14:textId="6192613A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1A68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Hidromanipulators</w:t>
            </w:r>
          </w:p>
        </w:tc>
      </w:tr>
      <w:tr w:rsidR="00C71781" w:rsidRPr="00C71781" w14:paraId="5BF5366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77A3A" w14:textId="47A8E67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8F9D4" w14:textId="708F128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Hidromani</w:t>
            </w:r>
            <w:r w:rsidR="00E52AB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pulatora stiprinājums pie transportlīdzekļa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rāmja atbilst ražotāja noteiktajām prasībām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B67245B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AE9C" w14:textId="359ED28D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826C" w14:textId="6FAD340A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Hidrosistēma funkcionē. Hidromanipulatora hidrosistēmas šļūtenēm un cauruļvadiem nav mehānisku bojājumu. Hidraulisko šļūteņu un cauruļvadu savienojuma vietās nav eļļas noplūde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C71781" w:rsidRPr="00C71781" w14:paraId="4008EFD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A7699" w14:textId="0B51FDE2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66606F"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A69E" w14:textId="540B7FCE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Piekabe-cisterna</w:t>
            </w:r>
          </w:p>
        </w:tc>
      </w:tr>
      <w:tr w:rsidR="00C71781" w:rsidRPr="00C71781" w14:paraId="2D0B45C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5C8EC" w14:textId="63858178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9D9F4" w14:textId="5832E2DE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Tvertne (cisterna)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rūpnieciski ražota </w:t>
            </w:r>
          </w:p>
        </w:tc>
      </w:tr>
      <w:tr w:rsidR="00C71781" w:rsidRPr="00C71781" w14:paraId="2C68E20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0987E" w14:textId="13C4C58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6F243" w14:textId="32FFC172" w:rsidR="005770C2" w:rsidRPr="00C71781" w:rsidRDefault="005770C2" w:rsidP="003568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Cisternas stiprinājuma elementu skaits un to konstrukcija nepieļauj cisternas nobīdi 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ļa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paātrin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āšanas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strauj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65631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palēnin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āšanas laikā.</w:t>
            </w:r>
          </w:p>
        </w:tc>
      </w:tr>
      <w:tr w:rsidR="00C71781" w:rsidRPr="00C71781" w14:paraId="1736383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44A1C" w14:textId="7EDB1D04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0204" w14:textId="7F0D8A8D" w:rsidR="005770C2" w:rsidRPr="00C71781" w:rsidRDefault="008E2034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aprīkota ar līmeņrādi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63BDD8F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8151D" w14:textId="36F5132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EBFAB" w14:textId="38864291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 cisterna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aprīkota ar uzpildes/iztukšošanas mehānismu (sūkni vai kompresoru), tā vadības ierīce atrodas viegli pieejamā vietā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3B1D3E08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9A02" w14:textId="72EC5379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3F726" w14:textId="40B3772F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Cisternai ir pietiekama izmēra un novietojuma atveres, lai cisternas iekšpusi varētu iztīrīt no iekšpuses. Atveres, kas atrodas cisternas augšējā daļā un ir lielākas par 400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mm diametrā vai ir 300 x 400 mm, ja tās nav apaļas, ir noslēgtas ar režģi, ko var noņemt tikai ar instrumentu palīdzību. Režģa atveres nepārsniedz minētos izmērus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16187A04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17F7D" w14:textId="6F4B2B69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.6.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4BC4C" w14:textId="7ED1F8BB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Vāks tvertnes augšējā daļā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aprīkots ar ierīcēm, lai novērstu nejaušu vāka aizvēršanu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766A391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DAD17" w14:textId="31CD4EE9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.7.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629B0" w14:textId="659A871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Tvertnes, kuru tilpums ir vienāds vai lielāks par 6000 l, ir aprīkotas ar pretpārsprieguma starpsienām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5F52487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C7C92" w14:textId="2C590C8C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.8.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3D1D2" w14:textId="30450966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Cisternas, kurām nepieciešamas savienojošās šļūtenes, 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aprīkotas ar līdzekļiem, lai noturētu šļūtenes transportēšanas laikā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3720E0E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10B68" w14:textId="51CFD646" w:rsidR="00106982" w:rsidRPr="00C71781" w:rsidRDefault="0010698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15.9.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F7DFB" w14:textId="1D00DC42" w:rsidR="00106982" w:rsidRPr="00C71781" w:rsidRDefault="0010698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Tvertne ir pārklāta ar pretkorozij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aizsargmateriāl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(grunt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krās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lak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4EA9074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73492" w14:textId="6F4330C5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1</w:t>
            </w:r>
            <w:r w:rsidR="00CD7CD1"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6</w:t>
            </w:r>
            <w:r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8A39A" w14:textId="77777777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Elektroiekārtas</w:t>
            </w:r>
          </w:p>
        </w:tc>
      </w:tr>
      <w:tr w:rsidR="00C71781" w:rsidRPr="00C71781" w14:paraId="2E6F8BA3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877A5" w14:textId="7FB2F491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2DAC5" w14:textId="75FF5C71" w:rsidR="005770C2" w:rsidRPr="00C71781" w:rsidRDefault="00106982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Transportlīdzekļu 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lektroinstalācijas vadi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 to savienojumi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stacionāri nostiprināti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to 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savienojuma vietas ir izolētas. Elektroinstalācijas vadi ir nostiprināti</w:t>
            </w:r>
            <w:r w:rsidR="006D36BD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lai to daļas nebūtu tiešā saskarē ar izplūdes gāzes sistēmu, kustīgām daļām vai asajām malām</w:t>
            </w:r>
            <w:r w:rsidR="006563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22B8330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CBE6A" w14:textId="0F5D5A63" w:rsidR="005770C2" w:rsidRPr="00C71781" w:rsidRDefault="005770C2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="00CD7CD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1A5F4" w14:textId="0B613740" w:rsidR="005770C2" w:rsidRPr="00C71781" w:rsidRDefault="00C14A1B" w:rsidP="00560A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Visas a</w:t>
            </w:r>
            <w:r w:rsidR="005770C2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pgaismes ierīces </w:t>
            </w:r>
            <w:r w:rsidR="00F5615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(lukturus) </w:t>
            </w:r>
            <w:r w:rsidR="00560AE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nostiprina uz nekustīgas pamatnes, lai neradītu raustītas gaismas efektus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V</w:t>
            </w:r>
            <w:r w:rsidR="00F5615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alsts reģistrācijas numura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zīmes</w:t>
            </w:r>
            <w:r w:rsidR="00F5615F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60AE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stiprinājuma 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vieta ir </w:t>
            </w:r>
            <w:r w:rsidR="00560AE0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atbilstoša un ar apgaismojumu.</w:t>
            </w:r>
          </w:p>
        </w:tc>
      </w:tr>
      <w:tr w:rsidR="00C71781" w:rsidRPr="00C71781" w14:paraId="75492D3C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2CDBE" w14:textId="13593C2E" w:rsidR="00CD7CD1" w:rsidRPr="00C71781" w:rsidRDefault="00CD7CD1" w:rsidP="00577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B953D" w14:textId="4C94C6DE" w:rsidR="00CD7CD1" w:rsidRPr="00C71781" w:rsidRDefault="00CD7CD1" w:rsidP="00D605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Aizsargierīces</w:t>
            </w:r>
          </w:p>
        </w:tc>
      </w:tr>
      <w:tr w:rsidR="00C71781" w:rsidRPr="00C71781" w14:paraId="1DFD41C5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F369E" w14:textId="17D0E5EE" w:rsidR="00CD7CD1" w:rsidRPr="00C71781" w:rsidRDefault="00CD7CD1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17.1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F2A7A" w14:textId="4E12440B" w:rsidR="00CD7CD1" w:rsidRPr="00C71781" w:rsidRDefault="00CD7CD1" w:rsidP="00D6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Transportlīdzekļi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paredzēti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dalībai 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ceļu satiksmei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aprīkoti ar ratu (riteņu) </w:t>
            </w:r>
            <w:r w:rsidR="00F55C1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pretšļakatu ierīcēm 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(dubļusargiem), ja to funkcijas nepilda citi konstrukciju elementi.</w:t>
            </w:r>
          </w:p>
        </w:tc>
      </w:tr>
      <w:tr w:rsidR="00C71781" w:rsidRPr="00C71781" w14:paraId="1E8D0B09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A4715" w14:textId="23ED278C" w:rsidR="00AD1E19" w:rsidRPr="00C71781" w:rsidRDefault="00AD1E19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17.2. 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59D36" w14:textId="21809D08" w:rsidR="00AD1E19" w:rsidRPr="00C71781" w:rsidRDefault="00AD1E19" w:rsidP="00D6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Kardānpārvadu aizsargi atbilst izgatavotāja prasībām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tiem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nostiprināti pret rotēšanu.</w:t>
            </w:r>
          </w:p>
        </w:tc>
      </w:tr>
      <w:tr w:rsidR="00C71781" w:rsidRPr="00C71781" w14:paraId="73A84F76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B3590" w14:textId="1AFD4D3E" w:rsidR="00F55C13" w:rsidRPr="00C71781" w:rsidRDefault="00F55C13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2A45E" w14:textId="3BA16731" w:rsidR="00F55C13" w:rsidRPr="00C71781" w:rsidRDefault="00050D6B" w:rsidP="00D6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Zobratu, ķēžu</w:t>
            </w:r>
            <w:r w:rsidR="00F55C1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siksnu pārvadiem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uzstādītas aizsargkonstrukcijas.</w:t>
            </w:r>
          </w:p>
        </w:tc>
      </w:tr>
      <w:tr w:rsidR="00C71781" w:rsidRPr="00C71781" w14:paraId="51D25441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88C93" w14:textId="79313E4B" w:rsidR="00AD1E19" w:rsidRPr="00C71781" w:rsidRDefault="00050D6B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17.4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5C70E" w14:textId="4F7410BE" w:rsidR="00AD1E19" w:rsidRPr="00C71781" w:rsidRDefault="00AD1E19" w:rsidP="00D60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Pretapgāšanās paredzētās aizsargkonstrukcijas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uzstādīt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nostiprināt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atbilstoši ražotāja prasībām.</w:t>
            </w:r>
          </w:p>
        </w:tc>
      </w:tr>
      <w:tr w:rsidR="00C71781" w:rsidRPr="00C71781" w14:paraId="15F1796F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8B638" w14:textId="20E1EB49" w:rsidR="00AD1E19" w:rsidRPr="00C71781" w:rsidRDefault="00050D6B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17.5</w:t>
            </w:r>
            <w:r w:rsidR="00AD1E19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35284" w14:textId="5F162CA6" w:rsidR="00402FA7" w:rsidRPr="00C71781" w:rsidRDefault="00C14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Piekabe</w:t>
            </w:r>
            <w:r w:rsidR="00402FA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vai maināmas velkamās iekārtas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02FA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sakabes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konstrukcijā obligāt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drošības ķēdes vai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 iespējams pievienot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tros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kas sa</w:t>
            </w:r>
            <w:r w:rsidR="00402FA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kabes ierīces avārijas (atvienošanās) gadījumā 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nodrošina pi</w:t>
            </w:r>
            <w:r w:rsidR="00402FA7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ekabes vai maināmas velkamās iekārtas</w:t>
            </w:r>
            <w:r w:rsidR="00F55C13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virzīšanos aiz transportlīdzekļa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notur sakabes ierīci virs zemes.</w:t>
            </w:r>
          </w:p>
        </w:tc>
      </w:tr>
      <w:tr w:rsidR="00C71781" w:rsidRPr="00C71781" w14:paraId="089EB950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59633" w14:textId="18925067" w:rsidR="00C14A1B" w:rsidRPr="00C71781" w:rsidRDefault="00050D6B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17.6</w:t>
            </w:r>
            <w:r w:rsidR="00C14A1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00BBA" w14:textId="3060B5E6" w:rsidR="00C14A1B" w:rsidRPr="00C71781" w:rsidRDefault="00C14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Traktortehniku</w:t>
            </w:r>
            <w:r w:rsidR="00CD0321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</w:t>
            </w:r>
            <w:r w:rsidR="00B4307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speciālo traktortehniku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aprīko ar ierīci aizsardzībai pret transportlīdzekļa iedarbināšanu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kad pārnesumu svira</w:t>
            </w:r>
            <w:r w:rsidR="00386F65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ir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ieslēgtas gaitas stāvok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71781" w:rsidRPr="00C71781" w14:paraId="6F52B92A" w14:textId="77777777" w:rsidTr="00F02BDF">
        <w:trPr>
          <w:tblCellSpacing w:w="15" w:type="dxa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22D06" w14:textId="22C8BCD4" w:rsidR="00CD0321" w:rsidRPr="00C71781" w:rsidRDefault="00CD0321" w:rsidP="00577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  <w:r w:rsidR="00050D6B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620BD" w14:textId="58448328" w:rsidR="00CD0321" w:rsidRPr="00C71781" w:rsidRDefault="00CD0321" w:rsidP="008B4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Traktortehniku vai </w:t>
            </w:r>
            <w:r w:rsidR="00B4307C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speciālo traktor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tehniku, kurai nav paredzēta kabīne, apr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īko ar aizs</w:t>
            </w:r>
            <w:r w:rsidR="00386F6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35680A"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rgko</w:t>
            </w:r>
            <w:r w:rsidRPr="00C717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nstrukciju.</w:t>
            </w:r>
          </w:p>
        </w:tc>
      </w:tr>
    </w:tbl>
    <w:p w14:paraId="46D64A78" w14:textId="77777777" w:rsidR="00F20D09" w:rsidRPr="00503E5C" w:rsidRDefault="00F20D09" w:rsidP="00F20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6CE6DE6" w14:textId="77777777" w:rsidR="000808F3" w:rsidRPr="00503E5C" w:rsidRDefault="000808F3" w:rsidP="000808F3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lv-LV"/>
        </w:rPr>
      </w:pPr>
    </w:p>
    <w:p w14:paraId="660BA5B5" w14:textId="7A1732AD" w:rsidR="000808F3" w:rsidRPr="00C71781" w:rsidRDefault="000808F3" w:rsidP="00503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>Zemkopības ministrs</w:t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03E5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503E5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7B6921">
        <w:rPr>
          <w:rFonts w:ascii="Times New Roman" w:eastAsia="Times New Roman" w:hAnsi="Times New Roman"/>
          <w:sz w:val="24"/>
          <w:szCs w:val="24"/>
          <w:lang w:eastAsia="lv-LV"/>
        </w:rPr>
        <w:t xml:space="preserve">ānis </w:t>
      </w:r>
      <w:r w:rsidRPr="00C71781">
        <w:rPr>
          <w:rFonts w:ascii="Times New Roman" w:eastAsia="Times New Roman" w:hAnsi="Times New Roman"/>
          <w:sz w:val="24"/>
          <w:szCs w:val="24"/>
          <w:lang w:eastAsia="lv-LV"/>
        </w:rPr>
        <w:t>Dūklavs</w:t>
      </w:r>
    </w:p>
    <w:p w14:paraId="20ED06E5" w14:textId="77777777" w:rsidR="00BF1C34" w:rsidRPr="00C71781" w:rsidRDefault="00BF1C34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428F5FE" w14:textId="77777777" w:rsidR="00980D8E" w:rsidRDefault="00980D8E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7001B65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A27D7F9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5951C9C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4776C82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48A76EA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F00D7FC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E6AA461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C31022A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F2CF8CC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B51878B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1C9CCBE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5C06892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17870D2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48D0293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0A8BCE3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4631121" w14:textId="77777777" w:rsidR="00503E5C" w:rsidRPr="00C71781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5271D190" w14:textId="77777777" w:rsidR="00980D8E" w:rsidRPr="00C71781" w:rsidRDefault="00980D8E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456BBF1D" w14:textId="07B35EDB" w:rsidR="00980D8E" w:rsidRPr="00C71781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14.10.2016. 12:57</w:t>
      </w:r>
    </w:p>
    <w:p w14:paraId="043E94B6" w14:textId="77777777" w:rsidR="00503E5C" w:rsidRDefault="00503E5C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1453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02594251" w14:textId="6FDBB7E5" w:rsidR="00BF1C34" w:rsidRPr="00C71781" w:rsidRDefault="00BF1C34" w:rsidP="00BF1C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1" w:name="_GoBack"/>
      <w:bookmarkEnd w:id="1"/>
      <w:r w:rsidRPr="00C71781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202566EC" w14:textId="44030AAF" w:rsidR="00BF1C34" w:rsidRPr="00C71781" w:rsidRDefault="00BF1C34" w:rsidP="00F62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71781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sectPr w:rsidR="00BF1C34" w:rsidRPr="00C71781" w:rsidSect="00503E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8D99" w14:textId="77777777" w:rsidR="00E813F7" w:rsidRPr="00BA3F1F" w:rsidRDefault="00E813F7" w:rsidP="003A052A">
      <w:pPr>
        <w:spacing w:after="0" w:line="240" w:lineRule="auto"/>
      </w:pPr>
      <w:r>
        <w:separator/>
      </w:r>
    </w:p>
  </w:endnote>
  <w:endnote w:type="continuationSeparator" w:id="0">
    <w:p w14:paraId="1A63D4A1" w14:textId="77777777" w:rsidR="00E813F7" w:rsidRPr="00BA3F1F" w:rsidRDefault="00E813F7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3A3DA7B5" w:rsidR="003A052A" w:rsidRPr="00503E5C" w:rsidRDefault="00503E5C" w:rsidP="00503E5C">
    <w:pPr>
      <w:pStyle w:val="Kjene"/>
      <w:spacing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503E5C">
      <w:rPr>
        <w:rFonts w:ascii="Times New Roman" w:hAnsi="Times New Roman"/>
        <w:sz w:val="20"/>
        <w:szCs w:val="16"/>
      </w:rPr>
      <w:t>ZMNotp1_121016_individ</w:t>
    </w:r>
    <w:r>
      <w:rPr>
        <w:rFonts w:ascii="Times New Roman" w:hAnsi="Times New Roman"/>
        <w:sz w:val="20"/>
        <w:szCs w:val="16"/>
      </w:rPr>
      <w:t xml:space="preserve">; </w:t>
    </w:r>
    <w:r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4B9D" w14:textId="299CC734" w:rsidR="00980D8E" w:rsidRPr="00503E5C" w:rsidRDefault="00503E5C" w:rsidP="00503E5C">
    <w:pPr>
      <w:pStyle w:val="Kjene"/>
      <w:spacing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503E5C">
      <w:rPr>
        <w:rFonts w:ascii="Times New Roman" w:hAnsi="Times New Roman"/>
        <w:sz w:val="20"/>
        <w:szCs w:val="16"/>
      </w:rPr>
      <w:t>ZMNotp1_121016_individ</w:t>
    </w:r>
    <w:r w:rsidR="003F0C41">
      <w:rPr>
        <w:rFonts w:ascii="Times New Roman" w:hAnsi="Times New Roman"/>
        <w:sz w:val="20"/>
        <w:szCs w:val="16"/>
      </w:rPr>
      <w:t xml:space="preserve">; </w:t>
    </w:r>
    <w:r w:rsidR="003F0C41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3F0C41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3F0C41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4D714" w14:textId="77777777" w:rsidR="00E813F7" w:rsidRPr="00BA3F1F" w:rsidRDefault="00E813F7" w:rsidP="003A052A">
      <w:pPr>
        <w:spacing w:after="0" w:line="240" w:lineRule="auto"/>
      </w:pPr>
      <w:r>
        <w:separator/>
      </w:r>
    </w:p>
  </w:footnote>
  <w:footnote w:type="continuationSeparator" w:id="0">
    <w:p w14:paraId="737E1DFC" w14:textId="77777777" w:rsidR="00E813F7" w:rsidRPr="00BA3F1F" w:rsidRDefault="00E813F7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66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989845A" w14:textId="712E1EC5" w:rsidR="00980D8E" w:rsidRPr="00980D8E" w:rsidRDefault="00980D8E" w:rsidP="00503E5C">
        <w:pPr>
          <w:pStyle w:val="Galvene"/>
          <w:spacing w:line="240" w:lineRule="auto"/>
          <w:jc w:val="center"/>
          <w:rPr>
            <w:rFonts w:ascii="Times New Roman" w:hAnsi="Times New Roman"/>
            <w:sz w:val="24"/>
          </w:rPr>
        </w:pPr>
        <w:r w:rsidRPr="00980D8E">
          <w:rPr>
            <w:rFonts w:ascii="Times New Roman" w:hAnsi="Times New Roman"/>
            <w:sz w:val="24"/>
          </w:rPr>
          <w:fldChar w:fldCharType="begin"/>
        </w:r>
        <w:r w:rsidRPr="00980D8E">
          <w:rPr>
            <w:rFonts w:ascii="Times New Roman" w:hAnsi="Times New Roman"/>
            <w:sz w:val="24"/>
          </w:rPr>
          <w:instrText>PAGE   \* MERGEFORMAT</w:instrText>
        </w:r>
        <w:r w:rsidRPr="00980D8E">
          <w:rPr>
            <w:rFonts w:ascii="Times New Roman" w:hAnsi="Times New Roman"/>
            <w:sz w:val="24"/>
          </w:rPr>
          <w:fldChar w:fldCharType="separate"/>
        </w:r>
        <w:r w:rsidR="00503E5C">
          <w:rPr>
            <w:rFonts w:ascii="Times New Roman" w:hAnsi="Times New Roman"/>
            <w:noProof/>
            <w:sz w:val="24"/>
          </w:rPr>
          <w:t>5</w:t>
        </w:r>
        <w:r w:rsidRPr="00980D8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C9BB" w14:textId="77777777" w:rsidR="0005660C" w:rsidRDefault="0005660C" w:rsidP="00503E5C">
    <w:pPr>
      <w:pStyle w:val="Galvene"/>
      <w:spacing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0B5"/>
    <w:multiLevelType w:val="hybridMultilevel"/>
    <w:tmpl w:val="2904F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50D6B"/>
    <w:rsid w:val="0005660C"/>
    <w:rsid w:val="000575E0"/>
    <w:rsid w:val="00060567"/>
    <w:rsid w:val="000639F4"/>
    <w:rsid w:val="000661AF"/>
    <w:rsid w:val="00070982"/>
    <w:rsid w:val="000808F3"/>
    <w:rsid w:val="00083AD3"/>
    <w:rsid w:val="00090E20"/>
    <w:rsid w:val="000A0E2C"/>
    <w:rsid w:val="000A3360"/>
    <w:rsid w:val="000A7130"/>
    <w:rsid w:val="000C1ABD"/>
    <w:rsid w:val="000E3419"/>
    <w:rsid w:val="000F5BAE"/>
    <w:rsid w:val="00106982"/>
    <w:rsid w:val="00116181"/>
    <w:rsid w:val="00140FA2"/>
    <w:rsid w:val="00150723"/>
    <w:rsid w:val="00155DBB"/>
    <w:rsid w:val="001924F4"/>
    <w:rsid w:val="00197292"/>
    <w:rsid w:val="001A3BC2"/>
    <w:rsid w:val="001B05FF"/>
    <w:rsid w:val="001B70BD"/>
    <w:rsid w:val="001D32C1"/>
    <w:rsid w:val="001D6BEF"/>
    <w:rsid w:val="001E3750"/>
    <w:rsid w:val="001E714D"/>
    <w:rsid w:val="002027DF"/>
    <w:rsid w:val="00215800"/>
    <w:rsid w:val="002167EB"/>
    <w:rsid w:val="0022031D"/>
    <w:rsid w:val="002216E8"/>
    <w:rsid w:val="002255AF"/>
    <w:rsid w:val="00233378"/>
    <w:rsid w:val="002504EB"/>
    <w:rsid w:val="002848E0"/>
    <w:rsid w:val="002A3C6A"/>
    <w:rsid w:val="002B1137"/>
    <w:rsid w:val="002C2170"/>
    <w:rsid w:val="002C4A59"/>
    <w:rsid w:val="002C68E9"/>
    <w:rsid w:val="002E7977"/>
    <w:rsid w:val="002F385F"/>
    <w:rsid w:val="002F485E"/>
    <w:rsid w:val="002F541C"/>
    <w:rsid w:val="00320F5C"/>
    <w:rsid w:val="003232C2"/>
    <w:rsid w:val="00330049"/>
    <w:rsid w:val="0035680A"/>
    <w:rsid w:val="00357046"/>
    <w:rsid w:val="003733FB"/>
    <w:rsid w:val="00386F65"/>
    <w:rsid w:val="003905F9"/>
    <w:rsid w:val="003A052A"/>
    <w:rsid w:val="003A2F66"/>
    <w:rsid w:val="003C47C3"/>
    <w:rsid w:val="003F0C41"/>
    <w:rsid w:val="00400C42"/>
    <w:rsid w:val="00402FA7"/>
    <w:rsid w:val="00405ADD"/>
    <w:rsid w:val="004265D7"/>
    <w:rsid w:val="00435CC9"/>
    <w:rsid w:val="00441D6A"/>
    <w:rsid w:val="00457B78"/>
    <w:rsid w:val="00467C68"/>
    <w:rsid w:val="00470E70"/>
    <w:rsid w:val="004757EC"/>
    <w:rsid w:val="00481E60"/>
    <w:rsid w:val="00486D0B"/>
    <w:rsid w:val="00487EB4"/>
    <w:rsid w:val="0049026A"/>
    <w:rsid w:val="004A0E58"/>
    <w:rsid w:val="004A7F89"/>
    <w:rsid w:val="004C22EC"/>
    <w:rsid w:val="004C332E"/>
    <w:rsid w:val="004D3C97"/>
    <w:rsid w:val="004D5580"/>
    <w:rsid w:val="004F6803"/>
    <w:rsid w:val="00500134"/>
    <w:rsid w:val="00503E5C"/>
    <w:rsid w:val="0055185F"/>
    <w:rsid w:val="005605BB"/>
    <w:rsid w:val="00560AE0"/>
    <w:rsid w:val="005702C1"/>
    <w:rsid w:val="005770C2"/>
    <w:rsid w:val="00587B3B"/>
    <w:rsid w:val="005977CC"/>
    <w:rsid w:val="005B43FF"/>
    <w:rsid w:val="005B54BF"/>
    <w:rsid w:val="005B5B5B"/>
    <w:rsid w:val="005D1A2B"/>
    <w:rsid w:val="00616CFA"/>
    <w:rsid w:val="00620C54"/>
    <w:rsid w:val="006474D7"/>
    <w:rsid w:val="00647677"/>
    <w:rsid w:val="00656317"/>
    <w:rsid w:val="0066439C"/>
    <w:rsid w:val="00665AD4"/>
    <w:rsid w:val="0066606F"/>
    <w:rsid w:val="00690023"/>
    <w:rsid w:val="006A6FF3"/>
    <w:rsid w:val="006C0339"/>
    <w:rsid w:val="006C3654"/>
    <w:rsid w:val="006D36BD"/>
    <w:rsid w:val="006D549E"/>
    <w:rsid w:val="006D78DC"/>
    <w:rsid w:val="006F0A83"/>
    <w:rsid w:val="006F3BDE"/>
    <w:rsid w:val="00700319"/>
    <w:rsid w:val="0071202F"/>
    <w:rsid w:val="007230A8"/>
    <w:rsid w:val="0075794C"/>
    <w:rsid w:val="00777B1C"/>
    <w:rsid w:val="0078228F"/>
    <w:rsid w:val="00786C1E"/>
    <w:rsid w:val="007A337B"/>
    <w:rsid w:val="007B123C"/>
    <w:rsid w:val="007B3707"/>
    <w:rsid w:val="007B5B1A"/>
    <w:rsid w:val="007B6921"/>
    <w:rsid w:val="007C4801"/>
    <w:rsid w:val="007D3F66"/>
    <w:rsid w:val="007E6859"/>
    <w:rsid w:val="0080092C"/>
    <w:rsid w:val="0082207D"/>
    <w:rsid w:val="00830F58"/>
    <w:rsid w:val="00840B70"/>
    <w:rsid w:val="0084177F"/>
    <w:rsid w:val="00843B16"/>
    <w:rsid w:val="00850132"/>
    <w:rsid w:val="00872289"/>
    <w:rsid w:val="0088579A"/>
    <w:rsid w:val="008A0A03"/>
    <w:rsid w:val="008A13B8"/>
    <w:rsid w:val="008A203F"/>
    <w:rsid w:val="008A6EA8"/>
    <w:rsid w:val="008A7A9F"/>
    <w:rsid w:val="008B471E"/>
    <w:rsid w:val="008B53EA"/>
    <w:rsid w:val="008D63C2"/>
    <w:rsid w:val="008E2034"/>
    <w:rsid w:val="00901618"/>
    <w:rsid w:val="00920CCC"/>
    <w:rsid w:val="009260B9"/>
    <w:rsid w:val="0094473D"/>
    <w:rsid w:val="00961CBE"/>
    <w:rsid w:val="00976BC7"/>
    <w:rsid w:val="00980D8E"/>
    <w:rsid w:val="00982A2D"/>
    <w:rsid w:val="009B5930"/>
    <w:rsid w:val="009C63B8"/>
    <w:rsid w:val="009D1A82"/>
    <w:rsid w:val="009D7FE2"/>
    <w:rsid w:val="009E5467"/>
    <w:rsid w:val="009F1DE5"/>
    <w:rsid w:val="009F55E6"/>
    <w:rsid w:val="00A00F6C"/>
    <w:rsid w:val="00A22B95"/>
    <w:rsid w:val="00A243B0"/>
    <w:rsid w:val="00A40F52"/>
    <w:rsid w:val="00A468B3"/>
    <w:rsid w:val="00A567FB"/>
    <w:rsid w:val="00A61BA0"/>
    <w:rsid w:val="00A63934"/>
    <w:rsid w:val="00A662D8"/>
    <w:rsid w:val="00A70F7C"/>
    <w:rsid w:val="00A833F8"/>
    <w:rsid w:val="00A942DD"/>
    <w:rsid w:val="00A95542"/>
    <w:rsid w:val="00AA4B22"/>
    <w:rsid w:val="00AB620C"/>
    <w:rsid w:val="00AC51AA"/>
    <w:rsid w:val="00AD1E19"/>
    <w:rsid w:val="00AE1EB3"/>
    <w:rsid w:val="00AE6EDD"/>
    <w:rsid w:val="00AF58A9"/>
    <w:rsid w:val="00AF622C"/>
    <w:rsid w:val="00B23C5D"/>
    <w:rsid w:val="00B25CFF"/>
    <w:rsid w:val="00B30DA2"/>
    <w:rsid w:val="00B4307C"/>
    <w:rsid w:val="00B739A4"/>
    <w:rsid w:val="00B878D3"/>
    <w:rsid w:val="00BA4745"/>
    <w:rsid w:val="00BA4F8E"/>
    <w:rsid w:val="00BB6C7C"/>
    <w:rsid w:val="00BB71ED"/>
    <w:rsid w:val="00BC28B2"/>
    <w:rsid w:val="00BF1C34"/>
    <w:rsid w:val="00C05ACD"/>
    <w:rsid w:val="00C14A1B"/>
    <w:rsid w:val="00C505D3"/>
    <w:rsid w:val="00C53A8C"/>
    <w:rsid w:val="00C569C0"/>
    <w:rsid w:val="00C64696"/>
    <w:rsid w:val="00C71781"/>
    <w:rsid w:val="00CA21BA"/>
    <w:rsid w:val="00CA360B"/>
    <w:rsid w:val="00CD0321"/>
    <w:rsid w:val="00CD0943"/>
    <w:rsid w:val="00CD2BF7"/>
    <w:rsid w:val="00CD4DCD"/>
    <w:rsid w:val="00CD7CD1"/>
    <w:rsid w:val="00CF3562"/>
    <w:rsid w:val="00D36FD8"/>
    <w:rsid w:val="00D51E41"/>
    <w:rsid w:val="00D60568"/>
    <w:rsid w:val="00D666CB"/>
    <w:rsid w:val="00D847D4"/>
    <w:rsid w:val="00DA1087"/>
    <w:rsid w:val="00DC774C"/>
    <w:rsid w:val="00DD3C7A"/>
    <w:rsid w:val="00E03038"/>
    <w:rsid w:val="00E05737"/>
    <w:rsid w:val="00E06659"/>
    <w:rsid w:val="00E370DC"/>
    <w:rsid w:val="00E42AA9"/>
    <w:rsid w:val="00E44227"/>
    <w:rsid w:val="00E461CE"/>
    <w:rsid w:val="00E525C5"/>
    <w:rsid w:val="00E52AB0"/>
    <w:rsid w:val="00E55C05"/>
    <w:rsid w:val="00E65248"/>
    <w:rsid w:val="00E66522"/>
    <w:rsid w:val="00E6796E"/>
    <w:rsid w:val="00E813F7"/>
    <w:rsid w:val="00EC2FE1"/>
    <w:rsid w:val="00EC350D"/>
    <w:rsid w:val="00EF2BF6"/>
    <w:rsid w:val="00F02BDF"/>
    <w:rsid w:val="00F05217"/>
    <w:rsid w:val="00F12DC2"/>
    <w:rsid w:val="00F20D09"/>
    <w:rsid w:val="00F55C13"/>
    <w:rsid w:val="00F5615F"/>
    <w:rsid w:val="00F622AB"/>
    <w:rsid w:val="00F64A12"/>
    <w:rsid w:val="00F67805"/>
    <w:rsid w:val="00F9055F"/>
    <w:rsid w:val="00FA73E7"/>
    <w:rsid w:val="00FB5896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C91508"/>
  <w15:docId w15:val="{21CE2210-D9E6-4AAB-9D5A-E4CF4BF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00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00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002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00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00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A5D5-8201-4476-AFD4-FD033B7F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1475</Words>
  <Characters>10532</Characters>
  <Application>Microsoft Office Word</Application>
  <DocSecurity>0</DocSecurity>
  <Lines>309</Lines>
  <Paragraphs>226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4</cp:revision>
  <cp:lastPrinted>2015-10-22T12:13:00Z</cp:lastPrinted>
  <dcterms:created xsi:type="dcterms:W3CDTF">2016-10-12T11:12:00Z</dcterms:created>
  <dcterms:modified xsi:type="dcterms:W3CDTF">2016-10-14T09:57:00Z</dcterms:modified>
</cp:coreProperties>
</file>