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9F8D9" w14:textId="77777777" w:rsidR="00237F8E" w:rsidRPr="00F4368B" w:rsidRDefault="00237F8E" w:rsidP="00F4368B">
      <w:pPr>
        <w:jc w:val="center"/>
        <w:rPr>
          <w:b/>
        </w:rPr>
      </w:pPr>
      <w:bookmarkStart w:id="0" w:name="OLE_LINK3"/>
      <w:bookmarkStart w:id="1" w:name="OLE_LINK4"/>
      <w:bookmarkStart w:id="2" w:name="OLE_LINK5"/>
      <w:bookmarkStart w:id="3" w:name="OLE_LINK1"/>
      <w:bookmarkStart w:id="4" w:name="OLE_LINK2"/>
      <w:r w:rsidRPr="00F4368B">
        <w:rPr>
          <w:b/>
        </w:rPr>
        <w:t>Ministru kabine</w:t>
      </w:r>
      <w:r w:rsidR="00755BD4" w:rsidRPr="00F4368B">
        <w:rPr>
          <w:b/>
        </w:rPr>
        <w:t>ta noteikumu projekta „Grozījumi</w:t>
      </w:r>
      <w:r w:rsidRPr="00F4368B">
        <w:rPr>
          <w:b/>
        </w:rPr>
        <w:t xml:space="preserve"> Ministru kabineta 20</w:t>
      </w:r>
      <w:r w:rsidR="00930785" w:rsidRPr="00F4368B">
        <w:rPr>
          <w:b/>
        </w:rPr>
        <w:t>07</w:t>
      </w:r>
      <w:r w:rsidRPr="00F4368B">
        <w:rPr>
          <w:b/>
        </w:rPr>
        <w:t xml:space="preserve">.gada </w:t>
      </w:r>
      <w:r w:rsidR="00930785" w:rsidRPr="00F4368B">
        <w:rPr>
          <w:b/>
        </w:rPr>
        <w:t>9</w:t>
      </w:r>
      <w:r w:rsidRPr="00F4368B">
        <w:rPr>
          <w:b/>
        </w:rPr>
        <w:t>.</w:t>
      </w:r>
      <w:r w:rsidR="00930785" w:rsidRPr="00F4368B">
        <w:rPr>
          <w:b/>
        </w:rPr>
        <w:t>janvāra</w:t>
      </w:r>
      <w:r w:rsidRPr="00F4368B">
        <w:rPr>
          <w:b/>
        </w:rPr>
        <w:t xml:space="preserve"> noteikumos Nr.</w:t>
      </w:r>
      <w:r w:rsidR="00930785" w:rsidRPr="00F4368B">
        <w:rPr>
          <w:b/>
        </w:rPr>
        <w:t>40</w:t>
      </w:r>
      <w:r w:rsidRPr="00F4368B">
        <w:rPr>
          <w:b/>
        </w:rPr>
        <w:t xml:space="preserve"> </w:t>
      </w:r>
      <w:r w:rsidR="00131209" w:rsidRPr="00F4368B">
        <w:rPr>
          <w:b/>
        </w:rPr>
        <w:t>“</w:t>
      </w:r>
      <w:r w:rsidR="00930785" w:rsidRPr="00F4368B">
        <w:rPr>
          <w:b/>
        </w:rPr>
        <w:t>Noteikumi par valsts metroloģiskajai kontrolei pakļauto mērīšanas līdzekļu sarakstu</w:t>
      </w:r>
      <w:r w:rsidR="00131209" w:rsidRPr="00F4368B">
        <w:rPr>
          <w:b/>
        </w:rPr>
        <w:t>””</w:t>
      </w:r>
      <w:r w:rsidRPr="00F4368B">
        <w:rPr>
          <w:b/>
        </w:rPr>
        <w:t xml:space="preserve"> sākotnējās ietekmes novērtējuma ziņojums (anotācija)</w:t>
      </w:r>
    </w:p>
    <w:bookmarkEnd w:id="0"/>
    <w:bookmarkEnd w:id="1"/>
    <w:bookmarkEnd w:id="2"/>
    <w:bookmarkEnd w:id="3"/>
    <w:bookmarkEnd w:id="4"/>
    <w:p w14:paraId="3F4C5D45" w14:textId="77777777" w:rsidR="00237F8E" w:rsidRPr="00F4368B" w:rsidRDefault="00237F8E"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75"/>
        <w:gridCol w:w="5963"/>
      </w:tblGrid>
      <w:tr w:rsidR="00193E45" w:rsidRPr="00F4368B" w14:paraId="5B908873" w14:textId="77777777" w:rsidTr="00FD76CC">
        <w:tc>
          <w:tcPr>
            <w:tcW w:w="9062" w:type="dxa"/>
            <w:gridSpan w:val="3"/>
            <w:vAlign w:val="center"/>
          </w:tcPr>
          <w:p w14:paraId="6FA301FF" w14:textId="77777777" w:rsidR="00193E45" w:rsidRPr="00F4368B" w:rsidRDefault="00193E45" w:rsidP="00F4368B">
            <w:pPr>
              <w:jc w:val="center"/>
            </w:pPr>
            <w:r w:rsidRPr="00F4368B">
              <w:rPr>
                <w:b/>
              </w:rPr>
              <w:t>I. Tiesību akta projekta izstrādes nepieciešamība</w:t>
            </w:r>
          </w:p>
        </w:tc>
      </w:tr>
      <w:tr w:rsidR="00193E45" w:rsidRPr="00F4368B" w14:paraId="2F04F26B" w14:textId="77777777" w:rsidTr="00B865ED">
        <w:trPr>
          <w:trHeight w:val="439"/>
        </w:trPr>
        <w:tc>
          <w:tcPr>
            <w:tcW w:w="524" w:type="dxa"/>
          </w:tcPr>
          <w:p w14:paraId="52CF8482" w14:textId="77777777" w:rsidR="00193E45" w:rsidRPr="00F4368B" w:rsidRDefault="00193E45" w:rsidP="00F4368B">
            <w:r w:rsidRPr="00F4368B">
              <w:t> 1.</w:t>
            </w:r>
          </w:p>
        </w:tc>
        <w:tc>
          <w:tcPr>
            <w:tcW w:w="2575" w:type="dxa"/>
          </w:tcPr>
          <w:p w14:paraId="7E1B5C2B" w14:textId="77777777" w:rsidR="00193E45" w:rsidRPr="00F4368B" w:rsidRDefault="00193E45" w:rsidP="00F4368B">
            <w:r w:rsidRPr="00F4368B">
              <w:t>Pamatojums</w:t>
            </w:r>
          </w:p>
        </w:tc>
        <w:tc>
          <w:tcPr>
            <w:tcW w:w="5963" w:type="dxa"/>
          </w:tcPr>
          <w:p w14:paraId="7AABE1DE" w14:textId="77777777" w:rsidR="00193E45" w:rsidRPr="00F4368B" w:rsidRDefault="002C1606" w:rsidP="00F4368B">
            <w:pPr>
              <w:jc w:val="both"/>
            </w:pPr>
            <w:r w:rsidRPr="00F4368B">
              <w:rPr>
                <w:rFonts w:eastAsia="SimSun"/>
                <w:lang w:eastAsia="zh-CN"/>
              </w:rPr>
              <w:t>L</w:t>
            </w:r>
            <w:r w:rsidR="00131209" w:rsidRPr="00F4368B">
              <w:rPr>
                <w:rFonts w:eastAsia="SimSun"/>
                <w:lang w:eastAsia="zh-CN"/>
              </w:rPr>
              <w:t>ikuma “</w:t>
            </w:r>
            <w:r w:rsidR="00440A7D" w:rsidRPr="00F4368B">
              <w:rPr>
                <w:rFonts w:eastAsia="SimSun"/>
                <w:lang w:eastAsia="zh-CN"/>
              </w:rPr>
              <w:t>Par mērījumu vienotību</w:t>
            </w:r>
            <w:r w:rsidR="00131209" w:rsidRPr="00F4368B">
              <w:rPr>
                <w:rFonts w:eastAsia="SimSun"/>
                <w:lang w:eastAsia="zh-CN"/>
              </w:rPr>
              <w:t>”</w:t>
            </w:r>
            <w:r w:rsidRPr="00F4368B">
              <w:rPr>
                <w:rFonts w:eastAsia="SimSun"/>
                <w:lang w:eastAsia="zh-CN"/>
              </w:rPr>
              <w:t xml:space="preserve"> 7.panta otrā</w:t>
            </w:r>
            <w:r w:rsidR="00440A7D" w:rsidRPr="00F4368B">
              <w:rPr>
                <w:rFonts w:eastAsia="SimSun"/>
                <w:lang w:eastAsia="zh-CN"/>
              </w:rPr>
              <w:t xml:space="preserve"> daļ</w:t>
            </w:r>
            <w:r w:rsidRPr="00F4368B">
              <w:rPr>
                <w:rFonts w:eastAsia="SimSun"/>
                <w:lang w:eastAsia="zh-CN"/>
              </w:rPr>
              <w:t>a</w:t>
            </w:r>
          </w:p>
        </w:tc>
      </w:tr>
      <w:tr w:rsidR="00236B45" w:rsidRPr="00F4368B" w14:paraId="6CC5BDF7" w14:textId="77777777" w:rsidTr="00B865ED">
        <w:trPr>
          <w:trHeight w:val="705"/>
        </w:trPr>
        <w:tc>
          <w:tcPr>
            <w:tcW w:w="524" w:type="dxa"/>
          </w:tcPr>
          <w:p w14:paraId="6BD4B495" w14:textId="77777777" w:rsidR="00193E45" w:rsidRPr="00F4368B" w:rsidRDefault="00193E45" w:rsidP="00F4368B">
            <w:r w:rsidRPr="00F4368B">
              <w:t> 2.</w:t>
            </w:r>
          </w:p>
        </w:tc>
        <w:tc>
          <w:tcPr>
            <w:tcW w:w="2575" w:type="dxa"/>
          </w:tcPr>
          <w:p w14:paraId="5A209D6E" w14:textId="77777777" w:rsidR="00193E45" w:rsidRPr="00F4368B" w:rsidRDefault="00193E45" w:rsidP="00F4368B">
            <w:r w:rsidRPr="00F4368B">
              <w:t>Pašreizējā situācija un problēmas, kuru risināšanai tiesību akta projekts izstrādāts, tiesiskā regulējuma mērķis un būtība</w:t>
            </w:r>
          </w:p>
        </w:tc>
        <w:tc>
          <w:tcPr>
            <w:tcW w:w="5963" w:type="dxa"/>
          </w:tcPr>
          <w:p w14:paraId="304474FB" w14:textId="77777777" w:rsidR="00633733" w:rsidRPr="00F4368B" w:rsidRDefault="00633733" w:rsidP="00F4368B">
            <w:pPr>
              <w:pStyle w:val="naiskr"/>
              <w:spacing w:before="0" w:after="0"/>
              <w:jc w:val="both"/>
            </w:pPr>
            <w:r w:rsidRPr="00F4368B">
              <w:t>Ministru kabineta 2007.gada 9.janvāra noteikumi Nr.40</w:t>
            </w:r>
            <w:r w:rsidR="00E5723E" w:rsidRPr="00F4368B">
              <w:t> </w:t>
            </w:r>
            <w:r w:rsidRPr="00F4368B">
              <w:t xml:space="preserve">“Noteikumi par valsts metroloģiskajai kontrolei pakļauto mērīšanas līdzekļu sarakstu” (turpmāk - Noteikumi Nr.40) nosaka valsts metroloģiskajai kontrolei pakļauto mērīšanas līdzekļu sarakstu un verificēšanas periodiskumu. </w:t>
            </w:r>
          </w:p>
          <w:p w14:paraId="4D4889DD" w14:textId="6B337136" w:rsidR="00FB5286" w:rsidRPr="00F4368B" w:rsidRDefault="003A38D2" w:rsidP="00F4368B">
            <w:pPr>
              <w:pStyle w:val="naiskr"/>
              <w:spacing w:before="0" w:after="0"/>
              <w:jc w:val="both"/>
            </w:pPr>
            <w:r w:rsidRPr="00F4368B">
              <w:t xml:space="preserve">Lielākais Latvijas sadales sistēmas operators </w:t>
            </w:r>
            <w:r w:rsidR="00FB5286" w:rsidRPr="00F4368B">
              <w:t>AS</w:t>
            </w:r>
            <w:r w:rsidRPr="00F4368B">
              <w:t> </w:t>
            </w:r>
            <w:r w:rsidR="00FB5286" w:rsidRPr="00F4368B">
              <w:t xml:space="preserve">“Sadales tīkls” </w:t>
            </w:r>
            <w:r w:rsidR="00382FE1" w:rsidRPr="00F4368B">
              <w:rPr>
                <w:color w:val="000000" w:themeColor="text1"/>
              </w:rPr>
              <w:t xml:space="preserve">pagājušā gadsimta pēdējā desmitgadē ir uzsācis masveida </w:t>
            </w:r>
            <w:bookmarkStart w:id="5" w:name="_GoBack"/>
            <w:bookmarkEnd w:id="5"/>
            <w:r w:rsidR="00382FE1" w:rsidRPr="00F4368B">
              <w:rPr>
                <w:color w:val="000000" w:themeColor="text1"/>
              </w:rPr>
              <w:t xml:space="preserve">indukcijas tipa elektroenerģijas skaitītāju nomaiņu pret moderniem elektroenerģijas skaitītājiem (turpmāk – viedie elektroenerģijas skaitītāji). </w:t>
            </w:r>
            <w:r w:rsidR="00FB5286" w:rsidRPr="00F4368B">
              <w:t xml:space="preserve">Atbilstoši </w:t>
            </w:r>
            <w:r w:rsidR="00382FE1" w:rsidRPr="00F4368B">
              <w:t xml:space="preserve">viedo elektroenerģijas skaitītāju ieviešanas plānam 2014. – 2023. gadam </w:t>
            </w:r>
            <w:r w:rsidR="00FB5286" w:rsidRPr="00F4368B">
              <w:t>katru gadu vidēji 120 tūkstoši indukcijas tipa elektroenerģijas skaitītāj</w:t>
            </w:r>
            <w:r w:rsidR="00382FE1" w:rsidRPr="00F4368B">
              <w:t xml:space="preserve">u, kuriem </w:t>
            </w:r>
            <w:r w:rsidR="00FB5286" w:rsidRPr="00F4368B">
              <w:t xml:space="preserve"> </w:t>
            </w:r>
            <w:r w:rsidR="00382FE1" w:rsidRPr="00F4368B">
              <w:rPr>
                <w:color w:val="000000" w:themeColor="text1"/>
              </w:rPr>
              <w:t>pienācis atkārtotās verifikācijas termiņš,</w:t>
            </w:r>
            <w:r w:rsidR="00382FE1" w:rsidRPr="00F4368B">
              <w:t xml:space="preserve"> tiek un </w:t>
            </w:r>
            <w:r w:rsidR="00FB5286" w:rsidRPr="00F4368B">
              <w:t>tiks nomainīti pret viedajiem elektroenerģijas skaitītājiem.</w:t>
            </w:r>
          </w:p>
          <w:p w14:paraId="72DDC477" w14:textId="77777777" w:rsidR="00FB5286" w:rsidRPr="00F4368B" w:rsidRDefault="00FB5286" w:rsidP="00F4368B">
            <w:pPr>
              <w:pStyle w:val="naiskr"/>
              <w:spacing w:before="0" w:after="0"/>
              <w:jc w:val="both"/>
            </w:pPr>
            <w:r w:rsidRPr="00F4368B">
              <w:t>Viedo elektroenerģijas skaitītāju ieviešana nepieciešama, lai attīstītu viedo tīklu tehnoloģijas, kas sniedz iespēju elektroenerģijas lietotājiem piedalīties lēmuma pieņemšanas procesā par viņiem pieejamās elektroenerģijas izmantošanas laiku un apjomu, sasniedzot augstākus energoefektivitātes rādītājus</w:t>
            </w:r>
            <w:r w:rsidR="00AF058B" w:rsidRPr="00F4368B">
              <w:t>. S</w:t>
            </w:r>
            <w:r w:rsidRPr="00F4368B">
              <w:t xml:space="preserve">avukārt </w:t>
            </w:r>
            <w:r w:rsidR="00AF058B" w:rsidRPr="00F4368B">
              <w:t xml:space="preserve">sadales </w:t>
            </w:r>
            <w:r w:rsidRPr="00F4368B">
              <w:t xml:space="preserve">sistēmu operatoriem, ievērojot elektroenerģijas tirgus attīstības tendences, </w:t>
            </w:r>
            <w:r w:rsidR="00382FE1" w:rsidRPr="00F4368B">
              <w:t xml:space="preserve">ļauj </w:t>
            </w:r>
            <w:r w:rsidRPr="00F4368B">
              <w:t>nodrošināt elektroenerģijas tirgus darbībai nepieciešamo patēriņa informāciju, plānot sadales sistēmas infrastruktūras attīstības pasākumus, lai uzlabotu elektroapgādes drošumu un pilnveidotu izkliedētās ģenerācijas darbības modeli sadales sistēmā.</w:t>
            </w:r>
          </w:p>
          <w:p w14:paraId="40C6F9A0" w14:textId="77777777" w:rsidR="00FB5286" w:rsidRPr="00F4368B" w:rsidRDefault="00FB5286" w:rsidP="00F4368B">
            <w:pPr>
              <w:pStyle w:val="naiskr"/>
              <w:spacing w:before="0" w:after="0"/>
              <w:jc w:val="both"/>
            </w:pPr>
            <w:r w:rsidRPr="00F4368B">
              <w:t xml:space="preserve">Viedo </w:t>
            </w:r>
            <w:r w:rsidR="00B11738" w:rsidRPr="00F4368B">
              <w:t xml:space="preserve">elektroenerģijas </w:t>
            </w:r>
            <w:r w:rsidRPr="00F4368B">
              <w:t xml:space="preserve">skaitītāju ieviešana </w:t>
            </w:r>
            <w:r w:rsidR="00633733" w:rsidRPr="00F4368B">
              <w:t xml:space="preserve">tiek veikta,  </w:t>
            </w:r>
            <w:r w:rsidRPr="00F4368B">
              <w:t>ievērojot:</w:t>
            </w:r>
          </w:p>
          <w:p w14:paraId="2C633449" w14:textId="77777777" w:rsidR="00FB5286" w:rsidRPr="00F4368B" w:rsidRDefault="00FB5286" w:rsidP="00F4368B">
            <w:pPr>
              <w:pStyle w:val="naiskr"/>
              <w:spacing w:before="0" w:after="0"/>
              <w:jc w:val="both"/>
              <w:rPr>
                <w:i/>
              </w:rPr>
            </w:pPr>
            <w:r w:rsidRPr="00F4368B">
              <w:t xml:space="preserve">- Eiropas Parlamenta un Padomes 2009. gada 13. jūlija Direktīvas 2009/72/EK </w:t>
            </w:r>
            <w:r w:rsidRPr="00F4368B">
              <w:rPr>
                <w:bCs/>
                <w:shd w:val="clear" w:color="auto" w:fill="FFFFFF"/>
              </w:rPr>
              <w:t xml:space="preserve">par kopīgiem noteikumiem attiecībā uz elektroenerģijas iekšējo tirgu un par Direktīvas 2003/54/EK atcelšanu pielikuma Nr.1  </w:t>
            </w:r>
            <w:r w:rsidRPr="00F4368B">
              <w:rPr>
                <w:bCs/>
              </w:rPr>
              <w:t>„Patērētāju aizsardzības pasākumi” 2. punktā</w:t>
            </w:r>
            <w:r w:rsidRPr="00F4368B">
              <w:rPr>
                <w:bCs/>
                <w:shd w:val="clear" w:color="auto" w:fill="FFFFFF"/>
              </w:rPr>
              <w:t xml:space="preserve"> noteikto, ka “</w:t>
            </w:r>
            <w:r w:rsidRPr="00F4368B">
              <w:rPr>
                <w:i/>
              </w:rPr>
              <w:t xml:space="preserve">Dalībvalstis nodrošina viedo mēraparātu sistēmu ieviešanu, kas palīdz sasniegt patērētāju aktīvu dalību elektroenerģijas piegādes tirgū. Attiecībā uz šādu mēraparātu sistēmu ieviešanu var veikt ekonomisku izvērtējumu par visām ilgtermiņa izmaksām un ieguvumiem gan tirgum, gan individuālajiem patērētājiem vai arī par to, kāda veida  viedo mēraparātu sistēma ir ekonomiski pamatota un izmaksu ziņā izdevīga, un kāds grafiks būtu piemērots to ieviešanai. Pamatojoties uz šo izvērtējumu, dalībvalstis vai jebkura to norīkota kompetenta iestāde sagatavo grafiku, kurā noteikts mērķis viedo mēraparātu sistēmas ieviest, </w:t>
            </w:r>
            <w:r w:rsidRPr="00F4368B">
              <w:rPr>
                <w:b/>
                <w:i/>
              </w:rPr>
              <w:t>ilgākais 10 gados</w:t>
            </w:r>
            <w:r w:rsidRPr="00F4368B">
              <w:rPr>
                <w:i/>
              </w:rPr>
              <w:t xml:space="preserve">. Ja viedo skaitītāju izlaide tiek vērtēta pozitīvi, </w:t>
            </w:r>
            <w:r w:rsidRPr="00F4368B">
              <w:rPr>
                <w:b/>
                <w:i/>
              </w:rPr>
              <w:t>līdz 2020. gadam vismaz 80% no patērētājiem nodrošina ar viedo mēraparātu sistēmām</w:t>
            </w:r>
            <w:r w:rsidRPr="00F4368B">
              <w:rPr>
                <w:i/>
              </w:rPr>
              <w:t>”;</w:t>
            </w:r>
          </w:p>
          <w:p w14:paraId="74D9A118" w14:textId="77777777" w:rsidR="00FB5286" w:rsidRPr="00F4368B" w:rsidRDefault="00FB5286" w:rsidP="00F4368B">
            <w:pPr>
              <w:pStyle w:val="naiskr"/>
              <w:spacing w:before="0" w:after="0"/>
              <w:jc w:val="both"/>
            </w:pPr>
            <w:r w:rsidRPr="00F4368B">
              <w:rPr>
                <w:i/>
              </w:rPr>
              <w:t xml:space="preserve">- </w:t>
            </w:r>
            <w:r w:rsidRPr="00F4368B">
              <w:t>Ar Ministru kabineta 2016. gada 9. februāra rīkojumu Nr. 129 apstiprin</w:t>
            </w:r>
            <w:r w:rsidR="00DA73BC" w:rsidRPr="00F4368B">
              <w:t>ātās</w:t>
            </w:r>
            <w:r w:rsidRPr="00F4368B">
              <w:t xml:space="preserve"> Enerģētikas attīstības </w:t>
            </w:r>
            <w:r w:rsidR="00DA73BC" w:rsidRPr="00F4368B">
              <w:t>pamatnostādnes</w:t>
            </w:r>
            <w:r w:rsidRPr="00F4368B">
              <w:t xml:space="preserve"> 2016. – 2020. gadam;</w:t>
            </w:r>
          </w:p>
          <w:p w14:paraId="5C0607FC" w14:textId="77777777" w:rsidR="00DA73BC" w:rsidRPr="00F4368B" w:rsidRDefault="00FB5286" w:rsidP="00F4368B">
            <w:pPr>
              <w:pStyle w:val="naiskr"/>
              <w:spacing w:before="0" w:after="0"/>
              <w:jc w:val="both"/>
              <w:rPr>
                <w:i/>
              </w:rPr>
            </w:pPr>
            <w:r w:rsidRPr="00F4368B">
              <w:rPr>
                <w:i/>
              </w:rPr>
              <w:t xml:space="preserve">- </w:t>
            </w:r>
            <w:r w:rsidR="00DA73BC" w:rsidRPr="00F4368B">
              <w:t>Elektroenerģijas tirgus likuma 36. panta 2. punktu, kas nosaka, ka “</w:t>
            </w:r>
            <w:r w:rsidR="00DA73BC" w:rsidRPr="00F4368B">
              <w:rPr>
                <w:i/>
              </w:rPr>
              <w:t>K</w:t>
            </w:r>
            <w:r w:rsidR="00DA73BC" w:rsidRPr="00F4368B">
              <w:rPr>
                <w:i/>
                <w:shd w:val="clear" w:color="auto" w:fill="FFFFFF"/>
              </w:rPr>
              <w:t>atrs tirgus dalībnieks ir atbildīgs par to, lai tā pārdotās elektroenerģijas daudzums katrā tirdzniecības intervālā atbilstu sistēmā nodotās elektroenerģijas daudzumam un nopirktās elektroenerģijas daudzums atbilstu no sistēmas saņemtās elektroenerģijas daudzumam</w:t>
            </w:r>
            <w:r w:rsidR="00DA73BC" w:rsidRPr="00F4368B">
              <w:rPr>
                <w:shd w:val="clear" w:color="auto" w:fill="FFFFFF"/>
              </w:rPr>
              <w:t>”. Lai nodrošinātu tirgus dalībniekus ar precīzu informāciju par katrā tirdzniecības intervālā pārdoto un sistēmā nodoto elektroenerģiju, katram lietotājam jāuzstāda viedais elektroenerģijas skaitītājs;</w:t>
            </w:r>
          </w:p>
          <w:p w14:paraId="6E6D2889" w14:textId="77777777" w:rsidR="00FB5286" w:rsidRPr="00F4368B" w:rsidRDefault="00DA73BC" w:rsidP="00F4368B">
            <w:pPr>
              <w:pStyle w:val="naiskr"/>
              <w:spacing w:before="0" w:after="0"/>
              <w:jc w:val="both"/>
              <w:rPr>
                <w:shd w:val="clear" w:color="auto" w:fill="FFFFFF"/>
              </w:rPr>
            </w:pPr>
            <w:r w:rsidRPr="00F4368B">
              <w:rPr>
                <w:i/>
              </w:rPr>
              <w:t xml:space="preserve">- </w:t>
            </w:r>
            <w:r w:rsidR="00FB5286" w:rsidRPr="00F4368B">
              <w:rPr>
                <w:color w:val="000000"/>
              </w:rPr>
              <w:t>Tīkla kodeksa (</w:t>
            </w:r>
            <w:r w:rsidR="00FB5286" w:rsidRPr="00F4368B">
              <w:t xml:space="preserve">2013. gada 26. jūnija </w:t>
            </w:r>
            <w:r w:rsidR="00FB5286" w:rsidRPr="00F4368B">
              <w:rPr>
                <w:bCs/>
                <w:shd w:val="clear" w:color="auto" w:fill="FFFFFF"/>
              </w:rPr>
              <w:t>Sabiedrisko pakalpojumu regulēšanas komisijas Padomes lēmums Nr.1/4) 91.1. punktu, k</w:t>
            </w:r>
            <w:r w:rsidRPr="00F4368B">
              <w:rPr>
                <w:bCs/>
                <w:shd w:val="clear" w:color="auto" w:fill="FFFFFF"/>
              </w:rPr>
              <w:t>as</w:t>
            </w:r>
            <w:r w:rsidR="00FB5286" w:rsidRPr="00F4368B">
              <w:rPr>
                <w:bCs/>
                <w:shd w:val="clear" w:color="auto" w:fill="FFFFFF"/>
              </w:rPr>
              <w:t xml:space="preserve"> nosaka, ka “</w:t>
            </w:r>
            <w:r w:rsidR="00FB5286" w:rsidRPr="00F4368B">
              <w:rPr>
                <w:bCs/>
                <w:i/>
                <w:shd w:val="clear" w:color="auto" w:fill="FFFFFF"/>
              </w:rPr>
              <w:t>I</w:t>
            </w:r>
            <w:r w:rsidR="00FB5286" w:rsidRPr="00F4368B">
              <w:rPr>
                <w:i/>
                <w:shd w:val="clear" w:color="auto" w:fill="FFFFFF"/>
              </w:rPr>
              <w:t>zveidojot jaunu sistēmas pieslēgumu, sistēmas dalībnieks saskaņā ar Kodeksa 2.pielikumā, pieslēguma līgumā un sistēmas pakalpojumu līgumā noteiktajām prasībām ierīko atbilstošu elektroenerģijas komercuzskaites mēraparātu (turpmāk - uzskaites mēraparāts), un sistēmas operators organizē komercuzskaites mēraparāta ieslēgšanu automatizētajā elektroenerģijas uzskaites sistēmā (turpmāk - AEUS), ja prognozētais caurplūstošās elektroenerģijas apjoms pārsniedz 2</w:t>
            </w:r>
            <w:r w:rsidR="005E5ABB" w:rsidRPr="00F4368B">
              <w:rPr>
                <w:i/>
                <w:shd w:val="clear" w:color="auto" w:fill="FFFFFF"/>
              </w:rPr>
              <w:t> </w:t>
            </w:r>
            <w:r w:rsidR="00FB5286" w:rsidRPr="00F4368B">
              <w:rPr>
                <w:i/>
                <w:shd w:val="clear" w:color="auto" w:fill="FFFFFF"/>
              </w:rPr>
              <w:t>500</w:t>
            </w:r>
            <w:r w:rsidR="005E5ABB" w:rsidRPr="00F4368B">
              <w:rPr>
                <w:i/>
                <w:shd w:val="clear" w:color="auto" w:fill="FFFFFF"/>
              </w:rPr>
              <w:t> </w:t>
            </w:r>
            <w:r w:rsidR="00FB5286" w:rsidRPr="00F4368B">
              <w:rPr>
                <w:i/>
                <w:shd w:val="clear" w:color="auto" w:fill="FFFFFF"/>
              </w:rPr>
              <w:t>kWh/gadā</w:t>
            </w:r>
            <w:r w:rsidR="00FB5286" w:rsidRPr="00F4368B">
              <w:rPr>
                <w:shd w:val="clear" w:color="auto" w:fill="FFFFFF"/>
              </w:rPr>
              <w:t>”</w:t>
            </w:r>
            <w:r w:rsidR="001F4547" w:rsidRPr="00F4368B">
              <w:rPr>
                <w:shd w:val="clear" w:color="auto" w:fill="FFFFFF"/>
              </w:rPr>
              <w:t>.</w:t>
            </w:r>
          </w:p>
          <w:p w14:paraId="6CB8EF60" w14:textId="77777777" w:rsidR="00F83076" w:rsidRPr="00F4368B" w:rsidRDefault="00633733" w:rsidP="00F4368B">
            <w:pPr>
              <w:pStyle w:val="naiskr"/>
              <w:spacing w:before="0" w:after="0"/>
              <w:jc w:val="both"/>
            </w:pPr>
            <w:r w:rsidRPr="00F4368B">
              <w:t xml:space="preserve">Šobrīd </w:t>
            </w:r>
            <w:r w:rsidR="00F83076" w:rsidRPr="00F4368B">
              <w:t>Noteikumu Nr.40 pielikuma</w:t>
            </w:r>
            <w:r w:rsidR="00021BDE" w:rsidRPr="00F4368B">
              <w:t xml:space="preserve"> 8.1. un 8.3. punkt</w:t>
            </w:r>
            <w:r w:rsidR="001667FC" w:rsidRPr="00F4368B">
              <w:t>s</w:t>
            </w:r>
            <w:r w:rsidR="00021BDE" w:rsidRPr="00F4368B">
              <w:t xml:space="preserve"> </w:t>
            </w:r>
            <w:r w:rsidR="001667FC" w:rsidRPr="00F4368B">
              <w:t>nosaka, ka</w:t>
            </w:r>
            <w:r w:rsidR="00021BDE" w:rsidRPr="00F4368B">
              <w:t xml:space="preserve"> vienfā</w:t>
            </w:r>
            <w:r w:rsidR="00103EEB" w:rsidRPr="00F4368B">
              <w:t>zes</w:t>
            </w:r>
            <w:r w:rsidR="00021BDE" w:rsidRPr="00F4368B">
              <w:t xml:space="preserve"> un trīsfāzu indukcijas </w:t>
            </w:r>
            <w:r w:rsidR="00EB2AA1" w:rsidRPr="00F4368B">
              <w:t xml:space="preserve">tipa elektroenerģijas skaitītāju verifikācijas periodiskums </w:t>
            </w:r>
            <w:r w:rsidR="001667FC" w:rsidRPr="00F4368B">
              <w:t>ir</w:t>
            </w:r>
            <w:r w:rsidR="00EB2AA1" w:rsidRPr="00F4368B">
              <w:t xml:space="preserve"> ne retāk</w:t>
            </w:r>
            <w:r w:rsidR="001667FC" w:rsidRPr="00F4368B">
              <w:t>s</w:t>
            </w:r>
            <w:r w:rsidR="00EB2AA1" w:rsidRPr="00F4368B">
              <w:t xml:space="preserve"> kā reizi</w:t>
            </w:r>
            <w:r w:rsidR="00021BDE" w:rsidRPr="00F4368B">
              <w:t xml:space="preserve"> 16 gados.</w:t>
            </w:r>
          </w:p>
          <w:p w14:paraId="0DC42D64" w14:textId="77777777" w:rsidR="00F83076" w:rsidRPr="00F4368B" w:rsidRDefault="00A43A02" w:rsidP="00F4368B">
            <w:pPr>
              <w:pStyle w:val="naiskr"/>
              <w:spacing w:before="0" w:after="0"/>
              <w:jc w:val="both"/>
            </w:pPr>
            <w:r w:rsidRPr="00F4368B">
              <w:t>Atbilstoši AS “Sadales tīkls” sniegtajai informācijai</w:t>
            </w:r>
            <w:r w:rsidR="001667FC" w:rsidRPr="00F4368B">
              <w:t xml:space="preserve"> laika periodā no 2016. gada līdz 2023. gadam </w:t>
            </w:r>
            <w:r w:rsidR="008802FA" w:rsidRPr="00F4368B">
              <w:t xml:space="preserve">katru gadu </w:t>
            </w:r>
            <w:r w:rsidR="001667FC" w:rsidRPr="00F4368B">
              <w:t xml:space="preserve">jānomaina vidēji līdz 115 tūkstošiem indukcijas tipa </w:t>
            </w:r>
            <w:r w:rsidR="00F85C86" w:rsidRPr="00F4368B">
              <w:t xml:space="preserve">elektroenerģijas </w:t>
            </w:r>
            <w:r w:rsidR="001667FC" w:rsidRPr="00F4368B">
              <w:t>ska</w:t>
            </w:r>
            <w:r w:rsidR="00633733" w:rsidRPr="00F4368B">
              <w:t>i</w:t>
            </w:r>
            <w:r w:rsidR="001667FC" w:rsidRPr="00F4368B">
              <w:t>tītāju</w:t>
            </w:r>
            <w:r w:rsidR="00632AE1" w:rsidRPr="00F4368B">
              <w:t>,</w:t>
            </w:r>
            <w:r w:rsidR="00B25D6A" w:rsidRPr="00F4368B">
              <w:t xml:space="preserve"> </w:t>
            </w:r>
            <w:r w:rsidR="001667FC" w:rsidRPr="00F4368B">
              <w:t xml:space="preserve">kuriem </w:t>
            </w:r>
            <w:r w:rsidR="00103EEB" w:rsidRPr="00F4368B">
              <w:t xml:space="preserve">konkrētajā gadā būs </w:t>
            </w:r>
            <w:r w:rsidR="001667FC" w:rsidRPr="00F4368B">
              <w:t>pienācis verifikācijas termiņš.</w:t>
            </w:r>
          </w:p>
          <w:p w14:paraId="3A0DFE04" w14:textId="77777777" w:rsidR="008802FA" w:rsidRPr="00F4368B" w:rsidRDefault="008802FA" w:rsidP="00F4368B">
            <w:pPr>
              <w:pStyle w:val="naiskr"/>
              <w:spacing w:before="0" w:after="0"/>
              <w:jc w:val="both"/>
            </w:pPr>
            <w:r w:rsidRPr="00F4368B">
              <w:t>Šie</w:t>
            </w:r>
            <w:r w:rsidR="00B11738" w:rsidRPr="00F4368B">
              <w:t xml:space="preserve"> elektroenerģijas</w:t>
            </w:r>
            <w:r w:rsidRPr="00F4368B">
              <w:t xml:space="preserve"> skaitītāji ir izkliedēti visā AS</w:t>
            </w:r>
            <w:r w:rsidR="00DB305E" w:rsidRPr="00F4368B">
              <w:t> </w:t>
            </w:r>
            <w:r w:rsidRPr="00F4368B">
              <w:t>„Sadales tīkls” licences zonā.</w:t>
            </w:r>
          </w:p>
          <w:p w14:paraId="45D6AB21" w14:textId="77777777" w:rsidR="00D178D9" w:rsidRPr="00F4368B" w:rsidRDefault="00FA6C30" w:rsidP="00F4368B">
            <w:pPr>
              <w:pStyle w:val="naiskr"/>
              <w:spacing w:before="0" w:after="0"/>
              <w:jc w:val="both"/>
            </w:pPr>
            <w:r w:rsidRPr="00F4368B">
              <w:t xml:space="preserve">Viedo </w:t>
            </w:r>
            <w:r w:rsidR="00B11738" w:rsidRPr="00F4368B">
              <w:t xml:space="preserve">elektroenerģijas </w:t>
            </w:r>
            <w:r w:rsidRPr="00F4368B">
              <w:t>skaitītāju uzstādīšana izkliedētā veidā no resursu izlietojuma viedokļa nav pamatota ne ekonomiski</w:t>
            </w:r>
            <w:r w:rsidR="00280571" w:rsidRPr="00F4368B">
              <w:t>,</w:t>
            </w:r>
            <w:r w:rsidRPr="00F4368B">
              <w:t xml:space="preserve"> ne tehniski</w:t>
            </w:r>
            <w:r w:rsidR="00633733" w:rsidRPr="00F4368B">
              <w:t>,</w:t>
            </w:r>
            <w:r w:rsidRPr="00F4368B">
              <w:t xml:space="preserve"> jo:</w:t>
            </w:r>
          </w:p>
          <w:p w14:paraId="576FFC5C" w14:textId="77777777" w:rsidR="00FA6C30" w:rsidRPr="00F4368B" w:rsidRDefault="00FA6C30" w:rsidP="00F4368B">
            <w:pPr>
              <w:jc w:val="both"/>
            </w:pPr>
            <w:r w:rsidRPr="00F4368B">
              <w:t xml:space="preserve">1) </w:t>
            </w:r>
            <w:r w:rsidR="00D84409" w:rsidRPr="00F4368B">
              <w:t xml:space="preserve">viedo elektroenerģijas skaitītāju iegādes un ekspluatācijas izmaksas ir </w:t>
            </w:r>
            <w:r w:rsidR="00132C7C" w:rsidRPr="00F4368B">
              <w:t xml:space="preserve">ievērojami </w:t>
            </w:r>
            <w:r w:rsidR="00D84409" w:rsidRPr="00F4368B">
              <w:t xml:space="preserve">augstākas, jo </w:t>
            </w:r>
            <w:r w:rsidRPr="00F4368B">
              <w:t>jāuzstāda viedie</w:t>
            </w:r>
            <w:r w:rsidR="00B11738" w:rsidRPr="00F4368B">
              <w:t xml:space="preserve"> elektroenerģijas</w:t>
            </w:r>
            <w:r w:rsidRPr="00F4368B">
              <w:t xml:space="preserve"> skaitītāji ar komunikāciju tehnoloģiju (piemēram, </w:t>
            </w:r>
            <w:r w:rsidR="00B11738" w:rsidRPr="00F4368B">
              <w:t xml:space="preserve">elektroenerģijas </w:t>
            </w:r>
            <w:r w:rsidRPr="00F4368B">
              <w:t>skaitītāji ar GPRS modemu), kura ir pielāgota izkliedēti izvietotu viedo</w:t>
            </w:r>
            <w:r w:rsidR="00B11738" w:rsidRPr="00F4368B">
              <w:t xml:space="preserve"> elektroenerģijas</w:t>
            </w:r>
            <w:r w:rsidRPr="00F4368B">
              <w:t xml:space="preserve"> skaitītāju nolasīšanai</w:t>
            </w:r>
            <w:r w:rsidR="00132C7C" w:rsidRPr="00F4368B">
              <w:t>;</w:t>
            </w:r>
          </w:p>
          <w:p w14:paraId="7E313A6C" w14:textId="77777777" w:rsidR="00FA6C30" w:rsidRPr="00F4368B" w:rsidRDefault="00FA6C30" w:rsidP="00F4368B">
            <w:pPr>
              <w:jc w:val="both"/>
            </w:pPr>
            <w:r w:rsidRPr="00F4368B">
              <w:t>2) viedo</w:t>
            </w:r>
            <w:r w:rsidR="00B11738" w:rsidRPr="00F4368B">
              <w:t xml:space="preserve"> elektroenerģijas </w:t>
            </w:r>
            <w:r w:rsidRPr="00F4368B">
              <w:t>skaitītāju uzstādīšanas izmaksas ir augstākas, veicot individuālus izbraukumus pie teritoriāli dažādās vietās izvietotiem</w:t>
            </w:r>
            <w:r w:rsidR="00B11738" w:rsidRPr="00F4368B">
              <w:t xml:space="preserve"> elektroenerģijas</w:t>
            </w:r>
            <w:r w:rsidRPr="00F4368B">
              <w:t xml:space="preserve"> skaitītājiem;</w:t>
            </w:r>
          </w:p>
          <w:p w14:paraId="419B3BBE" w14:textId="77777777" w:rsidR="00FA6C30" w:rsidRPr="00F4368B" w:rsidRDefault="00FA6C30" w:rsidP="00F4368B">
            <w:pPr>
              <w:jc w:val="both"/>
            </w:pPr>
            <w:r w:rsidRPr="00F4368B">
              <w:t>3) nav iespējams iegūt elektroenerģijas zudumu un elektrotīkla attīstības plānošanai nepieciešamo informāciju par elektroenerģijas bilanci par visiem pie vienas transformatoru apakšstacijas pieslēgtajiem objektiem;</w:t>
            </w:r>
          </w:p>
          <w:p w14:paraId="7B4FC142" w14:textId="77777777" w:rsidR="00FA6C30" w:rsidRPr="00F4368B" w:rsidRDefault="00FA6C30" w:rsidP="00F4368B">
            <w:pPr>
              <w:jc w:val="both"/>
            </w:pPr>
            <w:r w:rsidRPr="00F4368B">
              <w:t>4) nav iespējams optimizēt darbaspēka izmaksas (uzstādot viedos</w:t>
            </w:r>
            <w:r w:rsidR="00B11738" w:rsidRPr="00F4368B">
              <w:t xml:space="preserve"> elektroenerģijas</w:t>
            </w:r>
            <w:r w:rsidRPr="00F4368B">
              <w:t xml:space="preserve"> skaitītājus koncentrēti vienā reģionā, var optimizēt šī reģiona darbaspēka izmaksas)</w:t>
            </w:r>
            <w:r w:rsidR="001D4013" w:rsidRPr="00F4368B">
              <w:t>.</w:t>
            </w:r>
          </w:p>
          <w:p w14:paraId="3DB60DFE" w14:textId="77777777" w:rsidR="00FA6C30" w:rsidRPr="00F4368B" w:rsidRDefault="001D4013" w:rsidP="00F4368B">
            <w:pPr>
              <w:pStyle w:val="naiskr"/>
              <w:spacing w:before="0" w:after="0"/>
              <w:jc w:val="both"/>
            </w:pPr>
            <w:r w:rsidRPr="00F4368B">
              <w:t>Līdz ar to</w:t>
            </w:r>
            <w:r w:rsidR="000E23B0" w:rsidRPr="00F4368B">
              <w:t>,</w:t>
            </w:r>
            <w:r w:rsidRPr="00F4368B">
              <w:t xml:space="preserve"> no </w:t>
            </w:r>
            <w:r w:rsidR="000E23B0" w:rsidRPr="00F4368B">
              <w:t xml:space="preserve">tehniskā un ekonomiskā aspekta </w:t>
            </w:r>
            <w:r w:rsidRPr="00F4368B">
              <w:t>viedok</w:t>
            </w:r>
            <w:r w:rsidR="000E23B0" w:rsidRPr="00F4368B">
              <w:t>ļa,</w:t>
            </w:r>
            <w:r w:rsidRPr="00F4368B">
              <w:t xml:space="preserve"> </w:t>
            </w:r>
            <w:r w:rsidR="000E23B0" w:rsidRPr="00F4368B">
              <w:t xml:space="preserve"> efektīvāk </w:t>
            </w:r>
            <w:r w:rsidRPr="00F4368B">
              <w:t>ir</w:t>
            </w:r>
            <w:r w:rsidR="00103EEB" w:rsidRPr="00F4368B">
              <w:t xml:space="preserve"> v</w:t>
            </w:r>
            <w:r w:rsidR="00FA6C30" w:rsidRPr="00F4368B">
              <w:t>iedo</w:t>
            </w:r>
            <w:r w:rsidR="00B11738" w:rsidRPr="00F4368B">
              <w:t xml:space="preserve"> elektroenerģijas</w:t>
            </w:r>
            <w:r w:rsidR="00FA6C30" w:rsidRPr="00F4368B">
              <w:t xml:space="preserve"> skaitītāju </w:t>
            </w:r>
            <w:r w:rsidRPr="00F4368B">
              <w:t xml:space="preserve">uzstādīšanu </w:t>
            </w:r>
            <w:r w:rsidR="00D87A72" w:rsidRPr="00F4368B">
              <w:t xml:space="preserve">veikt </w:t>
            </w:r>
            <w:r w:rsidR="00FA6C30" w:rsidRPr="00F4368B">
              <w:t xml:space="preserve">plānveidīgi, nomainot visus pie vienas transformatoru apakšstacijas pieslēgto objektu </w:t>
            </w:r>
            <w:r w:rsidR="00B11738" w:rsidRPr="00F4368B">
              <w:t xml:space="preserve">elektroenerģijas </w:t>
            </w:r>
            <w:r w:rsidR="00FA6C30" w:rsidRPr="00F4368B">
              <w:t>skaitītājus</w:t>
            </w:r>
            <w:r w:rsidR="000E23B0" w:rsidRPr="00F4368B">
              <w:t>.</w:t>
            </w:r>
            <w:r w:rsidR="00103EEB" w:rsidRPr="00F4368B">
              <w:t xml:space="preserve"> </w:t>
            </w:r>
          </w:p>
          <w:p w14:paraId="0C439D6C" w14:textId="77777777" w:rsidR="004B66D8" w:rsidRPr="00F4368B" w:rsidRDefault="009121E8" w:rsidP="00F4368B">
            <w:pPr>
              <w:pStyle w:val="naiskr"/>
              <w:spacing w:before="0" w:after="0"/>
              <w:jc w:val="both"/>
            </w:pPr>
            <w:r w:rsidRPr="00F4368B">
              <w:t xml:space="preserve">Atbilstoši </w:t>
            </w:r>
            <w:r w:rsidR="00537C51" w:rsidRPr="00F4368B">
              <w:t>indukcijas tipa elektroenerģijas skaitītāju ražotāj</w:t>
            </w:r>
            <w:r w:rsidRPr="00F4368B">
              <w:t>u</w:t>
            </w:r>
            <w:r w:rsidR="00537C51" w:rsidRPr="00F4368B">
              <w:t xml:space="preserve"> garant</w:t>
            </w:r>
            <w:r w:rsidRPr="00F4368B">
              <w:t xml:space="preserve">ijām, </w:t>
            </w:r>
            <w:r w:rsidR="00103EEB" w:rsidRPr="00F4368B">
              <w:t>vienfāzes un trīsfāzu</w:t>
            </w:r>
            <w:r w:rsidR="009E559A" w:rsidRPr="00F4368B">
              <w:t xml:space="preserve"> indukcijas tipa elektroenerģijas skaitītāju garantēt</w:t>
            </w:r>
            <w:r w:rsidR="00103EEB" w:rsidRPr="00F4368B">
              <w:t>ais kalpošanas laiks ir 32 gadi</w:t>
            </w:r>
            <w:r w:rsidRPr="00F4368B">
              <w:t xml:space="preserve">. </w:t>
            </w:r>
          </w:p>
          <w:p w14:paraId="18FAEB0A" w14:textId="77777777" w:rsidR="007561D9" w:rsidRPr="00F4368B" w:rsidRDefault="004B66D8" w:rsidP="00F4368B">
            <w:pPr>
              <w:pStyle w:val="naiskr"/>
              <w:spacing w:before="0" w:after="0"/>
              <w:jc w:val="both"/>
            </w:pPr>
            <w:r w:rsidRPr="00F4368B">
              <w:t>Pirms indukcijas tipa elektroenerģijas skaitītāj</w:t>
            </w:r>
            <w:r w:rsidR="00AF058B" w:rsidRPr="00F4368B">
              <w:t>u uzstādīšanas, tiem</w:t>
            </w:r>
            <w:r w:rsidRPr="00F4368B">
              <w:t xml:space="preserve"> tiek veikta regulēšana un verifikācija. Kad </w:t>
            </w:r>
            <w:r w:rsidR="00B11738" w:rsidRPr="00F4368B">
              <w:t xml:space="preserve">elektroenerģijas </w:t>
            </w:r>
            <w:r w:rsidRPr="00F4368B">
              <w:t>skaitītāja metroloģisko parametru regulēšana pabeigta</w:t>
            </w:r>
            <w:r w:rsidR="00280571" w:rsidRPr="00F4368B">
              <w:t>,</w:t>
            </w:r>
            <w:r w:rsidRPr="00F4368B">
              <w:t xml:space="preserve"> visi regulēšanas elementi </w:t>
            </w:r>
            <w:r w:rsidR="00BE0D90" w:rsidRPr="00F4368B">
              <w:t xml:space="preserve">tiek </w:t>
            </w:r>
            <w:r w:rsidRPr="00F4368B">
              <w:t>nofiksēti</w:t>
            </w:r>
            <w:r w:rsidR="00BE0D90" w:rsidRPr="00F4368B">
              <w:t xml:space="preserve"> un </w:t>
            </w:r>
            <w:r w:rsidR="00B11738" w:rsidRPr="00F4368B">
              <w:t xml:space="preserve">elektroenerģijas </w:t>
            </w:r>
            <w:r w:rsidRPr="00F4368B">
              <w:t>skaitītāja metroloģisko parametru patvaļīgas izmaiņas nav iespējamas. Vienīgais, kas var ietekmēt</w:t>
            </w:r>
            <w:r w:rsidR="00B11738" w:rsidRPr="00F4368B">
              <w:t xml:space="preserve"> elektroenerģijas</w:t>
            </w:r>
            <w:r w:rsidRPr="00F4368B">
              <w:t xml:space="preserve"> skaitītāja metrol</w:t>
            </w:r>
            <w:r w:rsidR="003C4A15" w:rsidRPr="00F4368B">
              <w:t>oģisko parametrus ir tā kustīgās</w:t>
            </w:r>
            <w:r w:rsidRPr="00F4368B">
              <w:t xml:space="preserve"> detaļas</w:t>
            </w:r>
            <w:r w:rsidR="007561D9" w:rsidRPr="00F4368B">
              <w:t>:</w:t>
            </w:r>
          </w:p>
          <w:p w14:paraId="6D1797F3" w14:textId="77777777" w:rsidR="007561D9" w:rsidRPr="00F4368B" w:rsidRDefault="00B11738" w:rsidP="00F4368B">
            <w:pPr>
              <w:pStyle w:val="naiskr"/>
              <w:numPr>
                <w:ilvl w:val="0"/>
                <w:numId w:val="20"/>
              </w:numPr>
              <w:spacing w:before="0" w:after="0"/>
              <w:ind w:left="0"/>
              <w:jc w:val="both"/>
            </w:pPr>
            <w:r w:rsidRPr="00F4368B">
              <w:t xml:space="preserve">elektroenerģijas </w:t>
            </w:r>
            <w:r w:rsidR="004B66D8" w:rsidRPr="00F4368B">
              <w:t>skaitītāja disks – balstās uz speciāli izgatavot</w:t>
            </w:r>
            <w:r w:rsidR="00347CA8" w:rsidRPr="00F4368B">
              <w:t>iem un pārbaudītiem</w:t>
            </w:r>
            <w:r w:rsidR="004B66D8" w:rsidRPr="00F4368B">
              <w:t xml:space="preserve"> </w:t>
            </w:r>
            <w:r w:rsidR="00347CA8" w:rsidRPr="00F4368B">
              <w:t>gultņiem</w:t>
            </w:r>
            <w:r w:rsidR="007561D9" w:rsidRPr="00F4368B">
              <w:t>;</w:t>
            </w:r>
          </w:p>
          <w:p w14:paraId="3D2D43C2" w14:textId="77777777" w:rsidR="007561D9" w:rsidRPr="00F4368B" w:rsidRDefault="004B66D8" w:rsidP="00F4368B">
            <w:pPr>
              <w:pStyle w:val="naiskr"/>
              <w:numPr>
                <w:ilvl w:val="0"/>
                <w:numId w:val="20"/>
              </w:numPr>
              <w:spacing w:before="0" w:after="0"/>
              <w:ind w:left="0"/>
              <w:jc w:val="both"/>
            </w:pPr>
            <w:r w:rsidRPr="00F4368B">
              <w:t xml:space="preserve"> skaitļu mehānisma rullīši un asītes – pārveido </w:t>
            </w:r>
            <w:r w:rsidR="00DB305E" w:rsidRPr="00F4368B">
              <w:t xml:space="preserve">elektroenerģijas </w:t>
            </w:r>
            <w:r w:rsidR="00347CA8" w:rsidRPr="00F4368B">
              <w:t xml:space="preserve">skaitītāja </w:t>
            </w:r>
            <w:r w:rsidRPr="00F4368B">
              <w:t>diska apgriezienus rādījumā.</w:t>
            </w:r>
          </w:p>
          <w:p w14:paraId="0C8D3455" w14:textId="77777777" w:rsidR="004B66D8" w:rsidRPr="00F4368B" w:rsidRDefault="00951D59" w:rsidP="00F4368B">
            <w:pPr>
              <w:pStyle w:val="naiskr"/>
              <w:spacing w:before="0" w:after="0"/>
              <w:jc w:val="both"/>
            </w:pPr>
            <w:r w:rsidRPr="00F4368B">
              <w:t>Indukcijas tipa elektroenerģijas skaitītāja kustīgo detaļu defekti</w:t>
            </w:r>
            <w:r w:rsidR="003B466E" w:rsidRPr="00F4368B">
              <w:t xml:space="preserve"> vai nolietojums</w:t>
            </w:r>
            <w:r w:rsidRPr="00F4368B">
              <w:t xml:space="preserve"> var </w:t>
            </w:r>
            <w:r w:rsidR="0035438A" w:rsidRPr="00F4368B">
              <w:t xml:space="preserve">izraisīt </w:t>
            </w:r>
            <w:r w:rsidRPr="00F4368B">
              <w:t>tikai un vienīgi to bremzēšanos un attiecīgi uzskaitītās elektroenerģijas</w:t>
            </w:r>
            <w:r w:rsidR="00CE0D7E" w:rsidRPr="00F4368B">
              <w:t xml:space="preserve"> apjoma </w:t>
            </w:r>
            <w:r w:rsidRPr="00F4368B">
              <w:t>samazinājumu.</w:t>
            </w:r>
          </w:p>
          <w:p w14:paraId="201D65F7" w14:textId="77777777" w:rsidR="00537C51" w:rsidRPr="00F4368B" w:rsidRDefault="009121E8" w:rsidP="00F4368B">
            <w:pPr>
              <w:pStyle w:val="naiskr"/>
              <w:spacing w:before="0" w:after="0"/>
              <w:jc w:val="both"/>
            </w:pPr>
            <w:r w:rsidRPr="00F4368B">
              <w:t xml:space="preserve">Atbilstoši </w:t>
            </w:r>
            <w:r w:rsidR="00537C51" w:rsidRPr="00F4368B">
              <w:t xml:space="preserve">Vācijas </w:t>
            </w:r>
            <w:r w:rsidR="00060B32" w:rsidRPr="00F4368B">
              <w:t xml:space="preserve">Nacionālā Metroloģijas institūta </w:t>
            </w:r>
            <w:r w:rsidRPr="00F4368B">
              <w:t xml:space="preserve">(PTB) </w:t>
            </w:r>
            <w:r w:rsidR="00060B32" w:rsidRPr="00F4368B">
              <w:t xml:space="preserve">izlases veidā veiktajām indukcijas tipa elektroenerģijas skaitītāju </w:t>
            </w:r>
            <w:r w:rsidR="009E559A" w:rsidRPr="00F4368B">
              <w:t xml:space="preserve">(Actaris C114 indukcijas tipa </w:t>
            </w:r>
            <w:r w:rsidR="004F4F0A" w:rsidRPr="00F4368B">
              <w:t xml:space="preserve">elektroenerģijas </w:t>
            </w:r>
            <w:r w:rsidR="009E559A" w:rsidRPr="00F4368B">
              <w:t>skaitītāji, kādus izmanto arī AS</w:t>
            </w:r>
            <w:r w:rsidR="004F4F0A" w:rsidRPr="00F4368B">
              <w:t> </w:t>
            </w:r>
            <w:r w:rsidR="009E559A" w:rsidRPr="00F4368B">
              <w:t xml:space="preserve">“Sadales tīkls”) </w:t>
            </w:r>
            <w:r w:rsidR="00060B32" w:rsidRPr="00F4368B">
              <w:t xml:space="preserve">metroloģiskajām pārbaudēm, </w:t>
            </w:r>
            <w:r w:rsidR="000E113B" w:rsidRPr="00F4368B">
              <w:t xml:space="preserve">pēc 16 gadu ekspluatācijas indukcijas tipa </w:t>
            </w:r>
            <w:r w:rsidR="00B11738" w:rsidRPr="00F4368B">
              <w:t xml:space="preserve">elektroenerģijas </w:t>
            </w:r>
            <w:r w:rsidR="000E113B" w:rsidRPr="00F4368B">
              <w:t xml:space="preserve">skaitītāju </w:t>
            </w:r>
            <w:r w:rsidR="009C4D2E" w:rsidRPr="00F4368B">
              <w:t xml:space="preserve">uzskaites </w:t>
            </w:r>
            <w:r w:rsidR="000E113B" w:rsidRPr="00F4368B">
              <w:t xml:space="preserve">kļūda nepārsniedz </w:t>
            </w:r>
            <w:r w:rsidR="009C4D2E" w:rsidRPr="00F4368B">
              <w:t>0,11%</w:t>
            </w:r>
            <w:r w:rsidR="000E113B" w:rsidRPr="00F4368B">
              <w:t>, pēc 20</w:t>
            </w:r>
            <w:r w:rsidR="00B11738" w:rsidRPr="00F4368B">
              <w:t> </w:t>
            </w:r>
            <w:r w:rsidR="000E113B" w:rsidRPr="00F4368B">
              <w:t xml:space="preserve">gadu kalpošanas nepārsniedz </w:t>
            </w:r>
            <w:r w:rsidR="009C4D2E" w:rsidRPr="00F4368B">
              <w:t>0,39%</w:t>
            </w:r>
            <w:r w:rsidR="000E113B" w:rsidRPr="00F4368B">
              <w:t xml:space="preserve">, pēc 24 gadu kalpošanas nepārsniedz </w:t>
            </w:r>
            <w:r w:rsidR="009C4D2E" w:rsidRPr="00F4368B">
              <w:t>0,58%</w:t>
            </w:r>
            <w:r w:rsidR="000E113B" w:rsidRPr="00F4368B">
              <w:t>.</w:t>
            </w:r>
          </w:p>
          <w:p w14:paraId="22DD7A57" w14:textId="77777777" w:rsidR="00DF6369" w:rsidRPr="00F4368B" w:rsidRDefault="003B466E" w:rsidP="00F4368B">
            <w:pPr>
              <w:pStyle w:val="naiskr"/>
              <w:spacing w:before="0" w:after="0"/>
              <w:jc w:val="both"/>
            </w:pPr>
            <w:r w:rsidRPr="00F4368B">
              <w:t>Iepazīstoties ar c</w:t>
            </w:r>
            <w:r w:rsidR="003A2826" w:rsidRPr="00F4368B">
              <w:t xml:space="preserve">itu </w:t>
            </w:r>
            <w:r w:rsidR="00D7725F" w:rsidRPr="00F4368B">
              <w:t>Eiropas Savienības valstu</w:t>
            </w:r>
            <w:r w:rsidR="003A2826" w:rsidRPr="00F4368B">
              <w:t xml:space="preserve"> </w:t>
            </w:r>
            <w:r w:rsidRPr="00F4368B">
              <w:t>normatīvo</w:t>
            </w:r>
            <w:r w:rsidR="00B62EA7" w:rsidRPr="00F4368B">
              <w:t xml:space="preserve"> </w:t>
            </w:r>
            <w:r w:rsidR="003A2826" w:rsidRPr="00F4368B">
              <w:t>regulējum</w:t>
            </w:r>
            <w:r w:rsidR="00103EEB" w:rsidRPr="00F4368B">
              <w:t>u</w:t>
            </w:r>
            <w:r w:rsidR="003A2826" w:rsidRPr="00F4368B">
              <w:t xml:space="preserve"> par indukcijas tipa elektroen</w:t>
            </w:r>
            <w:r w:rsidRPr="00F4368B">
              <w:t>erģijas skaitītāju verifikāciju, īpaši jāatzīmē Igaunijas pieredze</w:t>
            </w:r>
            <w:r w:rsidR="00DF6369" w:rsidRPr="00F4368B">
              <w:t xml:space="preserve">, </w:t>
            </w:r>
            <w:r w:rsidRPr="00F4368B">
              <w:t>kur,</w:t>
            </w:r>
            <w:r w:rsidR="00103EEB" w:rsidRPr="00F4368B">
              <w:t xml:space="preserve"> </w:t>
            </w:r>
            <w:r w:rsidRPr="00F4368B">
              <w:t>indukcijas tipa elektroenerģijas skaitītāju verifikācijas periods tiek pagarināts līdz brīdim</w:t>
            </w:r>
            <w:r w:rsidR="00280571" w:rsidRPr="00F4368B">
              <w:t>,</w:t>
            </w:r>
            <w:r w:rsidRPr="00F4368B">
              <w:t xml:space="preserve"> kad tā vietā tiek uzstādīts viedais elektroenerģijas skaitītājs</w:t>
            </w:r>
            <w:r w:rsidR="00DF6369" w:rsidRPr="00F4368B">
              <w:t xml:space="preserve"> (lielākais Igaunijas elektroenerģijas sadales sistēmas operators “Elektrilevi” esošos elektroenerģijas skaitītājus </w:t>
            </w:r>
            <w:r w:rsidR="00103EEB" w:rsidRPr="00F4368B">
              <w:t>plāno nomainīt</w:t>
            </w:r>
            <w:r w:rsidR="00DF6369" w:rsidRPr="00F4368B">
              <w:t xml:space="preserve"> pret viedajiem elektroenerģijas skaitītājiem līdz 2017. gada beigām). </w:t>
            </w:r>
          </w:p>
          <w:p w14:paraId="25AB2BA1" w14:textId="77777777" w:rsidR="00414E6A" w:rsidRPr="00F4368B" w:rsidRDefault="00DF6369" w:rsidP="00F4368B">
            <w:pPr>
              <w:pStyle w:val="naiskr"/>
              <w:spacing w:before="0" w:after="0"/>
              <w:jc w:val="both"/>
            </w:pPr>
            <w:r w:rsidRPr="00F4368B">
              <w:t xml:space="preserve">Savukārt daudzās citās Eiropas Savienības valstīs, kā piemēram, </w:t>
            </w:r>
            <w:r w:rsidR="003A2826" w:rsidRPr="00F4368B">
              <w:t>Vācij</w:t>
            </w:r>
            <w:r w:rsidRPr="00F4368B">
              <w:t>ā</w:t>
            </w:r>
            <w:r w:rsidR="003A2826" w:rsidRPr="00F4368B">
              <w:t xml:space="preserve"> un Austrij</w:t>
            </w:r>
            <w:r w:rsidRPr="00F4368B">
              <w:t>ā</w:t>
            </w:r>
            <w:r w:rsidR="003A2826" w:rsidRPr="00F4368B">
              <w:t>, pēc 16 gadiem tiek veikta indukcijas tipa elektroenerģijas skaitītāju verifikācija izlases veidā, attiecīgi pagarinot verifikācijas termiņu par 5 gadiem, tad atkal tiek veikta izlases veida verifikācija un verifikācijas termiņš pagarinās par vēl 5</w:t>
            </w:r>
            <w:r w:rsidRPr="00F4368B">
              <w:t> </w:t>
            </w:r>
            <w:r w:rsidR="003A2826" w:rsidRPr="00F4368B">
              <w:t xml:space="preserve">gadiem. </w:t>
            </w:r>
            <w:r w:rsidRPr="00F4368B">
              <w:t xml:space="preserve">Šajās valstīs </w:t>
            </w:r>
            <w:r w:rsidR="003A2826" w:rsidRPr="00F4368B">
              <w:t>indukcijas tipa elektroenerģijas skaitītājus ekspluatē l</w:t>
            </w:r>
            <w:r w:rsidR="000F6940" w:rsidRPr="00F4368B">
              <w:t>īdz pat 40 gadiem.</w:t>
            </w:r>
          </w:p>
          <w:p w14:paraId="32B59907" w14:textId="77777777" w:rsidR="00836CA6" w:rsidRDefault="00036939" w:rsidP="00F4368B">
            <w:pPr>
              <w:pStyle w:val="naiskr"/>
              <w:spacing w:before="0" w:after="0"/>
              <w:jc w:val="both"/>
            </w:pPr>
            <w:r w:rsidRPr="00F4368B">
              <w:t>L</w:t>
            </w:r>
            <w:r w:rsidR="00087354" w:rsidRPr="00F4368B">
              <w:t>ai</w:t>
            </w:r>
            <w:r w:rsidRPr="00F4368B">
              <w:t xml:space="preserve"> samazinātu sadales sistēmas operatoru resursu izlietojumu viedo elektroenerģijas skaitītāju iegādei, uzstādīšanai un ekspluatācijai, un </w:t>
            </w:r>
            <w:r w:rsidR="00087354" w:rsidRPr="00F4368B">
              <w:t xml:space="preserve">nodrošinātu pakāpenisku un samērīgu indukcijas tipa elektroenerģijas skaitītāju nomaiņu, </w:t>
            </w:r>
            <w:r w:rsidRPr="00F4368B">
              <w:t xml:space="preserve">sagatavoti </w:t>
            </w:r>
            <w:r w:rsidR="00087354" w:rsidRPr="00F4368B">
              <w:t xml:space="preserve">Noteikumu Nr. 40 grozījumi, </w:t>
            </w:r>
            <w:r w:rsidR="00836CA6" w:rsidRPr="00F4368B">
              <w:t>pagarinot vienfāzes un trīsfāzu indukcijas tipa elektroenerģijas skaitītājiem verifikācijas termiņus no 16 gadiem uz 20 gadiem.</w:t>
            </w:r>
          </w:p>
          <w:p w14:paraId="7BBC7DB4" w14:textId="77777777" w:rsidR="00884DC2" w:rsidRPr="004A0946" w:rsidRDefault="006C11B9" w:rsidP="002B078D">
            <w:pPr>
              <w:ind w:firstLine="360"/>
              <w:jc w:val="both"/>
            </w:pPr>
            <w:r w:rsidRPr="004A0946">
              <w:t xml:space="preserve">Noteikumos Nr.40 </w:t>
            </w:r>
            <w:r w:rsidR="002B078D" w:rsidRPr="004A0946">
              <w:t xml:space="preserve">arī </w:t>
            </w:r>
            <w:r w:rsidRPr="004A0946">
              <w:t>iekļauti grozījumi attiecībā uz siltumenerģijas skaitītāju ve</w:t>
            </w:r>
            <w:r w:rsidR="002B078D" w:rsidRPr="004A0946">
              <w:t>rificēšanas periodiskuma biežumu</w:t>
            </w:r>
            <w:r w:rsidRPr="004A0946">
              <w:t>, ņemot vērā siltumenerģijas skaitītāj</w:t>
            </w:r>
            <w:r w:rsidR="002B078D" w:rsidRPr="004A0946">
              <w:t>u sadalījumu pēc to nominālo diametru (DN)</w:t>
            </w:r>
            <w:r w:rsidRPr="004A0946">
              <w:t xml:space="preserve"> izmēriem:</w:t>
            </w:r>
            <w:r w:rsidR="00884DC2" w:rsidRPr="004A0946">
              <w:tab/>
            </w:r>
          </w:p>
          <w:p w14:paraId="092F4C45" w14:textId="77777777" w:rsidR="00884DC2" w:rsidRPr="004A0946" w:rsidRDefault="007364D6" w:rsidP="00884DC2">
            <w:pPr>
              <w:jc w:val="both"/>
            </w:pPr>
            <w:r w:rsidRPr="004A0946">
              <w:t xml:space="preserve">DN </w:t>
            </w:r>
            <w:r w:rsidR="00C57A4A" w:rsidRPr="004A0946">
              <w:t>&lt;</w:t>
            </w:r>
            <w:r w:rsidRPr="004A0946">
              <w:t xml:space="preserve"> </w:t>
            </w:r>
            <w:r w:rsidR="00884DC2" w:rsidRPr="004A0946">
              <w:t>100 mm</w:t>
            </w:r>
            <w:r w:rsidR="00884DC2" w:rsidRPr="004A0946">
              <w:tab/>
              <w:t>(reizi 2 gados)</w:t>
            </w:r>
          </w:p>
          <w:p w14:paraId="768D9980" w14:textId="77777777" w:rsidR="00884DC2" w:rsidRPr="004A0946" w:rsidRDefault="00C57A4A" w:rsidP="00884DC2">
            <w:pPr>
              <w:jc w:val="both"/>
            </w:pPr>
            <w:r w:rsidRPr="004A0946">
              <w:t>100 mm ≤</w:t>
            </w:r>
            <w:r w:rsidR="007364D6" w:rsidRPr="004A0946">
              <w:t xml:space="preserve"> DN ≤ 300 mm </w:t>
            </w:r>
            <w:r w:rsidR="00884DC2" w:rsidRPr="004A0946">
              <w:t>(reizi 4 gados)</w:t>
            </w:r>
          </w:p>
          <w:p w14:paraId="3146CAAC" w14:textId="77777777" w:rsidR="00884DC2" w:rsidRPr="004A0946" w:rsidRDefault="00884DC2" w:rsidP="00884DC2">
            <w:pPr>
              <w:jc w:val="both"/>
            </w:pPr>
            <w:r w:rsidRPr="004A0946">
              <w:t>DN &gt;300 mm</w:t>
            </w:r>
            <w:r w:rsidRPr="004A0946">
              <w:tab/>
              <w:t>(reizi 8 gados)</w:t>
            </w:r>
            <w:r w:rsidR="007364D6" w:rsidRPr="004A0946">
              <w:t>.</w:t>
            </w:r>
          </w:p>
          <w:p w14:paraId="03D9F60A" w14:textId="77777777" w:rsidR="006C11B9" w:rsidRPr="004A0946" w:rsidRDefault="007364D6" w:rsidP="006C11B9">
            <w:pPr>
              <w:pStyle w:val="naiskr"/>
              <w:spacing w:after="0"/>
              <w:jc w:val="both"/>
            </w:pPr>
            <w:r w:rsidRPr="004A0946">
              <w:t>Siltumenerģijas skaitītāju ar DN≤100mm</w:t>
            </w:r>
            <w:r w:rsidR="006C11B9" w:rsidRPr="004A0946">
              <w:t xml:space="preserve"> īpatsvars ir vislielākais starp piedāvātajām grupām, jo tie ir visi siltumenerģijas skaitītāji, kuri ir nodoti lietošanai privātpersonām (dzīvokļu skaitītāji), gan uzņēmējiem (koģenerācijas stacijas, mazās katlumājas, ražošanas telpas, māju ievada skaitītāji).</w:t>
            </w:r>
            <w:r w:rsidRPr="004A0946">
              <w:t xml:space="preserve"> </w:t>
            </w:r>
            <w:r w:rsidR="006C11B9" w:rsidRPr="004A0946">
              <w:t xml:space="preserve">Šai siltumenerģijas skaitītāju grupai </w:t>
            </w:r>
            <w:r w:rsidRPr="004A0946">
              <w:t>ir saglabājams līdzšinējais</w:t>
            </w:r>
            <w:r w:rsidR="006C11B9" w:rsidRPr="004A0946">
              <w:t xml:space="preserve"> verificēšanas periodiskumu</w:t>
            </w:r>
            <w:r w:rsidRPr="004A0946">
              <w:t>, jo skaitītāji līdz DN≤100</w:t>
            </w:r>
            <w:r w:rsidR="006C11B9" w:rsidRPr="004A0946">
              <w:t>mm visvairāk ir pakļauti trešās puses iejaukšanās riskam skaitītāja darbības ciklā, kas savukārt atsaucas uz kopējās uzskaites bilancēm un finansiālajiem rādītājiem.  Esošā siltumenerģijas skaitītāju parka nestabilitāte un nolietojums nenodrošina skaitītāja mērījumu atbilstību un izsekojamību visā lietošanas periodā. Kā papildus slogu šai skaitītāju grupai var atzīmēt skaitītāju darbības ciklu izmaiņas, kas ļoti būtiski ietekmē skaitītāja uzskaites elementus – plūsmas mērītāju. Pamatojoties cikliskajai siltumenerģijas regulēšanai, kas nenodrošina vienmērīgu un stabilu uzskaiti, siltumenerģijas skaitītājs ir pakļauts ļoti lielai slodzei, kas atspoguļojās kā: hidrauliskie triecieni, temperatūras režīmu izmaiņas, tīkla ūdens tīrības pakāpe (atsevišķie Latvijas reģioni).</w:t>
            </w:r>
          </w:p>
          <w:p w14:paraId="5BC09108" w14:textId="77777777" w:rsidR="006C11B9" w:rsidRPr="004A0946" w:rsidRDefault="007364D6" w:rsidP="006C11B9">
            <w:pPr>
              <w:pStyle w:val="naiskr"/>
              <w:spacing w:after="0"/>
              <w:jc w:val="both"/>
            </w:pPr>
            <w:r w:rsidRPr="004A0946">
              <w:t>Savukārt siltumenerģijas skaitītāju (</w:t>
            </w:r>
            <w:r w:rsidR="00C57A4A" w:rsidRPr="004A0946">
              <w:t>100 mm ≤ DN ≤ 300 mm)</w:t>
            </w:r>
            <w:r w:rsidRPr="004A0946">
              <w:t xml:space="preserve"> </w:t>
            </w:r>
            <w:r w:rsidR="006C11B9" w:rsidRPr="004A0946">
              <w:t>grupa var tikt definēta, kā lielās slodzes skaitītāji, ar kuriem tiek aprīkotas siltuma katlumājas vai īpaši lielie patērētāji (objekti). Šīs grupas skaitītāji tiek projektēti un izstrādāti tā, lai ilglaicīgi nodrošinātu siltumenerģijas uzskaiti atbilstoši deklarētajiem parametriem īpaši smagos apstākļos (ūdens tīrības pakāpe). Pateicoties siltumnesēja recirkulācijas plūsmai, šo skaitītāju elementi mazāk pakļauti devēju aizaugšanai un šos uzskaites elementus ir iespējams kontrolēt ar katlumājas bilances (lietderības koeficienta) matemātisko aprēķinu, kas ļauj operatīvi reaģēt uz uzskaites mērlīdzekļa bojājumu vai neatbilstošu uzskaiti.</w:t>
            </w:r>
          </w:p>
          <w:p w14:paraId="0588D0FA" w14:textId="77777777" w:rsidR="00087354" w:rsidRPr="00C57A4A" w:rsidRDefault="00C57A4A" w:rsidP="00C57A4A">
            <w:pPr>
              <w:pStyle w:val="naiskr"/>
              <w:spacing w:after="0"/>
              <w:jc w:val="both"/>
              <w:rPr>
                <w:color w:val="FF0000"/>
              </w:rPr>
            </w:pPr>
            <w:r w:rsidRPr="004A0946">
              <w:t xml:space="preserve">Visbeidzot siltumenerģijas skaitītāju (DN &gt;300 mm) grupa var tikt definēta kā </w:t>
            </w:r>
            <w:r w:rsidR="006C11B9" w:rsidRPr="004A0946">
              <w:t>īpaši lielie rūpnieciskie siltumenerģijas skaitītāji, kas paredzēti lietošanai lielajās katlumājās. Pārsvarā tiek izmantoti starptautiski pazīstamo ražotāju izstrādāj</w:t>
            </w:r>
            <w:r w:rsidRPr="004A0946">
              <w:t xml:space="preserve">umi : Siemens, Danfoss, Elkora. </w:t>
            </w:r>
            <w:r w:rsidR="006C11B9" w:rsidRPr="004A0946">
              <w:t xml:space="preserve">Šo skaitītāju lietotāju esošā uzskaites un kontroles sistēma, ļauj īpaši precīzi izsekot un noteikt sistēmas (katlu) lietderības koeficientu, kas savukārt atspoguļo skaitītāja darbību. Pateicoties siltumnesēja lielajai caurplūdei, tā uzskaites elementi (ultraskaņas devēji) tiek mazāk pakļauti nogulsnes izveidei un </w:t>
            </w:r>
            <w:r w:rsidRPr="004A0946">
              <w:t>nodrošina kvalitatīvu uzskaiti. Turklāt, nosakot šo siltumenerģijas skaitītāju periodiskumu tiek ņemts vērā, ka izmaksas, kas saistītas atkārtotās</w:t>
            </w:r>
            <w:r w:rsidR="006C11B9" w:rsidRPr="004A0946">
              <w:t xml:space="preserve"> verificēšanas </w:t>
            </w:r>
            <w:r w:rsidRPr="004A0946">
              <w:t>veikšanu faktiski ir līdzvērtīgas jauna skaitītāja iegādes izmaksām. Tādējādi pienākot atkārtotās verifikācijas termiņam attiecīgā siltumenerģijas skaitītāja lietotājam būs jāizvēlas uzstādīt jaunu skaitītāju vai veikt esošā skaitītāja atkārtoto verifikāciju.</w:t>
            </w:r>
          </w:p>
        </w:tc>
      </w:tr>
      <w:tr w:rsidR="00193E45" w:rsidRPr="00F4368B" w14:paraId="3E487D96" w14:textId="77777777" w:rsidTr="00B865ED">
        <w:trPr>
          <w:trHeight w:val="706"/>
        </w:trPr>
        <w:tc>
          <w:tcPr>
            <w:tcW w:w="524" w:type="dxa"/>
          </w:tcPr>
          <w:p w14:paraId="7915A0F1" w14:textId="77777777" w:rsidR="00193E45" w:rsidRPr="00F4368B" w:rsidRDefault="00193E45" w:rsidP="00F4368B">
            <w:r w:rsidRPr="00F4368B">
              <w:t> 3.</w:t>
            </w:r>
          </w:p>
        </w:tc>
        <w:tc>
          <w:tcPr>
            <w:tcW w:w="2575" w:type="dxa"/>
          </w:tcPr>
          <w:p w14:paraId="4DCC3343" w14:textId="77777777" w:rsidR="00193E45" w:rsidRPr="00F4368B" w:rsidRDefault="00193E45" w:rsidP="00F4368B">
            <w:r w:rsidRPr="00F4368B">
              <w:t>Projekta izstrādē iesaistītās institūcijas</w:t>
            </w:r>
          </w:p>
        </w:tc>
        <w:tc>
          <w:tcPr>
            <w:tcW w:w="5963" w:type="dxa"/>
          </w:tcPr>
          <w:p w14:paraId="2DD778F8" w14:textId="492263A7" w:rsidR="00193E45" w:rsidRPr="00F4368B" w:rsidRDefault="005A6F3D" w:rsidP="00F4368B">
            <w:pPr>
              <w:jc w:val="both"/>
            </w:pPr>
            <w:r w:rsidRPr="00F4368B">
              <w:t xml:space="preserve"> </w:t>
            </w:r>
            <w:r w:rsidR="007852EA">
              <w:t>Projekts šo jomu neskar</w:t>
            </w:r>
          </w:p>
        </w:tc>
      </w:tr>
      <w:tr w:rsidR="00193E45" w:rsidRPr="00F4368B" w14:paraId="11440D61" w14:textId="77777777" w:rsidTr="00B865ED">
        <w:trPr>
          <w:trHeight w:val="384"/>
        </w:trPr>
        <w:tc>
          <w:tcPr>
            <w:tcW w:w="524" w:type="dxa"/>
          </w:tcPr>
          <w:p w14:paraId="7E06C5DF" w14:textId="77777777" w:rsidR="00193E45" w:rsidRPr="00F4368B" w:rsidRDefault="00193E45" w:rsidP="00F4368B">
            <w:r w:rsidRPr="00F4368B">
              <w:t> 4.</w:t>
            </w:r>
          </w:p>
        </w:tc>
        <w:tc>
          <w:tcPr>
            <w:tcW w:w="2575" w:type="dxa"/>
          </w:tcPr>
          <w:p w14:paraId="64E1E8CE" w14:textId="77777777" w:rsidR="00193E45" w:rsidRPr="00F4368B" w:rsidRDefault="00193E45" w:rsidP="00F4368B">
            <w:r w:rsidRPr="00F4368B">
              <w:t>Cita informācija</w:t>
            </w:r>
          </w:p>
        </w:tc>
        <w:tc>
          <w:tcPr>
            <w:tcW w:w="5963" w:type="dxa"/>
          </w:tcPr>
          <w:p w14:paraId="49AD1D26" w14:textId="77777777" w:rsidR="00193E45" w:rsidRPr="00F4368B" w:rsidRDefault="005A6F3D" w:rsidP="00F4368B">
            <w:pPr>
              <w:pStyle w:val="naiskr"/>
              <w:spacing w:before="0" w:after="0"/>
              <w:jc w:val="both"/>
            </w:pPr>
            <w:r w:rsidRPr="00F4368B">
              <w:t xml:space="preserve"> </w:t>
            </w:r>
            <w:r w:rsidR="00193E45" w:rsidRPr="00F4368B">
              <w:t>Nav</w:t>
            </w:r>
          </w:p>
        </w:tc>
      </w:tr>
    </w:tbl>
    <w:p w14:paraId="7AC1FC28" w14:textId="77777777" w:rsidR="00193E45" w:rsidRPr="00F4368B" w:rsidRDefault="00193E45" w:rsidP="00F4368B">
      <w:pPr>
        <w:rPr>
          <w:color w:val="FF0000"/>
        </w:rPr>
      </w:pPr>
    </w:p>
    <w:tbl>
      <w:tblPr>
        <w:tblW w:w="9061"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2576"/>
        <w:gridCol w:w="5962"/>
      </w:tblGrid>
      <w:tr w:rsidR="00193E45" w:rsidRPr="00F4368B" w14:paraId="5CB72727" w14:textId="77777777" w:rsidTr="00C57A4A">
        <w:tc>
          <w:tcPr>
            <w:tcW w:w="9061" w:type="dxa"/>
            <w:gridSpan w:val="3"/>
            <w:tcBorders>
              <w:top w:val="single" w:sz="4" w:space="0" w:color="auto"/>
              <w:left w:val="single" w:sz="4" w:space="0" w:color="auto"/>
              <w:bottom w:val="single" w:sz="4" w:space="0" w:color="auto"/>
              <w:right w:val="single" w:sz="4" w:space="0" w:color="auto"/>
            </w:tcBorders>
            <w:vAlign w:val="center"/>
            <w:hideMark/>
          </w:tcPr>
          <w:p w14:paraId="7EF37407" w14:textId="77777777" w:rsidR="00193E45" w:rsidRPr="00F4368B" w:rsidRDefault="00193E45" w:rsidP="00F4368B">
            <w:pPr>
              <w:jc w:val="center"/>
              <w:rPr>
                <w:b/>
              </w:rPr>
            </w:pPr>
            <w:r w:rsidRPr="00F4368B">
              <w:rPr>
                <w:b/>
              </w:rPr>
              <w:t>II. Tiesību akta projekta ietekme uz sabiedrību tautsaimniecības attīstību un administratīvo slogu</w:t>
            </w:r>
          </w:p>
        </w:tc>
      </w:tr>
      <w:tr w:rsidR="00193E45" w:rsidRPr="00F4368B" w14:paraId="18C65459" w14:textId="77777777" w:rsidTr="00C57A4A">
        <w:trPr>
          <w:trHeight w:val="467"/>
        </w:trPr>
        <w:tc>
          <w:tcPr>
            <w:tcW w:w="523" w:type="dxa"/>
            <w:tcBorders>
              <w:top w:val="single" w:sz="4" w:space="0" w:color="auto"/>
              <w:left w:val="single" w:sz="4" w:space="0" w:color="auto"/>
              <w:bottom w:val="single" w:sz="4" w:space="0" w:color="auto"/>
              <w:right w:val="single" w:sz="4" w:space="0" w:color="auto"/>
            </w:tcBorders>
            <w:hideMark/>
          </w:tcPr>
          <w:p w14:paraId="7965F1AF" w14:textId="77777777" w:rsidR="00193E45" w:rsidRPr="00F4368B" w:rsidRDefault="00193E45" w:rsidP="00F4368B">
            <w:r w:rsidRPr="00F4368B">
              <w:t> 1.</w:t>
            </w:r>
          </w:p>
        </w:tc>
        <w:tc>
          <w:tcPr>
            <w:tcW w:w="2576" w:type="dxa"/>
            <w:tcBorders>
              <w:top w:val="single" w:sz="4" w:space="0" w:color="auto"/>
              <w:left w:val="single" w:sz="4" w:space="0" w:color="auto"/>
              <w:bottom w:val="single" w:sz="4" w:space="0" w:color="auto"/>
              <w:right w:val="single" w:sz="4" w:space="0" w:color="auto"/>
            </w:tcBorders>
            <w:hideMark/>
          </w:tcPr>
          <w:p w14:paraId="56F5C3B4" w14:textId="77777777" w:rsidR="00193E45" w:rsidRPr="00F4368B" w:rsidRDefault="00193E45" w:rsidP="00F4368B">
            <w:r w:rsidRPr="00F4368B">
              <w:t>Sabiedrības mērķgrupas, kuras tiesiskais regulējums  ietekmē vai varētu ietekmēt</w:t>
            </w:r>
          </w:p>
        </w:tc>
        <w:tc>
          <w:tcPr>
            <w:tcW w:w="5962" w:type="dxa"/>
            <w:tcBorders>
              <w:top w:val="single" w:sz="4" w:space="0" w:color="auto"/>
              <w:left w:val="single" w:sz="4" w:space="0" w:color="auto"/>
              <w:bottom w:val="single" w:sz="4" w:space="0" w:color="auto"/>
              <w:right w:val="single" w:sz="4" w:space="0" w:color="auto"/>
            </w:tcBorders>
            <w:hideMark/>
          </w:tcPr>
          <w:p w14:paraId="2D61B76B" w14:textId="77777777" w:rsidR="00193E45" w:rsidRPr="00C57A4A" w:rsidRDefault="00594F10" w:rsidP="004378D7">
            <w:pPr>
              <w:jc w:val="both"/>
              <w:rPr>
                <w:iCs/>
              </w:rPr>
            </w:pPr>
            <w:r w:rsidRPr="00F4368B">
              <w:rPr>
                <w:iCs/>
              </w:rPr>
              <w:t>Noteikumu projekts attiec</w:t>
            </w:r>
            <w:r w:rsidR="004378D7">
              <w:rPr>
                <w:iCs/>
              </w:rPr>
              <w:t>a</w:t>
            </w:r>
            <w:r w:rsidRPr="00F4368B">
              <w:rPr>
                <w:iCs/>
              </w:rPr>
              <w:t xml:space="preserve">s uz </w:t>
            </w:r>
            <w:r w:rsidR="00EB2AA1" w:rsidRPr="00F4368B">
              <w:rPr>
                <w:iCs/>
              </w:rPr>
              <w:t>sadales sistēmas operatoriem</w:t>
            </w:r>
            <w:r w:rsidR="005148BB" w:rsidRPr="00F4368B">
              <w:rPr>
                <w:iCs/>
              </w:rPr>
              <w:t xml:space="preserve">, </w:t>
            </w:r>
            <w:r w:rsidRPr="00F4368B">
              <w:rPr>
                <w:iCs/>
              </w:rPr>
              <w:t xml:space="preserve">visiem </w:t>
            </w:r>
            <w:r w:rsidR="00EB2AA1" w:rsidRPr="00F4368B">
              <w:rPr>
                <w:iCs/>
              </w:rPr>
              <w:t>elektroenerģijas</w:t>
            </w:r>
            <w:r w:rsidR="00926729" w:rsidRPr="00F4368B">
              <w:rPr>
                <w:iCs/>
              </w:rPr>
              <w:t xml:space="preserve"> patēriņa skaitītāju </w:t>
            </w:r>
            <w:r w:rsidRPr="00F4368B">
              <w:rPr>
                <w:iCs/>
              </w:rPr>
              <w:t>lietotājiem,</w:t>
            </w:r>
            <w:r w:rsidR="00C57A4A">
              <w:rPr>
                <w:iCs/>
              </w:rPr>
              <w:t xml:space="preserve"> rūpniecisko siltumenerģijas skaitītāju lietotājiem,</w:t>
            </w:r>
            <w:r w:rsidRPr="00F4368B">
              <w:rPr>
                <w:iCs/>
              </w:rPr>
              <w:t xml:space="preserve"> atbilstības novērtēšanas institūcijām, kas veic </w:t>
            </w:r>
            <w:r w:rsidR="00C57A4A">
              <w:rPr>
                <w:iCs/>
              </w:rPr>
              <w:t>attiecīgo mērīšanas līdzekļu verifikāciju</w:t>
            </w:r>
            <w:r w:rsidR="00033167" w:rsidRPr="00F4368B">
              <w:rPr>
                <w:iCs/>
              </w:rPr>
              <w:t>, kā arī tirgus uzraudzības institūciju – Patērētāju tiesību aizsardzības centru</w:t>
            </w:r>
            <w:r w:rsidR="004378D7">
              <w:rPr>
                <w:iCs/>
              </w:rPr>
              <w:t>.</w:t>
            </w:r>
          </w:p>
        </w:tc>
      </w:tr>
      <w:tr w:rsidR="00193E45" w:rsidRPr="00F4368B" w14:paraId="0F31E12A" w14:textId="77777777" w:rsidTr="00C57A4A">
        <w:trPr>
          <w:trHeight w:val="523"/>
        </w:trPr>
        <w:tc>
          <w:tcPr>
            <w:tcW w:w="523" w:type="dxa"/>
            <w:tcBorders>
              <w:top w:val="single" w:sz="4" w:space="0" w:color="auto"/>
              <w:left w:val="single" w:sz="4" w:space="0" w:color="auto"/>
              <w:bottom w:val="single" w:sz="4" w:space="0" w:color="auto"/>
              <w:right w:val="single" w:sz="4" w:space="0" w:color="auto"/>
            </w:tcBorders>
            <w:hideMark/>
          </w:tcPr>
          <w:p w14:paraId="0B9E90F5" w14:textId="77777777" w:rsidR="00193E45" w:rsidRPr="00F4368B" w:rsidRDefault="00193E45" w:rsidP="00F4368B">
            <w:r w:rsidRPr="00F4368B">
              <w:t> 2.</w:t>
            </w:r>
          </w:p>
        </w:tc>
        <w:tc>
          <w:tcPr>
            <w:tcW w:w="2576" w:type="dxa"/>
            <w:tcBorders>
              <w:top w:val="single" w:sz="4" w:space="0" w:color="auto"/>
              <w:left w:val="single" w:sz="4" w:space="0" w:color="auto"/>
              <w:bottom w:val="single" w:sz="4" w:space="0" w:color="auto"/>
              <w:right w:val="single" w:sz="4" w:space="0" w:color="auto"/>
            </w:tcBorders>
            <w:hideMark/>
          </w:tcPr>
          <w:p w14:paraId="5D2BCA70" w14:textId="77777777" w:rsidR="00193E45" w:rsidRPr="00F4368B" w:rsidRDefault="00193E45" w:rsidP="00F4368B">
            <w:r w:rsidRPr="00F4368B">
              <w:t>Tiesiskā regulējuma ietekme uz tautsaimniecību un administratīvo slogu</w:t>
            </w:r>
          </w:p>
        </w:tc>
        <w:tc>
          <w:tcPr>
            <w:tcW w:w="5962" w:type="dxa"/>
            <w:tcBorders>
              <w:top w:val="single" w:sz="4" w:space="0" w:color="auto"/>
              <w:left w:val="single" w:sz="4" w:space="0" w:color="auto"/>
              <w:bottom w:val="single" w:sz="4" w:space="0" w:color="auto"/>
              <w:right w:val="single" w:sz="4" w:space="0" w:color="auto"/>
            </w:tcBorders>
            <w:hideMark/>
          </w:tcPr>
          <w:p w14:paraId="740216CE" w14:textId="77777777" w:rsidR="004378D7" w:rsidRPr="00F4368B" w:rsidRDefault="00033167" w:rsidP="00C57A4A">
            <w:pPr>
              <w:jc w:val="both"/>
              <w:rPr>
                <w:iCs/>
              </w:rPr>
            </w:pPr>
            <w:r w:rsidRPr="00F4368B">
              <w:rPr>
                <w:iCs/>
              </w:rPr>
              <w:t xml:space="preserve">Ar noteikumu projektu </w:t>
            </w:r>
            <w:r w:rsidRPr="00F4368B">
              <w:t xml:space="preserve">tiek </w:t>
            </w:r>
            <w:r w:rsidR="00590452" w:rsidRPr="00F4368B">
              <w:t xml:space="preserve">pagarināts vienfāžu un trīsfāzu indukcijas tipa elektroenerģijas skaitītāju verifikācijas </w:t>
            </w:r>
            <w:r w:rsidR="00590452" w:rsidRPr="004A0946">
              <w:t xml:space="preserve">periodiskums no 16  uz 20 gadiem, </w:t>
            </w:r>
            <w:r w:rsidRPr="004A0946">
              <w:t xml:space="preserve">līdz ar to samazinot investīciju </w:t>
            </w:r>
            <w:r w:rsidR="00590452" w:rsidRPr="004A0946">
              <w:t xml:space="preserve">un ekspluatācijas izmaksu </w:t>
            </w:r>
            <w:r w:rsidRPr="004A0946">
              <w:t>apjomu, kas nepieciešams</w:t>
            </w:r>
            <w:r w:rsidR="00B11738" w:rsidRPr="004A0946">
              <w:t xml:space="preserve"> elektroenerģijas</w:t>
            </w:r>
            <w:r w:rsidRPr="004A0946">
              <w:t xml:space="preserve"> skaitītāju nomaiņai. Tādējādi tiek samazināts administratīvais slogs </w:t>
            </w:r>
            <w:r w:rsidR="00B96A18" w:rsidRPr="004A0946">
              <w:rPr>
                <w:iCs/>
              </w:rPr>
              <w:t>elektroenerģijas sadales sistēmas operatoriem</w:t>
            </w:r>
            <w:r w:rsidRPr="004A0946">
              <w:rPr>
                <w:iCs/>
              </w:rPr>
              <w:t>.</w:t>
            </w:r>
            <w:r w:rsidR="00C57A4A" w:rsidRPr="004A0946">
              <w:rPr>
                <w:iCs/>
              </w:rPr>
              <w:t xml:space="preserve"> Vienlaikus ņemot vērā, ka tiek precizēts siltumenerģijas skaitītāju verifikācijas periodiskums, tiktu samazināts </w:t>
            </w:r>
            <w:r w:rsidR="00CC2701" w:rsidRPr="004A0946">
              <w:rPr>
                <w:iCs/>
              </w:rPr>
              <w:t xml:space="preserve">administratīvais slogs </w:t>
            </w:r>
            <w:r w:rsidR="00C57A4A" w:rsidRPr="004A0946">
              <w:rPr>
                <w:iCs/>
              </w:rPr>
              <w:t xml:space="preserve">uz </w:t>
            </w:r>
            <w:r w:rsidR="00CC2701" w:rsidRPr="004A0946">
              <w:rPr>
                <w:iCs/>
              </w:rPr>
              <w:t>lielo rūpniecisko siltumenerģijas skaitītāju lietotājiem.</w:t>
            </w:r>
          </w:p>
        </w:tc>
      </w:tr>
      <w:tr w:rsidR="00193E45" w:rsidRPr="00F4368B" w14:paraId="215FAF90" w14:textId="77777777" w:rsidTr="00C57A4A">
        <w:trPr>
          <w:trHeight w:val="517"/>
        </w:trPr>
        <w:tc>
          <w:tcPr>
            <w:tcW w:w="523" w:type="dxa"/>
            <w:tcBorders>
              <w:top w:val="single" w:sz="4" w:space="0" w:color="auto"/>
              <w:left w:val="single" w:sz="4" w:space="0" w:color="auto"/>
              <w:bottom w:val="single" w:sz="4" w:space="0" w:color="auto"/>
              <w:right w:val="single" w:sz="4" w:space="0" w:color="auto"/>
            </w:tcBorders>
            <w:hideMark/>
          </w:tcPr>
          <w:p w14:paraId="0797B358" w14:textId="77777777" w:rsidR="00193E45" w:rsidRPr="00F4368B" w:rsidRDefault="00193E45" w:rsidP="00F4368B">
            <w:r w:rsidRPr="00F4368B">
              <w:t> 3.</w:t>
            </w:r>
          </w:p>
        </w:tc>
        <w:tc>
          <w:tcPr>
            <w:tcW w:w="2576" w:type="dxa"/>
            <w:tcBorders>
              <w:top w:val="single" w:sz="4" w:space="0" w:color="auto"/>
              <w:left w:val="single" w:sz="4" w:space="0" w:color="auto"/>
              <w:bottom w:val="single" w:sz="4" w:space="0" w:color="auto"/>
              <w:right w:val="single" w:sz="4" w:space="0" w:color="auto"/>
            </w:tcBorders>
            <w:hideMark/>
          </w:tcPr>
          <w:p w14:paraId="61C7FB74" w14:textId="77777777" w:rsidR="00193E45" w:rsidRPr="00F4368B" w:rsidRDefault="00193E45" w:rsidP="00F4368B">
            <w:r w:rsidRPr="00F4368B">
              <w:t>Administratīvo izmaksu monetārs novērtējums</w:t>
            </w:r>
          </w:p>
        </w:tc>
        <w:tc>
          <w:tcPr>
            <w:tcW w:w="5962" w:type="dxa"/>
            <w:tcBorders>
              <w:top w:val="single" w:sz="4" w:space="0" w:color="auto"/>
              <w:left w:val="single" w:sz="4" w:space="0" w:color="auto"/>
              <w:bottom w:val="single" w:sz="4" w:space="0" w:color="auto"/>
              <w:right w:val="single" w:sz="4" w:space="0" w:color="auto"/>
            </w:tcBorders>
            <w:hideMark/>
          </w:tcPr>
          <w:p w14:paraId="50066BBA" w14:textId="77777777" w:rsidR="00DB639D" w:rsidRPr="00F4368B" w:rsidRDefault="005148BB" w:rsidP="00F4368B">
            <w:pPr>
              <w:jc w:val="both"/>
            </w:pPr>
            <w:r w:rsidRPr="00F4368B">
              <w:t>Projekts šo jomu neskar</w:t>
            </w:r>
          </w:p>
        </w:tc>
      </w:tr>
      <w:tr w:rsidR="00193E45" w:rsidRPr="00F4368B" w14:paraId="6F7BB041" w14:textId="77777777" w:rsidTr="00C57A4A">
        <w:tc>
          <w:tcPr>
            <w:tcW w:w="523" w:type="dxa"/>
            <w:tcBorders>
              <w:top w:val="single" w:sz="4" w:space="0" w:color="auto"/>
              <w:left w:val="single" w:sz="4" w:space="0" w:color="auto"/>
              <w:bottom w:val="single" w:sz="4" w:space="0" w:color="auto"/>
              <w:right w:val="single" w:sz="4" w:space="0" w:color="auto"/>
            </w:tcBorders>
            <w:hideMark/>
          </w:tcPr>
          <w:p w14:paraId="6EDEFDDA" w14:textId="77777777" w:rsidR="00193E45" w:rsidRPr="00F4368B" w:rsidRDefault="00193E45" w:rsidP="00F4368B">
            <w:r w:rsidRPr="00F4368B">
              <w:t> 4.</w:t>
            </w:r>
          </w:p>
        </w:tc>
        <w:tc>
          <w:tcPr>
            <w:tcW w:w="2576" w:type="dxa"/>
            <w:tcBorders>
              <w:top w:val="single" w:sz="4" w:space="0" w:color="auto"/>
              <w:left w:val="single" w:sz="4" w:space="0" w:color="auto"/>
              <w:bottom w:val="single" w:sz="4" w:space="0" w:color="auto"/>
              <w:right w:val="single" w:sz="4" w:space="0" w:color="auto"/>
            </w:tcBorders>
            <w:hideMark/>
          </w:tcPr>
          <w:p w14:paraId="7BBD8C87" w14:textId="77777777" w:rsidR="00193E45" w:rsidRPr="00F4368B" w:rsidRDefault="00193E45" w:rsidP="00F4368B">
            <w:r w:rsidRPr="00F4368B">
              <w:t> Cita informācija</w:t>
            </w:r>
          </w:p>
        </w:tc>
        <w:tc>
          <w:tcPr>
            <w:tcW w:w="5962" w:type="dxa"/>
            <w:tcBorders>
              <w:top w:val="single" w:sz="4" w:space="0" w:color="auto"/>
              <w:left w:val="single" w:sz="4" w:space="0" w:color="auto"/>
              <w:bottom w:val="single" w:sz="4" w:space="0" w:color="auto"/>
              <w:right w:val="single" w:sz="4" w:space="0" w:color="auto"/>
            </w:tcBorders>
            <w:hideMark/>
          </w:tcPr>
          <w:p w14:paraId="31C50C75" w14:textId="77777777" w:rsidR="00193E45" w:rsidRPr="00F4368B" w:rsidRDefault="005A6F3D" w:rsidP="00F4368B">
            <w:pPr>
              <w:jc w:val="both"/>
            </w:pPr>
            <w:r w:rsidRPr="00F4368B">
              <w:t xml:space="preserve"> </w:t>
            </w:r>
            <w:r w:rsidR="00193E45" w:rsidRPr="00F4368B">
              <w:t>Nav</w:t>
            </w:r>
          </w:p>
        </w:tc>
      </w:tr>
    </w:tbl>
    <w:p w14:paraId="77259FF3" w14:textId="77777777" w:rsidR="002775AF" w:rsidRPr="00F4368B" w:rsidRDefault="002775AF" w:rsidP="00F4368B"/>
    <w:p w14:paraId="797634AB" w14:textId="77777777" w:rsidR="00155690" w:rsidRPr="00F4368B" w:rsidRDefault="00155690" w:rsidP="00F4368B"/>
    <w:tbl>
      <w:tblPr>
        <w:tblStyle w:val="TableGrid"/>
        <w:tblW w:w="9067" w:type="dxa"/>
        <w:tblLook w:val="04A0" w:firstRow="1" w:lastRow="0" w:firstColumn="1" w:lastColumn="0" w:noHBand="0" w:noVBand="1"/>
      </w:tblPr>
      <w:tblGrid>
        <w:gridCol w:w="411"/>
        <w:gridCol w:w="2703"/>
        <w:gridCol w:w="5953"/>
      </w:tblGrid>
      <w:tr w:rsidR="002775AF" w:rsidRPr="00F4368B" w14:paraId="2361A6E6" w14:textId="77777777" w:rsidTr="002775AF">
        <w:trPr>
          <w:trHeight w:val="273"/>
        </w:trPr>
        <w:tc>
          <w:tcPr>
            <w:tcW w:w="9067" w:type="dxa"/>
            <w:gridSpan w:val="3"/>
          </w:tcPr>
          <w:p w14:paraId="46CF8D04" w14:textId="77777777" w:rsidR="002775AF" w:rsidRPr="00F4368B" w:rsidRDefault="002775AF" w:rsidP="00CF5005">
            <w:pPr>
              <w:jc w:val="center"/>
              <w:rPr>
                <w:b/>
              </w:rPr>
            </w:pPr>
            <w:r w:rsidRPr="00F4368B">
              <w:rPr>
                <w:b/>
              </w:rPr>
              <w:t xml:space="preserve">VI. </w:t>
            </w:r>
            <w:r w:rsidRPr="00CF5005">
              <w:rPr>
                <w:b/>
              </w:rPr>
              <w:t>Sabiedrības līdzdalība un komunikācijas aktivitātes</w:t>
            </w:r>
          </w:p>
        </w:tc>
      </w:tr>
      <w:tr w:rsidR="002775AF" w:rsidRPr="00F4368B" w14:paraId="290A723C" w14:textId="77777777" w:rsidTr="00B701D2">
        <w:trPr>
          <w:cantSplit/>
          <w:trHeight w:val="1265"/>
        </w:trPr>
        <w:tc>
          <w:tcPr>
            <w:tcW w:w="411" w:type="dxa"/>
          </w:tcPr>
          <w:p w14:paraId="744C943A" w14:textId="77777777" w:rsidR="002775AF" w:rsidRPr="00F4368B" w:rsidRDefault="002775AF" w:rsidP="00F4368B">
            <w:pPr>
              <w:pStyle w:val="NoSpacing"/>
              <w:jc w:val="both"/>
            </w:pPr>
            <w:r w:rsidRPr="00F4368B">
              <w:t>1.</w:t>
            </w:r>
          </w:p>
        </w:tc>
        <w:tc>
          <w:tcPr>
            <w:tcW w:w="2703" w:type="dxa"/>
          </w:tcPr>
          <w:p w14:paraId="38DF6AA2" w14:textId="77777777" w:rsidR="002775AF" w:rsidRPr="00F4368B" w:rsidRDefault="002775AF" w:rsidP="00F4368B">
            <w:pPr>
              <w:pStyle w:val="NoSpacing"/>
              <w:jc w:val="both"/>
            </w:pPr>
            <w:r w:rsidRPr="00F4368B">
              <w:t>Plānotās sabiedrības līdzdalības un komunikācijas aktivitātes saistībā ar projektu</w:t>
            </w:r>
          </w:p>
        </w:tc>
        <w:tc>
          <w:tcPr>
            <w:tcW w:w="5953" w:type="dxa"/>
          </w:tcPr>
          <w:p w14:paraId="6E0AA28A" w14:textId="77777777" w:rsidR="002775AF" w:rsidRPr="00F4368B" w:rsidRDefault="005148BB" w:rsidP="00F4368B">
            <w:pPr>
              <w:pStyle w:val="NoSpacing"/>
              <w:jc w:val="both"/>
            </w:pPr>
            <w:r w:rsidRPr="00F4368B">
              <w:t>Sabiedrības līdzdalība Projekta izstrādē īstenota atbilstoši Ministru kabineta 2009.gada 25.augusta noteikumu Nr.970 “Sabiedrības līdzdalības kārtība attīstības plānošanas procesā” 7.4.</w:t>
            </w:r>
            <w:r w:rsidRPr="00F4368B">
              <w:rPr>
                <w:vertAlign w:val="superscript"/>
              </w:rPr>
              <w:t>1</w:t>
            </w:r>
            <w:r w:rsidRPr="00F4368B">
              <w:t>apakšpunktā noteiktajai procedūrai, proti, sabiedrības pārstāvjiem tika dota iespēja rakstiski sniegt viedokli par projektu tā izstrādes stadijā.</w:t>
            </w:r>
          </w:p>
        </w:tc>
      </w:tr>
      <w:tr w:rsidR="002775AF" w:rsidRPr="00F4368B" w14:paraId="0130090F" w14:textId="77777777" w:rsidTr="00B701D2">
        <w:trPr>
          <w:cantSplit/>
          <w:trHeight w:val="1265"/>
        </w:trPr>
        <w:tc>
          <w:tcPr>
            <w:tcW w:w="411" w:type="dxa"/>
          </w:tcPr>
          <w:p w14:paraId="10CD2312" w14:textId="77777777" w:rsidR="002775AF" w:rsidRPr="00F4368B" w:rsidRDefault="002775AF" w:rsidP="00F4368B">
            <w:pPr>
              <w:pStyle w:val="NoSpacing"/>
              <w:jc w:val="both"/>
            </w:pPr>
            <w:r w:rsidRPr="00F4368B">
              <w:t>2.</w:t>
            </w:r>
          </w:p>
        </w:tc>
        <w:tc>
          <w:tcPr>
            <w:tcW w:w="2703" w:type="dxa"/>
          </w:tcPr>
          <w:p w14:paraId="28C710A7" w14:textId="77777777" w:rsidR="002775AF" w:rsidRPr="00F4368B" w:rsidRDefault="002775AF" w:rsidP="00F4368B">
            <w:pPr>
              <w:pStyle w:val="NoSpacing"/>
              <w:jc w:val="both"/>
            </w:pPr>
            <w:r w:rsidRPr="00F4368B">
              <w:t>Sabiedrības līdzdalība projekta izstrādē</w:t>
            </w:r>
          </w:p>
        </w:tc>
        <w:tc>
          <w:tcPr>
            <w:tcW w:w="5953" w:type="dxa"/>
          </w:tcPr>
          <w:p w14:paraId="77D6A976" w14:textId="77777777" w:rsidR="002775AF" w:rsidRPr="00F4368B" w:rsidRDefault="005148BB" w:rsidP="00CF5005">
            <w:pPr>
              <w:pStyle w:val="NoSpacing"/>
              <w:jc w:val="both"/>
            </w:pPr>
            <w:r w:rsidRPr="00F4368B">
              <w:t xml:space="preserve">Projekts kopā ar sākotnējās ietekmes novērtējuma ziņojumu (anotāciju) un paziņojums par līdzdalības procesu tika publicēts Ekonomikas ministrijas mājas lapā </w:t>
            </w:r>
            <w:hyperlink r:id="rId8" w:history="1">
              <w:r w:rsidRPr="00F4368B">
                <w:rPr>
                  <w:rStyle w:val="Hyperlink"/>
                </w:rPr>
                <w:t>www.em.gov.lv</w:t>
              </w:r>
            </w:hyperlink>
            <w:r w:rsidRPr="00F4368B">
              <w:t>, aicinot sabiedrību</w:t>
            </w:r>
            <w:r w:rsidR="00CF5005">
              <w:t xml:space="preserve"> </w:t>
            </w:r>
            <w:r w:rsidRPr="00F4368B">
              <w:t>izteikt savu rakstisku viedokli.</w:t>
            </w:r>
          </w:p>
        </w:tc>
      </w:tr>
      <w:tr w:rsidR="002775AF" w:rsidRPr="00F4368B" w14:paraId="5F458056" w14:textId="77777777" w:rsidTr="00B701D2">
        <w:trPr>
          <w:cantSplit/>
          <w:trHeight w:val="453"/>
        </w:trPr>
        <w:tc>
          <w:tcPr>
            <w:tcW w:w="411" w:type="dxa"/>
          </w:tcPr>
          <w:p w14:paraId="2AD83B39" w14:textId="77777777" w:rsidR="002775AF" w:rsidRPr="00F4368B" w:rsidRDefault="002775AF" w:rsidP="00F4368B">
            <w:pPr>
              <w:pStyle w:val="NoSpacing"/>
              <w:jc w:val="both"/>
            </w:pPr>
            <w:r w:rsidRPr="00F4368B">
              <w:t>3.</w:t>
            </w:r>
          </w:p>
        </w:tc>
        <w:tc>
          <w:tcPr>
            <w:tcW w:w="2703" w:type="dxa"/>
          </w:tcPr>
          <w:p w14:paraId="4464CB15" w14:textId="77777777" w:rsidR="002775AF" w:rsidRPr="00F4368B" w:rsidRDefault="002775AF" w:rsidP="00F4368B">
            <w:pPr>
              <w:pStyle w:val="NoSpacing"/>
              <w:jc w:val="both"/>
            </w:pPr>
            <w:r w:rsidRPr="00F4368B">
              <w:t>Sabiedrības līdzdalības rezultāti</w:t>
            </w:r>
          </w:p>
        </w:tc>
        <w:tc>
          <w:tcPr>
            <w:tcW w:w="5953" w:type="dxa"/>
          </w:tcPr>
          <w:p w14:paraId="5193E0C4" w14:textId="5FC9CD3C" w:rsidR="008543FB" w:rsidRPr="004A0946" w:rsidRDefault="00372C58" w:rsidP="008543FB">
            <w:pPr>
              <w:ind w:firstLine="360"/>
              <w:jc w:val="both"/>
            </w:pPr>
            <w:r>
              <w:t>Sabiedrības līdzdalības procesā tika saņemts Latvijas siltumuzņēmēju asociā</w:t>
            </w:r>
            <w:r w:rsidR="001A3662">
              <w:t>cijas viedoklis, kurā Ekonomikas ministrija tiek aicināta izdarīt grozījumus Projektā</w:t>
            </w:r>
            <w:r w:rsidR="008543FB">
              <w:t xml:space="preserve">, paredzot, šādu </w:t>
            </w:r>
            <w:r w:rsidR="008543FB" w:rsidRPr="004A0946">
              <w:t>siltumenerģijas skaitītāju ve</w:t>
            </w:r>
            <w:r w:rsidR="008543FB">
              <w:t>rificēšanas periodiskumu:</w:t>
            </w:r>
          </w:p>
          <w:p w14:paraId="312295BF" w14:textId="59D114F3" w:rsidR="008543FB" w:rsidRPr="004A0946" w:rsidRDefault="008543FB" w:rsidP="008543FB">
            <w:pPr>
              <w:jc w:val="both"/>
            </w:pPr>
            <w:r w:rsidRPr="004A0946">
              <w:t xml:space="preserve">DN &lt; </w:t>
            </w:r>
            <w:r>
              <w:t>100 mm</w:t>
            </w:r>
            <w:r>
              <w:tab/>
              <w:t>(reizi 4</w:t>
            </w:r>
            <w:r w:rsidRPr="004A0946">
              <w:t xml:space="preserve"> gados)</w:t>
            </w:r>
          </w:p>
          <w:p w14:paraId="16D7925C" w14:textId="183281A0" w:rsidR="008543FB" w:rsidRPr="004A0946" w:rsidRDefault="008543FB" w:rsidP="008543FB">
            <w:pPr>
              <w:jc w:val="both"/>
            </w:pPr>
            <w:r w:rsidRPr="004A0946">
              <w:t xml:space="preserve">100 mm ≤ DN ≤ 300 mm </w:t>
            </w:r>
            <w:r>
              <w:t>(reizi 8</w:t>
            </w:r>
            <w:r w:rsidRPr="004A0946">
              <w:t xml:space="preserve"> gados)</w:t>
            </w:r>
          </w:p>
          <w:p w14:paraId="64A39E15" w14:textId="77777777" w:rsidR="002775AF" w:rsidRDefault="008543FB" w:rsidP="008543FB">
            <w:pPr>
              <w:pStyle w:val="NoSpacing"/>
              <w:jc w:val="both"/>
            </w:pPr>
            <w:r w:rsidRPr="004A0946">
              <w:t>DN &gt;300 mm</w:t>
            </w:r>
            <w:r w:rsidRPr="004A0946">
              <w:tab/>
              <w:t>(reizi 8 gados).</w:t>
            </w:r>
          </w:p>
          <w:p w14:paraId="2B345D75" w14:textId="5A1A6195" w:rsidR="004F0108" w:rsidRDefault="008543FB" w:rsidP="008543FB">
            <w:pPr>
              <w:pStyle w:val="NoSpacing"/>
              <w:jc w:val="both"/>
            </w:pPr>
            <w:r>
              <w:t>Ekonomikas ministrija ir izvērtējusi minēto priekšlikumu un nevar to atbalstīt, jo tas paredz ļoti būtisku siltumenerģijas skaitītāju verificēšanas periodiskuma palielinājumu</w:t>
            </w:r>
            <w:r w:rsidR="002466B7">
              <w:t xml:space="preserve"> salīdzinājumā ar spēkā esošo tiesisko regulējumu</w:t>
            </w:r>
            <w:r>
              <w:t xml:space="preserve">. </w:t>
            </w:r>
            <w:r w:rsidR="004F0108">
              <w:t>Turklāt tik būtiskam periodiskuma palielinājumam ir jābūt ļoti detalizēti pamatotam, bet no Latvijas siltumuzņēmēju asociācijas sniegtās informācijas šā</w:t>
            </w:r>
            <w:r w:rsidR="000D1BD1">
              <w:t xml:space="preserve">ds pamatojums neizriet. Vienīgais norādītais pamatojums šādam priekšlikumam ir </w:t>
            </w:r>
            <w:r w:rsidR="004F0108">
              <w:t>Apvienotajā karalistē veiktais pētījums</w:t>
            </w:r>
            <w:r w:rsidR="000D1BD1">
              <w:t>. Taču Ekonomikas ministrijas ieskatā tas dod ieskatu par citu valstu praksi, bet šajā pētījumā izdarītie secinājumi nav tiešā veidā pārnesami uz Latviju, jo katrai valstij var būt savas specifiskās īpatnī</w:t>
            </w:r>
            <w:r w:rsidR="00552CF9">
              <w:t>bas, uz ko liecina arī verificēšanas periodiskumu dažādība Eiropas Savienības dalībvalstu starpā attiecībā uz dažādiem mērīšanas līdzekļiem.</w:t>
            </w:r>
          </w:p>
          <w:p w14:paraId="26CADE11" w14:textId="7E8008D2" w:rsidR="000D1BD1" w:rsidRDefault="000D1BD1" w:rsidP="008543FB">
            <w:pPr>
              <w:pStyle w:val="NoSpacing"/>
              <w:jc w:val="both"/>
            </w:pPr>
            <w:r>
              <w:t xml:space="preserve">Jau šobrīd </w:t>
            </w:r>
            <w:r w:rsidR="008543FB">
              <w:t>Projektā ir paredzēts palielināt siltumenerģijas skaitītāju verificēšanas periodiskumu</w:t>
            </w:r>
            <w:r>
              <w:t xml:space="preserve"> salīdzinājumā ar spēkā esošu tiesisko regulējumu</w:t>
            </w:r>
            <w:r w:rsidR="002466B7">
              <w:t>,</w:t>
            </w:r>
            <w:r w:rsidR="008543FB">
              <w:t xml:space="preserve"> </w:t>
            </w:r>
            <w:r>
              <w:t xml:space="preserve">kas Ekonomikas ministrijas ieskatā ir optimāls, kas balstīts </w:t>
            </w:r>
            <w:r w:rsidR="00552CF9">
              <w:t>l</w:t>
            </w:r>
            <w:r>
              <w:t>oģiskā siltumenerģijas skaitītāju gradācijā pēc to diametriem, ņemot par pamatu šādus apsvērumus:</w:t>
            </w:r>
          </w:p>
          <w:p w14:paraId="7973EBCB" w14:textId="6B58D585" w:rsidR="000D1BD1" w:rsidRDefault="000D1BD1" w:rsidP="008543FB">
            <w:pPr>
              <w:pStyle w:val="NoSpacing"/>
              <w:jc w:val="both"/>
            </w:pPr>
            <w:r>
              <w:t>-) radījumu kļūdas iespējamība;</w:t>
            </w:r>
          </w:p>
          <w:p w14:paraId="42F5682F" w14:textId="1F577ECF" w:rsidR="00B90B44" w:rsidRDefault="00B90B44" w:rsidP="008543FB">
            <w:pPr>
              <w:pStyle w:val="NoSpacing"/>
              <w:jc w:val="both"/>
            </w:pPr>
            <w:r>
              <w:t>-) verificēšanas izmaksas;</w:t>
            </w:r>
          </w:p>
          <w:p w14:paraId="7AA88F9B" w14:textId="015147A4" w:rsidR="00B90B44" w:rsidRDefault="00B90B44" w:rsidP="008543FB">
            <w:pPr>
              <w:pStyle w:val="NoSpacing"/>
              <w:jc w:val="both"/>
            </w:pPr>
            <w:r>
              <w:t>-) verificēšanas pieejamība Latvijā</w:t>
            </w:r>
            <w:r w:rsidR="00552CF9">
              <w:t xml:space="preserve"> un kaimiņvalstīs</w:t>
            </w:r>
            <w:r w:rsidR="000D1BD1">
              <w:t>.</w:t>
            </w:r>
          </w:p>
          <w:p w14:paraId="69CFADA5" w14:textId="0FB3B614" w:rsidR="008543FB" w:rsidRPr="00F4368B" w:rsidRDefault="00637E84" w:rsidP="00552CF9">
            <w:pPr>
              <w:pStyle w:val="NoSpacing"/>
              <w:jc w:val="both"/>
            </w:pPr>
            <w:r>
              <w:t>Turpmāka siltumenerģijas skaitītāju verificēšanas periodiskuma palielināšana</w:t>
            </w:r>
            <w:r w:rsidR="00552CF9">
              <w:t xml:space="preserve"> Ekonomikas ministrijas ieskatā</w:t>
            </w:r>
            <w:r>
              <w:t xml:space="preserve"> varētu tikt </w:t>
            </w:r>
            <w:r w:rsidR="00552CF9">
              <w:t xml:space="preserve">izvērtēta atbilstoši aktuālajai situācijai pēc Projekta ieviešanas. </w:t>
            </w:r>
            <w:r w:rsidR="008543FB">
              <w:t xml:space="preserve"> </w:t>
            </w:r>
          </w:p>
        </w:tc>
      </w:tr>
      <w:tr w:rsidR="002775AF" w:rsidRPr="00F4368B" w14:paraId="55C22949" w14:textId="77777777" w:rsidTr="00B701D2">
        <w:trPr>
          <w:cantSplit/>
          <w:trHeight w:val="453"/>
        </w:trPr>
        <w:tc>
          <w:tcPr>
            <w:tcW w:w="411" w:type="dxa"/>
          </w:tcPr>
          <w:p w14:paraId="08594494" w14:textId="6F29B67E" w:rsidR="002775AF" w:rsidRPr="00F4368B" w:rsidRDefault="002775AF" w:rsidP="00F4368B">
            <w:pPr>
              <w:pStyle w:val="NoSpacing"/>
              <w:jc w:val="both"/>
            </w:pPr>
            <w:r w:rsidRPr="00F4368B">
              <w:t>4.</w:t>
            </w:r>
          </w:p>
        </w:tc>
        <w:tc>
          <w:tcPr>
            <w:tcW w:w="2703" w:type="dxa"/>
          </w:tcPr>
          <w:p w14:paraId="63A8935E" w14:textId="77777777" w:rsidR="002775AF" w:rsidRPr="00F4368B" w:rsidRDefault="002775AF" w:rsidP="00F4368B">
            <w:pPr>
              <w:pStyle w:val="NoSpacing"/>
              <w:jc w:val="both"/>
            </w:pPr>
            <w:r w:rsidRPr="00F4368B">
              <w:t>Cita informācija</w:t>
            </w:r>
          </w:p>
        </w:tc>
        <w:tc>
          <w:tcPr>
            <w:tcW w:w="5953" w:type="dxa"/>
          </w:tcPr>
          <w:p w14:paraId="552A606D" w14:textId="77777777" w:rsidR="002775AF" w:rsidRPr="00F4368B" w:rsidRDefault="0096417A" w:rsidP="00F4368B">
            <w:pPr>
              <w:pStyle w:val="NoSpacing"/>
              <w:jc w:val="both"/>
            </w:pPr>
            <w:r w:rsidRPr="00F4368B">
              <w:t>Nav</w:t>
            </w:r>
          </w:p>
        </w:tc>
      </w:tr>
    </w:tbl>
    <w:p w14:paraId="14B6C0BF" w14:textId="77777777" w:rsidR="00193E45" w:rsidRPr="00F4368B" w:rsidRDefault="00193E45" w:rsidP="00F4368B">
      <w:pPr>
        <w:rPr>
          <w:color w:val="FF0000"/>
        </w:rPr>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2872"/>
        <w:gridCol w:w="5686"/>
      </w:tblGrid>
      <w:tr w:rsidR="00193E45" w:rsidRPr="00F4368B" w14:paraId="0A2F1EBF" w14:textId="77777777" w:rsidTr="00FD76CC">
        <w:trPr>
          <w:trHeight w:val="65"/>
        </w:trPr>
        <w:tc>
          <w:tcPr>
            <w:tcW w:w="9065" w:type="dxa"/>
            <w:gridSpan w:val="3"/>
          </w:tcPr>
          <w:p w14:paraId="420D1017" w14:textId="77777777" w:rsidR="00193E45" w:rsidRPr="00F4368B" w:rsidRDefault="00193E45" w:rsidP="00F4368B">
            <w:pPr>
              <w:jc w:val="center"/>
            </w:pPr>
            <w:r w:rsidRPr="00F4368B">
              <w:rPr>
                <w:b/>
              </w:rPr>
              <w:t>VII. Tiesību akta projekta izpildes nodrošināšana un tās ietekme uz institūcijām</w:t>
            </w:r>
          </w:p>
        </w:tc>
      </w:tr>
      <w:tr w:rsidR="00193E45" w:rsidRPr="00F4368B" w14:paraId="15BF0C11" w14:textId="77777777" w:rsidTr="002775AF">
        <w:trPr>
          <w:trHeight w:val="427"/>
        </w:trPr>
        <w:tc>
          <w:tcPr>
            <w:tcW w:w="507" w:type="dxa"/>
          </w:tcPr>
          <w:p w14:paraId="4CBB3770" w14:textId="77777777" w:rsidR="00193E45" w:rsidRPr="00F4368B" w:rsidRDefault="00193E45" w:rsidP="00F4368B">
            <w:r w:rsidRPr="00F4368B">
              <w:t> 1.</w:t>
            </w:r>
          </w:p>
        </w:tc>
        <w:tc>
          <w:tcPr>
            <w:tcW w:w="2872" w:type="dxa"/>
          </w:tcPr>
          <w:p w14:paraId="454AAA6A" w14:textId="77777777" w:rsidR="00193E45" w:rsidRPr="004A0946" w:rsidRDefault="00193E45" w:rsidP="00F4368B">
            <w:r w:rsidRPr="004A0946">
              <w:t>Projekta izpildē iesaistītās institūcijas</w:t>
            </w:r>
          </w:p>
        </w:tc>
        <w:tc>
          <w:tcPr>
            <w:tcW w:w="5686" w:type="dxa"/>
          </w:tcPr>
          <w:p w14:paraId="5C787F78" w14:textId="77777777" w:rsidR="00193E45" w:rsidRPr="004A0946" w:rsidRDefault="00CC2701" w:rsidP="00C57A4A">
            <w:pPr>
              <w:pStyle w:val="naisnod"/>
              <w:spacing w:before="0" w:after="0"/>
              <w:jc w:val="both"/>
              <w:rPr>
                <w:b w:val="0"/>
              </w:rPr>
            </w:pPr>
            <w:r w:rsidRPr="004A0946">
              <w:rPr>
                <w:b w:val="0"/>
                <w:iCs/>
              </w:rPr>
              <w:t>Patērētāju tiesību aizsardzības centrs</w:t>
            </w:r>
          </w:p>
        </w:tc>
      </w:tr>
      <w:tr w:rsidR="00193E45" w:rsidRPr="00F4368B" w14:paraId="2D2E34FF" w14:textId="77777777" w:rsidTr="002775AF">
        <w:trPr>
          <w:trHeight w:val="463"/>
        </w:trPr>
        <w:tc>
          <w:tcPr>
            <w:tcW w:w="507" w:type="dxa"/>
          </w:tcPr>
          <w:p w14:paraId="5D3EAA1C" w14:textId="77777777" w:rsidR="00193E45" w:rsidRPr="00F4368B" w:rsidRDefault="00193E45" w:rsidP="00F4368B">
            <w:r w:rsidRPr="00F4368B">
              <w:t> 2.</w:t>
            </w:r>
          </w:p>
        </w:tc>
        <w:tc>
          <w:tcPr>
            <w:tcW w:w="2872" w:type="dxa"/>
          </w:tcPr>
          <w:p w14:paraId="4810EE61" w14:textId="77777777" w:rsidR="00193E45" w:rsidRPr="00F4368B" w:rsidRDefault="00193E45" w:rsidP="00F4368B">
            <w:r w:rsidRPr="00F4368B">
              <w:t> Projekta izpildes ietekme uz pārvaldes funkcijām un institucionālo struktūru. Jaunu institūciju izveide, esošu institūciju likvidācija vai reorganizācija, to ietekme uz institūcijas cilvēkresursiem</w:t>
            </w:r>
          </w:p>
        </w:tc>
        <w:tc>
          <w:tcPr>
            <w:tcW w:w="5686" w:type="dxa"/>
          </w:tcPr>
          <w:p w14:paraId="4C95E2E4" w14:textId="77777777" w:rsidR="00193E45" w:rsidRPr="00F4368B" w:rsidRDefault="002775AF" w:rsidP="00F4368B">
            <w:pPr>
              <w:pStyle w:val="naisnod"/>
              <w:spacing w:before="0" w:after="0"/>
              <w:jc w:val="both"/>
              <w:rPr>
                <w:b w:val="0"/>
              </w:rPr>
            </w:pPr>
            <w:r w:rsidRPr="00F4368B">
              <w:rPr>
                <w:b w:val="0"/>
              </w:rPr>
              <w:t>Projekts šo jomu neskar</w:t>
            </w:r>
          </w:p>
        </w:tc>
      </w:tr>
      <w:tr w:rsidR="00193E45" w:rsidRPr="00F4368B" w14:paraId="7B6CD969" w14:textId="77777777" w:rsidTr="002775AF">
        <w:trPr>
          <w:trHeight w:val="476"/>
        </w:trPr>
        <w:tc>
          <w:tcPr>
            <w:tcW w:w="507" w:type="dxa"/>
          </w:tcPr>
          <w:p w14:paraId="60B3F141" w14:textId="77777777" w:rsidR="00193E45" w:rsidRPr="00F4368B" w:rsidRDefault="00193E45" w:rsidP="00F4368B">
            <w:r w:rsidRPr="00F4368B">
              <w:t> 3.</w:t>
            </w:r>
          </w:p>
        </w:tc>
        <w:tc>
          <w:tcPr>
            <w:tcW w:w="2872" w:type="dxa"/>
          </w:tcPr>
          <w:p w14:paraId="723B238D" w14:textId="77777777" w:rsidR="00193E45" w:rsidRPr="00F4368B" w:rsidRDefault="00193E45" w:rsidP="00F4368B">
            <w:r w:rsidRPr="00F4368B">
              <w:t> Cita informācija</w:t>
            </w:r>
          </w:p>
        </w:tc>
        <w:tc>
          <w:tcPr>
            <w:tcW w:w="5686" w:type="dxa"/>
          </w:tcPr>
          <w:p w14:paraId="61CFC95D" w14:textId="77777777" w:rsidR="00193E45" w:rsidRPr="00F4368B" w:rsidRDefault="00193E45" w:rsidP="00F4368B">
            <w:pPr>
              <w:jc w:val="both"/>
            </w:pPr>
            <w:r w:rsidRPr="00F4368B">
              <w:t>Nav</w:t>
            </w:r>
          </w:p>
        </w:tc>
      </w:tr>
    </w:tbl>
    <w:p w14:paraId="19DD8F2D" w14:textId="77777777" w:rsidR="00193E45" w:rsidRPr="00F4368B" w:rsidRDefault="00CF5005" w:rsidP="00F4368B">
      <w:pPr>
        <w:pStyle w:val="naisf"/>
        <w:tabs>
          <w:tab w:val="left" w:pos="6710"/>
        </w:tabs>
        <w:spacing w:before="0" w:after="0"/>
        <w:rPr>
          <w:i/>
        </w:rPr>
      </w:pPr>
      <w:r w:rsidRPr="00E414AF">
        <w:rPr>
          <w:i/>
          <w:color w:val="000000" w:themeColor="text1"/>
        </w:rPr>
        <w:t xml:space="preserve">Anotācijas sadaļa </w:t>
      </w:r>
      <w:r w:rsidR="00193E45" w:rsidRPr="00F4368B">
        <w:rPr>
          <w:i/>
        </w:rPr>
        <w:t>III</w:t>
      </w:r>
      <w:r w:rsidR="000F2989" w:rsidRPr="00F4368B">
        <w:rPr>
          <w:i/>
        </w:rPr>
        <w:t>, IV</w:t>
      </w:r>
      <w:r w:rsidR="00193E45" w:rsidRPr="00F4368B">
        <w:rPr>
          <w:i/>
        </w:rPr>
        <w:t xml:space="preserve"> un V sadaļa - projekts šīs jomas neskar.</w:t>
      </w:r>
    </w:p>
    <w:p w14:paraId="63CA78E7" w14:textId="77777777" w:rsidR="00F4368B" w:rsidRDefault="00F4368B" w:rsidP="00F4368B">
      <w:pPr>
        <w:rPr>
          <w:sz w:val="28"/>
          <w:szCs w:val="28"/>
        </w:rPr>
      </w:pPr>
    </w:p>
    <w:p w14:paraId="698D21AA" w14:textId="77777777" w:rsidR="00F4368B" w:rsidRDefault="00F4368B" w:rsidP="00F4368B">
      <w:pPr>
        <w:rPr>
          <w:sz w:val="28"/>
          <w:szCs w:val="28"/>
        </w:rPr>
      </w:pPr>
    </w:p>
    <w:p w14:paraId="6651583D" w14:textId="77777777" w:rsidR="00F4368B" w:rsidRPr="00654DA1" w:rsidRDefault="00F4368B" w:rsidP="00F4368B">
      <w:pPr>
        <w:rPr>
          <w:sz w:val="26"/>
          <w:szCs w:val="26"/>
        </w:rPr>
      </w:pPr>
      <w:r w:rsidRPr="00654DA1">
        <w:rPr>
          <w:sz w:val="26"/>
          <w:szCs w:val="26"/>
        </w:rPr>
        <w:t>Ministru prezidenta biedrs,</w:t>
      </w:r>
    </w:p>
    <w:p w14:paraId="59B30210" w14:textId="431D2C43" w:rsidR="00F4368B" w:rsidRPr="00654DA1" w:rsidRDefault="00F4368B" w:rsidP="00F4368B">
      <w:pPr>
        <w:rPr>
          <w:sz w:val="26"/>
          <w:szCs w:val="26"/>
        </w:rPr>
      </w:pPr>
      <w:r w:rsidRPr="00654DA1">
        <w:rPr>
          <w:sz w:val="26"/>
          <w:szCs w:val="26"/>
        </w:rPr>
        <w:t>ekonomikas ministrs</w:t>
      </w:r>
      <w:r w:rsidRPr="00654DA1">
        <w:rPr>
          <w:sz w:val="26"/>
          <w:szCs w:val="26"/>
        </w:rPr>
        <w:tab/>
      </w:r>
      <w:r w:rsidRPr="00654DA1">
        <w:rPr>
          <w:sz w:val="26"/>
          <w:szCs w:val="26"/>
        </w:rPr>
        <w:tab/>
      </w:r>
      <w:r w:rsidRPr="00654DA1">
        <w:rPr>
          <w:sz w:val="26"/>
          <w:szCs w:val="26"/>
        </w:rPr>
        <w:tab/>
      </w:r>
      <w:r w:rsidRPr="00654DA1">
        <w:rPr>
          <w:sz w:val="26"/>
          <w:szCs w:val="26"/>
        </w:rPr>
        <w:tab/>
      </w:r>
      <w:r w:rsidRPr="00654DA1">
        <w:rPr>
          <w:sz w:val="26"/>
          <w:szCs w:val="26"/>
        </w:rPr>
        <w:tab/>
      </w:r>
      <w:r w:rsidRPr="00654DA1">
        <w:rPr>
          <w:sz w:val="26"/>
          <w:szCs w:val="26"/>
        </w:rPr>
        <w:tab/>
      </w:r>
      <w:r w:rsidRPr="00654DA1">
        <w:rPr>
          <w:sz w:val="26"/>
          <w:szCs w:val="26"/>
        </w:rPr>
        <w:tab/>
      </w:r>
      <w:r w:rsidR="00654DA1" w:rsidRPr="00654DA1">
        <w:rPr>
          <w:sz w:val="26"/>
          <w:szCs w:val="26"/>
        </w:rPr>
        <w:tab/>
      </w:r>
      <w:r w:rsidRPr="00654DA1">
        <w:rPr>
          <w:sz w:val="26"/>
          <w:szCs w:val="26"/>
        </w:rPr>
        <w:t>A.Ašeradens</w:t>
      </w:r>
      <w:r w:rsidRPr="00654DA1" w:rsidDel="0053758B">
        <w:rPr>
          <w:sz w:val="26"/>
          <w:szCs w:val="26"/>
        </w:rPr>
        <w:t xml:space="preserve"> </w:t>
      </w:r>
    </w:p>
    <w:p w14:paraId="4362FADA" w14:textId="77777777" w:rsidR="00F4368B" w:rsidRPr="00654DA1" w:rsidRDefault="00F4368B" w:rsidP="00F4368B">
      <w:pPr>
        <w:rPr>
          <w:sz w:val="26"/>
          <w:szCs w:val="26"/>
        </w:rPr>
      </w:pPr>
    </w:p>
    <w:p w14:paraId="473E4B45" w14:textId="77777777" w:rsidR="00CF5005" w:rsidRPr="00654DA1" w:rsidRDefault="00CF5005" w:rsidP="00F4368B">
      <w:pPr>
        <w:rPr>
          <w:sz w:val="26"/>
          <w:szCs w:val="26"/>
        </w:rPr>
      </w:pPr>
    </w:p>
    <w:p w14:paraId="3BDA7A3F" w14:textId="77777777" w:rsidR="00BB41B8" w:rsidRDefault="00F4368B" w:rsidP="00F4368B">
      <w:pPr>
        <w:jc w:val="both"/>
        <w:rPr>
          <w:sz w:val="28"/>
        </w:rPr>
      </w:pPr>
      <w:r w:rsidRPr="00654DA1">
        <w:rPr>
          <w:sz w:val="26"/>
          <w:szCs w:val="26"/>
        </w:rPr>
        <w:t>Valsts sekretārs</w:t>
      </w:r>
      <w:r w:rsidRPr="00654DA1">
        <w:rPr>
          <w:sz w:val="26"/>
          <w:szCs w:val="26"/>
        </w:rPr>
        <w:tab/>
      </w:r>
      <w:r w:rsidRPr="00654DA1">
        <w:rPr>
          <w:sz w:val="26"/>
          <w:szCs w:val="26"/>
        </w:rPr>
        <w:tab/>
      </w:r>
      <w:r w:rsidRPr="00654DA1">
        <w:rPr>
          <w:sz w:val="26"/>
          <w:szCs w:val="26"/>
        </w:rPr>
        <w:tab/>
      </w:r>
      <w:r w:rsidRPr="00654DA1">
        <w:rPr>
          <w:sz w:val="26"/>
          <w:szCs w:val="26"/>
        </w:rPr>
        <w:tab/>
      </w:r>
      <w:r w:rsidRPr="00654DA1">
        <w:rPr>
          <w:sz w:val="26"/>
          <w:szCs w:val="26"/>
        </w:rPr>
        <w:tab/>
      </w:r>
      <w:r w:rsidRPr="00654DA1">
        <w:rPr>
          <w:sz w:val="26"/>
          <w:szCs w:val="26"/>
        </w:rPr>
        <w:tab/>
      </w:r>
      <w:r w:rsidRPr="00654DA1">
        <w:rPr>
          <w:sz w:val="26"/>
          <w:szCs w:val="26"/>
        </w:rPr>
        <w:tab/>
      </w:r>
      <w:r w:rsidRPr="00654DA1">
        <w:rPr>
          <w:sz w:val="26"/>
          <w:szCs w:val="26"/>
        </w:rPr>
        <w:tab/>
        <w:t>J.Stinka</w:t>
      </w:r>
    </w:p>
    <w:p w14:paraId="4790971B" w14:textId="77777777" w:rsidR="00F4368B" w:rsidRDefault="00F4368B" w:rsidP="00F4368B">
      <w:pPr>
        <w:jc w:val="both"/>
        <w:rPr>
          <w:sz w:val="28"/>
        </w:rPr>
      </w:pPr>
    </w:p>
    <w:p w14:paraId="1101C6F2" w14:textId="77777777" w:rsidR="00F4368B" w:rsidRDefault="00F4368B" w:rsidP="00F4368B">
      <w:pPr>
        <w:jc w:val="both"/>
        <w:rPr>
          <w:sz w:val="28"/>
        </w:rPr>
      </w:pPr>
    </w:p>
    <w:p w14:paraId="0C39E71E" w14:textId="15DF83C9" w:rsidR="00F4368B" w:rsidRPr="00654DA1" w:rsidRDefault="00E95311" w:rsidP="00F4368B">
      <w:pPr>
        <w:rPr>
          <w:color w:val="000000" w:themeColor="text1"/>
          <w:sz w:val="20"/>
          <w:szCs w:val="20"/>
        </w:rPr>
      </w:pPr>
      <w:r w:rsidRPr="00654DA1">
        <w:rPr>
          <w:color w:val="000000" w:themeColor="text1"/>
          <w:sz w:val="20"/>
          <w:szCs w:val="20"/>
        </w:rPr>
        <w:t>18.10</w:t>
      </w:r>
      <w:r w:rsidR="00F4368B" w:rsidRPr="00654DA1">
        <w:rPr>
          <w:color w:val="000000" w:themeColor="text1"/>
          <w:sz w:val="20"/>
          <w:szCs w:val="20"/>
        </w:rPr>
        <w:t xml:space="preserve">.2016.  </w:t>
      </w:r>
      <w:r w:rsidRPr="00654DA1">
        <w:rPr>
          <w:color w:val="000000" w:themeColor="text1"/>
          <w:sz w:val="20"/>
          <w:szCs w:val="20"/>
        </w:rPr>
        <w:t>10</w:t>
      </w:r>
      <w:r w:rsidR="00F4368B" w:rsidRPr="00654DA1">
        <w:rPr>
          <w:color w:val="000000" w:themeColor="text1"/>
          <w:sz w:val="20"/>
          <w:szCs w:val="20"/>
        </w:rPr>
        <w:t>:</w:t>
      </w:r>
      <w:r w:rsidR="003C13C5" w:rsidRPr="00654DA1">
        <w:rPr>
          <w:color w:val="000000" w:themeColor="text1"/>
          <w:sz w:val="20"/>
          <w:szCs w:val="20"/>
        </w:rPr>
        <w:t>1</w:t>
      </w:r>
      <w:r w:rsidR="00F25693" w:rsidRPr="00654DA1">
        <w:rPr>
          <w:color w:val="000000" w:themeColor="text1"/>
          <w:sz w:val="20"/>
          <w:szCs w:val="20"/>
        </w:rPr>
        <w:t>1</w:t>
      </w:r>
    </w:p>
    <w:p w14:paraId="24641C07" w14:textId="77777777" w:rsidR="00F4368B" w:rsidRPr="00654DA1" w:rsidRDefault="00562A2C" w:rsidP="00F4368B">
      <w:pPr>
        <w:rPr>
          <w:sz w:val="20"/>
          <w:szCs w:val="20"/>
        </w:rPr>
      </w:pPr>
      <w:r w:rsidRPr="00654DA1">
        <w:rPr>
          <w:sz w:val="20"/>
          <w:szCs w:val="20"/>
        </w:rPr>
        <w:fldChar w:fldCharType="begin"/>
      </w:r>
      <w:r w:rsidRPr="00654DA1">
        <w:rPr>
          <w:sz w:val="20"/>
          <w:szCs w:val="20"/>
        </w:rPr>
        <w:instrText xml:space="preserve"> NUMWORDS   \* MERGEFORMAT </w:instrText>
      </w:r>
      <w:r w:rsidRPr="00654DA1">
        <w:rPr>
          <w:sz w:val="20"/>
          <w:szCs w:val="20"/>
        </w:rPr>
        <w:fldChar w:fldCharType="separate"/>
      </w:r>
      <w:r w:rsidR="008D1ACC" w:rsidRPr="00654DA1">
        <w:rPr>
          <w:noProof/>
          <w:sz w:val="20"/>
          <w:szCs w:val="20"/>
        </w:rPr>
        <w:t>1954</w:t>
      </w:r>
      <w:r w:rsidRPr="00654DA1">
        <w:rPr>
          <w:noProof/>
          <w:sz w:val="20"/>
          <w:szCs w:val="20"/>
        </w:rPr>
        <w:fldChar w:fldCharType="end"/>
      </w:r>
    </w:p>
    <w:p w14:paraId="5BCC0B37" w14:textId="77777777" w:rsidR="00F4368B" w:rsidRPr="00654DA1" w:rsidRDefault="00F4368B" w:rsidP="00F4368B">
      <w:pPr>
        <w:rPr>
          <w:sz w:val="20"/>
          <w:szCs w:val="20"/>
        </w:rPr>
      </w:pPr>
      <w:r w:rsidRPr="00654DA1">
        <w:rPr>
          <w:sz w:val="20"/>
          <w:szCs w:val="20"/>
        </w:rPr>
        <w:t>E.Šaicāns</w:t>
      </w:r>
    </w:p>
    <w:p w14:paraId="3DD72AD3" w14:textId="77777777" w:rsidR="00F4368B" w:rsidRPr="00654DA1" w:rsidRDefault="00F4368B" w:rsidP="00F4368B">
      <w:pPr>
        <w:rPr>
          <w:sz w:val="20"/>
          <w:szCs w:val="20"/>
        </w:rPr>
      </w:pPr>
      <w:r w:rsidRPr="00654DA1">
        <w:rPr>
          <w:sz w:val="20"/>
          <w:szCs w:val="20"/>
        </w:rPr>
        <w:t>67013143</w:t>
      </w:r>
      <w:r w:rsidRPr="00654DA1">
        <w:rPr>
          <w:color w:val="000000" w:themeColor="text1"/>
          <w:sz w:val="20"/>
          <w:szCs w:val="20"/>
        </w:rPr>
        <w:t xml:space="preserve">, </w:t>
      </w:r>
      <w:r w:rsidRPr="00654DA1">
        <w:rPr>
          <w:rFonts w:eastAsiaTheme="majorEastAsia"/>
          <w:sz w:val="20"/>
          <w:szCs w:val="20"/>
        </w:rPr>
        <w:t>Edijs.Saicans@em.gov.lv</w:t>
      </w:r>
    </w:p>
    <w:p w14:paraId="0292C56F" w14:textId="77777777" w:rsidR="00F4368B" w:rsidRPr="00654DA1" w:rsidRDefault="00F4368B" w:rsidP="00F4368B">
      <w:pPr>
        <w:rPr>
          <w:sz w:val="20"/>
          <w:szCs w:val="20"/>
        </w:rPr>
      </w:pPr>
      <w:r w:rsidRPr="00654DA1">
        <w:rPr>
          <w:sz w:val="20"/>
          <w:szCs w:val="20"/>
        </w:rPr>
        <w:t>K.Gičevskis</w:t>
      </w:r>
    </w:p>
    <w:p w14:paraId="53ACF290" w14:textId="77777777" w:rsidR="00F4368B" w:rsidRPr="00F4368B" w:rsidRDefault="00F4368B" w:rsidP="00F4368B">
      <w:pPr>
        <w:jc w:val="both"/>
        <w:rPr>
          <w:color w:val="000000"/>
        </w:rPr>
      </w:pPr>
      <w:r w:rsidRPr="00654DA1">
        <w:rPr>
          <w:sz w:val="20"/>
          <w:szCs w:val="20"/>
        </w:rPr>
        <w:t>67013232</w:t>
      </w:r>
      <w:r w:rsidRPr="00654DA1">
        <w:rPr>
          <w:color w:val="000000" w:themeColor="text1"/>
          <w:sz w:val="20"/>
          <w:szCs w:val="20"/>
        </w:rPr>
        <w:t xml:space="preserve">, </w:t>
      </w:r>
      <w:r w:rsidRPr="00654DA1">
        <w:rPr>
          <w:rFonts w:eastAsiaTheme="majorEastAsia"/>
          <w:sz w:val="20"/>
          <w:szCs w:val="20"/>
        </w:rPr>
        <w:t>Karlis.Gicevskis@em.gov.lv</w:t>
      </w:r>
    </w:p>
    <w:sectPr w:rsidR="00F4368B" w:rsidRPr="00F4368B"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05FF9" w14:textId="77777777" w:rsidR="00562A2C" w:rsidRDefault="00562A2C">
      <w:r>
        <w:separator/>
      </w:r>
    </w:p>
  </w:endnote>
  <w:endnote w:type="continuationSeparator" w:id="0">
    <w:p w14:paraId="72301153" w14:textId="77777777" w:rsidR="00562A2C" w:rsidRDefault="0056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D876" w14:textId="193D85C0" w:rsidR="00B777C1" w:rsidRPr="00BB41B8" w:rsidRDefault="00B777C1" w:rsidP="00155690">
    <w:pPr>
      <w:tabs>
        <w:tab w:val="center" w:pos="4513"/>
        <w:tab w:val="right" w:pos="9026"/>
      </w:tabs>
      <w:jc w:val="both"/>
      <w:rPr>
        <w:bCs/>
        <w:sz w:val="20"/>
        <w:szCs w:val="20"/>
      </w:rPr>
    </w:pPr>
    <w:r w:rsidRPr="00BB41B8">
      <w:rPr>
        <w:sz w:val="20"/>
        <w:szCs w:val="20"/>
      </w:rPr>
      <w:t>EManot_</w:t>
    </w:r>
    <w:r w:rsidR="00AC4BF7">
      <w:rPr>
        <w:sz w:val="20"/>
        <w:szCs w:val="20"/>
      </w:rPr>
      <w:t>1810</w:t>
    </w:r>
    <w:r w:rsidRPr="00BB41B8">
      <w:rPr>
        <w:sz w:val="20"/>
        <w:szCs w:val="20"/>
      </w:rPr>
      <w:t>1</w:t>
    </w:r>
    <w:r w:rsidR="00F4368B">
      <w:rPr>
        <w:sz w:val="20"/>
        <w:szCs w:val="20"/>
      </w:rPr>
      <w:t>6</w:t>
    </w:r>
    <w:r w:rsidRPr="00BB41B8">
      <w:rPr>
        <w:sz w:val="20"/>
        <w:szCs w:val="20"/>
      </w:rPr>
      <w:t>_s</w:t>
    </w:r>
    <w:r>
      <w:rPr>
        <w:sz w:val="20"/>
        <w:szCs w:val="20"/>
      </w:rPr>
      <w:t>kait</w:t>
    </w:r>
    <w:r w:rsidRPr="00BB41B8">
      <w:rPr>
        <w:sz w:val="20"/>
        <w:szCs w:val="20"/>
      </w:rPr>
      <w:t>; Minist</w:t>
    </w:r>
    <w:r>
      <w:rPr>
        <w:sz w:val="20"/>
        <w:szCs w:val="20"/>
      </w:rPr>
      <w:t>ru kabineta noteikumu projekta “Grozījumi</w:t>
    </w:r>
    <w:r w:rsidRPr="00BB41B8">
      <w:rPr>
        <w:sz w:val="20"/>
        <w:szCs w:val="20"/>
      </w:rPr>
      <w:t xml:space="preserve"> Ministru kabineta 2007.g</w:t>
    </w:r>
    <w:r>
      <w:rPr>
        <w:sz w:val="20"/>
        <w:szCs w:val="20"/>
      </w:rPr>
      <w:t>ada 9.janvāra noteikumos Nr.40 “</w:t>
    </w:r>
    <w:r w:rsidRPr="00BB41B8">
      <w:rPr>
        <w:sz w:val="20"/>
        <w:szCs w:val="20"/>
      </w:rPr>
      <w:t>Noteikumi par valsts metroloģiskajai kontrolei pakļauto mērīša</w:t>
    </w:r>
    <w:r>
      <w:rPr>
        <w:sz w:val="20"/>
        <w:szCs w:val="20"/>
      </w:rPr>
      <w:t>nas līdzekļu sarakstu””</w:t>
    </w:r>
    <w:r w:rsidRPr="00BB41B8">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55637" w14:textId="3F88BE31" w:rsidR="00B777C1" w:rsidRPr="00BB41B8" w:rsidRDefault="00B777C1" w:rsidP="00155690">
    <w:pPr>
      <w:tabs>
        <w:tab w:val="center" w:pos="4513"/>
        <w:tab w:val="right" w:pos="9026"/>
      </w:tabs>
      <w:jc w:val="both"/>
      <w:rPr>
        <w:bCs/>
        <w:sz w:val="20"/>
        <w:szCs w:val="20"/>
      </w:rPr>
    </w:pPr>
    <w:r w:rsidRPr="00BB41B8">
      <w:rPr>
        <w:sz w:val="20"/>
        <w:szCs w:val="20"/>
      </w:rPr>
      <w:t>EManot_</w:t>
    </w:r>
    <w:r w:rsidR="00AC4BF7">
      <w:rPr>
        <w:sz w:val="20"/>
        <w:szCs w:val="20"/>
      </w:rPr>
      <w:t>1810</w:t>
    </w:r>
    <w:r w:rsidRPr="00BB41B8">
      <w:rPr>
        <w:sz w:val="20"/>
        <w:szCs w:val="20"/>
      </w:rPr>
      <w:t>1</w:t>
    </w:r>
    <w:r w:rsidR="00F4368B">
      <w:rPr>
        <w:sz w:val="20"/>
        <w:szCs w:val="20"/>
      </w:rPr>
      <w:t>6</w:t>
    </w:r>
    <w:r w:rsidRPr="00BB41B8">
      <w:rPr>
        <w:sz w:val="20"/>
        <w:szCs w:val="20"/>
      </w:rPr>
      <w:t>_s</w:t>
    </w:r>
    <w:r>
      <w:rPr>
        <w:sz w:val="20"/>
        <w:szCs w:val="20"/>
      </w:rPr>
      <w:t>kait</w:t>
    </w:r>
    <w:r w:rsidRPr="00BB41B8">
      <w:rPr>
        <w:sz w:val="20"/>
        <w:szCs w:val="20"/>
      </w:rPr>
      <w:t>; Minist</w:t>
    </w:r>
    <w:r>
      <w:rPr>
        <w:sz w:val="20"/>
        <w:szCs w:val="20"/>
      </w:rPr>
      <w:t>ru kabineta noteikumu projekta “Grozījumi</w:t>
    </w:r>
    <w:r w:rsidRPr="00BB41B8">
      <w:rPr>
        <w:sz w:val="20"/>
        <w:szCs w:val="20"/>
      </w:rPr>
      <w:t xml:space="preserve"> Ministru kabineta 2007.g</w:t>
    </w:r>
    <w:r>
      <w:rPr>
        <w:sz w:val="20"/>
        <w:szCs w:val="20"/>
      </w:rPr>
      <w:t>ada 9.janvāra noteikumos Nr.40 “</w:t>
    </w:r>
    <w:r w:rsidRPr="00BB41B8">
      <w:rPr>
        <w:sz w:val="20"/>
        <w:szCs w:val="20"/>
      </w:rPr>
      <w:t>Noteikumi par valsts metroloģiskajai kontrolei pakļauto mērīša</w:t>
    </w:r>
    <w:r>
      <w:rPr>
        <w:sz w:val="20"/>
        <w:szCs w:val="20"/>
      </w:rPr>
      <w:t>nas līdzekļu sarakstu””</w:t>
    </w:r>
    <w:r w:rsidRPr="00BB41B8">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EC4E1" w14:textId="77777777" w:rsidR="00562A2C" w:rsidRDefault="00562A2C">
      <w:r>
        <w:separator/>
      </w:r>
    </w:p>
  </w:footnote>
  <w:footnote w:type="continuationSeparator" w:id="0">
    <w:p w14:paraId="7FD5C84D" w14:textId="77777777" w:rsidR="00562A2C" w:rsidRDefault="00562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D5EED" w14:textId="77777777"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6F8F23" w14:textId="77777777" w:rsidR="00B777C1" w:rsidRDefault="00B77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9AE6" w14:textId="77777777"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1D88">
      <w:rPr>
        <w:rStyle w:val="PageNumber"/>
        <w:noProof/>
      </w:rPr>
      <w:t>7</w:t>
    </w:r>
    <w:r>
      <w:rPr>
        <w:rStyle w:val="PageNumber"/>
      </w:rPr>
      <w:fldChar w:fldCharType="end"/>
    </w:r>
  </w:p>
  <w:p w14:paraId="74725A8B" w14:textId="77777777" w:rsidR="00B777C1" w:rsidRDefault="00B77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9"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7"/>
  </w:num>
  <w:num w:numId="3">
    <w:abstractNumId w:val="4"/>
  </w:num>
  <w:num w:numId="4">
    <w:abstractNumId w:val="1"/>
  </w:num>
  <w:num w:numId="5">
    <w:abstractNumId w:val="0"/>
  </w:num>
  <w:num w:numId="6">
    <w:abstractNumId w:val="13"/>
  </w:num>
  <w:num w:numId="7">
    <w:abstractNumId w:val="20"/>
  </w:num>
  <w:num w:numId="8">
    <w:abstractNumId w:val="9"/>
  </w:num>
  <w:num w:numId="9">
    <w:abstractNumId w:val="2"/>
  </w:num>
  <w:num w:numId="10">
    <w:abstractNumId w:val="10"/>
  </w:num>
  <w:num w:numId="11">
    <w:abstractNumId w:val="11"/>
  </w:num>
  <w:num w:numId="12">
    <w:abstractNumId w:val="14"/>
  </w:num>
  <w:num w:numId="13">
    <w:abstractNumId w:val="16"/>
  </w:num>
  <w:num w:numId="14">
    <w:abstractNumId w:val="5"/>
  </w:num>
  <w:num w:numId="15">
    <w:abstractNumId w:val="8"/>
  </w:num>
  <w:num w:numId="16">
    <w:abstractNumId w:val="18"/>
  </w:num>
  <w:num w:numId="17">
    <w:abstractNumId w:val="19"/>
  </w:num>
  <w:num w:numId="18">
    <w:abstractNumId w:val="7"/>
  </w:num>
  <w:num w:numId="19">
    <w:abstractNumId w:val="15"/>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E7C"/>
    <w:rsid w:val="00023EE6"/>
    <w:rsid w:val="0002667D"/>
    <w:rsid w:val="00027564"/>
    <w:rsid w:val="000312DB"/>
    <w:rsid w:val="00032388"/>
    <w:rsid w:val="00032F2B"/>
    <w:rsid w:val="00033167"/>
    <w:rsid w:val="0003379D"/>
    <w:rsid w:val="00035CE2"/>
    <w:rsid w:val="00036939"/>
    <w:rsid w:val="00042899"/>
    <w:rsid w:val="00042D0E"/>
    <w:rsid w:val="000434F0"/>
    <w:rsid w:val="00044162"/>
    <w:rsid w:val="00044256"/>
    <w:rsid w:val="00045178"/>
    <w:rsid w:val="00047DA9"/>
    <w:rsid w:val="0005265E"/>
    <w:rsid w:val="00054A3F"/>
    <w:rsid w:val="0005553B"/>
    <w:rsid w:val="00056ED2"/>
    <w:rsid w:val="0005711F"/>
    <w:rsid w:val="000604D2"/>
    <w:rsid w:val="00060B32"/>
    <w:rsid w:val="00061C83"/>
    <w:rsid w:val="00064075"/>
    <w:rsid w:val="000667D3"/>
    <w:rsid w:val="00067B8A"/>
    <w:rsid w:val="000704C8"/>
    <w:rsid w:val="0008123B"/>
    <w:rsid w:val="00087354"/>
    <w:rsid w:val="0008764A"/>
    <w:rsid w:val="0009005E"/>
    <w:rsid w:val="000906BD"/>
    <w:rsid w:val="000941C5"/>
    <w:rsid w:val="00096A3E"/>
    <w:rsid w:val="000A237D"/>
    <w:rsid w:val="000A2CD9"/>
    <w:rsid w:val="000A3FA7"/>
    <w:rsid w:val="000A5505"/>
    <w:rsid w:val="000A6451"/>
    <w:rsid w:val="000B064E"/>
    <w:rsid w:val="000B0DBC"/>
    <w:rsid w:val="000B0E33"/>
    <w:rsid w:val="000B1D4D"/>
    <w:rsid w:val="000B40D5"/>
    <w:rsid w:val="000B617F"/>
    <w:rsid w:val="000B65B3"/>
    <w:rsid w:val="000B69CF"/>
    <w:rsid w:val="000C3840"/>
    <w:rsid w:val="000C4249"/>
    <w:rsid w:val="000C4F40"/>
    <w:rsid w:val="000C7730"/>
    <w:rsid w:val="000C7786"/>
    <w:rsid w:val="000C790C"/>
    <w:rsid w:val="000D1BD1"/>
    <w:rsid w:val="000D1C54"/>
    <w:rsid w:val="000D3A1E"/>
    <w:rsid w:val="000D472B"/>
    <w:rsid w:val="000D5B55"/>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330D"/>
    <w:rsid w:val="001034AE"/>
    <w:rsid w:val="00103EEB"/>
    <w:rsid w:val="00106417"/>
    <w:rsid w:val="0011244A"/>
    <w:rsid w:val="00113F3B"/>
    <w:rsid w:val="0011461E"/>
    <w:rsid w:val="001152DB"/>
    <w:rsid w:val="00115B50"/>
    <w:rsid w:val="0012006B"/>
    <w:rsid w:val="001203A1"/>
    <w:rsid w:val="00120766"/>
    <w:rsid w:val="00124541"/>
    <w:rsid w:val="0012459D"/>
    <w:rsid w:val="00124F12"/>
    <w:rsid w:val="001261F5"/>
    <w:rsid w:val="00127E94"/>
    <w:rsid w:val="00131209"/>
    <w:rsid w:val="0013160C"/>
    <w:rsid w:val="00132C7C"/>
    <w:rsid w:val="001334C0"/>
    <w:rsid w:val="00137071"/>
    <w:rsid w:val="00137D89"/>
    <w:rsid w:val="00140F47"/>
    <w:rsid w:val="00141136"/>
    <w:rsid w:val="00142CB5"/>
    <w:rsid w:val="00144E3A"/>
    <w:rsid w:val="00146E24"/>
    <w:rsid w:val="001472CB"/>
    <w:rsid w:val="0015060C"/>
    <w:rsid w:val="00153C37"/>
    <w:rsid w:val="00155690"/>
    <w:rsid w:val="00155AE8"/>
    <w:rsid w:val="001568D0"/>
    <w:rsid w:val="0016018A"/>
    <w:rsid w:val="00161F0E"/>
    <w:rsid w:val="001627FF"/>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2A7"/>
    <w:rsid w:val="00190F88"/>
    <w:rsid w:val="00193E45"/>
    <w:rsid w:val="001A3662"/>
    <w:rsid w:val="001A4066"/>
    <w:rsid w:val="001A4B82"/>
    <w:rsid w:val="001A6AE4"/>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7C6E"/>
    <w:rsid w:val="00200605"/>
    <w:rsid w:val="002059BF"/>
    <w:rsid w:val="0021263D"/>
    <w:rsid w:val="00213F0C"/>
    <w:rsid w:val="00214094"/>
    <w:rsid w:val="00215121"/>
    <w:rsid w:val="0021592D"/>
    <w:rsid w:val="002164E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66B7"/>
    <w:rsid w:val="002469A0"/>
    <w:rsid w:val="00250A0F"/>
    <w:rsid w:val="00253175"/>
    <w:rsid w:val="00257387"/>
    <w:rsid w:val="00257FDB"/>
    <w:rsid w:val="00260917"/>
    <w:rsid w:val="00261E2B"/>
    <w:rsid w:val="0026215B"/>
    <w:rsid w:val="002621B9"/>
    <w:rsid w:val="00262E2B"/>
    <w:rsid w:val="00265F0D"/>
    <w:rsid w:val="002674CE"/>
    <w:rsid w:val="00270429"/>
    <w:rsid w:val="002709C6"/>
    <w:rsid w:val="002721B6"/>
    <w:rsid w:val="002723E9"/>
    <w:rsid w:val="00273C51"/>
    <w:rsid w:val="002758AB"/>
    <w:rsid w:val="002775AF"/>
    <w:rsid w:val="00277929"/>
    <w:rsid w:val="00280571"/>
    <w:rsid w:val="00280BC3"/>
    <w:rsid w:val="00280D1A"/>
    <w:rsid w:val="00283B82"/>
    <w:rsid w:val="002846E9"/>
    <w:rsid w:val="00284C34"/>
    <w:rsid w:val="0029066C"/>
    <w:rsid w:val="00291645"/>
    <w:rsid w:val="00297520"/>
    <w:rsid w:val="002A1535"/>
    <w:rsid w:val="002B003D"/>
    <w:rsid w:val="002B078D"/>
    <w:rsid w:val="002B4721"/>
    <w:rsid w:val="002B50DB"/>
    <w:rsid w:val="002B6C95"/>
    <w:rsid w:val="002C12AB"/>
    <w:rsid w:val="002C1606"/>
    <w:rsid w:val="002C2A86"/>
    <w:rsid w:val="002C7CAC"/>
    <w:rsid w:val="002D1658"/>
    <w:rsid w:val="002D3306"/>
    <w:rsid w:val="002D473F"/>
    <w:rsid w:val="002D48AA"/>
    <w:rsid w:val="002D7BAA"/>
    <w:rsid w:val="002D7F54"/>
    <w:rsid w:val="002E0E16"/>
    <w:rsid w:val="002E2D9B"/>
    <w:rsid w:val="002E3FF4"/>
    <w:rsid w:val="002E4FFE"/>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C96"/>
    <w:rsid w:val="0032139E"/>
    <w:rsid w:val="0032226E"/>
    <w:rsid w:val="00323B00"/>
    <w:rsid w:val="003260A8"/>
    <w:rsid w:val="0032711D"/>
    <w:rsid w:val="0032715C"/>
    <w:rsid w:val="00331E2B"/>
    <w:rsid w:val="003326DE"/>
    <w:rsid w:val="00333AF2"/>
    <w:rsid w:val="00335CF7"/>
    <w:rsid w:val="00336A20"/>
    <w:rsid w:val="00337CA5"/>
    <w:rsid w:val="00337CF8"/>
    <w:rsid w:val="00340E50"/>
    <w:rsid w:val="003416C7"/>
    <w:rsid w:val="00343716"/>
    <w:rsid w:val="003439D8"/>
    <w:rsid w:val="003444D1"/>
    <w:rsid w:val="0034495D"/>
    <w:rsid w:val="00347CA8"/>
    <w:rsid w:val="0035438A"/>
    <w:rsid w:val="00361113"/>
    <w:rsid w:val="00362478"/>
    <w:rsid w:val="003642C0"/>
    <w:rsid w:val="00365984"/>
    <w:rsid w:val="0036752C"/>
    <w:rsid w:val="00372C58"/>
    <w:rsid w:val="00373439"/>
    <w:rsid w:val="00374582"/>
    <w:rsid w:val="003751F4"/>
    <w:rsid w:val="003757BD"/>
    <w:rsid w:val="00375B25"/>
    <w:rsid w:val="00382FE1"/>
    <w:rsid w:val="00384BFF"/>
    <w:rsid w:val="003872A1"/>
    <w:rsid w:val="00387C43"/>
    <w:rsid w:val="00387E82"/>
    <w:rsid w:val="003904F9"/>
    <w:rsid w:val="00393387"/>
    <w:rsid w:val="00393F8B"/>
    <w:rsid w:val="00396542"/>
    <w:rsid w:val="0039685B"/>
    <w:rsid w:val="003A0A64"/>
    <w:rsid w:val="003A12AD"/>
    <w:rsid w:val="003A2826"/>
    <w:rsid w:val="003A31A6"/>
    <w:rsid w:val="003A38D2"/>
    <w:rsid w:val="003A390F"/>
    <w:rsid w:val="003A60BD"/>
    <w:rsid w:val="003A7F0C"/>
    <w:rsid w:val="003A7F79"/>
    <w:rsid w:val="003B0CF3"/>
    <w:rsid w:val="003B26A9"/>
    <w:rsid w:val="003B2B58"/>
    <w:rsid w:val="003B37A7"/>
    <w:rsid w:val="003B447F"/>
    <w:rsid w:val="003B466E"/>
    <w:rsid w:val="003B6404"/>
    <w:rsid w:val="003B6ED2"/>
    <w:rsid w:val="003C0BD6"/>
    <w:rsid w:val="003C13C5"/>
    <w:rsid w:val="003C3BAB"/>
    <w:rsid w:val="003C3FD6"/>
    <w:rsid w:val="003C449B"/>
    <w:rsid w:val="003C4A15"/>
    <w:rsid w:val="003C52F2"/>
    <w:rsid w:val="003D21FF"/>
    <w:rsid w:val="003D2DF6"/>
    <w:rsid w:val="003D3A82"/>
    <w:rsid w:val="003D3C43"/>
    <w:rsid w:val="003E28E5"/>
    <w:rsid w:val="003E3C4B"/>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40EE"/>
    <w:rsid w:val="00414DB2"/>
    <w:rsid w:val="00414E6A"/>
    <w:rsid w:val="00420870"/>
    <w:rsid w:val="00426880"/>
    <w:rsid w:val="004367EE"/>
    <w:rsid w:val="00437385"/>
    <w:rsid w:val="004378D7"/>
    <w:rsid w:val="0043791B"/>
    <w:rsid w:val="00440A7D"/>
    <w:rsid w:val="00441483"/>
    <w:rsid w:val="00441BCB"/>
    <w:rsid w:val="004427D6"/>
    <w:rsid w:val="00443978"/>
    <w:rsid w:val="00445273"/>
    <w:rsid w:val="0045176A"/>
    <w:rsid w:val="00452DE3"/>
    <w:rsid w:val="00453D1D"/>
    <w:rsid w:val="00456332"/>
    <w:rsid w:val="00461826"/>
    <w:rsid w:val="004624A3"/>
    <w:rsid w:val="0046548B"/>
    <w:rsid w:val="00466838"/>
    <w:rsid w:val="00467899"/>
    <w:rsid w:val="00470164"/>
    <w:rsid w:val="00472D75"/>
    <w:rsid w:val="004746C8"/>
    <w:rsid w:val="00475203"/>
    <w:rsid w:val="00475C3D"/>
    <w:rsid w:val="00475F74"/>
    <w:rsid w:val="004772F7"/>
    <w:rsid w:val="004800F9"/>
    <w:rsid w:val="00485BB5"/>
    <w:rsid w:val="00487B0A"/>
    <w:rsid w:val="0049134A"/>
    <w:rsid w:val="00491A89"/>
    <w:rsid w:val="00493E74"/>
    <w:rsid w:val="004940BA"/>
    <w:rsid w:val="004942F6"/>
    <w:rsid w:val="004A0946"/>
    <w:rsid w:val="004A1B92"/>
    <w:rsid w:val="004A46A9"/>
    <w:rsid w:val="004A58CB"/>
    <w:rsid w:val="004B1795"/>
    <w:rsid w:val="004B3D2B"/>
    <w:rsid w:val="004B4AA0"/>
    <w:rsid w:val="004B56DD"/>
    <w:rsid w:val="004B5825"/>
    <w:rsid w:val="004B5D57"/>
    <w:rsid w:val="004B66D8"/>
    <w:rsid w:val="004B6C7E"/>
    <w:rsid w:val="004C020F"/>
    <w:rsid w:val="004C1AFD"/>
    <w:rsid w:val="004C2121"/>
    <w:rsid w:val="004C2157"/>
    <w:rsid w:val="004C558B"/>
    <w:rsid w:val="004D016C"/>
    <w:rsid w:val="004D618C"/>
    <w:rsid w:val="004D7A1E"/>
    <w:rsid w:val="004E05AE"/>
    <w:rsid w:val="004E3748"/>
    <w:rsid w:val="004E46CE"/>
    <w:rsid w:val="004F0108"/>
    <w:rsid w:val="004F1F88"/>
    <w:rsid w:val="004F3328"/>
    <w:rsid w:val="004F4F0A"/>
    <w:rsid w:val="004F4FD1"/>
    <w:rsid w:val="004F5F1B"/>
    <w:rsid w:val="00502374"/>
    <w:rsid w:val="005060A1"/>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853"/>
    <w:rsid w:val="00551541"/>
    <w:rsid w:val="00552CF9"/>
    <w:rsid w:val="00552DDA"/>
    <w:rsid w:val="005560BC"/>
    <w:rsid w:val="005573BE"/>
    <w:rsid w:val="00560E2F"/>
    <w:rsid w:val="005610E2"/>
    <w:rsid w:val="00561A37"/>
    <w:rsid w:val="00562A2C"/>
    <w:rsid w:val="005641E4"/>
    <w:rsid w:val="00567A16"/>
    <w:rsid w:val="00567E42"/>
    <w:rsid w:val="00570AA6"/>
    <w:rsid w:val="00572700"/>
    <w:rsid w:val="00572A7A"/>
    <w:rsid w:val="00573E98"/>
    <w:rsid w:val="00576BD3"/>
    <w:rsid w:val="00580468"/>
    <w:rsid w:val="00580FB7"/>
    <w:rsid w:val="0058603B"/>
    <w:rsid w:val="00586509"/>
    <w:rsid w:val="00586DA6"/>
    <w:rsid w:val="00590452"/>
    <w:rsid w:val="00591C9F"/>
    <w:rsid w:val="0059390D"/>
    <w:rsid w:val="0059431B"/>
    <w:rsid w:val="005947E4"/>
    <w:rsid w:val="00594F10"/>
    <w:rsid w:val="005A086D"/>
    <w:rsid w:val="005A39CC"/>
    <w:rsid w:val="005A6D78"/>
    <w:rsid w:val="005A6F3D"/>
    <w:rsid w:val="005A7FB1"/>
    <w:rsid w:val="005B017F"/>
    <w:rsid w:val="005B3373"/>
    <w:rsid w:val="005B4730"/>
    <w:rsid w:val="005B7DD7"/>
    <w:rsid w:val="005C3005"/>
    <w:rsid w:val="005C40AC"/>
    <w:rsid w:val="005D3950"/>
    <w:rsid w:val="005D6D4C"/>
    <w:rsid w:val="005D7D30"/>
    <w:rsid w:val="005E0222"/>
    <w:rsid w:val="005E05D7"/>
    <w:rsid w:val="005E0E6E"/>
    <w:rsid w:val="005E41E7"/>
    <w:rsid w:val="005E450F"/>
    <w:rsid w:val="005E5ABB"/>
    <w:rsid w:val="005E64E8"/>
    <w:rsid w:val="005E7D3F"/>
    <w:rsid w:val="005F20A7"/>
    <w:rsid w:val="005F283D"/>
    <w:rsid w:val="005F5773"/>
    <w:rsid w:val="005F5D61"/>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E84"/>
    <w:rsid w:val="006413A8"/>
    <w:rsid w:val="0064293B"/>
    <w:rsid w:val="00642E56"/>
    <w:rsid w:val="00644331"/>
    <w:rsid w:val="006446A4"/>
    <w:rsid w:val="00651E00"/>
    <w:rsid w:val="00652825"/>
    <w:rsid w:val="00654BB1"/>
    <w:rsid w:val="00654DA1"/>
    <w:rsid w:val="006570D6"/>
    <w:rsid w:val="0066200B"/>
    <w:rsid w:val="006648BB"/>
    <w:rsid w:val="00666AC0"/>
    <w:rsid w:val="00666B88"/>
    <w:rsid w:val="00667EEE"/>
    <w:rsid w:val="006728D4"/>
    <w:rsid w:val="00674572"/>
    <w:rsid w:val="00674F6D"/>
    <w:rsid w:val="006817C8"/>
    <w:rsid w:val="00687763"/>
    <w:rsid w:val="00690417"/>
    <w:rsid w:val="006915DA"/>
    <w:rsid w:val="00691C30"/>
    <w:rsid w:val="00692B0D"/>
    <w:rsid w:val="00692DBC"/>
    <w:rsid w:val="00693828"/>
    <w:rsid w:val="00693E0E"/>
    <w:rsid w:val="00696F5F"/>
    <w:rsid w:val="006A0A17"/>
    <w:rsid w:val="006A1616"/>
    <w:rsid w:val="006A1AE3"/>
    <w:rsid w:val="006A3C84"/>
    <w:rsid w:val="006A53CB"/>
    <w:rsid w:val="006B0460"/>
    <w:rsid w:val="006B0D04"/>
    <w:rsid w:val="006B15C5"/>
    <w:rsid w:val="006B2F2A"/>
    <w:rsid w:val="006B572A"/>
    <w:rsid w:val="006C11B9"/>
    <w:rsid w:val="006C2A82"/>
    <w:rsid w:val="006C2C96"/>
    <w:rsid w:val="006C30E1"/>
    <w:rsid w:val="006C391E"/>
    <w:rsid w:val="006C4607"/>
    <w:rsid w:val="006C4D33"/>
    <w:rsid w:val="006C7451"/>
    <w:rsid w:val="006C7561"/>
    <w:rsid w:val="006D023C"/>
    <w:rsid w:val="006D0FF9"/>
    <w:rsid w:val="006D48F1"/>
    <w:rsid w:val="006D5702"/>
    <w:rsid w:val="006E1380"/>
    <w:rsid w:val="006E25D2"/>
    <w:rsid w:val="006E2CA1"/>
    <w:rsid w:val="006E3FB0"/>
    <w:rsid w:val="006E7EB7"/>
    <w:rsid w:val="006F05D4"/>
    <w:rsid w:val="006F09C7"/>
    <w:rsid w:val="006F0ACE"/>
    <w:rsid w:val="006F2B80"/>
    <w:rsid w:val="006F3D17"/>
    <w:rsid w:val="006F45BE"/>
    <w:rsid w:val="006F5782"/>
    <w:rsid w:val="006F58FE"/>
    <w:rsid w:val="007004FC"/>
    <w:rsid w:val="007005F0"/>
    <w:rsid w:val="00704877"/>
    <w:rsid w:val="00705374"/>
    <w:rsid w:val="00706670"/>
    <w:rsid w:val="00706F20"/>
    <w:rsid w:val="00711B9D"/>
    <w:rsid w:val="00717E74"/>
    <w:rsid w:val="007206BB"/>
    <w:rsid w:val="0072170E"/>
    <w:rsid w:val="007225F5"/>
    <w:rsid w:val="0072417C"/>
    <w:rsid w:val="00726B33"/>
    <w:rsid w:val="00731473"/>
    <w:rsid w:val="00734450"/>
    <w:rsid w:val="0073452D"/>
    <w:rsid w:val="00734AE2"/>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7C6E"/>
    <w:rsid w:val="00760EC3"/>
    <w:rsid w:val="0076280B"/>
    <w:rsid w:val="00762BDA"/>
    <w:rsid w:val="00764AE2"/>
    <w:rsid w:val="00764CDA"/>
    <w:rsid w:val="00766200"/>
    <w:rsid w:val="00767F08"/>
    <w:rsid w:val="007704A7"/>
    <w:rsid w:val="00774A9F"/>
    <w:rsid w:val="00775193"/>
    <w:rsid w:val="00776266"/>
    <w:rsid w:val="00777D88"/>
    <w:rsid w:val="00777FA2"/>
    <w:rsid w:val="007803ED"/>
    <w:rsid w:val="007805FD"/>
    <w:rsid w:val="00780A39"/>
    <w:rsid w:val="00781565"/>
    <w:rsid w:val="007840F1"/>
    <w:rsid w:val="00784422"/>
    <w:rsid w:val="007852EA"/>
    <w:rsid w:val="00785C9E"/>
    <w:rsid w:val="007868BC"/>
    <w:rsid w:val="00791D71"/>
    <w:rsid w:val="007921BB"/>
    <w:rsid w:val="00792B7C"/>
    <w:rsid w:val="00792B92"/>
    <w:rsid w:val="00792EDE"/>
    <w:rsid w:val="00796293"/>
    <w:rsid w:val="007A012B"/>
    <w:rsid w:val="007A2803"/>
    <w:rsid w:val="007A30FA"/>
    <w:rsid w:val="007A3124"/>
    <w:rsid w:val="007A4ED3"/>
    <w:rsid w:val="007A6FFA"/>
    <w:rsid w:val="007A75E3"/>
    <w:rsid w:val="007B3B54"/>
    <w:rsid w:val="007B3FA0"/>
    <w:rsid w:val="007B6E26"/>
    <w:rsid w:val="007B7A7D"/>
    <w:rsid w:val="007C0F2C"/>
    <w:rsid w:val="007C2BCC"/>
    <w:rsid w:val="007C4EF0"/>
    <w:rsid w:val="007C558E"/>
    <w:rsid w:val="007C6B53"/>
    <w:rsid w:val="007D099D"/>
    <w:rsid w:val="007D0CB8"/>
    <w:rsid w:val="007D30F9"/>
    <w:rsid w:val="007D4835"/>
    <w:rsid w:val="007D6961"/>
    <w:rsid w:val="007E097C"/>
    <w:rsid w:val="007E0E1B"/>
    <w:rsid w:val="007E2664"/>
    <w:rsid w:val="007E3ABF"/>
    <w:rsid w:val="007E4EC4"/>
    <w:rsid w:val="007E5BFA"/>
    <w:rsid w:val="007E6689"/>
    <w:rsid w:val="007E731C"/>
    <w:rsid w:val="007E7409"/>
    <w:rsid w:val="007E7A7A"/>
    <w:rsid w:val="007F0A03"/>
    <w:rsid w:val="007F2BAB"/>
    <w:rsid w:val="007F5E40"/>
    <w:rsid w:val="007F6D9C"/>
    <w:rsid w:val="007F7551"/>
    <w:rsid w:val="007F75DA"/>
    <w:rsid w:val="008004A5"/>
    <w:rsid w:val="00800656"/>
    <w:rsid w:val="00804310"/>
    <w:rsid w:val="008059CB"/>
    <w:rsid w:val="00810040"/>
    <w:rsid w:val="008104E0"/>
    <w:rsid w:val="008134A7"/>
    <w:rsid w:val="00816A82"/>
    <w:rsid w:val="008176C5"/>
    <w:rsid w:val="0082023A"/>
    <w:rsid w:val="00821A7A"/>
    <w:rsid w:val="00823357"/>
    <w:rsid w:val="008253F8"/>
    <w:rsid w:val="00827E9F"/>
    <w:rsid w:val="00831902"/>
    <w:rsid w:val="008325E4"/>
    <w:rsid w:val="00832A2B"/>
    <w:rsid w:val="00832FA8"/>
    <w:rsid w:val="00834BED"/>
    <w:rsid w:val="00834F23"/>
    <w:rsid w:val="00836927"/>
    <w:rsid w:val="00836CA6"/>
    <w:rsid w:val="0083727C"/>
    <w:rsid w:val="00837655"/>
    <w:rsid w:val="00842733"/>
    <w:rsid w:val="00844B60"/>
    <w:rsid w:val="00845811"/>
    <w:rsid w:val="00846994"/>
    <w:rsid w:val="00850451"/>
    <w:rsid w:val="0085101A"/>
    <w:rsid w:val="00852042"/>
    <w:rsid w:val="008525D6"/>
    <w:rsid w:val="008534C9"/>
    <w:rsid w:val="008542BA"/>
    <w:rsid w:val="008543FB"/>
    <w:rsid w:val="008550FB"/>
    <w:rsid w:val="0085599D"/>
    <w:rsid w:val="0085721E"/>
    <w:rsid w:val="008632DE"/>
    <w:rsid w:val="00864EFA"/>
    <w:rsid w:val="00867026"/>
    <w:rsid w:val="008678A9"/>
    <w:rsid w:val="00874152"/>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45E2"/>
    <w:rsid w:val="008B572C"/>
    <w:rsid w:val="008B5CD1"/>
    <w:rsid w:val="008B5FDB"/>
    <w:rsid w:val="008B610E"/>
    <w:rsid w:val="008C1FB4"/>
    <w:rsid w:val="008C2EDA"/>
    <w:rsid w:val="008C50F4"/>
    <w:rsid w:val="008C5649"/>
    <w:rsid w:val="008C5C24"/>
    <w:rsid w:val="008D1ACC"/>
    <w:rsid w:val="008D1E68"/>
    <w:rsid w:val="008D58A8"/>
    <w:rsid w:val="008D5E9E"/>
    <w:rsid w:val="008D5F3B"/>
    <w:rsid w:val="008E3127"/>
    <w:rsid w:val="008E44A2"/>
    <w:rsid w:val="008E697D"/>
    <w:rsid w:val="008E6A10"/>
    <w:rsid w:val="008F1EFC"/>
    <w:rsid w:val="008F272B"/>
    <w:rsid w:val="008F2E7A"/>
    <w:rsid w:val="008F372B"/>
    <w:rsid w:val="00902797"/>
    <w:rsid w:val="00903263"/>
    <w:rsid w:val="00904F2C"/>
    <w:rsid w:val="00906A21"/>
    <w:rsid w:val="009079C3"/>
    <w:rsid w:val="00910462"/>
    <w:rsid w:val="009113BB"/>
    <w:rsid w:val="009121E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302E0"/>
    <w:rsid w:val="00930785"/>
    <w:rsid w:val="00930A0C"/>
    <w:rsid w:val="00931AED"/>
    <w:rsid w:val="009356C2"/>
    <w:rsid w:val="009364F3"/>
    <w:rsid w:val="0093754C"/>
    <w:rsid w:val="009408E4"/>
    <w:rsid w:val="009476A3"/>
    <w:rsid w:val="00951D59"/>
    <w:rsid w:val="009527C1"/>
    <w:rsid w:val="0095334F"/>
    <w:rsid w:val="009535C9"/>
    <w:rsid w:val="00956C73"/>
    <w:rsid w:val="00962175"/>
    <w:rsid w:val="009624BE"/>
    <w:rsid w:val="0096417A"/>
    <w:rsid w:val="00965897"/>
    <w:rsid w:val="00966AE6"/>
    <w:rsid w:val="0096765C"/>
    <w:rsid w:val="009727E4"/>
    <w:rsid w:val="00980B2E"/>
    <w:rsid w:val="009835BD"/>
    <w:rsid w:val="00983EF7"/>
    <w:rsid w:val="00987819"/>
    <w:rsid w:val="009934C5"/>
    <w:rsid w:val="00994C0F"/>
    <w:rsid w:val="009964C8"/>
    <w:rsid w:val="009A5C53"/>
    <w:rsid w:val="009B0D27"/>
    <w:rsid w:val="009B22D7"/>
    <w:rsid w:val="009B554C"/>
    <w:rsid w:val="009B72ED"/>
    <w:rsid w:val="009C08B3"/>
    <w:rsid w:val="009C3283"/>
    <w:rsid w:val="009C32F1"/>
    <w:rsid w:val="009C4885"/>
    <w:rsid w:val="009C4D2E"/>
    <w:rsid w:val="009C694B"/>
    <w:rsid w:val="009C6DEB"/>
    <w:rsid w:val="009D17A5"/>
    <w:rsid w:val="009D3DB0"/>
    <w:rsid w:val="009D6504"/>
    <w:rsid w:val="009D7946"/>
    <w:rsid w:val="009E12D7"/>
    <w:rsid w:val="009E3892"/>
    <w:rsid w:val="009E559A"/>
    <w:rsid w:val="009E5925"/>
    <w:rsid w:val="009E661A"/>
    <w:rsid w:val="009F1CD4"/>
    <w:rsid w:val="009F3195"/>
    <w:rsid w:val="009F5582"/>
    <w:rsid w:val="009F7D2B"/>
    <w:rsid w:val="00A0162F"/>
    <w:rsid w:val="00A01802"/>
    <w:rsid w:val="00A0432A"/>
    <w:rsid w:val="00A05570"/>
    <w:rsid w:val="00A06136"/>
    <w:rsid w:val="00A06781"/>
    <w:rsid w:val="00A074C3"/>
    <w:rsid w:val="00A13AB9"/>
    <w:rsid w:val="00A14214"/>
    <w:rsid w:val="00A145FE"/>
    <w:rsid w:val="00A1509C"/>
    <w:rsid w:val="00A16443"/>
    <w:rsid w:val="00A17EA5"/>
    <w:rsid w:val="00A23DDB"/>
    <w:rsid w:val="00A23ECB"/>
    <w:rsid w:val="00A2489F"/>
    <w:rsid w:val="00A34260"/>
    <w:rsid w:val="00A36AC7"/>
    <w:rsid w:val="00A37E39"/>
    <w:rsid w:val="00A4360F"/>
    <w:rsid w:val="00A43A02"/>
    <w:rsid w:val="00A442FD"/>
    <w:rsid w:val="00A44547"/>
    <w:rsid w:val="00A46101"/>
    <w:rsid w:val="00A50597"/>
    <w:rsid w:val="00A524DE"/>
    <w:rsid w:val="00A52FFD"/>
    <w:rsid w:val="00A5375D"/>
    <w:rsid w:val="00A545C1"/>
    <w:rsid w:val="00A60D88"/>
    <w:rsid w:val="00A622A9"/>
    <w:rsid w:val="00A639E5"/>
    <w:rsid w:val="00A64ACE"/>
    <w:rsid w:val="00A70CFD"/>
    <w:rsid w:val="00A72A0B"/>
    <w:rsid w:val="00A735A2"/>
    <w:rsid w:val="00A7399A"/>
    <w:rsid w:val="00A77BC5"/>
    <w:rsid w:val="00A81E42"/>
    <w:rsid w:val="00A8435C"/>
    <w:rsid w:val="00A8598A"/>
    <w:rsid w:val="00A864FE"/>
    <w:rsid w:val="00A86F41"/>
    <w:rsid w:val="00A871FD"/>
    <w:rsid w:val="00A87D04"/>
    <w:rsid w:val="00A950C5"/>
    <w:rsid w:val="00AA0A1F"/>
    <w:rsid w:val="00AA1A11"/>
    <w:rsid w:val="00AA1D25"/>
    <w:rsid w:val="00AA20B3"/>
    <w:rsid w:val="00AA2479"/>
    <w:rsid w:val="00AA4516"/>
    <w:rsid w:val="00AA4847"/>
    <w:rsid w:val="00AA4AD1"/>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5066"/>
    <w:rsid w:val="00AE5E24"/>
    <w:rsid w:val="00AE61B7"/>
    <w:rsid w:val="00AE6B1E"/>
    <w:rsid w:val="00AE6CBA"/>
    <w:rsid w:val="00AE79AD"/>
    <w:rsid w:val="00AF058B"/>
    <w:rsid w:val="00AF2793"/>
    <w:rsid w:val="00AF27EE"/>
    <w:rsid w:val="00AF35E4"/>
    <w:rsid w:val="00AF5CDE"/>
    <w:rsid w:val="00B01D88"/>
    <w:rsid w:val="00B051B0"/>
    <w:rsid w:val="00B05BA6"/>
    <w:rsid w:val="00B06A91"/>
    <w:rsid w:val="00B11738"/>
    <w:rsid w:val="00B11A57"/>
    <w:rsid w:val="00B12A9E"/>
    <w:rsid w:val="00B143FC"/>
    <w:rsid w:val="00B15D55"/>
    <w:rsid w:val="00B17767"/>
    <w:rsid w:val="00B2005E"/>
    <w:rsid w:val="00B211C3"/>
    <w:rsid w:val="00B221D3"/>
    <w:rsid w:val="00B25597"/>
    <w:rsid w:val="00B25D6A"/>
    <w:rsid w:val="00B267B9"/>
    <w:rsid w:val="00B321E3"/>
    <w:rsid w:val="00B33E09"/>
    <w:rsid w:val="00B34B28"/>
    <w:rsid w:val="00B363F2"/>
    <w:rsid w:val="00B407CC"/>
    <w:rsid w:val="00B47019"/>
    <w:rsid w:val="00B50708"/>
    <w:rsid w:val="00B509F1"/>
    <w:rsid w:val="00B50C68"/>
    <w:rsid w:val="00B51293"/>
    <w:rsid w:val="00B52B1E"/>
    <w:rsid w:val="00B52E5F"/>
    <w:rsid w:val="00B52F9C"/>
    <w:rsid w:val="00B545A4"/>
    <w:rsid w:val="00B54D7B"/>
    <w:rsid w:val="00B55481"/>
    <w:rsid w:val="00B56122"/>
    <w:rsid w:val="00B567A4"/>
    <w:rsid w:val="00B56C32"/>
    <w:rsid w:val="00B56F98"/>
    <w:rsid w:val="00B579D8"/>
    <w:rsid w:val="00B57ACF"/>
    <w:rsid w:val="00B62EA7"/>
    <w:rsid w:val="00B631A9"/>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36FD"/>
    <w:rsid w:val="00BB0A82"/>
    <w:rsid w:val="00BB41B8"/>
    <w:rsid w:val="00BB6FCA"/>
    <w:rsid w:val="00BB7989"/>
    <w:rsid w:val="00BB7C94"/>
    <w:rsid w:val="00BC0A9D"/>
    <w:rsid w:val="00BC14F1"/>
    <w:rsid w:val="00BC3A79"/>
    <w:rsid w:val="00BC484C"/>
    <w:rsid w:val="00BC5629"/>
    <w:rsid w:val="00BC7336"/>
    <w:rsid w:val="00BD6452"/>
    <w:rsid w:val="00BD7CCD"/>
    <w:rsid w:val="00BE0538"/>
    <w:rsid w:val="00BE0D90"/>
    <w:rsid w:val="00BE31CE"/>
    <w:rsid w:val="00BF05EB"/>
    <w:rsid w:val="00BF40ED"/>
    <w:rsid w:val="00BF5BC2"/>
    <w:rsid w:val="00BF7637"/>
    <w:rsid w:val="00C06E4E"/>
    <w:rsid w:val="00C1133D"/>
    <w:rsid w:val="00C11761"/>
    <w:rsid w:val="00C13494"/>
    <w:rsid w:val="00C144B7"/>
    <w:rsid w:val="00C175ED"/>
    <w:rsid w:val="00C176FA"/>
    <w:rsid w:val="00C20823"/>
    <w:rsid w:val="00C243F6"/>
    <w:rsid w:val="00C27A08"/>
    <w:rsid w:val="00C31312"/>
    <w:rsid w:val="00C326C6"/>
    <w:rsid w:val="00C33BD5"/>
    <w:rsid w:val="00C35295"/>
    <w:rsid w:val="00C36326"/>
    <w:rsid w:val="00C36ADD"/>
    <w:rsid w:val="00C36E74"/>
    <w:rsid w:val="00C40595"/>
    <w:rsid w:val="00C41621"/>
    <w:rsid w:val="00C449FA"/>
    <w:rsid w:val="00C5384F"/>
    <w:rsid w:val="00C54211"/>
    <w:rsid w:val="00C56964"/>
    <w:rsid w:val="00C57A4A"/>
    <w:rsid w:val="00C65021"/>
    <w:rsid w:val="00C656D5"/>
    <w:rsid w:val="00C67103"/>
    <w:rsid w:val="00C71BB9"/>
    <w:rsid w:val="00C72E81"/>
    <w:rsid w:val="00C74061"/>
    <w:rsid w:val="00C762A5"/>
    <w:rsid w:val="00C81088"/>
    <w:rsid w:val="00C844DC"/>
    <w:rsid w:val="00C90200"/>
    <w:rsid w:val="00C9139F"/>
    <w:rsid w:val="00C91B20"/>
    <w:rsid w:val="00C92FE4"/>
    <w:rsid w:val="00C94C28"/>
    <w:rsid w:val="00C95145"/>
    <w:rsid w:val="00CA3B3A"/>
    <w:rsid w:val="00CA412B"/>
    <w:rsid w:val="00CA4EB9"/>
    <w:rsid w:val="00CA5D2D"/>
    <w:rsid w:val="00CB0247"/>
    <w:rsid w:val="00CB28C5"/>
    <w:rsid w:val="00CB3440"/>
    <w:rsid w:val="00CB6531"/>
    <w:rsid w:val="00CC045A"/>
    <w:rsid w:val="00CC14FD"/>
    <w:rsid w:val="00CC1692"/>
    <w:rsid w:val="00CC2701"/>
    <w:rsid w:val="00CC3C5C"/>
    <w:rsid w:val="00CC3FA8"/>
    <w:rsid w:val="00CC5DAB"/>
    <w:rsid w:val="00CC5E2B"/>
    <w:rsid w:val="00CC7B61"/>
    <w:rsid w:val="00CC7DF4"/>
    <w:rsid w:val="00CD045E"/>
    <w:rsid w:val="00CD0767"/>
    <w:rsid w:val="00CD138B"/>
    <w:rsid w:val="00CD165B"/>
    <w:rsid w:val="00CD2FC1"/>
    <w:rsid w:val="00CD3E31"/>
    <w:rsid w:val="00CD74A3"/>
    <w:rsid w:val="00CE0527"/>
    <w:rsid w:val="00CE0D7E"/>
    <w:rsid w:val="00CE0E80"/>
    <w:rsid w:val="00CE12B8"/>
    <w:rsid w:val="00CE17A5"/>
    <w:rsid w:val="00CE1D10"/>
    <w:rsid w:val="00CE501B"/>
    <w:rsid w:val="00CE5B23"/>
    <w:rsid w:val="00CE5C01"/>
    <w:rsid w:val="00CF5005"/>
    <w:rsid w:val="00CF70AD"/>
    <w:rsid w:val="00CF7729"/>
    <w:rsid w:val="00D00059"/>
    <w:rsid w:val="00D0113A"/>
    <w:rsid w:val="00D0181A"/>
    <w:rsid w:val="00D07D9B"/>
    <w:rsid w:val="00D107FA"/>
    <w:rsid w:val="00D11F3B"/>
    <w:rsid w:val="00D12275"/>
    <w:rsid w:val="00D12766"/>
    <w:rsid w:val="00D13936"/>
    <w:rsid w:val="00D15F0D"/>
    <w:rsid w:val="00D15F3B"/>
    <w:rsid w:val="00D16159"/>
    <w:rsid w:val="00D178D9"/>
    <w:rsid w:val="00D20FF4"/>
    <w:rsid w:val="00D24D2C"/>
    <w:rsid w:val="00D27CEF"/>
    <w:rsid w:val="00D33AF2"/>
    <w:rsid w:val="00D35881"/>
    <w:rsid w:val="00D40C36"/>
    <w:rsid w:val="00D4313E"/>
    <w:rsid w:val="00D44F56"/>
    <w:rsid w:val="00D45045"/>
    <w:rsid w:val="00D458FC"/>
    <w:rsid w:val="00D45F07"/>
    <w:rsid w:val="00D51604"/>
    <w:rsid w:val="00D52F90"/>
    <w:rsid w:val="00D572E6"/>
    <w:rsid w:val="00D630AF"/>
    <w:rsid w:val="00D6325D"/>
    <w:rsid w:val="00D636D6"/>
    <w:rsid w:val="00D6514E"/>
    <w:rsid w:val="00D660A5"/>
    <w:rsid w:val="00D679FD"/>
    <w:rsid w:val="00D7399A"/>
    <w:rsid w:val="00D76406"/>
    <w:rsid w:val="00D76C44"/>
    <w:rsid w:val="00D7725F"/>
    <w:rsid w:val="00D84409"/>
    <w:rsid w:val="00D85642"/>
    <w:rsid w:val="00D856A1"/>
    <w:rsid w:val="00D87A72"/>
    <w:rsid w:val="00D9307E"/>
    <w:rsid w:val="00D93C45"/>
    <w:rsid w:val="00D945D9"/>
    <w:rsid w:val="00D94A16"/>
    <w:rsid w:val="00D97223"/>
    <w:rsid w:val="00DA73BC"/>
    <w:rsid w:val="00DA7DA5"/>
    <w:rsid w:val="00DB073B"/>
    <w:rsid w:val="00DB09FC"/>
    <w:rsid w:val="00DB1732"/>
    <w:rsid w:val="00DB305E"/>
    <w:rsid w:val="00DB49E4"/>
    <w:rsid w:val="00DB639D"/>
    <w:rsid w:val="00DB78F0"/>
    <w:rsid w:val="00DC2E43"/>
    <w:rsid w:val="00DC4EEC"/>
    <w:rsid w:val="00DD04B1"/>
    <w:rsid w:val="00DD095C"/>
    <w:rsid w:val="00DD1020"/>
    <w:rsid w:val="00DD1330"/>
    <w:rsid w:val="00DD58A1"/>
    <w:rsid w:val="00DD649C"/>
    <w:rsid w:val="00DD6827"/>
    <w:rsid w:val="00DE0B83"/>
    <w:rsid w:val="00DE1664"/>
    <w:rsid w:val="00DE185D"/>
    <w:rsid w:val="00DE1A81"/>
    <w:rsid w:val="00DE1C13"/>
    <w:rsid w:val="00DE277D"/>
    <w:rsid w:val="00DE356F"/>
    <w:rsid w:val="00DE4543"/>
    <w:rsid w:val="00DE4E10"/>
    <w:rsid w:val="00DF2694"/>
    <w:rsid w:val="00DF5DB6"/>
    <w:rsid w:val="00DF6369"/>
    <w:rsid w:val="00DF644D"/>
    <w:rsid w:val="00DF6A69"/>
    <w:rsid w:val="00E00C5D"/>
    <w:rsid w:val="00E00D78"/>
    <w:rsid w:val="00E02ABF"/>
    <w:rsid w:val="00E032B2"/>
    <w:rsid w:val="00E116CF"/>
    <w:rsid w:val="00E143B0"/>
    <w:rsid w:val="00E14576"/>
    <w:rsid w:val="00E14995"/>
    <w:rsid w:val="00E14D4D"/>
    <w:rsid w:val="00E179CD"/>
    <w:rsid w:val="00E17F4F"/>
    <w:rsid w:val="00E224CC"/>
    <w:rsid w:val="00E23E8D"/>
    <w:rsid w:val="00E266C4"/>
    <w:rsid w:val="00E27BEC"/>
    <w:rsid w:val="00E30957"/>
    <w:rsid w:val="00E347FB"/>
    <w:rsid w:val="00E35726"/>
    <w:rsid w:val="00E35E41"/>
    <w:rsid w:val="00E37F98"/>
    <w:rsid w:val="00E45110"/>
    <w:rsid w:val="00E462B8"/>
    <w:rsid w:val="00E46559"/>
    <w:rsid w:val="00E55510"/>
    <w:rsid w:val="00E56083"/>
    <w:rsid w:val="00E5723E"/>
    <w:rsid w:val="00E6239C"/>
    <w:rsid w:val="00E63C27"/>
    <w:rsid w:val="00E6670C"/>
    <w:rsid w:val="00E70DDC"/>
    <w:rsid w:val="00E71802"/>
    <w:rsid w:val="00E7374E"/>
    <w:rsid w:val="00E758BA"/>
    <w:rsid w:val="00E7656A"/>
    <w:rsid w:val="00E776E8"/>
    <w:rsid w:val="00E777D8"/>
    <w:rsid w:val="00E82EF6"/>
    <w:rsid w:val="00E82F42"/>
    <w:rsid w:val="00E84871"/>
    <w:rsid w:val="00E84E03"/>
    <w:rsid w:val="00E8539B"/>
    <w:rsid w:val="00E86560"/>
    <w:rsid w:val="00E8668F"/>
    <w:rsid w:val="00E92C1F"/>
    <w:rsid w:val="00E94EC2"/>
    <w:rsid w:val="00E95311"/>
    <w:rsid w:val="00E95480"/>
    <w:rsid w:val="00E95D4B"/>
    <w:rsid w:val="00E95EBA"/>
    <w:rsid w:val="00EA0679"/>
    <w:rsid w:val="00EA0B61"/>
    <w:rsid w:val="00EA1DBC"/>
    <w:rsid w:val="00EA6A8E"/>
    <w:rsid w:val="00EA7EEC"/>
    <w:rsid w:val="00EB0FD8"/>
    <w:rsid w:val="00EB199F"/>
    <w:rsid w:val="00EB2AA1"/>
    <w:rsid w:val="00EB3569"/>
    <w:rsid w:val="00EB4831"/>
    <w:rsid w:val="00EC08AE"/>
    <w:rsid w:val="00EC23F7"/>
    <w:rsid w:val="00EC4BD8"/>
    <w:rsid w:val="00EC63EB"/>
    <w:rsid w:val="00EC7D47"/>
    <w:rsid w:val="00ED03AC"/>
    <w:rsid w:val="00ED0F7A"/>
    <w:rsid w:val="00ED278C"/>
    <w:rsid w:val="00ED3CCA"/>
    <w:rsid w:val="00ED412F"/>
    <w:rsid w:val="00ED57AE"/>
    <w:rsid w:val="00ED65BD"/>
    <w:rsid w:val="00ED7059"/>
    <w:rsid w:val="00ED747C"/>
    <w:rsid w:val="00EE4C1C"/>
    <w:rsid w:val="00EF1386"/>
    <w:rsid w:val="00EF1DF6"/>
    <w:rsid w:val="00EF1F0C"/>
    <w:rsid w:val="00EF36B2"/>
    <w:rsid w:val="00EF4D83"/>
    <w:rsid w:val="00EF6EAB"/>
    <w:rsid w:val="00F02963"/>
    <w:rsid w:val="00F115B5"/>
    <w:rsid w:val="00F1273D"/>
    <w:rsid w:val="00F14ABD"/>
    <w:rsid w:val="00F14FB1"/>
    <w:rsid w:val="00F16BE2"/>
    <w:rsid w:val="00F1723D"/>
    <w:rsid w:val="00F201EC"/>
    <w:rsid w:val="00F208A1"/>
    <w:rsid w:val="00F208A9"/>
    <w:rsid w:val="00F21293"/>
    <w:rsid w:val="00F215C2"/>
    <w:rsid w:val="00F2548C"/>
    <w:rsid w:val="00F25693"/>
    <w:rsid w:val="00F313BB"/>
    <w:rsid w:val="00F31E83"/>
    <w:rsid w:val="00F33C58"/>
    <w:rsid w:val="00F41D75"/>
    <w:rsid w:val="00F4368B"/>
    <w:rsid w:val="00F466EE"/>
    <w:rsid w:val="00F467EF"/>
    <w:rsid w:val="00F46A5B"/>
    <w:rsid w:val="00F47250"/>
    <w:rsid w:val="00F50C02"/>
    <w:rsid w:val="00F51250"/>
    <w:rsid w:val="00F5139D"/>
    <w:rsid w:val="00F52175"/>
    <w:rsid w:val="00F567F3"/>
    <w:rsid w:val="00F56F2D"/>
    <w:rsid w:val="00F63074"/>
    <w:rsid w:val="00F63DAC"/>
    <w:rsid w:val="00F64C8B"/>
    <w:rsid w:val="00F64EF2"/>
    <w:rsid w:val="00F65B25"/>
    <w:rsid w:val="00F72B39"/>
    <w:rsid w:val="00F736B5"/>
    <w:rsid w:val="00F7454F"/>
    <w:rsid w:val="00F75805"/>
    <w:rsid w:val="00F7597A"/>
    <w:rsid w:val="00F75C70"/>
    <w:rsid w:val="00F77659"/>
    <w:rsid w:val="00F77988"/>
    <w:rsid w:val="00F77F48"/>
    <w:rsid w:val="00F801EC"/>
    <w:rsid w:val="00F83076"/>
    <w:rsid w:val="00F85C86"/>
    <w:rsid w:val="00F909A0"/>
    <w:rsid w:val="00F964F8"/>
    <w:rsid w:val="00FA1B25"/>
    <w:rsid w:val="00FA60A5"/>
    <w:rsid w:val="00FA63D3"/>
    <w:rsid w:val="00FA6C30"/>
    <w:rsid w:val="00FB2207"/>
    <w:rsid w:val="00FB30F1"/>
    <w:rsid w:val="00FB5286"/>
    <w:rsid w:val="00FB53E7"/>
    <w:rsid w:val="00FB5A1E"/>
    <w:rsid w:val="00FC264D"/>
    <w:rsid w:val="00FC2F83"/>
    <w:rsid w:val="00FC554D"/>
    <w:rsid w:val="00FD1A00"/>
    <w:rsid w:val="00FD2F0E"/>
    <w:rsid w:val="00FD4D0A"/>
    <w:rsid w:val="00FD4ED7"/>
    <w:rsid w:val="00FD579B"/>
    <w:rsid w:val="00FD5F30"/>
    <w:rsid w:val="00FD7109"/>
    <w:rsid w:val="00FD76CC"/>
    <w:rsid w:val="00FD7C7B"/>
    <w:rsid w:val="00FE0BEB"/>
    <w:rsid w:val="00FE0D39"/>
    <w:rsid w:val="00FE0DE2"/>
    <w:rsid w:val="00FE19EF"/>
    <w:rsid w:val="00FE22B0"/>
    <w:rsid w:val="00FE4483"/>
    <w:rsid w:val="00FE7CD9"/>
    <w:rsid w:val="00FF227D"/>
    <w:rsid w:val="00FF459A"/>
    <w:rsid w:val="00FF5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5C0D3D"/>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9299-8401-4E88-B676-87C10D6D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1952</Words>
  <Characters>14769</Characters>
  <Application>Microsoft Office Word</Application>
  <DocSecurity>0</DocSecurity>
  <Lines>370</Lines>
  <Paragraphs>101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Anda Stiebre</dc:creator>
  <cp:lastModifiedBy>Kārlis Gičevskis</cp:lastModifiedBy>
  <cp:revision>10</cp:revision>
  <cp:lastPrinted>2015-08-26T08:08:00Z</cp:lastPrinted>
  <dcterms:created xsi:type="dcterms:W3CDTF">2016-09-30T06:04:00Z</dcterms:created>
  <dcterms:modified xsi:type="dcterms:W3CDTF">2016-11-23T10:10:00Z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