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65A5" w14:textId="03B194F7" w:rsidR="005D4AE6" w:rsidRDefault="00EA44F3" w:rsidP="00A054A9">
      <w:pPr>
        <w:spacing w:after="0" w:line="240" w:lineRule="auto"/>
        <w:jc w:val="center"/>
        <w:rPr>
          <w:rFonts w:eastAsia="Times New Roman" w:cs="Times New Roman"/>
          <w:b/>
          <w:bCs/>
          <w:sz w:val="28"/>
          <w:szCs w:val="28"/>
          <w:lang w:eastAsia="lv-LV"/>
        </w:rPr>
      </w:pPr>
      <w:r w:rsidRPr="008028CD">
        <w:rPr>
          <w:rFonts w:eastAsia="Times New Roman" w:cs="Times New Roman"/>
          <w:b/>
          <w:bCs/>
          <w:sz w:val="28"/>
          <w:szCs w:val="28"/>
          <w:lang w:eastAsia="lv-LV"/>
        </w:rPr>
        <w:t>Ministru kabineta noteikumu</w:t>
      </w:r>
      <w:r w:rsidR="005D4AE6" w:rsidRPr="008028CD">
        <w:rPr>
          <w:rFonts w:eastAsia="Times New Roman" w:cs="Times New Roman"/>
          <w:b/>
          <w:bCs/>
          <w:sz w:val="28"/>
          <w:szCs w:val="28"/>
          <w:lang w:eastAsia="lv-LV"/>
        </w:rPr>
        <w:t xml:space="preserve"> projekta</w:t>
      </w:r>
      <w:r w:rsidR="00363288" w:rsidRPr="008028CD">
        <w:rPr>
          <w:rFonts w:cs="Times New Roman"/>
          <w:sz w:val="28"/>
          <w:szCs w:val="28"/>
        </w:rPr>
        <w:t xml:space="preserve"> </w:t>
      </w:r>
      <w:r w:rsidR="00363288" w:rsidRPr="008028CD">
        <w:rPr>
          <w:rFonts w:cs="Times New Roman"/>
          <w:b/>
          <w:sz w:val="28"/>
          <w:szCs w:val="28"/>
        </w:rPr>
        <w:t>“</w:t>
      </w:r>
      <w:bookmarkStart w:id="0" w:name="OLE_LINK5"/>
      <w:bookmarkStart w:id="1" w:name="OLE_LINK6"/>
      <w:r w:rsidR="0064643E" w:rsidRPr="0064643E">
        <w:rPr>
          <w:b/>
          <w:bCs/>
          <w:color w:val="000000"/>
          <w:sz w:val="28"/>
          <w:szCs w:val="28"/>
        </w:rPr>
        <w:t>Iesniegumu par muitas nodokļa atcelšanu un kvotu piemērošanu, kā arī noraidījumu sagatavošanas kārtība</w:t>
      </w:r>
      <w:bookmarkEnd w:id="0"/>
      <w:bookmarkEnd w:id="1"/>
      <w:r w:rsidR="00363288" w:rsidRPr="008028CD">
        <w:rPr>
          <w:rFonts w:eastAsia="Times New Roman" w:cs="Times New Roman"/>
          <w:b/>
          <w:bCs/>
          <w:sz w:val="28"/>
          <w:szCs w:val="28"/>
          <w:lang w:eastAsia="lv-LV"/>
        </w:rPr>
        <w:t>”</w:t>
      </w:r>
      <w:r w:rsidRPr="008028CD">
        <w:rPr>
          <w:rFonts w:eastAsia="Times New Roman" w:cs="Times New Roman"/>
          <w:b/>
          <w:bCs/>
          <w:sz w:val="28"/>
          <w:szCs w:val="28"/>
          <w:lang w:eastAsia="lv-LV"/>
        </w:rPr>
        <w:t xml:space="preserve"> </w:t>
      </w:r>
      <w:r w:rsidR="005D4AE6" w:rsidRPr="008028CD">
        <w:rPr>
          <w:rFonts w:eastAsia="Times New Roman" w:cs="Times New Roman"/>
          <w:b/>
          <w:bCs/>
          <w:sz w:val="28"/>
          <w:szCs w:val="28"/>
          <w:lang w:eastAsia="lv-LV"/>
        </w:rPr>
        <w:t>sākotnējās ietekmes novērtējuma ziņojums (anotācija)</w:t>
      </w:r>
    </w:p>
    <w:p w14:paraId="28C1B917" w14:textId="77777777" w:rsidR="00A054A9" w:rsidRDefault="00A054A9" w:rsidP="00A054A9">
      <w:pPr>
        <w:spacing w:after="0" w:line="240" w:lineRule="auto"/>
        <w:jc w:val="center"/>
        <w:rPr>
          <w:rFonts w:eastAsia="Times New Roman" w:cs="Times New Roman"/>
          <w:b/>
          <w:bCs/>
          <w:sz w:val="18"/>
          <w:szCs w:val="18"/>
          <w:lang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836"/>
        <w:gridCol w:w="5801"/>
      </w:tblGrid>
      <w:tr w:rsidR="005D4AE6" w:rsidRPr="008028CD" w14:paraId="07D14F9B" w14:textId="77777777" w:rsidTr="00B7321E">
        <w:trPr>
          <w:trHeight w:val="405"/>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7BE1283B"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I. Tiesību akta projekta izstrādes nepieciešamība</w:t>
            </w:r>
          </w:p>
        </w:tc>
      </w:tr>
      <w:tr w:rsidR="005D4AE6" w:rsidRPr="008028CD" w14:paraId="415C1C4C" w14:textId="77777777" w:rsidTr="00B7321E">
        <w:trPr>
          <w:trHeight w:val="405"/>
        </w:trPr>
        <w:tc>
          <w:tcPr>
            <w:tcW w:w="418" w:type="dxa"/>
            <w:tcBorders>
              <w:top w:val="outset" w:sz="6" w:space="0" w:color="auto"/>
              <w:left w:val="outset" w:sz="6" w:space="0" w:color="auto"/>
              <w:bottom w:val="outset" w:sz="6" w:space="0" w:color="auto"/>
              <w:right w:val="outset" w:sz="6" w:space="0" w:color="auto"/>
            </w:tcBorders>
            <w:hideMark/>
          </w:tcPr>
          <w:p w14:paraId="03E79DA4"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1.</w:t>
            </w:r>
          </w:p>
        </w:tc>
        <w:tc>
          <w:tcPr>
            <w:tcW w:w="2836" w:type="dxa"/>
            <w:tcBorders>
              <w:top w:val="outset" w:sz="6" w:space="0" w:color="auto"/>
              <w:left w:val="outset" w:sz="6" w:space="0" w:color="auto"/>
              <w:bottom w:val="outset" w:sz="6" w:space="0" w:color="auto"/>
              <w:right w:val="outset" w:sz="6" w:space="0" w:color="auto"/>
            </w:tcBorders>
            <w:hideMark/>
          </w:tcPr>
          <w:p w14:paraId="6797561F"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Pamatojums</w:t>
            </w:r>
          </w:p>
        </w:tc>
        <w:tc>
          <w:tcPr>
            <w:tcW w:w="5801" w:type="dxa"/>
            <w:tcBorders>
              <w:top w:val="outset" w:sz="6" w:space="0" w:color="auto"/>
              <w:left w:val="outset" w:sz="6" w:space="0" w:color="auto"/>
              <w:bottom w:val="outset" w:sz="6" w:space="0" w:color="auto"/>
              <w:right w:val="outset" w:sz="6" w:space="0" w:color="auto"/>
            </w:tcBorders>
            <w:hideMark/>
          </w:tcPr>
          <w:p w14:paraId="46763F02" w14:textId="1BFE5FE5" w:rsidR="003A22FC" w:rsidRPr="008028CD" w:rsidRDefault="003A22FC" w:rsidP="006C6A98">
            <w:pPr>
              <w:spacing w:after="0" w:line="240" w:lineRule="auto"/>
              <w:ind w:left="107" w:right="84"/>
              <w:jc w:val="both"/>
              <w:rPr>
                <w:rFonts w:eastAsia="Times New Roman" w:cs="Times New Roman"/>
                <w:iCs/>
                <w:szCs w:val="24"/>
                <w:lang w:eastAsia="lv-LV"/>
              </w:rPr>
            </w:pPr>
            <w:r w:rsidRPr="00281295">
              <w:rPr>
                <w:rFonts w:eastAsia="Times New Roman" w:cs="Times New Roman"/>
                <w:iCs/>
                <w:szCs w:val="24"/>
                <w:lang w:eastAsia="lv-LV"/>
              </w:rPr>
              <w:t xml:space="preserve">Muitas likuma </w:t>
            </w:r>
            <w:r w:rsidR="00281295" w:rsidRPr="00281295">
              <w:rPr>
                <w:rFonts w:eastAsia="Times New Roman" w:cs="Times New Roman"/>
                <w:iCs/>
                <w:szCs w:val="24"/>
                <w:lang w:eastAsia="lv-LV"/>
              </w:rPr>
              <w:t>6</w:t>
            </w:r>
            <w:r w:rsidR="00657820" w:rsidRPr="00281295">
              <w:rPr>
                <w:rFonts w:eastAsia="Times New Roman" w:cs="Times New Roman"/>
                <w:iCs/>
                <w:szCs w:val="24"/>
                <w:lang w:eastAsia="lv-LV"/>
              </w:rPr>
              <w:t>.</w:t>
            </w:r>
            <w:r w:rsidRPr="00281295">
              <w:rPr>
                <w:rFonts w:eastAsia="Times New Roman" w:cs="Times New Roman"/>
                <w:iCs/>
                <w:szCs w:val="24"/>
                <w:lang w:eastAsia="lv-LV"/>
              </w:rPr>
              <w:t>panta</w:t>
            </w:r>
            <w:r w:rsidR="00657820" w:rsidRPr="00281295">
              <w:rPr>
                <w:rFonts w:eastAsia="Times New Roman" w:cs="Times New Roman"/>
                <w:iCs/>
                <w:szCs w:val="24"/>
                <w:lang w:eastAsia="lv-LV"/>
              </w:rPr>
              <w:t xml:space="preserve"> </w:t>
            </w:r>
            <w:r w:rsidR="00A21F92">
              <w:rPr>
                <w:rFonts w:eastAsia="Times New Roman" w:cs="Times New Roman"/>
                <w:iCs/>
                <w:szCs w:val="24"/>
                <w:lang w:eastAsia="lv-LV"/>
              </w:rPr>
              <w:t>8.</w:t>
            </w:r>
            <w:r w:rsidR="000C3E9C">
              <w:rPr>
                <w:rFonts w:eastAsia="Times New Roman" w:cs="Times New Roman"/>
                <w:iCs/>
                <w:szCs w:val="24"/>
                <w:lang w:eastAsia="lv-LV"/>
              </w:rPr>
              <w:t>punkts</w:t>
            </w:r>
            <w:r w:rsidRPr="00281295">
              <w:rPr>
                <w:rFonts w:eastAsia="Times New Roman" w:cs="Times New Roman"/>
                <w:iCs/>
                <w:szCs w:val="24"/>
                <w:lang w:eastAsia="lv-LV"/>
              </w:rPr>
              <w:t>.</w:t>
            </w:r>
            <w:r w:rsidRPr="008028CD">
              <w:rPr>
                <w:rFonts w:eastAsia="Times New Roman" w:cs="Times New Roman"/>
                <w:iCs/>
                <w:szCs w:val="24"/>
                <w:lang w:eastAsia="lv-LV"/>
              </w:rPr>
              <w:t xml:space="preserve"> </w:t>
            </w:r>
          </w:p>
        </w:tc>
      </w:tr>
      <w:tr w:rsidR="005D4AE6" w:rsidRPr="008028CD" w14:paraId="1842837E" w14:textId="77777777" w:rsidTr="00B7321E">
        <w:trPr>
          <w:trHeight w:val="465"/>
        </w:trPr>
        <w:tc>
          <w:tcPr>
            <w:tcW w:w="418" w:type="dxa"/>
            <w:tcBorders>
              <w:top w:val="outset" w:sz="6" w:space="0" w:color="auto"/>
              <w:left w:val="outset" w:sz="6" w:space="0" w:color="auto"/>
              <w:bottom w:val="outset" w:sz="6" w:space="0" w:color="auto"/>
              <w:right w:val="outset" w:sz="6" w:space="0" w:color="auto"/>
            </w:tcBorders>
            <w:hideMark/>
          </w:tcPr>
          <w:p w14:paraId="05B67105" w14:textId="77777777" w:rsidR="005D4AE6" w:rsidRPr="008028CD" w:rsidRDefault="005D4AE6" w:rsidP="008028CD">
            <w:pPr>
              <w:spacing w:before="100" w:beforeAutospacing="1" w:after="100" w:afterAutospacing="1" w:line="240" w:lineRule="auto"/>
              <w:jc w:val="both"/>
              <w:rPr>
                <w:rFonts w:eastAsia="Times New Roman" w:cs="Times New Roman"/>
                <w:szCs w:val="24"/>
                <w:lang w:eastAsia="lv-LV"/>
              </w:rPr>
            </w:pPr>
            <w:r w:rsidRPr="008028CD">
              <w:rPr>
                <w:rFonts w:eastAsia="Times New Roman" w:cs="Times New Roman"/>
                <w:szCs w:val="24"/>
                <w:lang w:eastAsia="lv-LV"/>
              </w:rPr>
              <w:t>2.</w:t>
            </w:r>
          </w:p>
        </w:tc>
        <w:tc>
          <w:tcPr>
            <w:tcW w:w="2836" w:type="dxa"/>
            <w:tcBorders>
              <w:top w:val="outset" w:sz="6" w:space="0" w:color="auto"/>
              <w:left w:val="outset" w:sz="6" w:space="0" w:color="auto"/>
              <w:bottom w:val="outset" w:sz="6" w:space="0" w:color="auto"/>
              <w:right w:val="outset" w:sz="6" w:space="0" w:color="auto"/>
            </w:tcBorders>
            <w:hideMark/>
          </w:tcPr>
          <w:p w14:paraId="431A8563" w14:textId="68453B8E" w:rsidR="00D36C4B" w:rsidRDefault="005D4AE6" w:rsidP="008028CD">
            <w:pPr>
              <w:spacing w:after="0" w:line="240" w:lineRule="auto"/>
              <w:jc w:val="both"/>
              <w:rPr>
                <w:rFonts w:eastAsia="Times New Roman" w:cs="Times New Roman"/>
                <w:szCs w:val="24"/>
                <w:lang w:eastAsia="lv-LV"/>
              </w:rPr>
            </w:pPr>
            <w:r w:rsidRPr="008028CD">
              <w:rPr>
                <w:rFonts w:eastAsia="Times New Roman" w:cs="Times New Roman"/>
                <w:szCs w:val="24"/>
                <w:lang w:eastAsia="lv-LV"/>
              </w:rPr>
              <w:t>Pašreizējā situācija un problēmas, kuru risināšanai tiesību akta projekts izstrādāts, tiesiskā regulējuma mērķis un būtība</w:t>
            </w:r>
          </w:p>
          <w:p w14:paraId="50BECF70" w14:textId="77777777" w:rsidR="00D36C4B" w:rsidRPr="00D36C4B" w:rsidRDefault="00D36C4B" w:rsidP="00D36C4B">
            <w:pPr>
              <w:rPr>
                <w:rFonts w:eastAsia="Times New Roman" w:cs="Times New Roman"/>
                <w:szCs w:val="24"/>
                <w:lang w:eastAsia="lv-LV"/>
              </w:rPr>
            </w:pPr>
          </w:p>
          <w:p w14:paraId="1223FBBE" w14:textId="77777777" w:rsidR="00D36C4B" w:rsidRPr="00D36C4B" w:rsidRDefault="00D36C4B" w:rsidP="00D36C4B">
            <w:pPr>
              <w:rPr>
                <w:rFonts w:eastAsia="Times New Roman" w:cs="Times New Roman"/>
                <w:szCs w:val="24"/>
                <w:lang w:eastAsia="lv-LV"/>
              </w:rPr>
            </w:pPr>
          </w:p>
          <w:p w14:paraId="297F6B6C" w14:textId="77777777" w:rsidR="00D36C4B" w:rsidRPr="00D36C4B" w:rsidRDefault="00D36C4B" w:rsidP="00D36C4B">
            <w:pPr>
              <w:rPr>
                <w:rFonts w:eastAsia="Times New Roman" w:cs="Times New Roman"/>
                <w:szCs w:val="24"/>
                <w:lang w:eastAsia="lv-LV"/>
              </w:rPr>
            </w:pPr>
          </w:p>
          <w:p w14:paraId="3F411AFB" w14:textId="77777777" w:rsidR="00D36C4B" w:rsidRPr="00D36C4B" w:rsidRDefault="00D36C4B" w:rsidP="00D36C4B">
            <w:pPr>
              <w:rPr>
                <w:rFonts w:eastAsia="Times New Roman" w:cs="Times New Roman"/>
                <w:szCs w:val="24"/>
                <w:lang w:eastAsia="lv-LV"/>
              </w:rPr>
            </w:pPr>
          </w:p>
          <w:p w14:paraId="1A313ECB" w14:textId="77777777" w:rsidR="00D36C4B" w:rsidRPr="00D36C4B" w:rsidRDefault="00D36C4B" w:rsidP="00D36C4B">
            <w:pPr>
              <w:rPr>
                <w:rFonts w:eastAsia="Times New Roman" w:cs="Times New Roman"/>
                <w:szCs w:val="24"/>
                <w:lang w:eastAsia="lv-LV"/>
              </w:rPr>
            </w:pPr>
          </w:p>
          <w:p w14:paraId="113BC5AE" w14:textId="77777777" w:rsidR="00D36C4B" w:rsidRPr="00D36C4B" w:rsidRDefault="00D36C4B" w:rsidP="00D36C4B">
            <w:pPr>
              <w:rPr>
                <w:rFonts w:eastAsia="Times New Roman" w:cs="Times New Roman"/>
                <w:szCs w:val="24"/>
                <w:lang w:eastAsia="lv-LV"/>
              </w:rPr>
            </w:pPr>
          </w:p>
          <w:p w14:paraId="5D110BD5" w14:textId="77777777" w:rsidR="00D36C4B" w:rsidRPr="00D36C4B" w:rsidRDefault="00D36C4B" w:rsidP="00D36C4B">
            <w:pPr>
              <w:rPr>
                <w:rFonts w:eastAsia="Times New Roman" w:cs="Times New Roman"/>
                <w:szCs w:val="24"/>
                <w:lang w:eastAsia="lv-LV"/>
              </w:rPr>
            </w:pPr>
          </w:p>
          <w:p w14:paraId="7E115340" w14:textId="77777777" w:rsidR="00D36C4B" w:rsidRPr="00D36C4B" w:rsidRDefault="00D36C4B" w:rsidP="00D36C4B">
            <w:pPr>
              <w:rPr>
                <w:rFonts w:eastAsia="Times New Roman" w:cs="Times New Roman"/>
                <w:szCs w:val="24"/>
                <w:lang w:eastAsia="lv-LV"/>
              </w:rPr>
            </w:pPr>
          </w:p>
          <w:p w14:paraId="430AABD9" w14:textId="79B3C1BF" w:rsidR="00D36C4B" w:rsidRDefault="00D36C4B" w:rsidP="00D36C4B">
            <w:pPr>
              <w:rPr>
                <w:rFonts w:eastAsia="Times New Roman" w:cs="Times New Roman"/>
                <w:szCs w:val="24"/>
                <w:lang w:eastAsia="lv-LV"/>
              </w:rPr>
            </w:pPr>
          </w:p>
          <w:p w14:paraId="001CB434" w14:textId="6839CD16" w:rsidR="00D36C4B" w:rsidRDefault="00D36C4B" w:rsidP="00D36C4B">
            <w:pPr>
              <w:rPr>
                <w:rFonts w:eastAsia="Times New Roman" w:cs="Times New Roman"/>
                <w:szCs w:val="24"/>
                <w:lang w:eastAsia="lv-LV"/>
              </w:rPr>
            </w:pPr>
          </w:p>
          <w:p w14:paraId="0C7DA68E" w14:textId="77777777" w:rsidR="005D4AE6" w:rsidRPr="00D36C4B" w:rsidRDefault="005D4AE6" w:rsidP="00D36C4B">
            <w:pPr>
              <w:ind w:firstLine="720"/>
              <w:rPr>
                <w:rFonts w:eastAsia="Times New Roman" w:cs="Times New Roman"/>
                <w:szCs w:val="24"/>
                <w:lang w:eastAsia="lv-LV"/>
              </w:rPr>
            </w:pPr>
          </w:p>
        </w:tc>
        <w:tc>
          <w:tcPr>
            <w:tcW w:w="5801" w:type="dxa"/>
            <w:tcBorders>
              <w:top w:val="outset" w:sz="6" w:space="0" w:color="auto"/>
              <w:left w:val="outset" w:sz="6" w:space="0" w:color="auto"/>
              <w:bottom w:val="outset" w:sz="6" w:space="0" w:color="auto"/>
              <w:right w:val="outset" w:sz="6" w:space="0" w:color="auto"/>
            </w:tcBorders>
            <w:hideMark/>
          </w:tcPr>
          <w:p w14:paraId="08595827" w14:textId="2F1B741B" w:rsidR="002F338E" w:rsidRPr="00022942" w:rsidRDefault="00124C44" w:rsidP="00022942">
            <w:pPr>
              <w:pStyle w:val="Heading1"/>
              <w:shd w:val="clear" w:color="auto" w:fill="FFFFFF"/>
              <w:spacing w:before="60" w:beforeAutospacing="0" w:after="60" w:afterAutospacing="0"/>
              <w:ind w:right="84"/>
              <w:jc w:val="both"/>
              <w:rPr>
                <w:b w:val="0"/>
                <w:bCs w:val="0"/>
                <w:color w:val="000000"/>
                <w:sz w:val="24"/>
                <w:szCs w:val="24"/>
              </w:rPr>
            </w:pPr>
            <w:r w:rsidRPr="003D5E8E">
              <w:rPr>
                <w:b w:val="0"/>
                <w:sz w:val="24"/>
                <w:szCs w:val="24"/>
              </w:rPr>
              <w:t>Šobrīd</w:t>
            </w:r>
            <w:r w:rsidR="002F338E" w:rsidRPr="003D5E8E">
              <w:rPr>
                <w:b w:val="0"/>
                <w:sz w:val="24"/>
                <w:szCs w:val="24"/>
              </w:rPr>
              <w:t xml:space="preserve"> </w:t>
            </w:r>
            <w:bookmarkStart w:id="2" w:name="bkm38"/>
            <w:bookmarkStart w:id="3" w:name="bkm39"/>
            <w:bookmarkEnd w:id="2"/>
            <w:bookmarkEnd w:id="3"/>
            <w:r w:rsidR="00BC0FC8" w:rsidRPr="003D5E8E">
              <w:rPr>
                <w:b w:val="0"/>
                <w:bCs w:val="0"/>
                <w:color w:val="222222"/>
                <w:sz w:val="24"/>
                <w:szCs w:val="24"/>
              </w:rPr>
              <w:t xml:space="preserve">kārtību, kādā </w:t>
            </w:r>
            <w:r w:rsidR="00281295" w:rsidRPr="003D5E8E">
              <w:rPr>
                <w:b w:val="0"/>
                <w:bCs w:val="0"/>
                <w:color w:val="222222"/>
                <w:sz w:val="24"/>
                <w:szCs w:val="24"/>
              </w:rPr>
              <w:t>iesniedz iesniegumus par muitas nodokļa atcelšanu un kvotu piemērošanu, kā arī sagatavo noraidījumus attiecībā uz citu Eiropas Savienības dalībvalstu iesniegtajiem iesniegumiem par muitas nodokļa atcelšanu un kvotu piemērošanu</w:t>
            </w:r>
            <w:r w:rsidR="00BC0FC8" w:rsidRPr="003D5E8E">
              <w:rPr>
                <w:b w:val="0"/>
                <w:bCs w:val="0"/>
                <w:color w:val="222222"/>
                <w:sz w:val="24"/>
                <w:szCs w:val="24"/>
              </w:rPr>
              <w:t xml:space="preserve"> nosaka</w:t>
            </w:r>
            <w:r w:rsidR="002F338E" w:rsidRPr="003D5E8E">
              <w:rPr>
                <w:b w:val="0"/>
                <w:bCs w:val="0"/>
                <w:color w:val="222222"/>
                <w:sz w:val="24"/>
                <w:szCs w:val="24"/>
              </w:rPr>
              <w:t xml:space="preserve"> Muitas likuma </w:t>
            </w:r>
            <w:r w:rsidR="00281295" w:rsidRPr="003D5E8E">
              <w:rPr>
                <w:b w:val="0"/>
                <w:bCs w:val="0"/>
                <w:color w:val="222222"/>
                <w:sz w:val="24"/>
                <w:szCs w:val="24"/>
              </w:rPr>
              <w:t>6</w:t>
            </w:r>
            <w:r w:rsidR="002F338E" w:rsidRPr="003D5E8E">
              <w:rPr>
                <w:b w:val="0"/>
                <w:bCs w:val="0"/>
                <w:color w:val="222222"/>
                <w:sz w:val="24"/>
                <w:szCs w:val="24"/>
              </w:rPr>
              <w:t>.panta</w:t>
            </w:r>
            <w:r w:rsidR="00BC0FC8" w:rsidRPr="003D5E8E">
              <w:rPr>
                <w:b w:val="0"/>
                <w:bCs w:val="0"/>
                <w:color w:val="222222"/>
                <w:sz w:val="24"/>
                <w:szCs w:val="24"/>
              </w:rPr>
              <w:t xml:space="preserve"> </w:t>
            </w:r>
            <w:r w:rsidR="00793791">
              <w:rPr>
                <w:b w:val="0"/>
                <w:bCs w:val="0"/>
                <w:color w:val="222222"/>
                <w:sz w:val="24"/>
                <w:szCs w:val="24"/>
              </w:rPr>
              <w:t xml:space="preserve">astotais punkts </w:t>
            </w:r>
            <w:r w:rsidR="002F338E" w:rsidRPr="00022942">
              <w:rPr>
                <w:b w:val="0"/>
                <w:bCs w:val="0"/>
                <w:color w:val="222222"/>
                <w:sz w:val="24"/>
                <w:szCs w:val="24"/>
                <w:shd w:val="clear" w:color="auto" w:fill="FFFFFF"/>
              </w:rPr>
              <w:t>un Ministru kabineta 20</w:t>
            </w:r>
            <w:r w:rsidR="00C625C9">
              <w:rPr>
                <w:b w:val="0"/>
                <w:bCs w:val="0"/>
                <w:color w:val="222222"/>
                <w:sz w:val="24"/>
                <w:szCs w:val="24"/>
                <w:shd w:val="clear" w:color="auto" w:fill="FFFFFF"/>
              </w:rPr>
              <w:t>0</w:t>
            </w:r>
            <w:r w:rsidR="00022942" w:rsidRPr="00022942">
              <w:rPr>
                <w:b w:val="0"/>
                <w:bCs w:val="0"/>
                <w:color w:val="222222"/>
                <w:sz w:val="24"/>
                <w:szCs w:val="24"/>
                <w:shd w:val="clear" w:color="auto" w:fill="FFFFFF"/>
              </w:rPr>
              <w:t>8</w:t>
            </w:r>
            <w:r w:rsidR="002F338E" w:rsidRPr="00022942">
              <w:rPr>
                <w:b w:val="0"/>
                <w:bCs w:val="0"/>
                <w:color w:val="222222"/>
                <w:sz w:val="24"/>
                <w:szCs w:val="24"/>
                <w:shd w:val="clear" w:color="auto" w:fill="FFFFFF"/>
              </w:rPr>
              <w:t xml:space="preserve">.gada </w:t>
            </w:r>
            <w:r w:rsidR="00BC0FC8" w:rsidRPr="00022942">
              <w:rPr>
                <w:b w:val="0"/>
                <w:bCs w:val="0"/>
                <w:color w:val="222222"/>
                <w:sz w:val="24"/>
                <w:szCs w:val="24"/>
                <w:shd w:val="clear" w:color="auto" w:fill="FFFFFF"/>
              </w:rPr>
              <w:t>2</w:t>
            </w:r>
            <w:r w:rsidR="00022942" w:rsidRPr="00022942">
              <w:rPr>
                <w:b w:val="0"/>
                <w:bCs w:val="0"/>
                <w:color w:val="222222"/>
                <w:sz w:val="24"/>
                <w:szCs w:val="24"/>
                <w:shd w:val="clear" w:color="auto" w:fill="FFFFFF"/>
              </w:rPr>
              <w:t>9</w:t>
            </w:r>
            <w:r w:rsidR="00BC0FC8" w:rsidRPr="00022942">
              <w:rPr>
                <w:b w:val="0"/>
                <w:bCs w:val="0"/>
                <w:color w:val="222222"/>
                <w:sz w:val="24"/>
                <w:szCs w:val="24"/>
                <w:shd w:val="clear" w:color="auto" w:fill="FFFFFF"/>
              </w:rPr>
              <w:t>.</w:t>
            </w:r>
            <w:r w:rsidR="00022942" w:rsidRPr="00022942">
              <w:rPr>
                <w:b w:val="0"/>
                <w:bCs w:val="0"/>
                <w:color w:val="222222"/>
                <w:sz w:val="24"/>
                <w:szCs w:val="24"/>
                <w:shd w:val="clear" w:color="auto" w:fill="FFFFFF"/>
              </w:rPr>
              <w:t>septembra</w:t>
            </w:r>
            <w:r w:rsidR="002F338E" w:rsidRPr="00022942">
              <w:rPr>
                <w:b w:val="0"/>
                <w:bCs w:val="0"/>
                <w:color w:val="222222"/>
                <w:sz w:val="24"/>
                <w:szCs w:val="24"/>
                <w:shd w:val="clear" w:color="auto" w:fill="FFFFFF"/>
              </w:rPr>
              <w:t xml:space="preserve"> noteikumi Nr.</w:t>
            </w:r>
            <w:r w:rsidR="00022942" w:rsidRPr="00022942">
              <w:rPr>
                <w:b w:val="0"/>
                <w:bCs w:val="0"/>
                <w:color w:val="222222"/>
                <w:sz w:val="24"/>
                <w:szCs w:val="24"/>
                <w:shd w:val="clear" w:color="auto" w:fill="FFFFFF"/>
              </w:rPr>
              <w:t>810</w:t>
            </w:r>
            <w:r w:rsidR="002F338E" w:rsidRPr="00022942">
              <w:rPr>
                <w:b w:val="0"/>
                <w:bCs w:val="0"/>
                <w:color w:val="222222"/>
                <w:sz w:val="24"/>
                <w:szCs w:val="24"/>
                <w:shd w:val="clear" w:color="auto" w:fill="FFFFFF"/>
              </w:rPr>
              <w:t xml:space="preserve"> “</w:t>
            </w:r>
            <w:r w:rsidR="00022942" w:rsidRPr="00022942">
              <w:rPr>
                <w:b w:val="0"/>
                <w:bCs w:val="0"/>
                <w:color w:val="000000"/>
                <w:sz w:val="24"/>
                <w:szCs w:val="24"/>
              </w:rPr>
              <w:t>Kārtība, kādā iesniedz iesniegumus par muitas nodokļa atcelšanu un kvotu piemērošanu, kā arī sagatavo noraidījumus attiecībā uz citu Eiropas Savienības dalībvalstu iesniegtajiem iesniegumiem par muitas nodokļa atcelšanu un kvotu piemērošanu</w:t>
            </w:r>
            <w:r w:rsidR="002F338E" w:rsidRPr="00022942">
              <w:rPr>
                <w:b w:val="0"/>
                <w:bCs w:val="0"/>
                <w:color w:val="222222"/>
                <w:sz w:val="24"/>
                <w:szCs w:val="24"/>
                <w:shd w:val="clear" w:color="auto" w:fill="FFFFFF"/>
              </w:rPr>
              <w:t>” (turpmāk – MK noteikumi Nr.</w:t>
            </w:r>
            <w:r w:rsidR="00022942" w:rsidRPr="00022942">
              <w:rPr>
                <w:b w:val="0"/>
                <w:bCs w:val="0"/>
                <w:color w:val="222222"/>
                <w:sz w:val="24"/>
                <w:szCs w:val="24"/>
                <w:shd w:val="clear" w:color="auto" w:fill="FFFFFF"/>
              </w:rPr>
              <w:t>810</w:t>
            </w:r>
            <w:r w:rsidR="002F338E" w:rsidRPr="00022942">
              <w:rPr>
                <w:b w:val="0"/>
                <w:bCs w:val="0"/>
                <w:color w:val="222222"/>
                <w:sz w:val="24"/>
                <w:szCs w:val="24"/>
                <w:shd w:val="clear" w:color="auto" w:fill="FFFFFF"/>
              </w:rPr>
              <w:t>)</w:t>
            </w:r>
            <w:r w:rsidR="00D53915" w:rsidRPr="00022942">
              <w:rPr>
                <w:b w:val="0"/>
                <w:bCs w:val="0"/>
                <w:color w:val="222222"/>
                <w:sz w:val="24"/>
                <w:szCs w:val="24"/>
                <w:shd w:val="clear" w:color="auto" w:fill="FFFFFF"/>
              </w:rPr>
              <w:t>.</w:t>
            </w:r>
          </w:p>
          <w:p w14:paraId="01470F30" w14:textId="596A2A98" w:rsidR="00FF19C1" w:rsidRDefault="00FF19C1" w:rsidP="00022942">
            <w:pPr>
              <w:pStyle w:val="naiskr"/>
              <w:spacing w:before="60" w:after="60"/>
              <w:ind w:right="84"/>
              <w:jc w:val="both"/>
            </w:pPr>
            <w:r w:rsidRPr="00022942">
              <w:t>Saskaņā ar Ministru kabineta 2014.gada 30.septembra sēdes protokola Nr.51 59.§ “Informatīvais ziņojums “Par Satiksmes ministrijas izvirzītajiem priekšlikumiem Krievijas ekonomisko sankciju negatīvo seku mazināšanai tranzīta un loģistikas jomā””</w:t>
            </w:r>
            <w:r w:rsidR="001E7767">
              <w:t xml:space="preserve">, </w:t>
            </w:r>
            <w:r w:rsidRPr="00022942">
              <w:t xml:space="preserve"> </w:t>
            </w:r>
            <w:r w:rsidR="001E7767">
              <w:t>Ministru kabineta 2014.gada 30.septembra sēdes protokola Nr.51 62.§ “Noteikumu projekts "Muitas procedūras-tranzīts</w:t>
            </w:r>
            <w:r w:rsidR="00A054A9">
              <w:t xml:space="preserve">-piemērošanas kārtība" 2.punktu, </w:t>
            </w:r>
            <w:r w:rsidRPr="00022942">
              <w:t>Ministru kabineta 2016.gada 5.janvāra sēdes protokola Nr.1 7.§ “Par Ministru kabineta 2014.gada 30.septembra sēdes protokollēmuma (prot. Nr.51 59.§) “Informatīvais ziņojums “Par Satiksmes ministrijas izvirzītajiem priekšlikumiem Krievijas ekonomisko sankciju negatīvo seku mazināšanai tranzīta un loģistikas jomā””” 2.punktā noteikto</w:t>
            </w:r>
            <w:r w:rsidR="001E7767">
              <w:t>, kā arī saskaņā</w:t>
            </w:r>
            <w:r w:rsidR="00A054A9">
              <w:t xml:space="preserve"> ar</w:t>
            </w:r>
            <w:r w:rsidR="001E7767">
              <w:t xml:space="preserve"> Eiropas Parlamenta un Pa</w:t>
            </w:r>
            <w:r w:rsidR="00A054A9">
              <w:t>domes 2013.gada 9.oktobra regulu</w:t>
            </w:r>
            <w:r w:rsidR="001E7767">
              <w:t xml:space="preserve"> Nr.952/2013 (ES)</w:t>
            </w:r>
            <w:r w:rsidR="00A054A9">
              <w:t>,</w:t>
            </w:r>
            <w:r w:rsidR="001E7767">
              <w:t xml:space="preserve"> ar ko izveido Savienības Muitas kodeksu </w:t>
            </w:r>
            <w:r w:rsidRPr="00022942">
              <w:t xml:space="preserve"> </w:t>
            </w:r>
            <w:r w:rsidR="00657820" w:rsidRPr="00022942">
              <w:t>tika sagatavots jauns Muitas likums.</w:t>
            </w:r>
          </w:p>
          <w:p w14:paraId="2EA36624" w14:textId="755730A1" w:rsidR="008807B5" w:rsidRPr="00F505A6" w:rsidRDefault="001E7767" w:rsidP="008807B5">
            <w:pPr>
              <w:spacing w:before="60" w:after="60" w:line="240" w:lineRule="auto"/>
              <w:ind w:right="84"/>
              <w:jc w:val="both"/>
              <w:rPr>
                <w:rFonts w:cs="Times New Roman"/>
                <w:szCs w:val="24"/>
              </w:rPr>
            </w:pPr>
            <w:r w:rsidRPr="00833E85">
              <w:t xml:space="preserve"> </w:t>
            </w:r>
            <w:r w:rsidR="008807B5" w:rsidRPr="00F505A6">
              <w:rPr>
                <w:rFonts w:cs="Times New Roman"/>
                <w:szCs w:val="24"/>
              </w:rPr>
              <w:t xml:space="preserve">Saskaņā ar Muitas likuma, kurš stājās spēkā 2016.gada 5.jūlijā, pārejas noteikumu 2.punkta 13.apakšpunktā noteikto ir nepieciešams izdot jaunus Ministru kabineta noteikumus, kuri noteiktu </w:t>
            </w:r>
            <w:r w:rsidR="00366D6A" w:rsidRPr="00F505A6">
              <w:rPr>
                <w:rFonts w:cs="Times New Roman"/>
                <w:szCs w:val="24"/>
              </w:rPr>
              <w:t xml:space="preserve">kārtību, </w:t>
            </w:r>
            <w:r w:rsidR="00366D6A" w:rsidRPr="00F505A6">
              <w:rPr>
                <w:color w:val="222222"/>
                <w:szCs w:val="24"/>
              </w:rPr>
              <w:t>kādā iesniedz iesniegumus par muitas nodokļa atcelšanu un kvotu piemērošanu, kā arī sagatavo noraidījumus attiecībā uz citu Eiropas Savienības dalībvalstu iesniegtajiem iesniegumiem par muitas nodokļa atcelšanu un kvotu piemērošanu</w:t>
            </w:r>
            <w:r w:rsidR="008807B5" w:rsidRPr="00F505A6">
              <w:rPr>
                <w:rFonts w:cs="Times New Roman"/>
                <w:szCs w:val="24"/>
              </w:rPr>
              <w:t>.</w:t>
            </w:r>
          </w:p>
          <w:p w14:paraId="51B6B762" w14:textId="55C9E602" w:rsidR="00AA7BD9" w:rsidRDefault="00056E33" w:rsidP="00F6017A">
            <w:pPr>
              <w:tabs>
                <w:tab w:val="left" w:pos="272"/>
              </w:tabs>
              <w:spacing w:before="120" w:after="0" w:line="240" w:lineRule="auto"/>
              <w:jc w:val="both"/>
              <w:rPr>
                <w:rFonts w:eastAsia="Times New Roman" w:cs="Times New Roman"/>
                <w:szCs w:val="24"/>
                <w:lang w:eastAsia="lv-LV"/>
              </w:rPr>
            </w:pPr>
            <w:r>
              <w:rPr>
                <w:rFonts w:eastAsia="Times New Roman" w:cs="Times New Roman"/>
                <w:szCs w:val="24"/>
                <w:lang w:eastAsia="lv-LV"/>
              </w:rPr>
              <w:t xml:space="preserve">Ministru kabineta noteikumu projekts </w:t>
            </w:r>
            <w:r w:rsidRPr="00F505A6">
              <w:rPr>
                <w:rFonts w:eastAsia="Times New Roman" w:cs="Times New Roman"/>
                <w:szCs w:val="24"/>
                <w:lang w:eastAsia="lv-LV"/>
              </w:rPr>
              <w:t>“</w:t>
            </w:r>
            <w:r w:rsidR="0064643E" w:rsidRPr="00F505A6">
              <w:rPr>
                <w:rFonts w:eastAsia="Times New Roman" w:cs="Times New Roman"/>
                <w:bCs/>
                <w:szCs w:val="24"/>
                <w:lang w:eastAsia="lv-LV"/>
              </w:rPr>
              <w:t>Iesniegumu par muitas nodokļa atcelšanu un kvotu piemērošanu, kā arī noraidījumu sagatavošanas kārtība</w:t>
            </w:r>
            <w:r>
              <w:rPr>
                <w:rFonts w:eastAsia="Times New Roman" w:cs="Times New Roman"/>
                <w:szCs w:val="24"/>
                <w:lang w:eastAsia="lv-LV"/>
              </w:rPr>
              <w:t xml:space="preserve">” (turpmāk - noteikumu projekts) ir </w:t>
            </w:r>
            <w:proofErr w:type="spellStart"/>
            <w:r>
              <w:rPr>
                <w:rFonts w:eastAsia="Times New Roman" w:cs="Times New Roman"/>
                <w:szCs w:val="24"/>
                <w:lang w:eastAsia="lv-LV"/>
              </w:rPr>
              <w:t>pārizdots</w:t>
            </w:r>
            <w:proofErr w:type="spellEnd"/>
            <w:r>
              <w:rPr>
                <w:rFonts w:eastAsia="Times New Roman" w:cs="Times New Roman"/>
                <w:szCs w:val="24"/>
                <w:lang w:eastAsia="lv-LV"/>
              </w:rPr>
              <w:t xml:space="preserve"> MK noteikumu Nr.810 redakcijā.</w:t>
            </w:r>
          </w:p>
          <w:p w14:paraId="43E0D387" w14:textId="5854B4D5" w:rsidR="007479B9" w:rsidRPr="00F505A6" w:rsidRDefault="007479B9" w:rsidP="00F6017A">
            <w:pPr>
              <w:tabs>
                <w:tab w:val="left" w:pos="272"/>
              </w:tabs>
              <w:spacing w:before="120" w:after="0" w:line="240" w:lineRule="auto"/>
              <w:jc w:val="both"/>
              <w:rPr>
                <w:rFonts w:eastAsia="Times New Roman" w:cs="Times New Roman"/>
                <w:szCs w:val="24"/>
                <w:lang w:eastAsia="lv-LV"/>
              </w:rPr>
            </w:pPr>
            <w:r>
              <w:rPr>
                <w:rFonts w:eastAsia="Times New Roman" w:cs="Times New Roman"/>
                <w:szCs w:val="24"/>
                <w:lang w:eastAsia="lv-LV"/>
              </w:rPr>
              <w:t xml:space="preserve"> </w:t>
            </w:r>
            <w:r w:rsidRPr="00F505A6">
              <w:rPr>
                <w:rFonts w:eastAsia="Times New Roman" w:cs="Times New Roman"/>
                <w:szCs w:val="24"/>
                <w:lang w:eastAsia="lv-LV"/>
              </w:rPr>
              <w:t>Būtiskākās atšķirības ir:</w:t>
            </w:r>
          </w:p>
          <w:p w14:paraId="2532C184" w14:textId="77777777" w:rsidR="007479B9" w:rsidRPr="00F505A6" w:rsidRDefault="007479B9" w:rsidP="007479B9">
            <w:pPr>
              <w:pStyle w:val="ListParagraph"/>
              <w:numPr>
                <w:ilvl w:val="0"/>
                <w:numId w:val="17"/>
              </w:numPr>
              <w:tabs>
                <w:tab w:val="left" w:pos="272"/>
              </w:tabs>
              <w:spacing w:before="120" w:after="0" w:line="240" w:lineRule="auto"/>
              <w:jc w:val="both"/>
              <w:rPr>
                <w:rFonts w:eastAsia="Times New Roman" w:cs="Times New Roman"/>
                <w:szCs w:val="24"/>
                <w:lang w:eastAsia="lv-LV"/>
              </w:rPr>
            </w:pPr>
            <w:r w:rsidRPr="00F505A6">
              <w:rPr>
                <w:rFonts w:eastAsia="Times New Roman" w:cs="Times New Roman"/>
                <w:szCs w:val="24"/>
                <w:lang w:eastAsia="lv-LV"/>
              </w:rPr>
              <w:lastRenderedPageBreak/>
              <w:t>Precizēts noteikumu projekta nosaukums atbilstoši Ministru kabineta 2009.gada 3.februāra noteikumu Nr.108 ‘Normatīvo aktu projektu sagatavošanas noteikumi” prasībām.</w:t>
            </w:r>
          </w:p>
          <w:p w14:paraId="1E0A2782" w14:textId="5E165836" w:rsidR="007479B9" w:rsidRPr="00F505A6" w:rsidRDefault="00284002" w:rsidP="007479B9">
            <w:pPr>
              <w:pStyle w:val="ListParagraph"/>
              <w:numPr>
                <w:ilvl w:val="0"/>
                <w:numId w:val="17"/>
              </w:numPr>
              <w:tabs>
                <w:tab w:val="left" w:pos="272"/>
              </w:tabs>
              <w:spacing w:before="120" w:after="0" w:line="240" w:lineRule="auto"/>
              <w:jc w:val="both"/>
              <w:rPr>
                <w:rFonts w:eastAsia="Times New Roman" w:cs="Times New Roman"/>
                <w:szCs w:val="24"/>
                <w:lang w:eastAsia="lv-LV"/>
              </w:rPr>
            </w:pPr>
            <w:r w:rsidRPr="00F505A6">
              <w:rPr>
                <w:rFonts w:eastAsia="Times New Roman" w:cs="Times New Roman"/>
                <w:szCs w:val="24"/>
                <w:lang w:eastAsia="lv-LV"/>
              </w:rPr>
              <w:t>Precizēti</w:t>
            </w:r>
            <w:r w:rsidR="007479B9" w:rsidRPr="00F505A6">
              <w:rPr>
                <w:rFonts w:eastAsia="Times New Roman" w:cs="Times New Roman"/>
                <w:szCs w:val="24"/>
                <w:lang w:eastAsia="lv-LV"/>
              </w:rPr>
              <w:t xml:space="preserve"> noteikumu projekta 2.punkta 2.1. un 2.2. apakšpunkti, novēršot subjektīvi vērtējamu apzīmējumu lietošanu.</w:t>
            </w:r>
          </w:p>
          <w:p w14:paraId="57154C78" w14:textId="77777777" w:rsidR="007479B9" w:rsidRPr="00F505A6" w:rsidRDefault="007479B9" w:rsidP="00284002">
            <w:pPr>
              <w:pStyle w:val="ListParagraph"/>
              <w:numPr>
                <w:ilvl w:val="0"/>
                <w:numId w:val="17"/>
              </w:numPr>
              <w:tabs>
                <w:tab w:val="left" w:pos="272"/>
              </w:tabs>
              <w:spacing w:before="120" w:after="0" w:line="240" w:lineRule="auto"/>
              <w:jc w:val="both"/>
              <w:rPr>
                <w:rFonts w:eastAsia="Times New Roman" w:cs="Times New Roman"/>
                <w:szCs w:val="24"/>
                <w:lang w:eastAsia="lv-LV"/>
              </w:rPr>
            </w:pPr>
            <w:r w:rsidRPr="00F505A6">
              <w:rPr>
                <w:rFonts w:eastAsia="Times New Roman" w:cs="Times New Roman"/>
                <w:szCs w:val="24"/>
                <w:lang w:eastAsia="lv-LV"/>
              </w:rPr>
              <w:t>Noteikumu projekts papildināts ar jaunu 12.punktu, kur</w:t>
            </w:r>
            <w:r w:rsidR="00481970" w:rsidRPr="00F505A6">
              <w:rPr>
                <w:rFonts w:eastAsia="Times New Roman" w:cs="Times New Roman"/>
                <w:szCs w:val="24"/>
                <w:lang w:eastAsia="lv-LV"/>
              </w:rPr>
              <w:t>a pirmais apakšpunkts</w:t>
            </w:r>
            <w:r w:rsidRPr="00F505A6">
              <w:rPr>
                <w:rFonts w:eastAsia="Times New Roman" w:cs="Times New Roman"/>
                <w:szCs w:val="24"/>
                <w:lang w:eastAsia="lv-LV"/>
              </w:rPr>
              <w:t xml:space="preserve"> </w:t>
            </w:r>
            <w:r w:rsidR="00481970" w:rsidRPr="00F505A6">
              <w:rPr>
                <w:rFonts w:eastAsia="Times New Roman" w:cs="Times New Roman"/>
                <w:szCs w:val="24"/>
                <w:lang w:eastAsia="lv-LV"/>
              </w:rPr>
              <w:t>nosaka</w:t>
            </w:r>
            <w:r w:rsidRPr="00F505A6">
              <w:rPr>
                <w:rFonts w:eastAsia="Times New Roman" w:cs="Times New Roman"/>
                <w:szCs w:val="24"/>
                <w:lang w:eastAsia="lv-LV"/>
              </w:rPr>
              <w:t>,</w:t>
            </w:r>
            <w:r w:rsidR="00481970" w:rsidRPr="00F505A6">
              <w:rPr>
                <w:rFonts w:eastAsia="Times New Roman" w:cs="Times New Roman"/>
                <w:szCs w:val="24"/>
                <w:lang w:eastAsia="lv-LV"/>
              </w:rPr>
              <w:t xml:space="preserve"> ka Finanšu ministrija var pieprasīt papildu informāciju, kas nepieciešama Eiropas Komisijas Ekonomikas un tarifu jautājumu darba grupai, lai varētu veikt vērtējumu un tālāk pieņemt lēmumu par attiecīgo pieteikumu. Savukārt otrais apak</w:t>
            </w:r>
            <w:r w:rsidR="00284002" w:rsidRPr="00F505A6">
              <w:rPr>
                <w:rFonts w:eastAsia="Times New Roman" w:cs="Times New Roman"/>
                <w:szCs w:val="24"/>
                <w:lang w:eastAsia="lv-LV"/>
              </w:rPr>
              <w:t>špunkts nosaka, ka Finanšu ministrija komersantu informē par attiecīgo Eiropas Komisijas Ekonomikas un tarifu jautājumu darba grupas viedokli vai pieņemto lēmumu.</w:t>
            </w:r>
          </w:p>
          <w:p w14:paraId="6D1D4DE7" w14:textId="107C5B52" w:rsidR="00C73FD4" w:rsidRPr="000449A0" w:rsidRDefault="00662FAB" w:rsidP="00C73FD4">
            <w:pPr>
              <w:tabs>
                <w:tab w:val="left" w:pos="272"/>
              </w:tabs>
              <w:spacing w:before="120" w:after="0" w:line="240" w:lineRule="auto"/>
              <w:jc w:val="both"/>
              <w:rPr>
                <w:rFonts w:eastAsia="Times New Roman" w:cs="Times New Roman"/>
                <w:b/>
                <w:szCs w:val="24"/>
                <w:lang w:eastAsia="lv-LV"/>
              </w:rPr>
            </w:pPr>
            <w:r w:rsidRPr="00F505A6">
              <w:rPr>
                <w:rFonts w:eastAsia="Times New Roman" w:cs="Times New Roman"/>
                <w:szCs w:val="24"/>
                <w:lang w:eastAsia="lv-LV"/>
              </w:rPr>
              <w:t xml:space="preserve">Komisijas 2011.gada paziņojums par autonomo tarifu atcelšanu un kvotām (2011/C363/02) ir atrodams Finanšu ministrijas tīmekļa vietnē </w:t>
            </w:r>
            <w:r w:rsidR="00B7321E" w:rsidRPr="00F505A6">
              <w:rPr>
                <w:rFonts w:eastAsia="Times New Roman" w:cs="Times New Roman"/>
                <w:color w:val="17365D" w:themeColor="text2" w:themeShade="BF"/>
                <w:szCs w:val="24"/>
                <w:lang w:eastAsia="lv-LV"/>
              </w:rPr>
              <w:t>http://www.fm.gov.lv/lv/sadalas/muitas_politika/muitas_nodoklu_atcelsana_un_kvotu_piemerosana/</w:t>
            </w:r>
          </w:p>
        </w:tc>
      </w:tr>
      <w:tr w:rsidR="005D4AE6" w:rsidRPr="008028CD" w14:paraId="3E06FE96" w14:textId="77777777" w:rsidTr="00B7321E">
        <w:trPr>
          <w:trHeight w:val="465"/>
        </w:trPr>
        <w:tc>
          <w:tcPr>
            <w:tcW w:w="418" w:type="dxa"/>
            <w:tcBorders>
              <w:top w:val="outset" w:sz="6" w:space="0" w:color="auto"/>
              <w:left w:val="outset" w:sz="6" w:space="0" w:color="auto"/>
              <w:bottom w:val="outset" w:sz="6" w:space="0" w:color="auto"/>
              <w:right w:val="outset" w:sz="6" w:space="0" w:color="auto"/>
            </w:tcBorders>
            <w:hideMark/>
          </w:tcPr>
          <w:p w14:paraId="4ABB33E4" w14:textId="069A7A60"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lastRenderedPageBreak/>
              <w:t>3.</w:t>
            </w:r>
          </w:p>
        </w:tc>
        <w:tc>
          <w:tcPr>
            <w:tcW w:w="2836" w:type="dxa"/>
            <w:tcBorders>
              <w:top w:val="outset" w:sz="6" w:space="0" w:color="auto"/>
              <w:left w:val="outset" w:sz="6" w:space="0" w:color="auto"/>
              <w:bottom w:val="outset" w:sz="6" w:space="0" w:color="auto"/>
              <w:right w:val="outset" w:sz="6" w:space="0" w:color="auto"/>
            </w:tcBorders>
            <w:hideMark/>
          </w:tcPr>
          <w:p w14:paraId="0AC297BC"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Projekta izstrādē iesaistītās institūcijas</w:t>
            </w:r>
          </w:p>
        </w:tc>
        <w:tc>
          <w:tcPr>
            <w:tcW w:w="5801" w:type="dxa"/>
            <w:tcBorders>
              <w:top w:val="outset" w:sz="6" w:space="0" w:color="auto"/>
              <w:left w:val="outset" w:sz="6" w:space="0" w:color="auto"/>
              <w:bottom w:val="outset" w:sz="6" w:space="0" w:color="auto"/>
              <w:right w:val="outset" w:sz="6" w:space="0" w:color="auto"/>
            </w:tcBorders>
            <w:hideMark/>
          </w:tcPr>
          <w:p w14:paraId="4F8F0D88" w14:textId="3017A3A8" w:rsidR="00363288" w:rsidRPr="008028CD" w:rsidRDefault="00056E33" w:rsidP="005D4AE6">
            <w:pPr>
              <w:spacing w:after="0" w:line="240" w:lineRule="auto"/>
              <w:rPr>
                <w:rFonts w:eastAsia="Times New Roman" w:cs="Times New Roman"/>
                <w:szCs w:val="24"/>
                <w:lang w:eastAsia="lv-LV"/>
              </w:rPr>
            </w:pPr>
            <w:r>
              <w:rPr>
                <w:rFonts w:eastAsia="Times New Roman" w:cs="Times New Roman"/>
                <w:szCs w:val="24"/>
                <w:lang w:eastAsia="lv-LV"/>
              </w:rPr>
              <w:t>Finanšu ministrija</w:t>
            </w:r>
          </w:p>
        </w:tc>
      </w:tr>
      <w:tr w:rsidR="005D4AE6" w:rsidRPr="008028CD" w14:paraId="325B280E" w14:textId="77777777" w:rsidTr="00B7321E">
        <w:tc>
          <w:tcPr>
            <w:tcW w:w="418" w:type="dxa"/>
            <w:tcBorders>
              <w:top w:val="outset" w:sz="6" w:space="0" w:color="auto"/>
              <w:left w:val="outset" w:sz="6" w:space="0" w:color="auto"/>
              <w:bottom w:val="outset" w:sz="6" w:space="0" w:color="auto"/>
              <w:right w:val="outset" w:sz="6" w:space="0" w:color="auto"/>
            </w:tcBorders>
            <w:hideMark/>
          </w:tcPr>
          <w:p w14:paraId="2D6194B7"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4.</w:t>
            </w:r>
          </w:p>
        </w:tc>
        <w:tc>
          <w:tcPr>
            <w:tcW w:w="2836" w:type="dxa"/>
            <w:tcBorders>
              <w:top w:val="outset" w:sz="6" w:space="0" w:color="auto"/>
              <w:left w:val="outset" w:sz="6" w:space="0" w:color="auto"/>
              <w:bottom w:val="outset" w:sz="6" w:space="0" w:color="auto"/>
              <w:right w:val="outset" w:sz="6" w:space="0" w:color="auto"/>
            </w:tcBorders>
            <w:hideMark/>
          </w:tcPr>
          <w:p w14:paraId="1392EA41"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5801" w:type="dxa"/>
            <w:tcBorders>
              <w:top w:val="outset" w:sz="6" w:space="0" w:color="auto"/>
              <w:left w:val="outset" w:sz="6" w:space="0" w:color="auto"/>
              <w:bottom w:val="outset" w:sz="6" w:space="0" w:color="auto"/>
              <w:right w:val="outset" w:sz="6" w:space="0" w:color="auto"/>
            </w:tcBorders>
            <w:hideMark/>
          </w:tcPr>
          <w:p w14:paraId="063174D1" w14:textId="77777777" w:rsidR="005D4AE6" w:rsidRPr="008028CD" w:rsidRDefault="00212075"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Nav</w:t>
            </w:r>
          </w:p>
        </w:tc>
      </w:tr>
    </w:tbl>
    <w:p w14:paraId="6E1C686A" w14:textId="77777777" w:rsidR="005D4AE6" w:rsidRDefault="005D4AE6" w:rsidP="005D4AE6">
      <w:pPr>
        <w:spacing w:after="0" w:line="240" w:lineRule="auto"/>
        <w:rPr>
          <w:rFonts w:eastAsia="Times New Roman" w:cs="Times New Roman"/>
          <w:vanish/>
          <w:szCs w:val="24"/>
          <w:lang w:eastAsia="lv-LV"/>
        </w:rPr>
      </w:pPr>
    </w:p>
    <w:p w14:paraId="75589F4F" w14:textId="3CE0B5E5" w:rsidR="00F7797C" w:rsidRPr="008028CD" w:rsidRDefault="00BB36D8" w:rsidP="005D4AE6">
      <w:pPr>
        <w:spacing w:after="0" w:line="240" w:lineRule="auto"/>
        <w:rPr>
          <w:rFonts w:eastAsia="Times New Roman" w:cs="Times New Roman"/>
          <w:vanish/>
          <w:szCs w:val="24"/>
          <w:lang w:eastAsia="lv-LV"/>
        </w:rPr>
      </w:pPr>
      <w:r>
        <w:rPr>
          <w:rFonts w:eastAsia="Times New Roman" w:cs="Times New Roman"/>
          <w:vanish/>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D4AE6" w:rsidRPr="008028CD" w14:paraId="42D4DF0A" w14:textId="77777777" w:rsidTr="005D4AE6">
        <w:trPr>
          <w:trHeight w:val="55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EA7B6"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II. Tiesību akta projekta ietekme uz sabiedrību, tautsaimniecības attīstību un administratīvo slogu</w:t>
            </w:r>
          </w:p>
        </w:tc>
      </w:tr>
      <w:tr w:rsidR="005D4AE6" w:rsidRPr="008028CD" w14:paraId="62423AA3"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7B7D4803"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1040A2F0"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 xml:space="preserve">Sabiedrības </w:t>
            </w:r>
            <w:proofErr w:type="spellStart"/>
            <w:r w:rsidRPr="008028CD">
              <w:rPr>
                <w:rFonts w:eastAsia="Times New Roman" w:cs="Times New Roman"/>
                <w:szCs w:val="24"/>
                <w:lang w:eastAsia="lv-LV"/>
              </w:rPr>
              <w:t>mērķgrupas</w:t>
            </w:r>
            <w:proofErr w:type="spellEnd"/>
            <w:r w:rsidRPr="008028CD">
              <w:rPr>
                <w:rFonts w:eastAsia="Times New Roman" w:cs="Times New Roman"/>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0F3AEA7B" w14:textId="5978B0BE" w:rsidR="0059781E" w:rsidRPr="008028CD" w:rsidRDefault="006B7AA8" w:rsidP="00F6017A">
            <w:pPr>
              <w:spacing w:after="0" w:line="240" w:lineRule="auto"/>
              <w:jc w:val="both"/>
              <w:rPr>
                <w:rFonts w:eastAsia="Times New Roman" w:cs="Times New Roman"/>
                <w:szCs w:val="24"/>
                <w:lang w:eastAsia="lv-LV"/>
              </w:rPr>
            </w:pPr>
            <w:r>
              <w:rPr>
                <w:rFonts w:eastAsia="Times New Roman" w:cs="Times New Roman"/>
                <w:szCs w:val="24"/>
                <w:lang w:eastAsia="lv-LV"/>
              </w:rPr>
              <w:t xml:space="preserve">Projekta </w:t>
            </w:r>
            <w:proofErr w:type="spellStart"/>
            <w:r>
              <w:rPr>
                <w:rFonts w:eastAsia="Times New Roman" w:cs="Times New Roman"/>
                <w:szCs w:val="24"/>
                <w:lang w:eastAsia="lv-LV"/>
              </w:rPr>
              <w:t>mērķgrupa</w:t>
            </w:r>
            <w:proofErr w:type="spellEnd"/>
            <w:r>
              <w:rPr>
                <w:rFonts w:eastAsia="Times New Roman" w:cs="Times New Roman"/>
                <w:szCs w:val="24"/>
                <w:lang w:eastAsia="lv-LV"/>
              </w:rPr>
              <w:t xml:space="preserve"> </w:t>
            </w:r>
            <w:r w:rsidR="00E537F1">
              <w:rPr>
                <w:rFonts w:eastAsia="Times New Roman" w:cs="Times New Roman"/>
                <w:szCs w:val="24"/>
                <w:lang w:eastAsia="lv-LV"/>
              </w:rPr>
              <w:t xml:space="preserve">ir komersanti, </w:t>
            </w:r>
            <w:r w:rsidR="00056E33">
              <w:rPr>
                <w:rFonts w:eastAsia="Times New Roman" w:cs="Times New Roman"/>
                <w:szCs w:val="24"/>
                <w:lang w:eastAsia="lv-LV"/>
              </w:rPr>
              <w:t>kuri veic ražošanu un nepieciešamās izejvielas</w:t>
            </w:r>
            <w:r w:rsidR="00347E04">
              <w:rPr>
                <w:rFonts w:eastAsia="Times New Roman" w:cs="Times New Roman"/>
                <w:szCs w:val="24"/>
                <w:lang w:eastAsia="lv-LV"/>
              </w:rPr>
              <w:t>, nepabeigtas preces vai to izejvielas</w:t>
            </w:r>
            <w:r w:rsidR="00056E33">
              <w:rPr>
                <w:rFonts w:eastAsia="Times New Roman" w:cs="Times New Roman"/>
                <w:szCs w:val="24"/>
                <w:lang w:eastAsia="lv-LV"/>
              </w:rPr>
              <w:t xml:space="preserve"> ieved no trešajām valstīm un muitas nodokļa apmērs par </w:t>
            </w:r>
            <w:r w:rsidR="00347E04">
              <w:rPr>
                <w:rFonts w:eastAsia="Times New Roman" w:cs="Times New Roman"/>
                <w:szCs w:val="24"/>
                <w:lang w:eastAsia="lv-LV"/>
              </w:rPr>
              <w:t>tām</w:t>
            </w:r>
            <w:r w:rsidR="00056E33">
              <w:rPr>
                <w:rFonts w:eastAsia="Times New Roman" w:cs="Times New Roman"/>
                <w:szCs w:val="24"/>
                <w:lang w:eastAsia="lv-LV"/>
              </w:rPr>
              <w:t xml:space="preserve"> sasniedz 15 000 euro gadā.</w:t>
            </w:r>
            <w:r w:rsidR="00347E04">
              <w:rPr>
                <w:rFonts w:eastAsia="Times New Roman" w:cs="Times New Roman"/>
                <w:szCs w:val="24"/>
                <w:lang w:eastAsia="lv-LV"/>
              </w:rPr>
              <w:t xml:space="preserve"> Kā arī komersanti, kuri ražo līdzvērtīgu vai aizvietojamu preci, par kuru kāda cita Eiropas Savienības dalībvalsts ir iesniegusi iesniegumu atļau</w:t>
            </w:r>
            <w:r w:rsidR="00F6017A">
              <w:rPr>
                <w:rFonts w:eastAsia="Times New Roman" w:cs="Times New Roman"/>
                <w:szCs w:val="24"/>
                <w:lang w:eastAsia="lv-LV"/>
              </w:rPr>
              <w:t>jai</w:t>
            </w:r>
            <w:r w:rsidR="00347E04">
              <w:rPr>
                <w:rFonts w:eastAsia="Times New Roman" w:cs="Times New Roman"/>
                <w:szCs w:val="24"/>
                <w:lang w:eastAsia="lv-LV"/>
              </w:rPr>
              <w:t xml:space="preserve"> ievest to no trešajām valstīm, nepiemērojot muitas nodokli.</w:t>
            </w:r>
          </w:p>
        </w:tc>
      </w:tr>
      <w:tr w:rsidR="005D4AE6" w:rsidRPr="008028CD" w14:paraId="2AFCB5D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21D063C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2904D43"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2164C0EF" w14:textId="6AEE5B3E" w:rsidR="00C96E06" w:rsidRDefault="00644ADF" w:rsidP="00C96E06">
            <w:pPr>
              <w:spacing w:after="0" w:line="240" w:lineRule="auto"/>
              <w:jc w:val="both"/>
              <w:rPr>
                <w:rFonts w:eastAsia="Times New Roman" w:cs="Times New Roman"/>
                <w:szCs w:val="24"/>
                <w:lang w:eastAsia="lv-LV"/>
              </w:rPr>
            </w:pPr>
            <w:r>
              <w:rPr>
                <w:rFonts w:eastAsia="Times New Roman" w:cs="Times New Roman"/>
                <w:szCs w:val="24"/>
                <w:lang w:eastAsia="lv-LV"/>
              </w:rPr>
              <w:t>N</w:t>
            </w:r>
            <w:r w:rsidRPr="00B33325">
              <w:rPr>
                <w:rFonts w:eastAsia="Times New Roman" w:cs="Times New Roman"/>
                <w:szCs w:val="24"/>
                <w:lang w:eastAsia="lv-LV"/>
              </w:rPr>
              <w:t xml:space="preserve">oteikumu projekts </w:t>
            </w:r>
            <w:r w:rsidR="00C96E06">
              <w:rPr>
                <w:rFonts w:eastAsia="Times New Roman" w:cs="Times New Roman"/>
                <w:szCs w:val="24"/>
                <w:lang w:eastAsia="lv-LV"/>
              </w:rPr>
              <w:t>veicinās rūpnieciskās ražošanas attīstību, sekmējot Latvijas ražotāju konkurēt</w:t>
            </w:r>
            <w:r w:rsidR="00537C20">
              <w:rPr>
                <w:rFonts w:eastAsia="Times New Roman" w:cs="Times New Roman"/>
                <w:szCs w:val="24"/>
                <w:lang w:eastAsia="lv-LV"/>
              </w:rPr>
              <w:t>spēju</w:t>
            </w:r>
            <w:r w:rsidR="00C96E06">
              <w:rPr>
                <w:rFonts w:eastAsia="Times New Roman" w:cs="Times New Roman"/>
                <w:szCs w:val="24"/>
                <w:lang w:eastAsia="lv-LV"/>
              </w:rPr>
              <w:t xml:space="preserve"> ar trešo valstu ražotājiem.</w:t>
            </w:r>
          </w:p>
          <w:p w14:paraId="04F0F53C" w14:textId="77523C62" w:rsidR="00E65B72" w:rsidRPr="00E10206" w:rsidRDefault="00C96E06" w:rsidP="00C96E06">
            <w:pPr>
              <w:spacing w:after="0" w:line="240" w:lineRule="auto"/>
              <w:jc w:val="both"/>
              <w:rPr>
                <w:rFonts w:eastAsia="Times New Roman" w:cs="Times New Roman"/>
                <w:szCs w:val="24"/>
                <w:highlight w:val="magenta"/>
                <w:lang w:eastAsia="lv-LV"/>
              </w:rPr>
            </w:pPr>
            <w:r>
              <w:rPr>
                <w:rFonts w:eastAsia="Times New Roman" w:cs="Times New Roman"/>
                <w:szCs w:val="24"/>
                <w:lang w:eastAsia="lv-LV"/>
              </w:rPr>
              <w:t>Noteikumu projekts</w:t>
            </w:r>
            <w:r w:rsidR="00644ADF" w:rsidRPr="00B33325">
              <w:rPr>
                <w:rFonts w:eastAsia="Times New Roman" w:cs="Times New Roman"/>
                <w:szCs w:val="24"/>
                <w:lang w:eastAsia="lv-LV"/>
              </w:rPr>
              <w:t xml:space="preserve"> nerada </w:t>
            </w:r>
            <w:r w:rsidR="00644ADF" w:rsidRPr="00952F49">
              <w:rPr>
                <w:rFonts w:eastAsia="Times New Roman" w:cs="Times New Roman"/>
                <w:szCs w:val="24"/>
                <w:lang w:eastAsia="lv-LV"/>
              </w:rPr>
              <w:t xml:space="preserve">papildu </w:t>
            </w:r>
            <w:r w:rsidR="00644ADF" w:rsidRPr="00B33325">
              <w:rPr>
                <w:rFonts w:eastAsia="Times New Roman" w:cs="Times New Roman"/>
                <w:szCs w:val="24"/>
                <w:lang w:eastAsia="lv-LV"/>
              </w:rPr>
              <w:t>administratīvo slogu.</w:t>
            </w:r>
          </w:p>
        </w:tc>
      </w:tr>
      <w:tr w:rsidR="005D4AE6" w:rsidRPr="008028CD" w14:paraId="1E44658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3BD9F2E5" w14:textId="314A515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33480E96" w14:textId="40F1E2FF" w:rsidR="005D4AE6" w:rsidRPr="008028CD" w:rsidRDefault="005D4AE6" w:rsidP="005D4AE6">
            <w:pPr>
              <w:spacing w:after="0" w:line="240" w:lineRule="auto"/>
              <w:rPr>
                <w:rFonts w:eastAsia="Times New Roman" w:cs="Times New Roman"/>
                <w:szCs w:val="24"/>
                <w:lang w:eastAsia="lv-LV"/>
              </w:rPr>
            </w:pPr>
            <w:r w:rsidRPr="00ED4D92">
              <w:rPr>
                <w:rFonts w:eastAsia="Times New Roman" w:cs="Times New Roman"/>
                <w:szCs w:val="24"/>
                <w:lang w:eastAsia="lv-LV"/>
              </w:rPr>
              <w:t>Administratīvo izmaksu monetārs novērtējums</w:t>
            </w:r>
            <w:r w:rsidR="008F743B">
              <w:rPr>
                <w:rFonts w:eastAsia="Times New Roman" w:cs="Times New Roman"/>
                <w:szCs w:val="24"/>
                <w:lang w:eastAsia="lv-LV"/>
              </w:rPr>
              <w:t xml:space="preserve">   </w:t>
            </w:r>
            <w:r w:rsidR="00104DB3">
              <w:rPr>
                <w:rFonts w:eastAsia="Times New Roman" w:cs="Times New Roman"/>
                <w:szCs w:val="24"/>
                <w:lang w:eastAsia="lv-LV"/>
              </w:rPr>
              <w:t xml:space="preserve">  </w:t>
            </w:r>
            <w:r w:rsidR="00A7275A">
              <w:rPr>
                <w:rFonts w:eastAsia="Times New Roman" w:cs="Times New Roman"/>
                <w:szCs w:val="24"/>
                <w:lang w:eastAsia="lv-LV"/>
              </w:rPr>
              <w:t xml:space="preserve"> </w:t>
            </w:r>
            <w:r w:rsidR="00595E2D">
              <w:rPr>
                <w:rFonts w:eastAsia="Times New Roman" w:cs="Times New Roman"/>
                <w:szCs w:val="24"/>
                <w:lang w:eastAsia="lv-LV"/>
              </w:rPr>
              <w:t xml:space="preserve">  </w:t>
            </w:r>
          </w:p>
        </w:tc>
        <w:tc>
          <w:tcPr>
            <w:tcW w:w="3200" w:type="pct"/>
            <w:tcBorders>
              <w:top w:val="outset" w:sz="6" w:space="0" w:color="auto"/>
              <w:left w:val="outset" w:sz="6" w:space="0" w:color="auto"/>
              <w:bottom w:val="outset" w:sz="6" w:space="0" w:color="auto"/>
              <w:right w:val="outset" w:sz="6" w:space="0" w:color="auto"/>
            </w:tcBorders>
            <w:hideMark/>
          </w:tcPr>
          <w:p w14:paraId="6E6470B3" w14:textId="2B8EDCD6" w:rsidR="00E5040F" w:rsidRPr="008028CD" w:rsidRDefault="00644ADF" w:rsidP="00BC3246">
            <w:pPr>
              <w:spacing w:after="0" w:line="240" w:lineRule="auto"/>
              <w:jc w:val="both"/>
              <w:rPr>
                <w:rFonts w:eastAsia="Times New Roman" w:cs="Times New Roman"/>
                <w:szCs w:val="24"/>
                <w:lang w:eastAsia="lv-LV"/>
              </w:rPr>
            </w:pPr>
            <w:r w:rsidRPr="00B33325">
              <w:rPr>
                <w:rFonts w:eastAsia="Times New Roman" w:cs="Times New Roman"/>
                <w:szCs w:val="24"/>
                <w:lang w:eastAsia="lv-LV"/>
              </w:rPr>
              <w:t>Noteikumu projekts šo jomu neskar.</w:t>
            </w:r>
          </w:p>
        </w:tc>
      </w:tr>
      <w:tr w:rsidR="005D4AE6" w:rsidRPr="008028CD" w14:paraId="366F58F2" w14:textId="77777777" w:rsidTr="000B101E">
        <w:trPr>
          <w:trHeight w:val="319"/>
        </w:trPr>
        <w:tc>
          <w:tcPr>
            <w:tcW w:w="250" w:type="pct"/>
            <w:tcBorders>
              <w:top w:val="outset" w:sz="6" w:space="0" w:color="auto"/>
              <w:left w:val="outset" w:sz="6" w:space="0" w:color="auto"/>
              <w:bottom w:val="outset" w:sz="6" w:space="0" w:color="auto"/>
              <w:right w:val="outset" w:sz="6" w:space="0" w:color="auto"/>
            </w:tcBorders>
            <w:hideMark/>
          </w:tcPr>
          <w:p w14:paraId="40F8F36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299E385E"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5E53D59" w14:textId="77777777" w:rsidR="004629EC" w:rsidRPr="008028CD" w:rsidRDefault="004629EC" w:rsidP="00BC3246">
            <w:pPr>
              <w:spacing w:after="0" w:line="240" w:lineRule="auto"/>
              <w:jc w:val="both"/>
              <w:rPr>
                <w:rFonts w:eastAsia="Times New Roman" w:cs="Times New Roman"/>
                <w:szCs w:val="24"/>
                <w:lang w:eastAsia="lv-LV"/>
              </w:rPr>
            </w:pPr>
            <w:r w:rsidRPr="008028CD">
              <w:rPr>
                <w:rFonts w:eastAsia="Times New Roman" w:cs="Times New Roman"/>
                <w:szCs w:val="24"/>
                <w:lang w:eastAsia="lv-LV"/>
              </w:rPr>
              <w:t>Nav</w:t>
            </w:r>
          </w:p>
        </w:tc>
      </w:tr>
    </w:tbl>
    <w:p w14:paraId="68B41F0B" w14:textId="5898B3B6" w:rsidR="000B101E" w:rsidRPr="008028CD" w:rsidRDefault="000B101E">
      <w:pPr>
        <w:rPr>
          <w:rFonts w:cs="Times New Roman"/>
          <w:i/>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789"/>
        <w:gridCol w:w="5813"/>
      </w:tblGrid>
      <w:tr w:rsidR="005D4AE6" w:rsidRPr="008028CD" w14:paraId="25BA4984" w14:textId="77777777" w:rsidTr="005D4AE6">
        <w:trPr>
          <w:trHeight w:val="45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368D9"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IV. Tiesību akta projekta ietekme uz spēkā esošo tiesību normu sistēmu</w:t>
            </w:r>
          </w:p>
        </w:tc>
      </w:tr>
      <w:tr w:rsidR="005D4AE6" w:rsidRPr="008028CD" w14:paraId="288A0772" w14:textId="77777777" w:rsidTr="00F6017A">
        <w:trPr>
          <w:jc w:val="center"/>
        </w:trPr>
        <w:tc>
          <w:tcPr>
            <w:tcW w:w="250" w:type="pct"/>
            <w:tcBorders>
              <w:top w:val="outset" w:sz="6" w:space="0" w:color="auto"/>
              <w:left w:val="outset" w:sz="6" w:space="0" w:color="auto"/>
              <w:bottom w:val="outset" w:sz="6" w:space="0" w:color="auto"/>
              <w:right w:val="outset" w:sz="6" w:space="0" w:color="auto"/>
            </w:tcBorders>
            <w:hideMark/>
          </w:tcPr>
          <w:p w14:paraId="76A30A04"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1540" w:type="pct"/>
            <w:tcBorders>
              <w:top w:val="outset" w:sz="6" w:space="0" w:color="auto"/>
              <w:left w:val="outset" w:sz="6" w:space="0" w:color="auto"/>
              <w:bottom w:val="outset" w:sz="6" w:space="0" w:color="auto"/>
              <w:right w:val="outset" w:sz="6" w:space="0" w:color="auto"/>
            </w:tcBorders>
            <w:hideMark/>
          </w:tcPr>
          <w:p w14:paraId="67C43D14"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Nepieciešamie saistītie tiesību aktu projekti</w:t>
            </w:r>
          </w:p>
        </w:tc>
        <w:tc>
          <w:tcPr>
            <w:tcW w:w="3209" w:type="pct"/>
            <w:tcBorders>
              <w:top w:val="outset" w:sz="6" w:space="0" w:color="auto"/>
              <w:left w:val="outset" w:sz="6" w:space="0" w:color="auto"/>
              <w:bottom w:val="outset" w:sz="6" w:space="0" w:color="auto"/>
              <w:right w:val="outset" w:sz="6" w:space="0" w:color="auto"/>
            </w:tcBorders>
            <w:hideMark/>
          </w:tcPr>
          <w:p w14:paraId="6E680B65" w14:textId="1561622B" w:rsidR="005D4AE6" w:rsidRPr="008028CD" w:rsidRDefault="00D53915" w:rsidP="008028CD">
            <w:pPr>
              <w:spacing w:before="60" w:after="60" w:line="240" w:lineRule="auto"/>
              <w:ind w:left="107" w:right="84"/>
              <w:jc w:val="both"/>
              <w:rPr>
                <w:rFonts w:eastAsia="Times New Roman" w:cs="Times New Roman"/>
                <w:szCs w:val="24"/>
                <w:lang w:eastAsia="lv-LV"/>
              </w:rPr>
            </w:pPr>
            <w:r w:rsidRPr="008028CD">
              <w:rPr>
                <w:rFonts w:eastAsia="Times New Roman" w:cs="Times New Roman"/>
                <w:szCs w:val="24"/>
                <w:lang w:eastAsia="lv-LV"/>
              </w:rPr>
              <w:t>Nav</w:t>
            </w:r>
          </w:p>
        </w:tc>
      </w:tr>
      <w:tr w:rsidR="005D4AE6" w:rsidRPr="008028CD" w14:paraId="56ACC4CE" w14:textId="77777777" w:rsidTr="00F6017A">
        <w:trPr>
          <w:jc w:val="center"/>
        </w:trPr>
        <w:tc>
          <w:tcPr>
            <w:tcW w:w="250" w:type="pct"/>
            <w:tcBorders>
              <w:top w:val="outset" w:sz="6" w:space="0" w:color="auto"/>
              <w:left w:val="outset" w:sz="6" w:space="0" w:color="auto"/>
              <w:bottom w:val="outset" w:sz="6" w:space="0" w:color="auto"/>
              <w:right w:val="outset" w:sz="6" w:space="0" w:color="auto"/>
            </w:tcBorders>
            <w:hideMark/>
          </w:tcPr>
          <w:p w14:paraId="524C6DAA"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lastRenderedPageBreak/>
              <w:t>2.</w:t>
            </w:r>
          </w:p>
        </w:tc>
        <w:tc>
          <w:tcPr>
            <w:tcW w:w="1540" w:type="pct"/>
            <w:tcBorders>
              <w:top w:val="outset" w:sz="6" w:space="0" w:color="auto"/>
              <w:left w:val="outset" w:sz="6" w:space="0" w:color="auto"/>
              <w:bottom w:val="outset" w:sz="6" w:space="0" w:color="auto"/>
              <w:right w:val="outset" w:sz="6" w:space="0" w:color="auto"/>
            </w:tcBorders>
            <w:hideMark/>
          </w:tcPr>
          <w:p w14:paraId="5917F703"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Atbildīgā institūcija</w:t>
            </w:r>
          </w:p>
        </w:tc>
        <w:tc>
          <w:tcPr>
            <w:tcW w:w="3209" w:type="pct"/>
            <w:tcBorders>
              <w:top w:val="outset" w:sz="6" w:space="0" w:color="auto"/>
              <w:left w:val="outset" w:sz="6" w:space="0" w:color="auto"/>
              <w:bottom w:val="outset" w:sz="6" w:space="0" w:color="auto"/>
              <w:right w:val="outset" w:sz="6" w:space="0" w:color="auto"/>
            </w:tcBorders>
            <w:hideMark/>
          </w:tcPr>
          <w:p w14:paraId="076C0948" w14:textId="77777777" w:rsidR="005D4AE6" w:rsidRPr="008028CD" w:rsidRDefault="006664DE" w:rsidP="00BC3246">
            <w:pPr>
              <w:spacing w:after="0" w:line="240" w:lineRule="auto"/>
              <w:jc w:val="both"/>
              <w:rPr>
                <w:rFonts w:eastAsia="Times New Roman" w:cs="Times New Roman"/>
                <w:szCs w:val="24"/>
                <w:lang w:eastAsia="lv-LV"/>
              </w:rPr>
            </w:pPr>
            <w:r w:rsidRPr="008028CD">
              <w:rPr>
                <w:rFonts w:eastAsia="Times New Roman" w:cs="Times New Roman"/>
                <w:szCs w:val="24"/>
                <w:lang w:eastAsia="lv-LV"/>
              </w:rPr>
              <w:t>Finanšu ministrija</w:t>
            </w:r>
          </w:p>
        </w:tc>
      </w:tr>
      <w:tr w:rsidR="005D4AE6" w:rsidRPr="008028CD" w14:paraId="7B26C8A7" w14:textId="77777777" w:rsidTr="00F6017A">
        <w:trPr>
          <w:jc w:val="center"/>
        </w:trPr>
        <w:tc>
          <w:tcPr>
            <w:tcW w:w="250" w:type="pct"/>
            <w:tcBorders>
              <w:top w:val="outset" w:sz="6" w:space="0" w:color="auto"/>
              <w:left w:val="outset" w:sz="6" w:space="0" w:color="auto"/>
              <w:bottom w:val="outset" w:sz="6" w:space="0" w:color="auto"/>
              <w:right w:val="outset" w:sz="6" w:space="0" w:color="auto"/>
            </w:tcBorders>
            <w:hideMark/>
          </w:tcPr>
          <w:p w14:paraId="3D06EEC6"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1540" w:type="pct"/>
            <w:tcBorders>
              <w:top w:val="outset" w:sz="6" w:space="0" w:color="auto"/>
              <w:left w:val="outset" w:sz="6" w:space="0" w:color="auto"/>
              <w:bottom w:val="outset" w:sz="6" w:space="0" w:color="auto"/>
              <w:right w:val="outset" w:sz="6" w:space="0" w:color="auto"/>
            </w:tcBorders>
            <w:hideMark/>
          </w:tcPr>
          <w:p w14:paraId="4E02F6E6"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3209" w:type="pct"/>
            <w:tcBorders>
              <w:top w:val="outset" w:sz="6" w:space="0" w:color="auto"/>
              <w:left w:val="outset" w:sz="6" w:space="0" w:color="auto"/>
              <w:bottom w:val="outset" w:sz="6" w:space="0" w:color="auto"/>
              <w:right w:val="outset" w:sz="6" w:space="0" w:color="auto"/>
            </w:tcBorders>
            <w:hideMark/>
          </w:tcPr>
          <w:p w14:paraId="735A8C29" w14:textId="43A74BA2" w:rsidR="001E7767" w:rsidRDefault="001E7767" w:rsidP="001E7767">
            <w:pPr>
              <w:pStyle w:val="naiskr"/>
              <w:spacing w:before="60" w:after="60"/>
              <w:ind w:right="84"/>
              <w:jc w:val="both"/>
            </w:pPr>
            <w:r w:rsidRPr="00022942">
              <w:t>Saskaņā ar Ministru kabineta 2014.gada 30.septembra sēdes protokola Nr.51 59.§ “Informatīvais ziņojums “Par Satiksmes ministrijas izvirzītajiem priekšlikumiem Krievijas ekonomisko sankciju negatīvo seku mazināšanai tranzīta un loģistikas jomā</w:t>
            </w:r>
            <w:r w:rsidR="00A054A9">
              <w:t xml:space="preserve">, </w:t>
            </w:r>
            <w:r>
              <w:t>62.§ “Noteikumu projekts "Muitas procedūras-tranzīts-piemērošanas kārtība" 2.punktu</w:t>
            </w:r>
            <w:r w:rsidR="00A054A9">
              <w:t xml:space="preserve">, </w:t>
            </w:r>
            <w:r w:rsidRPr="00022942">
              <w:t>Ministru kabineta 2016.gada 5.janvāra sēdes protokola Nr.1 7.§ “Par Ministru kabineta 2014.gada 30.septembra sēdes protokollēmuma (prot. Nr.51 59.§) “Informatīvais ziņojums “Par Satiksmes ministrijas izvirzītajiem priekšlikumiem Krievijas ekonomisko sankciju negatīvo seku mazināšanai tranzīta un loģistikas jomā””” 2.punktā noteikto</w:t>
            </w:r>
            <w:r>
              <w:t>, kā arī saskaņā</w:t>
            </w:r>
            <w:r w:rsidR="00A054A9">
              <w:t xml:space="preserve"> ar</w:t>
            </w:r>
            <w:r>
              <w:t xml:space="preserve"> Eiropas Parlamenta un Padomes 2013.gada 9.oktobra regul</w:t>
            </w:r>
            <w:r w:rsidR="00A054A9">
              <w:t>u</w:t>
            </w:r>
            <w:r>
              <w:t xml:space="preserve"> Nr.952/2013 (ES)</w:t>
            </w:r>
            <w:r w:rsidR="00A054A9">
              <w:t>,</w:t>
            </w:r>
            <w:r>
              <w:t xml:space="preserve"> ar ko izveido Savienības Muitas kodeksu </w:t>
            </w:r>
            <w:r w:rsidRPr="00022942">
              <w:t xml:space="preserve"> tika sagatavots jauns Muitas likums.</w:t>
            </w:r>
          </w:p>
          <w:p w14:paraId="62C6AEA5" w14:textId="0643A429" w:rsidR="005D4AE6" w:rsidRPr="00E10206" w:rsidRDefault="00D53915" w:rsidP="001E7767">
            <w:pPr>
              <w:spacing w:before="60" w:after="60" w:line="240" w:lineRule="auto"/>
              <w:ind w:left="-19" w:right="84"/>
              <w:jc w:val="both"/>
              <w:rPr>
                <w:rFonts w:cs="Times New Roman"/>
                <w:i/>
                <w:szCs w:val="24"/>
              </w:rPr>
            </w:pPr>
            <w:r w:rsidRPr="00644ADF">
              <w:rPr>
                <w:rFonts w:cs="Times New Roman"/>
                <w:szCs w:val="24"/>
              </w:rPr>
              <w:t>Līdz ar Muitas likuma spēkā stāšanos zaudē spēku 2004.gada Muitas likums un uz tā pamata izdotie MK noteikumi Nr.</w:t>
            </w:r>
            <w:r w:rsidR="001E7767">
              <w:rPr>
                <w:rFonts w:cs="Times New Roman"/>
                <w:szCs w:val="24"/>
              </w:rPr>
              <w:t>810</w:t>
            </w:r>
            <w:r w:rsidRPr="00644ADF">
              <w:rPr>
                <w:rFonts w:cs="Times New Roman"/>
                <w:szCs w:val="24"/>
              </w:rPr>
              <w:t>. Līdz ar to jāizstrādā noteikumu projekts atbilstoši Muitas likumā not</w:t>
            </w:r>
            <w:r w:rsidR="00E10206" w:rsidRPr="00644ADF">
              <w:rPr>
                <w:rFonts w:cs="Times New Roman"/>
                <w:szCs w:val="24"/>
              </w:rPr>
              <w:t>e</w:t>
            </w:r>
            <w:r w:rsidRPr="00644ADF">
              <w:rPr>
                <w:rFonts w:cs="Times New Roman"/>
                <w:szCs w:val="24"/>
              </w:rPr>
              <w:t>iktajam pilnvarojumam.</w:t>
            </w:r>
          </w:p>
        </w:tc>
      </w:tr>
    </w:tbl>
    <w:p w14:paraId="19ECB145" w14:textId="77777777" w:rsidR="005D4AE6" w:rsidRPr="008028CD" w:rsidRDefault="005D4AE6" w:rsidP="005D4AE6">
      <w:pPr>
        <w:spacing w:after="0" w:line="240" w:lineRule="auto"/>
        <w:rPr>
          <w:rFonts w:eastAsia="Times New Roman" w:cs="Times New Roman"/>
          <w:vanish/>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789"/>
        <w:gridCol w:w="5813"/>
      </w:tblGrid>
      <w:tr w:rsidR="005D4AE6" w:rsidRPr="008028CD" w14:paraId="09F59957" w14:textId="77777777" w:rsidTr="00F6017A">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8596E9F"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V. Tiesību akta projekta atbilstība Latvijas Republikas starptautiskajām saistībām</w:t>
            </w:r>
          </w:p>
        </w:tc>
      </w:tr>
      <w:tr w:rsidR="005D4AE6" w:rsidRPr="008028CD" w14:paraId="07DBB465" w14:textId="77777777" w:rsidTr="00F6017A">
        <w:tc>
          <w:tcPr>
            <w:tcW w:w="250" w:type="pct"/>
            <w:tcBorders>
              <w:top w:val="outset" w:sz="6" w:space="0" w:color="auto"/>
              <w:left w:val="outset" w:sz="6" w:space="0" w:color="auto"/>
              <w:bottom w:val="outset" w:sz="6" w:space="0" w:color="auto"/>
              <w:right w:val="outset" w:sz="6" w:space="0" w:color="auto"/>
            </w:tcBorders>
            <w:hideMark/>
          </w:tcPr>
          <w:p w14:paraId="2E084E56"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1540" w:type="pct"/>
            <w:tcBorders>
              <w:top w:val="outset" w:sz="6" w:space="0" w:color="auto"/>
              <w:left w:val="outset" w:sz="6" w:space="0" w:color="auto"/>
              <w:bottom w:val="outset" w:sz="6" w:space="0" w:color="auto"/>
              <w:right w:val="outset" w:sz="6" w:space="0" w:color="auto"/>
            </w:tcBorders>
            <w:hideMark/>
          </w:tcPr>
          <w:p w14:paraId="0FB207C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Saistības pret Eiropas Savienību</w:t>
            </w:r>
          </w:p>
        </w:tc>
        <w:tc>
          <w:tcPr>
            <w:tcW w:w="3210" w:type="pct"/>
            <w:tcBorders>
              <w:top w:val="outset" w:sz="6" w:space="0" w:color="auto"/>
              <w:left w:val="outset" w:sz="6" w:space="0" w:color="auto"/>
              <w:bottom w:val="outset" w:sz="6" w:space="0" w:color="auto"/>
              <w:right w:val="outset" w:sz="6" w:space="0" w:color="auto"/>
            </w:tcBorders>
            <w:hideMark/>
          </w:tcPr>
          <w:p w14:paraId="3ADE93DF" w14:textId="3DF19467" w:rsidR="00B45851" w:rsidRPr="008028CD" w:rsidRDefault="003F6BAE" w:rsidP="0075067E">
            <w:pPr>
              <w:spacing w:after="0" w:line="240" w:lineRule="auto"/>
              <w:jc w:val="both"/>
              <w:rPr>
                <w:rFonts w:eastAsia="Times New Roman" w:cs="Times New Roman"/>
                <w:szCs w:val="24"/>
                <w:lang w:eastAsia="lv-LV"/>
              </w:rPr>
            </w:pPr>
            <w:r w:rsidRPr="00483320">
              <w:rPr>
                <w:iCs/>
                <w:color w:val="000000" w:themeColor="text1"/>
              </w:rPr>
              <w:t>Eiropas Komisijas 2011.gada paziņojums par autonomo tarifu atcelšanu un kvotām (2011/C 363/02)</w:t>
            </w:r>
          </w:p>
        </w:tc>
      </w:tr>
      <w:tr w:rsidR="005D4AE6" w:rsidRPr="008028CD" w14:paraId="38B039BE" w14:textId="77777777" w:rsidTr="00F6017A">
        <w:tc>
          <w:tcPr>
            <w:tcW w:w="250" w:type="pct"/>
            <w:tcBorders>
              <w:top w:val="outset" w:sz="6" w:space="0" w:color="auto"/>
              <w:left w:val="outset" w:sz="6" w:space="0" w:color="auto"/>
              <w:bottom w:val="outset" w:sz="6" w:space="0" w:color="auto"/>
              <w:right w:val="outset" w:sz="6" w:space="0" w:color="auto"/>
            </w:tcBorders>
            <w:hideMark/>
          </w:tcPr>
          <w:p w14:paraId="12A44D21"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2.</w:t>
            </w:r>
          </w:p>
        </w:tc>
        <w:tc>
          <w:tcPr>
            <w:tcW w:w="1540" w:type="pct"/>
            <w:tcBorders>
              <w:top w:val="outset" w:sz="6" w:space="0" w:color="auto"/>
              <w:left w:val="outset" w:sz="6" w:space="0" w:color="auto"/>
              <w:bottom w:val="outset" w:sz="6" w:space="0" w:color="auto"/>
              <w:right w:val="outset" w:sz="6" w:space="0" w:color="auto"/>
            </w:tcBorders>
            <w:hideMark/>
          </w:tcPr>
          <w:p w14:paraId="442F9493"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Citas starptautiskās saistības</w:t>
            </w:r>
          </w:p>
        </w:tc>
        <w:tc>
          <w:tcPr>
            <w:tcW w:w="3210" w:type="pct"/>
            <w:tcBorders>
              <w:top w:val="outset" w:sz="6" w:space="0" w:color="auto"/>
              <w:left w:val="outset" w:sz="6" w:space="0" w:color="auto"/>
              <w:bottom w:val="outset" w:sz="6" w:space="0" w:color="auto"/>
              <w:right w:val="outset" w:sz="6" w:space="0" w:color="auto"/>
            </w:tcBorders>
            <w:hideMark/>
          </w:tcPr>
          <w:p w14:paraId="70639DF8" w14:textId="77777777" w:rsidR="005D4AE6" w:rsidRPr="008028CD" w:rsidRDefault="0052177A" w:rsidP="005D4AE6">
            <w:pPr>
              <w:spacing w:after="0" w:line="240" w:lineRule="auto"/>
              <w:rPr>
                <w:rFonts w:eastAsia="Times New Roman" w:cs="Times New Roman"/>
                <w:szCs w:val="24"/>
                <w:lang w:eastAsia="lv-LV"/>
              </w:rPr>
            </w:pPr>
            <w:r w:rsidRPr="008028CD">
              <w:rPr>
                <w:rFonts w:eastAsia="Times New Roman" w:cs="Times New Roman"/>
                <w:szCs w:val="24"/>
                <w:lang w:eastAsia="lv-LV"/>
              </w:rPr>
              <w:t>Nav</w:t>
            </w:r>
          </w:p>
        </w:tc>
      </w:tr>
      <w:tr w:rsidR="005D4AE6" w:rsidRPr="008028CD" w14:paraId="39A66DAF" w14:textId="77777777" w:rsidTr="00F6017A">
        <w:tc>
          <w:tcPr>
            <w:tcW w:w="250" w:type="pct"/>
            <w:tcBorders>
              <w:top w:val="outset" w:sz="6" w:space="0" w:color="auto"/>
              <w:left w:val="outset" w:sz="6" w:space="0" w:color="auto"/>
              <w:bottom w:val="outset" w:sz="6" w:space="0" w:color="auto"/>
              <w:right w:val="outset" w:sz="6" w:space="0" w:color="auto"/>
            </w:tcBorders>
            <w:hideMark/>
          </w:tcPr>
          <w:p w14:paraId="5BA3F13C"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1540" w:type="pct"/>
            <w:tcBorders>
              <w:top w:val="outset" w:sz="6" w:space="0" w:color="auto"/>
              <w:left w:val="outset" w:sz="6" w:space="0" w:color="auto"/>
              <w:bottom w:val="outset" w:sz="6" w:space="0" w:color="auto"/>
              <w:right w:val="outset" w:sz="6" w:space="0" w:color="auto"/>
            </w:tcBorders>
            <w:hideMark/>
          </w:tcPr>
          <w:p w14:paraId="3B6A6204"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3210" w:type="pct"/>
            <w:tcBorders>
              <w:top w:val="outset" w:sz="6" w:space="0" w:color="auto"/>
              <w:left w:val="outset" w:sz="6" w:space="0" w:color="auto"/>
              <w:bottom w:val="outset" w:sz="6" w:space="0" w:color="auto"/>
              <w:right w:val="outset" w:sz="6" w:space="0" w:color="auto"/>
            </w:tcBorders>
            <w:hideMark/>
          </w:tcPr>
          <w:p w14:paraId="7B3EF769" w14:textId="77777777" w:rsidR="005D4AE6" w:rsidRPr="008028CD" w:rsidRDefault="0052177A"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Nav</w:t>
            </w:r>
          </w:p>
        </w:tc>
      </w:tr>
    </w:tbl>
    <w:p w14:paraId="40CA93D6" w14:textId="77777777" w:rsidR="005D4AE6" w:rsidRDefault="005D4AE6" w:rsidP="005D4AE6">
      <w:pPr>
        <w:spacing w:after="0" w:line="240" w:lineRule="auto"/>
        <w:jc w:val="center"/>
        <w:rPr>
          <w:rFonts w:eastAsia="Times New Roman" w:cs="Times New Roman"/>
          <w:szCs w:val="24"/>
          <w:lang w:eastAsia="lv-LV"/>
        </w:rPr>
      </w:pPr>
    </w:p>
    <w:tbl>
      <w:tblPr>
        <w:tblW w:w="500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34"/>
        <w:gridCol w:w="2299"/>
        <w:gridCol w:w="844"/>
        <w:gridCol w:w="1277"/>
        <w:gridCol w:w="2417"/>
      </w:tblGrid>
      <w:tr w:rsidR="001E7767" w:rsidRPr="00406BF0" w14:paraId="0DF2C209" w14:textId="77777777" w:rsidTr="001E7767">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FD79EC4" w14:textId="77777777" w:rsidR="001E7767" w:rsidRPr="00406BF0" w:rsidRDefault="001E7767" w:rsidP="001E7767">
            <w:pPr>
              <w:spacing w:before="100" w:beforeAutospacing="1" w:after="100" w:afterAutospacing="1" w:line="293" w:lineRule="atLeast"/>
              <w:jc w:val="center"/>
              <w:rPr>
                <w:rFonts w:eastAsia="Times New Roman" w:cs="Times New Roman"/>
                <w:b/>
                <w:bCs/>
                <w:color w:val="000000"/>
                <w:szCs w:val="24"/>
                <w:lang w:eastAsia="lv-LV"/>
              </w:rPr>
            </w:pPr>
            <w:r w:rsidRPr="00406BF0">
              <w:rPr>
                <w:rFonts w:eastAsia="Times New Roman" w:cs="Times New Roman"/>
                <w:color w:val="000000"/>
                <w:szCs w:val="24"/>
                <w:lang w:eastAsia="lv-LV"/>
              </w:rPr>
              <w:t> </w:t>
            </w:r>
            <w:r w:rsidRPr="00406BF0">
              <w:rPr>
                <w:rFonts w:eastAsia="Times New Roman" w:cs="Times New Roman"/>
                <w:b/>
                <w:bCs/>
                <w:color w:val="000000"/>
                <w:szCs w:val="24"/>
                <w:lang w:eastAsia="lv-LV"/>
              </w:rPr>
              <w:t>1.tabula</w:t>
            </w:r>
            <w:r w:rsidRPr="00406BF0">
              <w:rPr>
                <w:rFonts w:eastAsia="Times New Roman" w:cs="Times New Roman"/>
                <w:b/>
                <w:bCs/>
                <w:color w:val="000000"/>
                <w:szCs w:val="24"/>
                <w:lang w:eastAsia="lv-LV"/>
              </w:rPr>
              <w:br/>
              <w:t>Tiesību akta projekta atbilstība ES tiesību aktiem</w:t>
            </w:r>
          </w:p>
        </w:tc>
      </w:tr>
      <w:tr w:rsidR="001E7767" w:rsidRPr="00406BF0" w14:paraId="22FF114A"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350A9E6C"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Attiecīgā ES tiesību akta datums, numurs un nosaukums</w:t>
            </w:r>
          </w:p>
        </w:tc>
        <w:tc>
          <w:tcPr>
            <w:tcW w:w="3768" w:type="pct"/>
            <w:gridSpan w:val="4"/>
            <w:tcBorders>
              <w:top w:val="outset" w:sz="6" w:space="0" w:color="414142"/>
              <w:left w:val="outset" w:sz="6" w:space="0" w:color="414142"/>
              <w:bottom w:val="outset" w:sz="6" w:space="0" w:color="414142"/>
              <w:right w:val="outset" w:sz="6" w:space="0" w:color="414142"/>
            </w:tcBorders>
            <w:hideMark/>
          </w:tcPr>
          <w:p w14:paraId="736C7630" w14:textId="77777777" w:rsidR="001E7767" w:rsidRPr="00406BF0" w:rsidRDefault="001E7767" w:rsidP="001E7767">
            <w:pPr>
              <w:spacing w:after="0" w:line="240" w:lineRule="auto"/>
              <w:ind w:left="153" w:right="290"/>
              <w:jc w:val="both"/>
              <w:rPr>
                <w:rFonts w:eastAsia="Times New Roman" w:cs="Times New Roman"/>
                <w:color w:val="000000"/>
                <w:sz w:val="20"/>
                <w:szCs w:val="20"/>
                <w:lang w:eastAsia="lv-LV"/>
              </w:rPr>
            </w:pPr>
            <w:r w:rsidRPr="00406BF0">
              <w:rPr>
                <w:rFonts w:eastAsia="Times New Roman" w:cs="Times New Roman"/>
                <w:iCs/>
                <w:color w:val="000000"/>
                <w:szCs w:val="24"/>
                <w:lang w:eastAsia="lv-LV"/>
              </w:rPr>
              <w:t xml:space="preserve">Eiropas Komisijas 2011.gada paziņojums par autonomo tarifu atcelšanu un kvotām (2011/C 363/02) </w:t>
            </w:r>
          </w:p>
        </w:tc>
      </w:tr>
      <w:tr w:rsidR="001E7767" w:rsidRPr="00406BF0" w14:paraId="17DF5704"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vAlign w:val="center"/>
            <w:hideMark/>
          </w:tcPr>
          <w:p w14:paraId="2E47157B" w14:textId="77777777" w:rsidR="001E7767" w:rsidRPr="00406BF0" w:rsidRDefault="001E7767" w:rsidP="001E7767">
            <w:pPr>
              <w:spacing w:before="100" w:beforeAutospacing="1" w:after="100" w:afterAutospacing="1" w:line="293" w:lineRule="atLeast"/>
              <w:jc w:val="center"/>
              <w:rPr>
                <w:rFonts w:eastAsia="Times New Roman" w:cs="Times New Roman"/>
                <w:color w:val="000000"/>
                <w:szCs w:val="24"/>
                <w:lang w:eastAsia="lv-LV"/>
              </w:rPr>
            </w:pPr>
            <w:r w:rsidRPr="00406BF0">
              <w:rPr>
                <w:rFonts w:eastAsia="Times New Roman" w:cs="Times New Roman"/>
                <w:color w:val="000000"/>
                <w:szCs w:val="24"/>
                <w:lang w:eastAsia="lv-LV"/>
              </w:rPr>
              <w:t>A</w:t>
            </w:r>
          </w:p>
        </w:tc>
        <w:tc>
          <w:tcPr>
            <w:tcW w:w="1267" w:type="pct"/>
            <w:tcBorders>
              <w:top w:val="outset" w:sz="6" w:space="0" w:color="414142"/>
              <w:left w:val="outset" w:sz="6" w:space="0" w:color="414142"/>
              <w:bottom w:val="outset" w:sz="6" w:space="0" w:color="414142"/>
              <w:right w:val="outset" w:sz="6" w:space="0" w:color="414142"/>
            </w:tcBorders>
            <w:vAlign w:val="center"/>
            <w:hideMark/>
          </w:tcPr>
          <w:p w14:paraId="780FE21A" w14:textId="77777777" w:rsidR="001E7767" w:rsidRPr="00406BF0" w:rsidRDefault="001E7767" w:rsidP="001E7767">
            <w:pPr>
              <w:spacing w:before="100" w:beforeAutospacing="1" w:after="100" w:afterAutospacing="1" w:line="293" w:lineRule="atLeast"/>
              <w:jc w:val="center"/>
              <w:rPr>
                <w:rFonts w:eastAsia="Times New Roman" w:cs="Times New Roman"/>
                <w:color w:val="000000"/>
                <w:szCs w:val="24"/>
                <w:lang w:eastAsia="lv-LV"/>
              </w:rPr>
            </w:pPr>
            <w:r w:rsidRPr="00406BF0">
              <w:rPr>
                <w:rFonts w:eastAsia="Times New Roman" w:cs="Times New Roman"/>
                <w:color w:val="000000"/>
                <w:szCs w:val="24"/>
                <w:lang w:eastAsia="lv-LV"/>
              </w:rPr>
              <w:t>B</w:t>
            </w:r>
          </w:p>
        </w:tc>
        <w:tc>
          <w:tcPr>
            <w:tcW w:w="1169" w:type="pct"/>
            <w:gridSpan w:val="2"/>
            <w:tcBorders>
              <w:top w:val="outset" w:sz="6" w:space="0" w:color="414142"/>
              <w:left w:val="outset" w:sz="6" w:space="0" w:color="414142"/>
              <w:bottom w:val="outset" w:sz="6" w:space="0" w:color="414142"/>
              <w:right w:val="outset" w:sz="6" w:space="0" w:color="414142"/>
            </w:tcBorders>
            <w:vAlign w:val="center"/>
            <w:hideMark/>
          </w:tcPr>
          <w:p w14:paraId="1461F828" w14:textId="77777777" w:rsidR="001E7767" w:rsidRPr="00406BF0" w:rsidRDefault="001E7767" w:rsidP="001E7767">
            <w:pPr>
              <w:spacing w:before="100" w:beforeAutospacing="1" w:after="100" w:afterAutospacing="1" w:line="293" w:lineRule="atLeast"/>
              <w:jc w:val="center"/>
              <w:rPr>
                <w:rFonts w:eastAsia="Times New Roman" w:cs="Times New Roman"/>
                <w:color w:val="000000"/>
                <w:szCs w:val="24"/>
                <w:lang w:eastAsia="lv-LV"/>
              </w:rPr>
            </w:pPr>
            <w:r w:rsidRPr="00406BF0">
              <w:rPr>
                <w:rFonts w:eastAsia="Times New Roman" w:cs="Times New Roman"/>
                <w:color w:val="000000"/>
                <w:szCs w:val="24"/>
                <w:lang w:eastAsia="lv-LV"/>
              </w:rPr>
              <w:t>C</w:t>
            </w:r>
          </w:p>
        </w:tc>
        <w:tc>
          <w:tcPr>
            <w:tcW w:w="1332" w:type="pct"/>
            <w:tcBorders>
              <w:top w:val="outset" w:sz="6" w:space="0" w:color="414142"/>
              <w:left w:val="outset" w:sz="6" w:space="0" w:color="414142"/>
              <w:bottom w:val="outset" w:sz="6" w:space="0" w:color="414142"/>
              <w:right w:val="outset" w:sz="6" w:space="0" w:color="414142"/>
            </w:tcBorders>
            <w:vAlign w:val="center"/>
            <w:hideMark/>
          </w:tcPr>
          <w:p w14:paraId="0D79E1FD" w14:textId="77777777" w:rsidR="001E7767" w:rsidRPr="00406BF0" w:rsidRDefault="001E7767" w:rsidP="001E7767">
            <w:pPr>
              <w:spacing w:before="100" w:beforeAutospacing="1" w:after="100" w:afterAutospacing="1" w:line="293" w:lineRule="atLeast"/>
              <w:jc w:val="center"/>
              <w:rPr>
                <w:rFonts w:eastAsia="Times New Roman" w:cs="Times New Roman"/>
                <w:color w:val="000000"/>
                <w:szCs w:val="24"/>
                <w:lang w:eastAsia="lv-LV"/>
              </w:rPr>
            </w:pPr>
            <w:r w:rsidRPr="00406BF0">
              <w:rPr>
                <w:rFonts w:eastAsia="Times New Roman" w:cs="Times New Roman"/>
                <w:color w:val="000000"/>
                <w:szCs w:val="24"/>
                <w:lang w:eastAsia="lv-LV"/>
              </w:rPr>
              <w:t>D</w:t>
            </w:r>
          </w:p>
        </w:tc>
      </w:tr>
      <w:tr w:rsidR="001E7767" w:rsidRPr="001E7767" w14:paraId="261C9088"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6E19FF74"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Attiecīgā ES tiesību akta panta numurs (uzskaitot katru tiesību akta vienību – pantu, daļu, punktu, apakšpunktu)</w:t>
            </w:r>
          </w:p>
        </w:tc>
        <w:tc>
          <w:tcPr>
            <w:tcW w:w="1267" w:type="pct"/>
            <w:tcBorders>
              <w:top w:val="outset" w:sz="6" w:space="0" w:color="414142"/>
              <w:left w:val="outset" w:sz="6" w:space="0" w:color="414142"/>
              <w:bottom w:val="outset" w:sz="6" w:space="0" w:color="414142"/>
              <w:right w:val="outset" w:sz="6" w:space="0" w:color="414142"/>
            </w:tcBorders>
            <w:hideMark/>
          </w:tcPr>
          <w:p w14:paraId="7669FE85"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Projekta vienība, kas pārņem vai ievieš katru šīs tabulas A ailē minēto ES tiesību akta vienību, vai tiesību akts, kur attiecīgā ES tiesību akta vienība pārņemta vai ieviesta</w:t>
            </w:r>
          </w:p>
        </w:tc>
        <w:tc>
          <w:tcPr>
            <w:tcW w:w="1169" w:type="pct"/>
            <w:gridSpan w:val="2"/>
            <w:tcBorders>
              <w:top w:val="outset" w:sz="6" w:space="0" w:color="414142"/>
              <w:left w:val="outset" w:sz="6" w:space="0" w:color="414142"/>
              <w:bottom w:val="outset" w:sz="6" w:space="0" w:color="414142"/>
              <w:right w:val="outset" w:sz="6" w:space="0" w:color="414142"/>
            </w:tcBorders>
            <w:hideMark/>
          </w:tcPr>
          <w:p w14:paraId="5B563E68"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Informācija par to, vai šīs tabulas A ailē minētās ES tiesību akta vienības tiek pārņemtas vai ieviestas pilnībā vai daļēji.</w:t>
            </w:r>
          </w:p>
          <w:p w14:paraId="16A512FF"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 xml:space="preserve">Ja attiecīgā ES tiesību akta vienība tiek pārņemta vai ieviesta daļēji, sniedz attiecīgu skaidrojumu, kā arī precīzi norāda, kad </w:t>
            </w:r>
            <w:r w:rsidRPr="00406BF0">
              <w:rPr>
                <w:rFonts w:eastAsia="Times New Roman" w:cs="Times New Roman"/>
                <w:color w:val="000000"/>
                <w:szCs w:val="24"/>
                <w:lang w:eastAsia="lv-LV"/>
              </w:rPr>
              <w:lastRenderedPageBreak/>
              <w:t>un kādā veidā ES tiesību akta vienība tiks pārņemta vai ieviesta pilnībā.</w:t>
            </w:r>
          </w:p>
          <w:p w14:paraId="55D673BD"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Norāda institūciju, kas ir atbildīga par šo saistību izpildi pilnībā</w:t>
            </w:r>
          </w:p>
        </w:tc>
        <w:tc>
          <w:tcPr>
            <w:tcW w:w="1332" w:type="pct"/>
            <w:tcBorders>
              <w:top w:val="outset" w:sz="6" w:space="0" w:color="414142"/>
              <w:left w:val="outset" w:sz="6" w:space="0" w:color="414142"/>
              <w:bottom w:val="outset" w:sz="6" w:space="0" w:color="414142"/>
              <w:right w:val="outset" w:sz="6" w:space="0" w:color="414142"/>
            </w:tcBorders>
            <w:hideMark/>
          </w:tcPr>
          <w:p w14:paraId="1F22EEDB"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lastRenderedPageBreak/>
              <w:t>Informācija par to, vai šīs tabulas B ailē minētās projekta vienības paredz stingrākas prasības nekā šīs tabulas A ailē minētās ES tiesību akta vienības.</w:t>
            </w:r>
          </w:p>
          <w:p w14:paraId="1A320F31"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Ja projekts satur stingrākas prasības nekā attiecīgais ES tiesību akts, norāda pamatojumu un samērīgumu.</w:t>
            </w:r>
          </w:p>
          <w:p w14:paraId="0D7D9728"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1E7767" w:rsidRPr="001E7767" w14:paraId="417A4076"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30E17152"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lastRenderedPageBreak/>
              <w:t>Komisijas  paziņojuma 3.daļas 3.5.punkta otrā atkāpe</w:t>
            </w:r>
          </w:p>
        </w:tc>
        <w:tc>
          <w:tcPr>
            <w:tcW w:w="1267" w:type="pct"/>
            <w:tcBorders>
              <w:top w:val="outset" w:sz="6" w:space="0" w:color="414142"/>
              <w:left w:val="outset" w:sz="6" w:space="0" w:color="414142"/>
              <w:bottom w:val="outset" w:sz="6" w:space="0" w:color="414142"/>
              <w:right w:val="outset" w:sz="6" w:space="0" w:color="414142"/>
            </w:tcBorders>
          </w:tcPr>
          <w:p w14:paraId="53C52E4E" w14:textId="70A2C42C" w:rsidR="001E7767" w:rsidRPr="00406BF0" w:rsidRDefault="00406BF0" w:rsidP="001E7767">
            <w:pPr>
              <w:spacing w:after="0" w:line="240" w:lineRule="auto"/>
              <w:ind w:firstLine="142"/>
              <w:rPr>
                <w:rFonts w:eastAsia="Times New Roman" w:cs="Times New Roman"/>
                <w:color w:val="000000"/>
                <w:szCs w:val="24"/>
                <w:lang w:eastAsia="lv-LV"/>
              </w:rPr>
            </w:pPr>
            <w:r w:rsidRPr="00406BF0">
              <w:rPr>
                <w:rFonts w:eastAsia="Times New Roman" w:cs="Times New Roman"/>
                <w:color w:val="000000"/>
                <w:szCs w:val="24"/>
                <w:lang w:eastAsia="lv-LV"/>
              </w:rPr>
              <w:t>Noteikumu projekta 2</w:t>
            </w:r>
            <w:r w:rsidR="001E7767" w:rsidRPr="00406BF0">
              <w:rPr>
                <w:rFonts w:eastAsia="Times New Roman" w:cs="Times New Roman"/>
                <w:color w:val="000000"/>
                <w:szCs w:val="24"/>
                <w:lang w:eastAsia="lv-LV"/>
              </w:rPr>
              <w:t>.punkts</w:t>
            </w:r>
            <w:r w:rsidR="00F570F0">
              <w:rPr>
                <w:rFonts w:eastAsia="Times New Roman" w:cs="Times New Roman"/>
                <w:color w:val="000000"/>
                <w:szCs w:val="24"/>
                <w:lang w:eastAsia="lv-LV"/>
              </w:rPr>
              <w:t xml:space="preserve"> un 3.punkts</w:t>
            </w:r>
          </w:p>
        </w:tc>
        <w:tc>
          <w:tcPr>
            <w:tcW w:w="1169" w:type="pct"/>
            <w:gridSpan w:val="2"/>
            <w:tcBorders>
              <w:top w:val="outset" w:sz="6" w:space="0" w:color="414142"/>
              <w:left w:val="outset" w:sz="6" w:space="0" w:color="414142"/>
              <w:bottom w:val="outset" w:sz="6" w:space="0" w:color="414142"/>
              <w:right w:val="outset" w:sz="6" w:space="0" w:color="414142"/>
            </w:tcBorders>
          </w:tcPr>
          <w:p w14:paraId="4E8E462B" w14:textId="77777777" w:rsidR="001E7767" w:rsidRPr="00406BF0" w:rsidRDefault="001E7767" w:rsidP="001E7767">
            <w:pPr>
              <w:spacing w:after="0" w:line="240" w:lineRule="auto"/>
              <w:ind w:firstLine="112"/>
              <w:rPr>
                <w:rFonts w:eastAsia="Times New Roman" w:cs="Times New Roman"/>
                <w:color w:val="000000"/>
                <w:szCs w:val="24"/>
                <w:lang w:eastAsia="lv-LV"/>
              </w:rPr>
            </w:pPr>
            <w:r w:rsidRPr="00406BF0">
              <w:rPr>
                <w:rFonts w:eastAsia="Times New Roman" w:cs="Times New Roman"/>
                <w:color w:val="000000"/>
                <w:szCs w:val="24"/>
                <w:lang w:eastAsia="lv-LV"/>
              </w:rPr>
              <w:t>Tiek ieviests pilnībā</w:t>
            </w:r>
          </w:p>
        </w:tc>
        <w:tc>
          <w:tcPr>
            <w:tcW w:w="1332" w:type="pct"/>
            <w:tcBorders>
              <w:top w:val="outset" w:sz="6" w:space="0" w:color="414142"/>
              <w:left w:val="outset" w:sz="6" w:space="0" w:color="414142"/>
              <w:bottom w:val="outset" w:sz="6" w:space="0" w:color="414142"/>
              <w:right w:val="outset" w:sz="6" w:space="0" w:color="414142"/>
            </w:tcBorders>
          </w:tcPr>
          <w:p w14:paraId="4326C5AC"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 xml:space="preserve">Nacionālais tiesību akts neparedz stingrākas prasības </w:t>
            </w:r>
          </w:p>
        </w:tc>
      </w:tr>
      <w:tr w:rsidR="001E7767" w:rsidRPr="001E7767" w14:paraId="3B53E88D"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tcPr>
          <w:p w14:paraId="0A07B4B4"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 xml:space="preserve">Komisijas paziņojuma 4.daļas 4.1.punkta </w:t>
            </w:r>
          </w:p>
          <w:p w14:paraId="64AC1BF4"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4.1.4.apakšpunkts</w:t>
            </w:r>
          </w:p>
        </w:tc>
        <w:tc>
          <w:tcPr>
            <w:tcW w:w="1267" w:type="pct"/>
            <w:tcBorders>
              <w:top w:val="outset" w:sz="6" w:space="0" w:color="414142"/>
              <w:left w:val="outset" w:sz="6" w:space="0" w:color="414142"/>
              <w:bottom w:val="outset" w:sz="6" w:space="0" w:color="414142"/>
              <w:right w:val="outset" w:sz="6" w:space="0" w:color="414142"/>
            </w:tcBorders>
          </w:tcPr>
          <w:p w14:paraId="39B9532E" w14:textId="6D8FBE0F" w:rsidR="001E7767" w:rsidRPr="00406BF0" w:rsidRDefault="00406BF0" w:rsidP="00412479">
            <w:pPr>
              <w:spacing w:after="0" w:line="240" w:lineRule="auto"/>
              <w:ind w:firstLine="142"/>
              <w:rPr>
                <w:rFonts w:eastAsia="Times New Roman" w:cs="Times New Roman"/>
                <w:color w:val="000000"/>
                <w:szCs w:val="24"/>
                <w:lang w:eastAsia="lv-LV"/>
              </w:rPr>
            </w:pPr>
            <w:r w:rsidRPr="00406BF0">
              <w:rPr>
                <w:rFonts w:eastAsia="Times New Roman" w:cs="Times New Roman"/>
                <w:color w:val="000000"/>
                <w:szCs w:val="24"/>
                <w:lang w:eastAsia="lv-LV"/>
              </w:rPr>
              <w:t xml:space="preserve">Noteikumu projekta </w:t>
            </w:r>
            <w:r w:rsidR="00412479">
              <w:rPr>
                <w:rFonts w:eastAsia="Times New Roman" w:cs="Times New Roman"/>
                <w:color w:val="000000"/>
                <w:szCs w:val="24"/>
                <w:lang w:eastAsia="lv-LV"/>
              </w:rPr>
              <w:t>4</w:t>
            </w:r>
            <w:r w:rsidR="001E7767" w:rsidRPr="00406BF0">
              <w:rPr>
                <w:rFonts w:eastAsia="Times New Roman" w:cs="Times New Roman"/>
                <w:color w:val="000000"/>
                <w:szCs w:val="24"/>
                <w:lang w:eastAsia="lv-LV"/>
              </w:rPr>
              <w:t>.punkts</w:t>
            </w:r>
          </w:p>
        </w:tc>
        <w:tc>
          <w:tcPr>
            <w:tcW w:w="1169" w:type="pct"/>
            <w:gridSpan w:val="2"/>
            <w:tcBorders>
              <w:top w:val="outset" w:sz="6" w:space="0" w:color="414142"/>
              <w:left w:val="outset" w:sz="6" w:space="0" w:color="414142"/>
              <w:bottom w:val="outset" w:sz="6" w:space="0" w:color="414142"/>
              <w:right w:val="outset" w:sz="6" w:space="0" w:color="414142"/>
            </w:tcBorders>
          </w:tcPr>
          <w:p w14:paraId="15B8E900" w14:textId="77777777" w:rsidR="001E7767" w:rsidRPr="00406BF0" w:rsidRDefault="001E7767" w:rsidP="001E7767">
            <w:pPr>
              <w:spacing w:after="0" w:line="240" w:lineRule="auto"/>
              <w:ind w:firstLine="112"/>
              <w:rPr>
                <w:rFonts w:eastAsia="Times New Roman" w:cs="Times New Roman"/>
                <w:color w:val="000000"/>
                <w:szCs w:val="24"/>
                <w:lang w:eastAsia="lv-LV"/>
              </w:rPr>
            </w:pPr>
            <w:r w:rsidRPr="00406BF0">
              <w:rPr>
                <w:rFonts w:eastAsia="Times New Roman" w:cs="Times New Roman"/>
                <w:color w:val="000000"/>
                <w:szCs w:val="24"/>
                <w:lang w:eastAsia="lv-LV"/>
              </w:rPr>
              <w:t>Tiek ieviests pilnībā</w:t>
            </w:r>
          </w:p>
        </w:tc>
        <w:tc>
          <w:tcPr>
            <w:tcW w:w="1332" w:type="pct"/>
            <w:tcBorders>
              <w:top w:val="outset" w:sz="6" w:space="0" w:color="414142"/>
              <w:left w:val="outset" w:sz="6" w:space="0" w:color="414142"/>
              <w:bottom w:val="outset" w:sz="6" w:space="0" w:color="414142"/>
              <w:right w:val="outset" w:sz="6" w:space="0" w:color="414142"/>
            </w:tcBorders>
          </w:tcPr>
          <w:p w14:paraId="71CF5DF1"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 xml:space="preserve">Nacionālais tiesību akts neparedz stingrākas prasības </w:t>
            </w:r>
          </w:p>
        </w:tc>
      </w:tr>
      <w:tr w:rsidR="001E7767" w:rsidRPr="001E7767" w14:paraId="231EA7B5"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tcPr>
          <w:p w14:paraId="1D0D48C2"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Komisijas paziņojuma I pielikums</w:t>
            </w:r>
          </w:p>
        </w:tc>
        <w:tc>
          <w:tcPr>
            <w:tcW w:w="1267" w:type="pct"/>
            <w:tcBorders>
              <w:top w:val="outset" w:sz="6" w:space="0" w:color="414142"/>
              <w:left w:val="outset" w:sz="6" w:space="0" w:color="414142"/>
              <w:bottom w:val="outset" w:sz="6" w:space="0" w:color="414142"/>
              <w:right w:val="outset" w:sz="6" w:space="0" w:color="414142"/>
            </w:tcBorders>
          </w:tcPr>
          <w:p w14:paraId="21AD04A8" w14:textId="77777777" w:rsidR="001E7767" w:rsidRPr="00406BF0" w:rsidRDefault="001E7767" w:rsidP="001E7767">
            <w:pPr>
              <w:spacing w:after="0" w:line="240" w:lineRule="auto"/>
              <w:ind w:firstLine="142"/>
              <w:rPr>
                <w:rFonts w:eastAsia="Times New Roman" w:cs="Times New Roman"/>
                <w:color w:val="000000"/>
                <w:szCs w:val="24"/>
                <w:lang w:eastAsia="lv-LV"/>
              </w:rPr>
            </w:pPr>
            <w:r w:rsidRPr="00406BF0">
              <w:rPr>
                <w:rFonts w:eastAsia="Times New Roman" w:cs="Times New Roman"/>
                <w:color w:val="000000"/>
                <w:szCs w:val="24"/>
                <w:lang w:eastAsia="lv-LV"/>
              </w:rPr>
              <w:t xml:space="preserve">Noteikumu projekta </w:t>
            </w:r>
          </w:p>
          <w:p w14:paraId="05987421" w14:textId="25E49250" w:rsidR="001E7767" w:rsidRPr="00406BF0" w:rsidRDefault="00406BF0"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1.pielikums</w:t>
            </w:r>
          </w:p>
        </w:tc>
        <w:tc>
          <w:tcPr>
            <w:tcW w:w="1169" w:type="pct"/>
            <w:gridSpan w:val="2"/>
            <w:tcBorders>
              <w:top w:val="outset" w:sz="6" w:space="0" w:color="414142"/>
              <w:left w:val="outset" w:sz="6" w:space="0" w:color="414142"/>
              <w:bottom w:val="outset" w:sz="6" w:space="0" w:color="414142"/>
              <w:right w:val="outset" w:sz="6" w:space="0" w:color="414142"/>
            </w:tcBorders>
          </w:tcPr>
          <w:p w14:paraId="44ABDA53" w14:textId="77777777" w:rsidR="001E7767" w:rsidRPr="00406BF0" w:rsidRDefault="001E7767" w:rsidP="001E7767">
            <w:pPr>
              <w:spacing w:after="0" w:line="240" w:lineRule="auto"/>
              <w:ind w:firstLine="112"/>
              <w:rPr>
                <w:rFonts w:eastAsia="Times New Roman" w:cs="Times New Roman"/>
                <w:color w:val="000000"/>
                <w:szCs w:val="24"/>
                <w:lang w:eastAsia="lv-LV"/>
              </w:rPr>
            </w:pPr>
            <w:r w:rsidRPr="00406BF0">
              <w:rPr>
                <w:rFonts w:eastAsia="Times New Roman" w:cs="Times New Roman"/>
                <w:color w:val="000000"/>
                <w:szCs w:val="24"/>
                <w:lang w:eastAsia="lv-LV"/>
              </w:rPr>
              <w:t>Tiek ieviests daļēji</w:t>
            </w:r>
          </w:p>
        </w:tc>
        <w:tc>
          <w:tcPr>
            <w:tcW w:w="1332" w:type="pct"/>
            <w:tcBorders>
              <w:top w:val="outset" w:sz="6" w:space="0" w:color="414142"/>
              <w:left w:val="outset" w:sz="6" w:space="0" w:color="414142"/>
              <w:bottom w:val="outset" w:sz="6" w:space="0" w:color="414142"/>
              <w:right w:val="outset" w:sz="6" w:space="0" w:color="414142"/>
            </w:tcBorders>
          </w:tcPr>
          <w:p w14:paraId="0FE36ECF" w14:textId="005D3BA8" w:rsidR="001E7767" w:rsidRPr="00406BF0" w:rsidRDefault="001E7767" w:rsidP="00406BF0">
            <w:pPr>
              <w:spacing w:after="0" w:line="240" w:lineRule="auto"/>
              <w:rPr>
                <w:rFonts w:eastAsia="Times New Roman" w:cs="Times New Roman"/>
                <w:color w:val="000000"/>
                <w:szCs w:val="24"/>
                <w:lang w:eastAsia="lv-LV"/>
              </w:rPr>
            </w:pPr>
            <w:r w:rsidRPr="00406BF0">
              <w:rPr>
                <w:rFonts w:eastAsia="Times New Roman" w:cs="Times New Roman"/>
                <w:szCs w:val="24"/>
                <w:lang w:eastAsia="lv-LV"/>
              </w:rPr>
              <w:t xml:space="preserve">Noteikumu projekta </w:t>
            </w:r>
            <w:r w:rsidR="00406BF0" w:rsidRPr="00406BF0">
              <w:rPr>
                <w:rFonts w:eastAsia="Times New Roman" w:cs="Times New Roman"/>
                <w:szCs w:val="24"/>
                <w:lang w:eastAsia="lv-LV"/>
              </w:rPr>
              <w:t>1.pielikumā</w:t>
            </w:r>
            <w:r w:rsidRPr="00406BF0">
              <w:rPr>
                <w:rFonts w:eastAsia="Times New Roman" w:cs="Times New Roman"/>
                <w:szCs w:val="24"/>
                <w:lang w:eastAsia="lv-LV"/>
              </w:rPr>
              <w:t xml:space="preserve"> komersantiem netiek pieprasīts sniegt informāciju, ko iestāde atbilstoši </w:t>
            </w:r>
            <w:r w:rsidRPr="007B2E1C">
              <w:rPr>
                <w:rFonts w:eastAsia="Times New Roman" w:cs="Times New Roman"/>
                <w:szCs w:val="24"/>
                <w:lang w:eastAsia="lv-LV"/>
              </w:rPr>
              <w:t>Valsts pārvaldes iekārtas likuma 10.panta astotajai daļai</w:t>
            </w:r>
            <w:r w:rsidRPr="00406BF0">
              <w:rPr>
                <w:rFonts w:eastAsia="Times New Roman" w:cs="Times New Roman"/>
                <w:szCs w:val="24"/>
                <w:lang w:eastAsia="lv-LV"/>
              </w:rPr>
              <w:t xml:space="preserve"> var iegūt pati.</w:t>
            </w:r>
          </w:p>
        </w:tc>
      </w:tr>
      <w:tr w:rsidR="001E7767" w:rsidRPr="001E7767" w14:paraId="6D15D8C6"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tcPr>
          <w:p w14:paraId="6A14A08B"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Komisijas paziņojuma II pielikums</w:t>
            </w:r>
          </w:p>
        </w:tc>
        <w:tc>
          <w:tcPr>
            <w:tcW w:w="1267" w:type="pct"/>
            <w:tcBorders>
              <w:top w:val="outset" w:sz="6" w:space="0" w:color="414142"/>
              <w:left w:val="outset" w:sz="6" w:space="0" w:color="414142"/>
              <w:bottom w:val="outset" w:sz="6" w:space="0" w:color="414142"/>
              <w:right w:val="outset" w:sz="6" w:space="0" w:color="414142"/>
            </w:tcBorders>
          </w:tcPr>
          <w:p w14:paraId="345FF3E0" w14:textId="77777777" w:rsidR="001E7767" w:rsidRPr="00406BF0" w:rsidRDefault="001E7767" w:rsidP="001E7767">
            <w:pPr>
              <w:spacing w:after="0" w:line="240" w:lineRule="auto"/>
              <w:ind w:firstLine="142"/>
              <w:rPr>
                <w:rFonts w:eastAsia="Times New Roman" w:cs="Times New Roman"/>
                <w:color w:val="000000"/>
                <w:szCs w:val="24"/>
                <w:lang w:eastAsia="lv-LV"/>
              </w:rPr>
            </w:pPr>
            <w:r w:rsidRPr="00406BF0">
              <w:rPr>
                <w:rFonts w:eastAsia="Times New Roman" w:cs="Times New Roman"/>
                <w:color w:val="000000"/>
                <w:szCs w:val="24"/>
                <w:lang w:eastAsia="lv-LV"/>
              </w:rPr>
              <w:t xml:space="preserve">Noteikumu projekta </w:t>
            </w:r>
          </w:p>
          <w:p w14:paraId="601BAA1F" w14:textId="194313F8" w:rsidR="001E7767" w:rsidRPr="00406BF0" w:rsidRDefault="00412479" w:rsidP="001E7767">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2.pielikums</w:t>
            </w:r>
          </w:p>
        </w:tc>
        <w:tc>
          <w:tcPr>
            <w:tcW w:w="1169" w:type="pct"/>
            <w:gridSpan w:val="2"/>
            <w:tcBorders>
              <w:top w:val="outset" w:sz="6" w:space="0" w:color="414142"/>
              <w:left w:val="outset" w:sz="6" w:space="0" w:color="414142"/>
              <w:bottom w:val="outset" w:sz="6" w:space="0" w:color="414142"/>
              <w:right w:val="outset" w:sz="6" w:space="0" w:color="414142"/>
            </w:tcBorders>
          </w:tcPr>
          <w:p w14:paraId="205A479F" w14:textId="77777777" w:rsidR="001E7767" w:rsidRPr="00406BF0" w:rsidRDefault="001E7767" w:rsidP="001E7767">
            <w:pPr>
              <w:spacing w:after="0" w:line="240" w:lineRule="auto"/>
              <w:ind w:firstLine="112"/>
              <w:rPr>
                <w:rFonts w:eastAsia="Times New Roman" w:cs="Times New Roman"/>
                <w:color w:val="000000"/>
                <w:szCs w:val="24"/>
                <w:lang w:eastAsia="lv-LV"/>
              </w:rPr>
            </w:pPr>
            <w:r w:rsidRPr="00406BF0">
              <w:rPr>
                <w:rFonts w:eastAsia="Times New Roman" w:cs="Times New Roman"/>
                <w:color w:val="000000"/>
                <w:szCs w:val="24"/>
                <w:lang w:eastAsia="lv-LV"/>
              </w:rPr>
              <w:t>Tiek ieviests pilnībā</w:t>
            </w:r>
          </w:p>
        </w:tc>
        <w:tc>
          <w:tcPr>
            <w:tcW w:w="1332" w:type="pct"/>
            <w:tcBorders>
              <w:top w:val="outset" w:sz="6" w:space="0" w:color="414142"/>
              <w:left w:val="outset" w:sz="6" w:space="0" w:color="414142"/>
              <w:bottom w:val="outset" w:sz="6" w:space="0" w:color="414142"/>
              <w:right w:val="outset" w:sz="6" w:space="0" w:color="414142"/>
            </w:tcBorders>
          </w:tcPr>
          <w:p w14:paraId="427A68DE"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Nacionālais tiesību akts neparedz stingrākas prasības</w:t>
            </w:r>
          </w:p>
        </w:tc>
      </w:tr>
      <w:tr w:rsidR="001E7767" w:rsidRPr="001E7767" w14:paraId="0744E5D6"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tcPr>
          <w:p w14:paraId="7A2A12BF" w14:textId="77777777"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Komisijas paziņojuma III pielikums</w:t>
            </w:r>
          </w:p>
        </w:tc>
        <w:tc>
          <w:tcPr>
            <w:tcW w:w="1267" w:type="pct"/>
            <w:tcBorders>
              <w:top w:val="outset" w:sz="6" w:space="0" w:color="414142"/>
              <w:left w:val="outset" w:sz="6" w:space="0" w:color="414142"/>
              <w:bottom w:val="outset" w:sz="6" w:space="0" w:color="414142"/>
              <w:right w:val="outset" w:sz="6" w:space="0" w:color="414142"/>
            </w:tcBorders>
          </w:tcPr>
          <w:p w14:paraId="3B1E1C1A" w14:textId="200A97EE" w:rsidR="001E7767" w:rsidRPr="00406BF0" w:rsidRDefault="00412479" w:rsidP="00412479">
            <w:pPr>
              <w:spacing w:after="0" w:line="240" w:lineRule="auto"/>
              <w:ind w:firstLine="142"/>
              <w:rPr>
                <w:rFonts w:eastAsia="Times New Roman" w:cs="Times New Roman"/>
                <w:color w:val="000000"/>
                <w:szCs w:val="24"/>
                <w:lang w:eastAsia="lv-LV"/>
              </w:rPr>
            </w:pPr>
            <w:r>
              <w:rPr>
                <w:rFonts w:eastAsia="Times New Roman" w:cs="Times New Roman"/>
                <w:color w:val="000000"/>
                <w:szCs w:val="24"/>
                <w:lang w:eastAsia="lv-LV"/>
              </w:rPr>
              <w:t>Noteikumu projekta 6</w:t>
            </w:r>
            <w:r w:rsidR="001E7767" w:rsidRPr="00406BF0">
              <w:rPr>
                <w:rFonts w:eastAsia="Times New Roman" w:cs="Times New Roman"/>
                <w:color w:val="000000"/>
                <w:szCs w:val="24"/>
                <w:lang w:eastAsia="lv-LV"/>
              </w:rPr>
              <w:t xml:space="preserve">.punkts un </w:t>
            </w:r>
            <w:r>
              <w:rPr>
                <w:rFonts w:eastAsia="Times New Roman" w:cs="Times New Roman"/>
                <w:color w:val="000000"/>
                <w:szCs w:val="24"/>
                <w:lang w:eastAsia="lv-LV"/>
              </w:rPr>
              <w:t>3</w:t>
            </w:r>
            <w:r w:rsidR="00406BF0" w:rsidRPr="00406BF0">
              <w:rPr>
                <w:rFonts w:eastAsia="Times New Roman" w:cs="Times New Roman"/>
                <w:color w:val="000000"/>
                <w:szCs w:val="24"/>
                <w:lang w:eastAsia="lv-LV"/>
              </w:rPr>
              <w:t>.pielikums</w:t>
            </w:r>
          </w:p>
        </w:tc>
        <w:tc>
          <w:tcPr>
            <w:tcW w:w="1169" w:type="pct"/>
            <w:gridSpan w:val="2"/>
            <w:tcBorders>
              <w:top w:val="outset" w:sz="6" w:space="0" w:color="414142"/>
              <w:left w:val="outset" w:sz="6" w:space="0" w:color="414142"/>
              <w:bottom w:val="outset" w:sz="6" w:space="0" w:color="414142"/>
              <w:right w:val="outset" w:sz="6" w:space="0" w:color="414142"/>
            </w:tcBorders>
          </w:tcPr>
          <w:p w14:paraId="0D28EEE2" w14:textId="2BB118DD" w:rsidR="001E7767" w:rsidRPr="00406BF0" w:rsidRDefault="001E7767" w:rsidP="007B2E1C">
            <w:pPr>
              <w:spacing w:after="0" w:line="240" w:lineRule="auto"/>
              <w:ind w:firstLine="112"/>
              <w:rPr>
                <w:rFonts w:eastAsia="Times New Roman" w:cs="Times New Roman"/>
                <w:color w:val="000000"/>
                <w:szCs w:val="24"/>
                <w:lang w:eastAsia="lv-LV"/>
              </w:rPr>
            </w:pPr>
            <w:r w:rsidRPr="00406BF0">
              <w:rPr>
                <w:rFonts w:eastAsia="Times New Roman" w:cs="Times New Roman"/>
                <w:color w:val="000000"/>
                <w:szCs w:val="24"/>
                <w:lang w:eastAsia="lv-LV"/>
              </w:rPr>
              <w:t xml:space="preserve">Tiek ieviests </w:t>
            </w:r>
            <w:r w:rsidR="007B2E1C">
              <w:rPr>
                <w:rFonts w:eastAsia="Times New Roman" w:cs="Times New Roman"/>
                <w:color w:val="000000"/>
                <w:szCs w:val="24"/>
                <w:lang w:eastAsia="lv-LV"/>
              </w:rPr>
              <w:t>daļēji</w:t>
            </w:r>
          </w:p>
        </w:tc>
        <w:tc>
          <w:tcPr>
            <w:tcW w:w="1332" w:type="pct"/>
            <w:tcBorders>
              <w:top w:val="outset" w:sz="6" w:space="0" w:color="414142"/>
              <w:left w:val="outset" w:sz="6" w:space="0" w:color="414142"/>
              <w:bottom w:val="outset" w:sz="6" w:space="0" w:color="414142"/>
              <w:right w:val="outset" w:sz="6" w:space="0" w:color="414142"/>
            </w:tcBorders>
          </w:tcPr>
          <w:p w14:paraId="76611AFB" w14:textId="605DBE8B" w:rsidR="001E7767" w:rsidRPr="00406BF0" w:rsidRDefault="001E7767" w:rsidP="001E7767">
            <w:pPr>
              <w:spacing w:after="0" w:line="240" w:lineRule="auto"/>
              <w:rPr>
                <w:rFonts w:eastAsia="Times New Roman" w:cs="Times New Roman"/>
                <w:color w:val="000000"/>
                <w:szCs w:val="24"/>
                <w:lang w:eastAsia="lv-LV"/>
              </w:rPr>
            </w:pPr>
            <w:r w:rsidRPr="00406BF0">
              <w:rPr>
                <w:rFonts w:eastAsia="Times New Roman" w:cs="Times New Roman"/>
                <w:color w:val="000000"/>
                <w:szCs w:val="24"/>
                <w:lang w:eastAsia="lv-LV"/>
              </w:rPr>
              <w:t>Nacionālais tiesību akts neparedz stingrākas prasības</w:t>
            </w:r>
            <w:r w:rsidR="00406BF0" w:rsidRPr="00406BF0">
              <w:rPr>
                <w:rFonts w:eastAsia="Times New Roman" w:cs="Times New Roman"/>
                <w:color w:val="000000"/>
                <w:szCs w:val="24"/>
                <w:lang w:eastAsia="lv-LV"/>
              </w:rPr>
              <w:t>.</w:t>
            </w:r>
          </w:p>
          <w:p w14:paraId="065508F2" w14:textId="4D3F36A4" w:rsidR="001E7767" w:rsidRPr="00406BF0" w:rsidRDefault="001E7767" w:rsidP="00406BF0">
            <w:pPr>
              <w:spacing w:after="0" w:line="240" w:lineRule="auto"/>
              <w:rPr>
                <w:rFonts w:eastAsia="Times New Roman" w:cs="Times New Roman"/>
                <w:color w:val="000000"/>
                <w:szCs w:val="24"/>
                <w:lang w:eastAsia="lv-LV"/>
              </w:rPr>
            </w:pPr>
            <w:r w:rsidRPr="00406BF0">
              <w:rPr>
                <w:rFonts w:eastAsia="Times New Roman" w:cs="Times New Roman"/>
                <w:szCs w:val="24"/>
                <w:lang w:eastAsia="lv-LV"/>
              </w:rPr>
              <w:t xml:space="preserve">Noteikumu projekta </w:t>
            </w:r>
            <w:r w:rsidR="00412479">
              <w:rPr>
                <w:rFonts w:eastAsia="Times New Roman" w:cs="Times New Roman"/>
                <w:szCs w:val="24"/>
                <w:lang w:eastAsia="lv-LV"/>
              </w:rPr>
              <w:t>3</w:t>
            </w:r>
            <w:r w:rsidR="00406BF0" w:rsidRPr="00406BF0">
              <w:rPr>
                <w:rFonts w:eastAsia="Times New Roman" w:cs="Times New Roman"/>
                <w:szCs w:val="24"/>
                <w:lang w:eastAsia="lv-LV"/>
              </w:rPr>
              <w:t>.pielikumā</w:t>
            </w:r>
            <w:r w:rsidRPr="00406BF0">
              <w:rPr>
                <w:rFonts w:eastAsia="Times New Roman" w:cs="Times New Roman"/>
                <w:szCs w:val="24"/>
                <w:lang w:eastAsia="lv-LV"/>
              </w:rPr>
              <w:t xml:space="preserve"> komersantiem netiek pieprasīts sniegt informāciju, ko iestāde </w:t>
            </w:r>
            <w:r w:rsidRPr="007B2E1C">
              <w:rPr>
                <w:rFonts w:eastAsia="Times New Roman" w:cs="Times New Roman"/>
                <w:szCs w:val="24"/>
                <w:lang w:eastAsia="lv-LV"/>
              </w:rPr>
              <w:t>atbilstoši Valsts pārvaldes iekārtas likuma 10.panta astotajai daļai</w:t>
            </w:r>
            <w:r w:rsidRPr="00406BF0">
              <w:rPr>
                <w:rFonts w:eastAsia="Times New Roman" w:cs="Times New Roman"/>
                <w:szCs w:val="24"/>
                <w:lang w:eastAsia="lv-LV"/>
              </w:rPr>
              <w:t xml:space="preserve"> var iegūt pati.</w:t>
            </w:r>
          </w:p>
        </w:tc>
      </w:tr>
      <w:tr w:rsidR="001E7767" w:rsidRPr="001E7767" w14:paraId="26C5186E"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tcPr>
          <w:p w14:paraId="793205E0"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Komisijas paziņojuma IV pielikums</w:t>
            </w:r>
          </w:p>
        </w:tc>
        <w:tc>
          <w:tcPr>
            <w:tcW w:w="1267" w:type="pct"/>
            <w:tcBorders>
              <w:top w:val="outset" w:sz="6" w:space="0" w:color="414142"/>
              <w:left w:val="outset" w:sz="6" w:space="0" w:color="414142"/>
              <w:bottom w:val="outset" w:sz="6" w:space="0" w:color="414142"/>
              <w:right w:val="outset" w:sz="6" w:space="0" w:color="414142"/>
            </w:tcBorders>
          </w:tcPr>
          <w:p w14:paraId="0F1858FD" w14:textId="1FA7D77F" w:rsidR="001E7767" w:rsidRPr="00283D21" w:rsidRDefault="001E7767" w:rsidP="00283D21">
            <w:pPr>
              <w:spacing w:after="0" w:line="240" w:lineRule="auto"/>
              <w:ind w:firstLine="142"/>
              <w:rPr>
                <w:rFonts w:eastAsia="Times New Roman" w:cs="Times New Roman"/>
                <w:color w:val="000000"/>
                <w:szCs w:val="24"/>
                <w:lang w:eastAsia="lv-LV"/>
              </w:rPr>
            </w:pPr>
            <w:r w:rsidRPr="00283D21">
              <w:rPr>
                <w:rFonts w:eastAsia="Times New Roman" w:cs="Times New Roman"/>
                <w:color w:val="000000"/>
                <w:szCs w:val="24"/>
                <w:lang w:eastAsia="lv-LV"/>
              </w:rPr>
              <w:t xml:space="preserve">Noteikumu projekta </w:t>
            </w:r>
            <w:r w:rsidR="00283D21" w:rsidRPr="00283D21">
              <w:rPr>
                <w:rFonts w:eastAsia="Times New Roman" w:cs="Times New Roman"/>
                <w:color w:val="000000"/>
                <w:szCs w:val="24"/>
                <w:lang w:eastAsia="lv-LV"/>
              </w:rPr>
              <w:t>4.pielikums</w:t>
            </w:r>
          </w:p>
        </w:tc>
        <w:tc>
          <w:tcPr>
            <w:tcW w:w="1169" w:type="pct"/>
            <w:gridSpan w:val="2"/>
            <w:tcBorders>
              <w:top w:val="outset" w:sz="6" w:space="0" w:color="414142"/>
              <w:left w:val="outset" w:sz="6" w:space="0" w:color="414142"/>
              <w:bottom w:val="outset" w:sz="6" w:space="0" w:color="414142"/>
              <w:right w:val="outset" w:sz="6" w:space="0" w:color="414142"/>
            </w:tcBorders>
          </w:tcPr>
          <w:p w14:paraId="341AAA11" w14:textId="77777777" w:rsidR="001E7767" w:rsidRPr="00283D21" w:rsidRDefault="001E7767" w:rsidP="001E7767">
            <w:pPr>
              <w:spacing w:after="0" w:line="240" w:lineRule="auto"/>
              <w:ind w:firstLine="112"/>
              <w:rPr>
                <w:rFonts w:eastAsia="Times New Roman" w:cs="Times New Roman"/>
                <w:color w:val="000000"/>
                <w:szCs w:val="24"/>
                <w:lang w:eastAsia="lv-LV"/>
              </w:rPr>
            </w:pPr>
            <w:r w:rsidRPr="00283D21">
              <w:rPr>
                <w:rFonts w:eastAsia="Times New Roman" w:cs="Times New Roman"/>
                <w:color w:val="000000"/>
                <w:szCs w:val="24"/>
                <w:lang w:eastAsia="lv-LV"/>
              </w:rPr>
              <w:t>Tiek ieviests daļēji</w:t>
            </w:r>
          </w:p>
        </w:tc>
        <w:tc>
          <w:tcPr>
            <w:tcW w:w="1332" w:type="pct"/>
            <w:tcBorders>
              <w:top w:val="outset" w:sz="6" w:space="0" w:color="414142"/>
              <w:left w:val="outset" w:sz="6" w:space="0" w:color="414142"/>
              <w:bottom w:val="outset" w:sz="6" w:space="0" w:color="414142"/>
              <w:right w:val="outset" w:sz="6" w:space="0" w:color="414142"/>
            </w:tcBorders>
          </w:tcPr>
          <w:p w14:paraId="7DFB24F0" w14:textId="4517E518" w:rsidR="001E7767" w:rsidRPr="00283D21" w:rsidRDefault="001E7767" w:rsidP="00C96E06">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 xml:space="preserve">Noteikumu projekta </w:t>
            </w:r>
            <w:r w:rsidR="00283D21" w:rsidRPr="00283D21">
              <w:rPr>
                <w:rFonts w:eastAsia="Times New Roman" w:cs="Times New Roman"/>
                <w:szCs w:val="24"/>
                <w:lang w:eastAsia="lv-LV"/>
              </w:rPr>
              <w:t>4.pielikumā</w:t>
            </w:r>
            <w:r w:rsidRPr="00283D21">
              <w:rPr>
                <w:rFonts w:eastAsia="Times New Roman" w:cs="Times New Roman"/>
                <w:color w:val="000000"/>
                <w:szCs w:val="24"/>
                <w:lang w:eastAsia="lv-LV"/>
              </w:rPr>
              <w:t xml:space="preserve"> komersantiem netiek pieprasīts sniegt informāciju attiecībā uz preču (t.sk. līdzvērtīgu vai </w:t>
            </w:r>
            <w:proofErr w:type="spellStart"/>
            <w:r w:rsidRPr="00283D21">
              <w:rPr>
                <w:rFonts w:eastAsia="Times New Roman" w:cs="Times New Roman"/>
                <w:color w:val="000000"/>
                <w:szCs w:val="24"/>
                <w:lang w:eastAsia="lv-LV"/>
              </w:rPr>
              <w:lastRenderedPageBreak/>
              <w:t>aizvietotājizstrādājum</w:t>
            </w:r>
            <w:r w:rsidR="00C96E06">
              <w:rPr>
                <w:rFonts w:eastAsia="Times New Roman" w:cs="Times New Roman"/>
                <w:color w:val="000000"/>
                <w:szCs w:val="24"/>
                <w:lang w:eastAsia="lv-LV"/>
              </w:rPr>
              <w:t>u</w:t>
            </w:r>
            <w:proofErr w:type="spellEnd"/>
            <w:r w:rsidRPr="00283D21">
              <w:rPr>
                <w:rFonts w:eastAsia="Times New Roman" w:cs="Times New Roman"/>
                <w:color w:val="000000"/>
                <w:szCs w:val="24"/>
                <w:lang w:eastAsia="lv-LV"/>
              </w:rPr>
              <w:t>) ražotājiem Turcijā, jo no Komisijas paziņojuma 2.8 punkta “Muitas Savienība ar Turciju” trešās atkāpes izriet, ka tarifu kvotas, kuras pamatotas ar Turcijas pieprasījumiem, piemēros tikai Turcijā.</w:t>
            </w:r>
          </w:p>
        </w:tc>
      </w:tr>
      <w:tr w:rsidR="001E7767" w:rsidRPr="001E7767" w14:paraId="543F41AC"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tcPr>
          <w:p w14:paraId="7246F692"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lastRenderedPageBreak/>
              <w:t>Komisijas  paziņojuma V pielikums</w:t>
            </w:r>
          </w:p>
        </w:tc>
        <w:tc>
          <w:tcPr>
            <w:tcW w:w="1267" w:type="pct"/>
            <w:tcBorders>
              <w:top w:val="outset" w:sz="6" w:space="0" w:color="414142"/>
              <w:left w:val="outset" w:sz="6" w:space="0" w:color="414142"/>
              <w:bottom w:val="outset" w:sz="6" w:space="0" w:color="414142"/>
              <w:right w:val="outset" w:sz="6" w:space="0" w:color="414142"/>
            </w:tcBorders>
          </w:tcPr>
          <w:p w14:paraId="276E2B3D" w14:textId="68B99C11" w:rsidR="001E7767" w:rsidRPr="00283D21" w:rsidRDefault="00F570F0" w:rsidP="00F570F0">
            <w:pPr>
              <w:spacing w:after="0" w:line="240" w:lineRule="auto"/>
              <w:ind w:firstLine="142"/>
              <w:rPr>
                <w:rFonts w:eastAsia="Times New Roman" w:cs="Times New Roman"/>
                <w:color w:val="000000"/>
                <w:szCs w:val="24"/>
                <w:lang w:eastAsia="lv-LV"/>
              </w:rPr>
            </w:pPr>
            <w:r>
              <w:rPr>
                <w:rFonts w:eastAsia="Times New Roman" w:cs="Times New Roman"/>
                <w:color w:val="000000"/>
                <w:szCs w:val="24"/>
                <w:lang w:eastAsia="lv-LV"/>
              </w:rPr>
              <w:t>Noteikumu projekta 7</w:t>
            </w:r>
            <w:r w:rsidR="00283D21" w:rsidRPr="00283D21">
              <w:rPr>
                <w:rFonts w:eastAsia="Times New Roman" w:cs="Times New Roman"/>
                <w:color w:val="000000"/>
                <w:szCs w:val="24"/>
                <w:lang w:eastAsia="lv-LV"/>
              </w:rPr>
              <w:t>.punkts</w:t>
            </w:r>
            <w:r>
              <w:rPr>
                <w:rFonts w:eastAsia="Times New Roman" w:cs="Times New Roman"/>
                <w:color w:val="000000"/>
                <w:szCs w:val="24"/>
                <w:lang w:eastAsia="lv-LV"/>
              </w:rPr>
              <w:t xml:space="preserve"> un 11</w:t>
            </w:r>
            <w:r w:rsidR="00412479">
              <w:rPr>
                <w:rFonts w:eastAsia="Times New Roman" w:cs="Times New Roman"/>
                <w:color w:val="000000"/>
                <w:szCs w:val="24"/>
                <w:lang w:eastAsia="lv-LV"/>
              </w:rPr>
              <w:t>.punkts</w:t>
            </w:r>
            <w:r w:rsidR="00283D21" w:rsidRPr="00283D21">
              <w:rPr>
                <w:rFonts w:eastAsia="Times New Roman" w:cs="Times New Roman"/>
                <w:color w:val="000000"/>
                <w:szCs w:val="24"/>
                <w:lang w:eastAsia="lv-LV"/>
              </w:rPr>
              <w:t xml:space="preserve"> </w:t>
            </w:r>
          </w:p>
        </w:tc>
        <w:tc>
          <w:tcPr>
            <w:tcW w:w="1169" w:type="pct"/>
            <w:gridSpan w:val="2"/>
            <w:tcBorders>
              <w:top w:val="outset" w:sz="6" w:space="0" w:color="414142"/>
              <w:left w:val="outset" w:sz="6" w:space="0" w:color="414142"/>
              <w:bottom w:val="outset" w:sz="6" w:space="0" w:color="414142"/>
              <w:right w:val="outset" w:sz="6" w:space="0" w:color="414142"/>
            </w:tcBorders>
          </w:tcPr>
          <w:p w14:paraId="487D81BA" w14:textId="77777777" w:rsidR="001E7767" w:rsidRPr="00283D21" w:rsidRDefault="001E7767" w:rsidP="001E7767">
            <w:pPr>
              <w:spacing w:after="0" w:line="240" w:lineRule="auto"/>
              <w:ind w:firstLine="112"/>
              <w:rPr>
                <w:rFonts w:eastAsia="Times New Roman" w:cs="Times New Roman"/>
                <w:color w:val="000000"/>
                <w:szCs w:val="24"/>
                <w:lang w:eastAsia="lv-LV"/>
              </w:rPr>
            </w:pPr>
            <w:r w:rsidRPr="00283D21">
              <w:rPr>
                <w:rFonts w:eastAsia="Times New Roman" w:cs="Times New Roman"/>
                <w:color w:val="000000"/>
                <w:szCs w:val="24"/>
                <w:lang w:eastAsia="lv-LV"/>
              </w:rPr>
              <w:t>Tiek ieviests pilnībā</w:t>
            </w:r>
          </w:p>
        </w:tc>
        <w:tc>
          <w:tcPr>
            <w:tcW w:w="1332" w:type="pct"/>
            <w:tcBorders>
              <w:top w:val="outset" w:sz="6" w:space="0" w:color="414142"/>
              <w:left w:val="outset" w:sz="6" w:space="0" w:color="414142"/>
              <w:bottom w:val="outset" w:sz="6" w:space="0" w:color="414142"/>
              <w:right w:val="outset" w:sz="6" w:space="0" w:color="414142"/>
            </w:tcBorders>
          </w:tcPr>
          <w:p w14:paraId="11E689C0"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Nacionālais tiesību akts neparedz stingrākas prasības</w:t>
            </w:r>
          </w:p>
        </w:tc>
      </w:tr>
      <w:tr w:rsidR="001E7767" w:rsidRPr="001E7767" w14:paraId="7D8B2C0F"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19C742CC"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Kā ir izmantota ES tiesību aktā paredzētā rīcības brīvība dalībvalstij pārņemt vai ieviest noteiktas ES tiesību akta normas?</w:t>
            </w:r>
            <w:r w:rsidRPr="00283D21">
              <w:rPr>
                <w:rFonts w:eastAsia="Times New Roman" w:cs="Times New Roman"/>
                <w:color w:val="000000"/>
                <w:szCs w:val="24"/>
                <w:lang w:eastAsia="lv-LV"/>
              </w:rPr>
              <w:br/>
              <w:t>Kādēļ?</w:t>
            </w:r>
          </w:p>
        </w:tc>
        <w:tc>
          <w:tcPr>
            <w:tcW w:w="3768" w:type="pct"/>
            <w:gridSpan w:val="4"/>
            <w:tcBorders>
              <w:top w:val="outset" w:sz="6" w:space="0" w:color="414142"/>
              <w:left w:val="outset" w:sz="6" w:space="0" w:color="414142"/>
              <w:bottom w:val="outset" w:sz="6" w:space="0" w:color="414142"/>
              <w:right w:val="outset" w:sz="6" w:space="0" w:color="414142"/>
            </w:tcBorders>
          </w:tcPr>
          <w:p w14:paraId="0C5A4163" w14:textId="77777777" w:rsidR="001E7767" w:rsidRPr="00283D21" w:rsidRDefault="001E7767" w:rsidP="001E7767">
            <w:pPr>
              <w:spacing w:after="0" w:line="240" w:lineRule="auto"/>
              <w:ind w:firstLine="142"/>
              <w:rPr>
                <w:rFonts w:eastAsia="Times New Roman" w:cs="Times New Roman"/>
                <w:color w:val="000000"/>
                <w:szCs w:val="24"/>
                <w:lang w:eastAsia="lv-LV"/>
              </w:rPr>
            </w:pPr>
            <w:r w:rsidRPr="00283D21">
              <w:rPr>
                <w:rFonts w:eastAsia="Times New Roman" w:cs="Times New Roman"/>
                <w:color w:val="000000"/>
                <w:szCs w:val="24"/>
                <w:lang w:eastAsia="lv-LV"/>
              </w:rPr>
              <w:t>Nav attiecināms</w:t>
            </w:r>
          </w:p>
        </w:tc>
      </w:tr>
      <w:tr w:rsidR="001E7767" w:rsidRPr="00283D21" w14:paraId="726EA2E2"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5F262506"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8" w:type="pct"/>
            <w:gridSpan w:val="4"/>
            <w:tcBorders>
              <w:top w:val="outset" w:sz="6" w:space="0" w:color="414142"/>
              <w:left w:val="outset" w:sz="6" w:space="0" w:color="414142"/>
              <w:bottom w:val="outset" w:sz="6" w:space="0" w:color="414142"/>
              <w:right w:val="outset" w:sz="6" w:space="0" w:color="414142"/>
            </w:tcBorders>
          </w:tcPr>
          <w:p w14:paraId="55672E78" w14:textId="77777777" w:rsidR="001E7767" w:rsidRPr="00283D21" w:rsidRDefault="001E7767" w:rsidP="001E7767">
            <w:pPr>
              <w:spacing w:after="0" w:line="240" w:lineRule="auto"/>
              <w:ind w:firstLine="142"/>
              <w:rPr>
                <w:rFonts w:eastAsia="Times New Roman" w:cs="Times New Roman"/>
                <w:color w:val="000000"/>
                <w:szCs w:val="24"/>
                <w:lang w:eastAsia="lv-LV"/>
              </w:rPr>
            </w:pPr>
            <w:r w:rsidRPr="00283D21">
              <w:rPr>
                <w:rFonts w:eastAsia="Times New Roman" w:cs="Times New Roman"/>
                <w:color w:val="000000"/>
                <w:szCs w:val="24"/>
                <w:lang w:eastAsia="lv-LV"/>
              </w:rPr>
              <w:t>Nav attiecināms</w:t>
            </w:r>
          </w:p>
        </w:tc>
      </w:tr>
      <w:tr w:rsidR="001E7767" w:rsidRPr="00283D21" w14:paraId="18129C1C"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196BAA85"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Cita informācija</w:t>
            </w:r>
          </w:p>
        </w:tc>
        <w:tc>
          <w:tcPr>
            <w:tcW w:w="3768" w:type="pct"/>
            <w:gridSpan w:val="4"/>
            <w:tcBorders>
              <w:top w:val="outset" w:sz="6" w:space="0" w:color="414142"/>
              <w:left w:val="outset" w:sz="6" w:space="0" w:color="414142"/>
              <w:bottom w:val="outset" w:sz="6" w:space="0" w:color="414142"/>
              <w:right w:val="outset" w:sz="6" w:space="0" w:color="414142"/>
            </w:tcBorders>
            <w:hideMark/>
          </w:tcPr>
          <w:p w14:paraId="527971E1" w14:textId="77777777" w:rsidR="001E7767" w:rsidRPr="00283D21" w:rsidRDefault="001E7767" w:rsidP="001E7767">
            <w:pPr>
              <w:spacing w:before="100" w:beforeAutospacing="1" w:after="100" w:afterAutospacing="1" w:line="240" w:lineRule="auto"/>
              <w:ind w:firstLine="142"/>
              <w:rPr>
                <w:rFonts w:eastAsia="Times New Roman" w:cs="Times New Roman"/>
                <w:color w:val="000000"/>
                <w:szCs w:val="24"/>
                <w:lang w:eastAsia="lv-LV"/>
              </w:rPr>
            </w:pPr>
            <w:r w:rsidRPr="00283D21">
              <w:rPr>
                <w:rFonts w:eastAsia="Times New Roman" w:cs="Times New Roman"/>
                <w:color w:val="000000"/>
                <w:szCs w:val="24"/>
                <w:lang w:eastAsia="lv-LV"/>
              </w:rPr>
              <w:t>Nav</w:t>
            </w:r>
          </w:p>
        </w:tc>
      </w:tr>
      <w:tr w:rsidR="001E7767" w:rsidRPr="001E7767" w14:paraId="78DEACAF" w14:textId="77777777" w:rsidTr="001E7767">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CFB89B5" w14:textId="77777777" w:rsidR="001E7767" w:rsidRPr="00283D21" w:rsidRDefault="001E7767" w:rsidP="001E7767">
            <w:pPr>
              <w:spacing w:before="100" w:beforeAutospacing="1" w:after="100" w:afterAutospacing="1" w:line="293" w:lineRule="atLeast"/>
              <w:jc w:val="center"/>
              <w:rPr>
                <w:rFonts w:eastAsia="Times New Roman" w:cs="Times New Roman"/>
                <w:b/>
                <w:bCs/>
                <w:color w:val="000000"/>
                <w:szCs w:val="24"/>
                <w:lang w:eastAsia="lv-LV"/>
              </w:rPr>
            </w:pPr>
            <w:r w:rsidRPr="00283D21">
              <w:rPr>
                <w:rFonts w:eastAsia="Times New Roman" w:cs="Times New Roman"/>
                <w:b/>
                <w:bCs/>
                <w:color w:val="000000"/>
                <w:szCs w:val="24"/>
                <w:lang w:eastAsia="lv-LV"/>
              </w:rPr>
              <w:t>2.tabula</w:t>
            </w:r>
            <w:r w:rsidRPr="00283D21">
              <w:rPr>
                <w:rFonts w:eastAsia="Times New Roman" w:cs="Times New Roman"/>
                <w:b/>
                <w:bCs/>
                <w:color w:val="000000"/>
                <w:szCs w:val="24"/>
                <w:lang w:eastAsia="lv-LV"/>
              </w:rPr>
              <w:br/>
              <w:t>Ar tiesību akta projektu izpildītās vai uzņemtās saistības, kas izriet no starptautiskajiem tiesību aktiem vai starptautiskas institūcijas vai organizācijas dokumentiem.</w:t>
            </w:r>
            <w:r w:rsidRPr="00283D21">
              <w:rPr>
                <w:rFonts w:eastAsia="Times New Roman" w:cs="Times New Roman"/>
                <w:b/>
                <w:bCs/>
                <w:color w:val="000000"/>
                <w:szCs w:val="24"/>
                <w:lang w:eastAsia="lv-LV"/>
              </w:rPr>
              <w:br/>
              <w:t>Pasākumi šo saistību izpildei</w:t>
            </w:r>
          </w:p>
        </w:tc>
      </w:tr>
      <w:tr w:rsidR="001E7767" w:rsidRPr="00283D21" w14:paraId="5A79B3FA"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vAlign w:val="center"/>
            <w:hideMark/>
          </w:tcPr>
          <w:p w14:paraId="11939DCD"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 xml:space="preserve">Attiecīgā starptautiskā tiesību akta vai starptautiskas institūcijas vai organizācijas dokumenta (turpmāk – starptautiskais </w:t>
            </w:r>
            <w:r w:rsidRPr="00283D21">
              <w:rPr>
                <w:rFonts w:eastAsia="Times New Roman" w:cs="Times New Roman"/>
                <w:color w:val="000000"/>
                <w:szCs w:val="24"/>
                <w:lang w:eastAsia="lv-LV"/>
              </w:rPr>
              <w:lastRenderedPageBreak/>
              <w:t>dokuments) datums, numurs un nosaukums</w:t>
            </w:r>
          </w:p>
        </w:tc>
        <w:tc>
          <w:tcPr>
            <w:tcW w:w="3768" w:type="pct"/>
            <w:gridSpan w:val="4"/>
            <w:tcBorders>
              <w:top w:val="outset" w:sz="6" w:space="0" w:color="414142"/>
              <w:left w:val="outset" w:sz="6" w:space="0" w:color="414142"/>
              <w:bottom w:val="outset" w:sz="6" w:space="0" w:color="414142"/>
              <w:right w:val="outset" w:sz="6" w:space="0" w:color="414142"/>
            </w:tcBorders>
            <w:hideMark/>
          </w:tcPr>
          <w:p w14:paraId="67198E6C" w14:textId="77777777" w:rsidR="001E7767" w:rsidRPr="00283D21" w:rsidRDefault="001E7767" w:rsidP="001E7767">
            <w:pPr>
              <w:spacing w:after="0" w:line="240" w:lineRule="auto"/>
              <w:ind w:firstLine="425"/>
              <w:rPr>
                <w:rFonts w:eastAsia="Times New Roman" w:cs="Times New Roman"/>
                <w:color w:val="FF0000"/>
                <w:sz w:val="20"/>
                <w:szCs w:val="20"/>
                <w:lang w:eastAsia="lv-LV"/>
              </w:rPr>
            </w:pPr>
            <w:r w:rsidRPr="00283D21">
              <w:rPr>
                <w:rFonts w:eastAsia="Times New Roman" w:cs="Times New Roman"/>
                <w:color w:val="000000"/>
                <w:szCs w:val="24"/>
                <w:lang w:eastAsia="lv-LV"/>
              </w:rPr>
              <w:lastRenderedPageBreak/>
              <w:t>Nav attiecināms</w:t>
            </w:r>
          </w:p>
        </w:tc>
      </w:tr>
      <w:tr w:rsidR="001E7767" w:rsidRPr="00283D21" w14:paraId="59CA8A28"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vAlign w:val="center"/>
            <w:hideMark/>
          </w:tcPr>
          <w:p w14:paraId="09FA697F" w14:textId="77777777" w:rsidR="001E7767" w:rsidRPr="00283D21" w:rsidRDefault="001E7767" w:rsidP="001E7767">
            <w:pPr>
              <w:spacing w:before="100" w:beforeAutospacing="1" w:after="100" w:afterAutospacing="1" w:line="293" w:lineRule="atLeast"/>
              <w:jc w:val="center"/>
              <w:rPr>
                <w:rFonts w:eastAsia="Times New Roman" w:cs="Times New Roman"/>
                <w:color w:val="000000"/>
                <w:szCs w:val="24"/>
                <w:lang w:eastAsia="lv-LV"/>
              </w:rPr>
            </w:pPr>
            <w:r w:rsidRPr="00283D21">
              <w:rPr>
                <w:rFonts w:eastAsia="Times New Roman" w:cs="Times New Roman"/>
                <w:color w:val="000000"/>
                <w:szCs w:val="24"/>
                <w:lang w:eastAsia="lv-LV"/>
              </w:rPr>
              <w:t>A</w:t>
            </w:r>
          </w:p>
        </w:tc>
        <w:tc>
          <w:tcPr>
            <w:tcW w:w="1732" w:type="pct"/>
            <w:gridSpan w:val="2"/>
            <w:tcBorders>
              <w:top w:val="outset" w:sz="6" w:space="0" w:color="414142"/>
              <w:left w:val="outset" w:sz="6" w:space="0" w:color="414142"/>
              <w:bottom w:val="outset" w:sz="6" w:space="0" w:color="414142"/>
              <w:right w:val="outset" w:sz="6" w:space="0" w:color="414142"/>
            </w:tcBorders>
            <w:vAlign w:val="center"/>
            <w:hideMark/>
          </w:tcPr>
          <w:p w14:paraId="66ADE149" w14:textId="77777777" w:rsidR="001E7767" w:rsidRPr="00283D21" w:rsidRDefault="001E7767" w:rsidP="001E7767">
            <w:pPr>
              <w:spacing w:before="100" w:beforeAutospacing="1" w:after="100" w:afterAutospacing="1" w:line="293" w:lineRule="atLeast"/>
              <w:jc w:val="center"/>
              <w:rPr>
                <w:rFonts w:eastAsia="Times New Roman" w:cs="Times New Roman"/>
                <w:color w:val="000000"/>
                <w:szCs w:val="24"/>
                <w:lang w:eastAsia="lv-LV"/>
              </w:rPr>
            </w:pPr>
            <w:r w:rsidRPr="00283D21">
              <w:rPr>
                <w:rFonts w:eastAsia="Times New Roman" w:cs="Times New Roman"/>
                <w:color w:val="000000"/>
                <w:szCs w:val="24"/>
                <w:lang w:eastAsia="lv-LV"/>
              </w:rPr>
              <w:t>B</w:t>
            </w:r>
          </w:p>
        </w:tc>
        <w:tc>
          <w:tcPr>
            <w:tcW w:w="2035" w:type="pct"/>
            <w:gridSpan w:val="2"/>
            <w:tcBorders>
              <w:top w:val="outset" w:sz="6" w:space="0" w:color="414142"/>
              <w:left w:val="outset" w:sz="6" w:space="0" w:color="414142"/>
              <w:bottom w:val="outset" w:sz="6" w:space="0" w:color="414142"/>
              <w:right w:val="outset" w:sz="6" w:space="0" w:color="414142"/>
            </w:tcBorders>
            <w:vAlign w:val="center"/>
            <w:hideMark/>
          </w:tcPr>
          <w:p w14:paraId="37A8978B" w14:textId="77777777" w:rsidR="001E7767" w:rsidRPr="00283D21" w:rsidRDefault="001E7767" w:rsidP="001E7767">
            <w:pPr>
              <w:spacing w:before="100" w:beforeAutospacing="1" w:after="100" w:afterAutospacing="1" w:line="293" w:lineRule="atLeast"/>
              <w:jc w:val="center"/>
              <w:rPr>
                <w:rFonts w:eastAsia="Times New Roman" w:cs="Times New Roman"/>
                <w:color w:val="000000"/>
                <w:szCs w:val="24"/>
                <w:lang w:eastAsia="lv-LV"/>
              </w:rPr>
            </w:pPr>
            <w:r w:rsidRPr="00283D21">
              <w:rPr>
                <w:rFonts w:eastAsia="Times New Roman" w:cs="Times New Roman"/>
                <w:color w:val="000000"/>
                <w:szCs w:val="24"/>
                <w:lang w:eastAsia="lv-LV"/>
              </w:rPr>
              <w:t>C</w:t>
            </w:r>
          </w:p>
        </w:tc>
      </w:tr>
      <w:tr w:rsidR="001E7767" w:rsidRPr="001E7767" w14:paraId="629B699D" w14:textId="77777777" w:rsidTr="00C96E06">
        <w:trPr>
          <w:trHeight w:val="3261"/>
          <w:jc w:val="center"/>
        </w:trPr>
        <w:tc>
          <w:tcPr>
            <w:tcW w:w="1232" w:type="pct"/>
            <w:tcBorders>
              <w:top w:val="outset" w:sz="6" w:space="0" w:color="414142"/>
              <w:left w:val="outset" w:sz="6" w:space="0" w:color="414142"/>
              <w:bottom w:val="outset" w:sz="6" w:space="0" w:color="414142"/>
              <w:right w:val="outset" w:sz="6" w:space="0" w:color="414142"/>
            </w:tcBorders>
            <w:hideMark/>
          </w:tcPr>
          <w:p w14:paraId="4A23187E"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Starptautiskās saistības (pēc būtības), kas izriet no norādītā starptautiskā dokumenta.</w:t>
            </w:r>
          </w:p>
          <w:p w14:paraId="3F6F6C32" w14:textId="77777777" w:rsidR="001E7767" w:rsidRPr="00283D21" w:rsidRDefault="001E7767" w:rsidP="001E7767">
            <w:pPr>
              <w:spacing w:before="100" w:beforeAutospacing="1" w:after="100" w:afterAutospacing="1" w:line="240" w:lineRule="auto"/>
              <w:rPr>
                <w:rFonts w:eastAsia="Times New Roman" w:cs="Times New Roman"/>
                <w:color w:val="000000"/>
                <w:szCs w:val="24"/>
                <w:lang w:eastAsia="lv-LV"/>
              </w:rPr>
            </w:pPr>
            <w:r w:rsidRPr="00283D21">
              <w:rPr>
                <w:rFonts w:eastAsia="Times New Roman" w:cs="Times New Roman"/>
                <w:color w:val="000000"/>
                <w:szCs w:val="24"/>
                <w:lang w:eastAsia="lv-LV"/>
              </w:rPr>
              <w:t>Konkrēti veicamie pasākumi vai uzdevumi, kas nepieciešami šo starptautisko saistību izpildei</w:t>
            </w:r>
          </w:p>
        </w:tc>
        <w:tc>
          <w:tcPr>
            <w:tcW w:w="1732" w:type="pct"/>
            <w:gridSpan w:val="2"/>
            <w:tcBorders>
              <w:top w:val="outset" w:sz="6" w:space="0" w:color="414142"/>
              <w:left w:val="outset" w:sz="6" w:space="0" w:color="414142"/>
              <w:bottom w:val="outset" w:sz="6" w:space="0" w:color="414142"/>
              <w:right w:val="outset" w:sz="6" w:space="0" w:color="414142"/>
            </w:tcBorders>
            <w:hideMark/>
          </w:tcPr>
          <w:p w14:paraId="30968C83"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35" w:type="pct"/>
            <w:gridSpan w:val="2"/>
            <w:tcBorders>
              <w:top w:val="outset" w:sz="6" w:space="0" w:color="414142"/>
              <w:left w:val="outset" w:sz="6" w:space="0" w:color="414142"/>
              <w:bottom w:val="outset" w:sz="6" w:space="0" w:color="414142"/>
              <w:right w:val="outset" w:sz="6" w:space="0" w:color="414142"/>
            </w:tcBorders>
            <w:hideMark/>
          </w:tcPr>
          <w:p w14:paraId="1A9948F8"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Informācija par to, vai starptautiskās saistības, kas minētas šīs tabulas A ailē, tiek izpildītas pilnībā vai daļēji.</w:t>
            </w:r>
          </w:p>
          <w:p w14:paraId="05912199" w14:textId="77777777" w:rsidR="001E7767" w:rsidRPr="00283D21" w:rsidRDefault="001E7767" w:rsidP="001E7767">
            <w:pPr>
              <w:spacing w:before="240" w:after="240" w:line="240" w:lineRule="auto"/>
              <w:rPr>
                <w:rFonts w:eastAsia="Times New Roman" w:cs="Times New Roman"/>
                <w:color w:val="000000"/>
                <w:szCs w:val="24"/>
                <w:lang w:eastAsia="lv-LV"/>
              </w:rPr>
            </w:pPr>
            <w:r w:rsidRPr="00283D21">
              <w:rPr>
                <w:rFonts w:eastAsia="Times New Roman" w:cs="Times New Roman"/>
                <w:color w:val="000000"/>
                <w:szCs w:val="24"/>
                <w:lang w:eastAsia="lv-LV"/>
              </w:rPr>
              <w:t>Ja attiecīgās starptautiskās saistības tiek izpildītas daļēji, sniedz skaidrojumu, kā arī precīzi norāda, kad un kādā veidā starptautiskās saistības tiks izpildītas pilnībā.</w:t>
            </w:r>
          </w:p>
          <w:p w14:paraId="2BC29358"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Norāda institūciju, kas ir atbildīga par šo saistību izpildi pilnībā</w:t>
            </w:r>
          </w:p>
        </w:tc>
      </w:tr>
      <w:tr w:rsidR="001E7767" w:rsidRPr="00283D21" w14:paraId="18B0CD25"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tcPr>
          <w:p w14:paraId="7F2F9348"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Iekļauj informāciju atbilstoši instrukcijas 58.1.apakšpunktā noteiktajam</w:t>
            </w:r>
          </w:p>
        </w:tc>
        <w:tc>
          <w:tcPr>
            <w:tcW w:w="1732" w:type="pct"/>
            <w:gridSpan w:val="2"/>
            <w:tcBorders>
              <w:top w:val="outset" w:sz="6" w:space="0" w:color="414142"/>
              <w:left w:val="outset" w:sz="6" w:space="0" w:color="414142"/>
              <w:bottom w:val="outset" w:sz="6" w:space="0" w:color="414142"/>
              <w:right w:val="outset" w:sz="6" w:space="0" w:color="414142"/>
            </w:tcBorders>
          </w:tcPr>
          <w:p w14:paraId="5F323CE5" w14:textId="77777777" w:rsidR="001E7767" w:rsidRPr="00283D21" w:rsidRDefault="001E7767" w:rsidP="001E7767">
            <w:pPr>
              <w:spacing w:after="0" w:line="240" w:lineRule="auto"/>
              <w:ind w:firstLine="142"/>
              <w:rPr>
                <w:rFonts w:eastAsia="Times New Roman" w:cs="Times New Roman"/>
                <w:color w:val="000000"/>
                <w:szCs w:val="24"/>
                <w:lang w:eastAsia="lv-LV"/>
              </w:rPr>
            </w:pPr>
            <w:r w:rsidRPr="00283D21">
              <w:rPr>
                <w:rFonts w:eastAsia="Times New Roman" w:cs="Times New Roman"/>
                <w:color w:val="000000"/>
                <w:szCs w:val="24"/>
                <w:lang w:eastAsia="lv-LV"/>
              </w:rPr>
              <w:t>Nav</w:t>
            </w:r>
          </w:p>
        </w:tc>
        <w:tc>
          <w:tcPr>
            <w:tcW w:w="2035" w:type="pct"/>
            <w:gridSpan w:val="2"/>
            <w:tcBorders>
              <w:top w:val="outset" w:sz="6" w:space="0" w:color="414142"/>
              <w:left w:val="outset" w:sz="6" w:space="0" w:color="414142"/>
              <w:bottom w:val="outset" w:sz="6" w:space="0" w:color="414142"/>
              <w:right w:val="outset" w:sz="6" w:space="0" w:color="414142"/>
            </w:tcBorders>
          </w:tcPr>
          <w:p w14:paraId="25571441" w14:textId="77777777" w:rsidR="001E7767" w:rsidRPr="00283D21" w:rsidRDefault="001E7767" w:rsidP="001E7767">
            <w:pPr>
              <w:spacing w:before="100" w:beforeAutospacing="1" w:after="100" w:afterAutospacing="1" w:line="293" w:lineRule="atLeast"/>
              <w:ind w:firstLine="117"/>
              <w:rPr>
                <w:rFonts w:eastAsia="Times New Roman" w:cs="Times New Roman"/>
                <w:color w:val="000000"/>
                <w:szCs w:val="24"/>
                <w:lang w:eastAsia="lv-LV"/>
              </w:rPr>
            </w:pPr>
            <w:r w:rsidRPr="00283D21">
              <w:rPr>
                <w:rFonts w:eastAsia="Times New Roman" w:cs="Times New Roman"/>
                <w:color w:val="000000"/>
                <w:szCs w:val="24"/>
                <w:lang w:eastAsia="lv-LV"/>
              </w:rPr>
              <w:t>Nav</w:t>
            </w:r>
          </w:p>
        </w:tc>
      </w:tr>
      <w:tr w:rsidR="001E7767" w:rsidRPr="00283D21" w14:paraId="57C04E23"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51BABB83"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Vai starptautiskajā dokumentā paredzētās saistības nav pretrunā ar jau esošajām Latvijas Republikas starptautiskajām saistībām</w:t>
            </w:r>
          </w:p>
        </w:tc>
        <w:tc>
          <w:tcPr>
            <w:tcW w:w="3768" w:type="pct"/>
            <w:gridSpan w:val="4"/>
            <w:tcBorders>
              <w:top w:val="outset" w:sz="6" w:space="0" w:color="414142"/>
              <w:left w:val="outset" w:sz="6" w:space="0" w:color="414142"/>
              <w:bottom w:val="outset" w:sz="6" w:space="0" w:color="414142"/>
              <w:right w:val="outset" w:sz="6" w:space="0" w:color="414142"/>
            </w:tcBorders>
            <w:hideMark/>
          </w:tcPr>
          <w:p w14:paraId="03B87DD7" w14:textId="77777777" w:rsidR="001E7767" w:rsidRPr="00283D21" w:rsidRDefault="001E7767" w:rsidP="001E7767">
            <w:pPr>
              <w:autoSpaceDE w:val="0"/>
              <w:autoSpaceDN w:val="0"/>
              <w:adjustRightInd w:val="0"/>
              <w:spacing w:after="0" w:line="240" w:lineRule="auto"/>
              <w:ind w:left="108" w:right="169" w:firstLine="34"/>
              <w:jc w:val="both"/>
              <w:rPr>
                <w:rFonts w:eastAsia="Times New Roman" w:cs="Times New Roman"/>
                <w:color w:val="000000"/>
                <w:szCs w:val="24"/>
                <w:lang w:eastAsia="lv-LV"/>
              </w:rPr>
            </w:pPr>
            <w:r w:rsidRPr="00283D21">
              <w:rPr>
                <w:rFonts w:eastAsia="Times New Roman" w:cs="Times New Roman"/>
                <w:color w:val="000000"/>
                <w:szCs w:val="24"/>
                <w:lang w:eastAsia="lv-LV"/>
              </w:rPr>
              <w:t>Nav attiecināms</w:t>
            </w:r>
          </w:p>
        </w:tc>
      </w:tr>
      <w:tr w:rsidR="001E7767" w:rsidRPr="001E7767" w14:paraId="662F5912" w14:textId="77777777" w:rsidTr="00C96E06">
        <w:trPr>
          <w:jc w:val="center"/>
        </w:trPr>
        <w:tc>
          <w:tcPr>
            <w:tcW w:w="1232" w:type="pct"/>
            <w:tcBorders>
              <w:top w:val="outset" w:sz="6" w:space="0" w:color="414142"/>
              <w:left w:val="outset" w:sz="6" w:space="0" w:color="414142"/>
              <w:bottom w:val="outset" w:sz="6" w:space="0" w:color="414142"/>
              <w:right w:val="outset" w:sz="6" w:space="0" w:color="414142"/>
            </w:tcBorders>
            <w:hideMark/>
          </w:tcPr>
          <w:p w14:paraId="078274ED" w14:textId="77777777" w:rsidR="001E7767" w:rsidRPr="00283D21" w:rsidRDefault="001E7767" w:rsidP="001E7767">
            <w:pPr>
              <w:spacing w:after="0" w:line="240" w:lineRule="auto"/>
              <w:rPr>
                <w:rFonts w:eastAsia="Times New Roman" w:cs="Times New Roman"/>
                <w:color w:val="000000"/>
                <w:szCs w:val="24"/>
                <w:lang w:eastAsia="lv-LV"/>
              </w:rPr>
            </w:pPr>
            <w:r w:rsidRPr="00283D21">
              <w:rPr>
                <w:rFonts w:eastAsia="Times New Roman" w:cs="Times New Roman"/>
                <w:color w:val="000000"/>
                <w:szCs w:val="24"/>
                <w:lang w:eastAsia="lv-LV"/>
              </w:rPr>
              <w:t>Cita informācija</w:t>
            </w:r>
          </w:p>
        </w:tc>
        <w:tc>
          <w:tcPr>
            <w:tcW w:w="3768" w:type="pct"/>
            <w:gridSpan w:val="4"/>
            <w:tcBorders>
              <w:top w:val="outset" w:sz="6" w:space="0" w:color="414142"/>
              <w:left w:val="outset" w:sz="6" w:space="0" w:color="414142"/>
              <w:bottom w:val="outset" w:sz="6" w:space="0" w:color="414142"/>
              <w:right w:val="outset" w:sz="6" w:space="0" w:color="414142"/>
            </w:tcBorders>
            <w:hideMark/>
          </w:tcPr>
          <w:p w14:paraId="32CC6444" w14:textId="77777777" w:rsidR="001E7767" w:rsidRPr="00283D21" w:rsidRDefault="001E7767" w:rsidP="001E7767">
            <w:pPr>
              <w:spacing w:after="0" w:line="240" w:lineRule="auto"/>
              <w:ind w:firstLine="142"/>
              <w:rPr>
                <w:rFonts w:eastAsia="Times New Roman" w:cs="Times New Roman"/>
                <w:color w:val="000000"/>
                <w:szCs w:val="24"/>
                <w:lang w:eastAsia="lv-LV"/>
              </w:rPr>
            </w:pPr>
            <w:r w:rsidRPr="00283D21">
              <w:rPr>
                <w:rFonts w:eastAsia="Times New Roman" w:cs="Times New Roman"/>
                <w:color w:val="000000"/>
                <w:szCs w:val="24"/>
                <w:lang w:eastAsia="lv-LV"/>
              </w:rPr>
              <w:t>Nav</w:t>
            </w:r>
          </w:p>
        </w:tc>
      </w:tr>
    </w:tbl>
    <w:p w14:paraId="75333A82" w14:textId="77777777" w:rsidR="001E7767" w:rsidRPr="008028CD" w:rsidRDefault="001E7767" w:rsidP="005D4AE6">
      <w:pPr>
        <w:spacing w:after="0" w:line="240" w:lineRule="auto"/>
        <w:jc w:val="center"/>
        <w:rPr>
          <w:rFonts w:eastAsia="Times New Roman" w:cs="Times New Roman"/>
          <w:vanish/>
          <w:szCs w:val="24"/>
          <w:lang w:eastAsia="lv-LV"/>
        </w:rPr>
      </w:pPr>
    </w:p>
    <w:p w14:paraId="3BFC0546" w14:textId="77777777" w:rsidR="00F21469" w:rsidRPr="008028CD" w:rsidRDefault="00F21469" w:rsidP="00FF3C5F">
      <w:pPr>
        <w:spacing w:after="120"/>
        <w:rPr>
          <w:rFonts w:cs="Times New Roman"/>
          <w:i/>
          <w:szCs w:val="24"/>
        </w:rPr>
      </w:pPr>
    </w:p>
    <w:tbl>
      <w:tblPr>
        <w:tblW w:w="502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
        <w:gridCol w:w="3860"/>
        <w:gridCol w:w="4727"/>
      </w:tblGrid>
      <w:tr w:rsidR="008028CD" w:rsidRPr="008028CD" w14:paraId="0AEBD7EA" w14:textId="77777777" w:rsidTr="008028CD">
        <w:trPr>
          <w:trHeight w:val="42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C61A4D" w14:textId="77777777" w:rsidR="00E65B72" w:rsidRPr="008028CD" w:rsidRDefault="00E65B72" w:rsidP="003B6C04">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VI. Sabiedrības līdzdalība un komunikācijas aktivitātes</w:t>
            </w:r>
          </w:p>
        </w:tc>
      </w:tr>
      <w:tr w:rsidR="008028CD" w:rsidRPr="008028CD" w14:paraId="497C1BD8" w14:textId="77777777" w:rsidTr="00F6017A">
        <w:trPr>
          <w:trHeight w:val="540"/>
          <w:jc w:val="center"/>
        </w:trPr>
        <w:tc>
          <w:tcPr>
            <w:tcW w:w="286" w:type="pct"/>
            <w:tcBorders>
              <w:top w:val="outset" w:sz="6" w:space="0" w:color="auto"/>
              <w:left w:val="outset" w:sz="6" w:space="0" w:color="auto"/>
              <w:bottom w:val="outset" w:sz="6" w:space="0" w:color="auto"/>
              <w:right w:val="outset" w:sz="6" w:space="0" w:color="auto"/>
            </w:tcBorders>
            <w:hideMark/>
          </w:tcPr>
          <w:p w14:paraId="14C6DA9E"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2119" w:type="pct"/>
            <w:tcBorders>
              <w:top w:val="outset" w:sz="6" w:space="0" w:color="auto"/>
              <w:left w:val="outset" w:sz="6" w:space="0" w:color="auto"/>
              <w:bottom w:val="outset" w:sz="6" w:space="0" w:color="auto"/>
              <w:right w:val="outset" w:sz="6" w:space="0" w:color="auto"/>
            </w:tcBorders>
            <w:hideMark/>
          </w:tcPr>
          <w:p w14:paraId="2BBD9220"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Plānotās sabiedrības līdzdalības un komunikācijas aktivitātes saistībā ar projektu</w:t>
            </w:r>
          </w:p>
        </w:tc>
        <w:tc>
          <w:tcPr>
            <w:tcW w:w="2595" w:type="pct"/>
            <w:tcBorders>
              <w:top w:val="outset" w:sz="6" w:space="0" w:color="auto"/>
              <w:left w:val="outset" w:sz="6" w:space="0" w:color="auto"/>
              <w:bottom w:val="outset" w:sz="6" w:space="0" w:color="auto"/>
              <w:right w:val="outset" w:sz="6" w:space="0" w:color="auto"/>
            </w:tcBorders>
            <w:hideMark/>
          </w:tcPr>
          <w:p w14:paraId="229BAE58" w14:textId="3EA751BB" w:rsidR="00E65B72" w:rsidRPr="008028CD" w:rsidRDefault="00E65B72" w:rsidP="006563F2">
            <w:pPr>
              <w:spacing w:after="0" w:line="240" w:lineRule="auto"/>
              <w:ind w:right="108"/>
              <w:jc w:val="both"/>
              <w:rPr>
                <w:rFonts w:eastAsia="Times New Roman" w:cs="Times New Roman"/>
                <w:szCs w:val="24"/>
                <w:lang w:eastAsia="lv-LV"/>
              </w:rPr>
            </w:pPr>
            <w:r w:rsidRPr="008028CD">
              <w:rPr>
                <w:rFonts w:eastAsia="Times New Roman" w:cs="Times New Roman"/>
                <w:szCs w:val="24"/>
                <w:lang w:eastAsia="lv-LV"/>
              </w:rPr>
              <w:t>Informācija par projekta uzsākšanu ir ievietota Finanšu ministrijas mājas lapā.</w:t>
            </w:r>
          </w:p>
        </w:tc>
      </w:tr>
      <w:tr w:rsidR="008028CD" w:rsidRPr="008028CD" w14:paraId="7837590E" w14:textId="77777777" w:rsidTr="00F6017A">
        <w:trPr>
          <w:trHeight w:val="330"/>
          <w:jc w:val="center"/>
        </w:trPr>
        <w:tc>
          <w:tcPr>
            <w:tcW w:w="286" w:type="pct"/>
            <w:tcBorders>
              <w:top w:val="outset" w:sz="6" w:space="0" w:color="auto"/>
              <w:left w:val="outset" w:sz="6" w:space="0" w:color="auto"/>
              <w:bottom w:val="outset" w:sz="6" w:space="0" w:color="auto"/>
              <w:right w:val="outset" w:sz="6" w:space="0" w:color="auto"/>
            </w:tcBorders>
            <w:hideMark/>
          </w:tcPr>
          <w:p w14:paraId="3944F7F3"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2.</w:t>
            </w:r>
          </w:p>
        </w:tc>
        <w:tc>
          <w:tcPr>
            <w:tcW w:w="2119" w:type="pct"/>
            <w:tcBorders>
              <w:top w:val="outset" w:sz="6" w:space="0" w:color="auto"/>
              <w:left w:val="outset" w:sz="6" w:space="0" w:color="auto"/>
              <w:bottom w:val="outset" w:sz="6" w:space="0" w:color="auto"/>
              <w:right w:val="outset" w:sz="6" w:space="0" w:color="auto"/>
            </w:tcBorders>
            <w:hideMark/>
          </w:tcPr>
          <w:p w14:paraId="25E8EDE3"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Sabiedrības līdzdalība projekta izstrādē</w:t>
            </w:r>
          </w:p>
        </w:tc>
        <w:tc>
          <w:tcPr>
            <w:tcW w:w="2595" w:type="pct"/>
            <w:tcBorders>
              <w:top w:val="outset" w:sz="6" w:space="0" w:color="auto"/>
              <w:left w:val="outset" w:sz="6" w:space="0" w:color="auto"/>
              <w:bottom w:val="outset" w:sz="6" w:space="0" w:color="auto"/>
              <w:right w:val="outset" w:sz="6" w:space="0" w:color="auto"/>
            </w:tcBorders>
            <w:hideMark/>
          </w:tcPr>
          <w:p w14:paraId="20730945" w14:textId="72F7708D" w:rsidR="00E65B72" w:rsidRPr="006665DC" w:rsidRDefault="00504759" w:rsidP="00504759">
            <w:pPr>
              <w:spacing w:after="0" w:line="240" w:lineRule="auto"/>
              <w:ind w:right="108"/>
              <w:jc w:val="both"/>
              <w:rPr>
                <w:rFonts w:eastAsia="Times New Roman" w:cs="Times New Roman"/>
                <w:i/>
                <w:sz w:val="22"/>
                <w:lang w:eastAsia="lv-LV"/>
              </w:rPr>
            </w:pPr>
            <w:r>
              <w:rPr>
                <w:rFonts w:eastAsia="Times New Roman" w:cs="Times New Roman"/>
                <w:szCs w:val="24"/>
                <w:lang w:eastAsia="lv-LV"/>
              </w:rPr>
              <w:t>Projekts nosūtīts saskaņošanai Latvijas Tirdzniecības un rūpniecības kamerai, Latvijas Darba devēju konfederācijai, Latvijas Mašīnbūves un metālapstrādes rūpniecības asociācijai, Latvijas Elektronikas un elektronikas rūpniecības asociācijai un Latvijas Ķīmijas un farmācijas uzņēmēju asociācijai.</w:t>
            </w:r>
          </w:p>
        </w:tc>
      </w:tr>
      <w:tr w:rsidR="008028CD" w:rsidRPr="008028CD" w14:paraId="2E88A0E5" w14:textId="77777777" w:rsidTr="00F6017A">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14:paraId="7E6068BD"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2119" w:type="pct"/>
            <w:tcBorders>
              <w:top w:val="outset" w:sz="6" w:space="0" w:color="auto"/>
              <w:left w:val="outset" w:sz="6" w:space="0" w:color="auto"/>
              <w:bottom w:val="outset" w:sz="6" w:space="0" w:color="auto"/>
              <w:right w:val="outset" w:sz="6" w:space="0" w:color="auto"/>
            </w:tcBorders>
            <w:hideMark/>
          </w:tcPr>
          <w:p w14:paraId="539F2833"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Sabiedrības līdzdalības rezultāti</w:t>
            </w:r>
          </w:p>
        </w:tc>
        <w:tc>
          <w:tcPr>
            <w:tcW w:w="2595" w:type="pct"/>
            <w:tcBorders>
              <w:top w:val="outset" w:sz="6" w:space="0" w:color="auto"/>
              <w:left w:val="outset" w:sz="6" w:space="0" w:color="auto"/>
              <w:bottom w:val="outset" w:sz="6" w:space="0" w:color="auto"/>
              <w:right w:val="outset" w:sz="6" w:space="0" w:color="auto"/>
            </w:tcBorders>
            <w:hideMark/>
          </w:tcPr>
          <w:p w14:paraId="7943866B" w14:textId="489EB3C3" w:rsidR="00E65B72" w:rsidRPr="008028CD" w:rsidRDefault="00504759" w:rsidP="006665DC">
            <w:pPr>
              <w:pStyle w:val="ListParagraph"/>
              <w:spacing w:after="0" w:line="240" w:lineRule="auto"/>
              <w:ind w:left="90" w:right="108"/>
              <w:jc w:val="both"/>
              <w:rPr>
                <w:rFonts w:eastAsia="Times New Roman" w:cs="Times New Roman"/>
                <w:szCs w:val="24"/>
                <w:lang w:eastAsia="lv-LV"/>
              </w:rPr>
            </w:pPr>
            <w:r>
              <w:rPr>
                <w:rFonts w:eastAsia="Times New Roman" w:cs="Times New Roman"/>
                <w:szCs w:val="24"/>
                <w:lang w:eastAsia="lv-LV"/>
              </w:rPr>
              <w:t>Priekšlikumi vai iebildumi netika saņemti.</w:t>
            </w:r>
          </w:p>
        </w:tc>
      </w:tr>
      <w:tr w:rsidR="008028CD" w:rsidRPr="008028CD" w14:paraId="2CCDB531" w14:textId="77777777" w:rsidTr="00F6017A">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14:paraId="4A914BEE"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4.</w:t>
            </w:r>
          </w:p>
        </w:tc>
        <w:tc>
          <w:tcPr>
            <w:tcW w:w="2119" w:type="pct"/>
            <w:tcBorders>
              <w:top w:val="outset" w:sz="6" w:space="0" w:color="auto"/>
              <w:left w:val="outset" w:sz="6" w:space="0" w:color="auto"/>
              <w:bottom w:val="outset" w:sz="6" w:space="0" w:color="auto"/>
              <w:right w:val="outset" w:sz="6" w:space="0" w:color="auto"/>
            </w:tcBorders>
            <w:hideMark/>
          </w:tcPr>
          <w:p w14:paraId="431AC207" w14:textId="77777777" w:rsidR="00E65B72" w:rsidRPr="008028CD" w:rsidRDefault="00E65B72" w:rsidP="003B6C04">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2595" w:type="pct"/>
            <w:tcBorders>
              <w:top w:val="outset" w:sz="6" w:space="0" w:color="auto"/>
              <w:left w:val="outset" w:sz="6" w:space="0" w:color="auto"/>
              <w:bottom w:val="outset" w:sz="6" w:space="0" w:color="auto"/>
              <w:right w:val="outset" w:sz="6" w:space="0" w:color="auto"/>
            </w:tcBorders>
            <w:hideMark/>
          </w:tcPr>
          <w:p w14:paraId="749254D7" w14:textId="77777777" w:rsidR="00E65B72" w:rsidRPr="008028CD" w:rsidRDefault="00E65B72" w:rsidP="006665DC">
            <w:pPr>
              <w:spacing w:before="100" w:beforeAutospacing="1" w:after="100" w:afterAutospacing="1" w:line="240" w:lineRule="auto"/>
              <w:ind w:left="90" w:right="108"/>
              <w:jc w:val="both"/>
              <w:rPr>
                <w:rFonts w:eastAsia="Times New Roman" w:cs="Times New Roman"/>
                <w:szCs w:val="24"/>
                <w:lang w:eastAsia="lv-LV"/>
              </w:rPr>
            </w:pPr>
            <w:r w:rsidRPr="008028CD">
              <w:rPr>
                <w:rFonts w:eastAsia="Times New Roman" w:cs="Times New Roman"/>
                <w:szCs w:val="24"/>
                <w:lang w:eastAsia="lv-LV"/>
              </w:rPr>
              <w:t>Nav</w:t>
            </w:r>
          </w:p>
        </w:tc>
      </w:tr>
      <w:tr w:rsidR="005D4AE6" w:rsidRPr="008028CD" w14:paraId="0E58DD85" w14:textId="77777777" w:rsidTr="008028CD">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757620A"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b/>
                <w:bCs/>
                <w:szCs w:val="24"/>
                <w:lang w:eastAsia="lv-LV"/>
              </w:rPr>
              <w:t>VII. Tiesību akta projekta izpildes nodrošināšana un tās ietekme uz institūcijām</w:t>
            </w:r>
          </w:p>
        </w:tc>
      </w:tr>
      <w:tr w:rsidR="008028CD" w:rsidRPr="008028CD" w14:paraId="0E725B60" w14:textId="77777777" w:rsidTr="008028CD">
        <w:trPr>
          <w:trHeight w:val="420"/>
          <w:jc w:val="center"/>
        </w:trPr>
        <w:tc>
          <w:tcPr>
            <w:tcW w:w="286" w:type="pct"/>
            <w:tcBorders>
              <w:top w:val="outset" w:sz="6" w:space="0" w:color="auto"/>
              <w:left w:val="outset" w:sz="6" w:space="0" w:color="auto"/>
              <w:bottom w:val="outset" w:sz="6" w:space="0" w:color="auto"/>
              <w:right w:val="outset" w:sz="6" w:space="0" w:color="auto"/>
            </w:tcBorders>
            <w:hideMark/>
          </w:tcPr>
          <w:p w14:paraId="02370087"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1.</w:t>
            </w:r>
          </w:p>
        </w:tc>
        <w:tc>
          <w:tcPr>
            <w:tcW w:w="2119" w:type="pct"/>
            <w:tcBorders>
              <w:top w:val="outset" w:sz="6" w:space="0" w:color="auto"/>
              <w:left w:val="outset" w:sz="6" w:space="0" w:color="auto"/>
              <w:bottom w:val="outset" w:sz="6" w:space="0" w:color="auto"/>
              <w:right w:val="outset" w:sz="6" w:space="0" w:color="auto"/>
            </w:tcBorders>
            <w:hideMark/>
          </w:tcPr>
          <w:p w14:paraId="131BD9EB"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Projekta izpildē iesaistītās institūcijas</w:t>
            </w:r>
          </w:p>
        </w:tc>
        <w:tc>
          <w:tcPr>
            <w:tcW w:w="2595" w:type="pct"/>
            <w:tcBorders>
              <w:top w:val="outset" w:sz="6" w:space="0" w:color="auto"/>
              <w:left w:val="outset" w:sz="6" w:space="0" w:color="auto"/>
              <w:bottom w:val="outset" w:sz="6" w:space="0" w:color="auto"/>
              <w:right w:val="outset" w:sz="6" w:space="0" w:color="auto"/>
            </w:tcBorders>
            <w:hideMark/>
          </w:tcPr>
          <w:p w14:paraId="2E83B98E" w14:textId="5492F789" w:rsidR="005D4AE6" w:rsidRPr="00E10206" w:rsidRDefault="00785E4A">
            <w:pPr>
              <w:spacing w:after="0" w:line="240" w:lineRule="auto"/>
              <w:rPr>
                <w:rFonts w:eastAsia="Times New Roman" w:cs="Times New Roman"/>
                <w:szCs w:val="24"/>
                <w:highlight w:val="magenta"/>
                <w:lang w:eastAsia="lv-LV"/>
              </w:rPr>
            </w:pPr>
            <w:r w:rsidRPr="00785E4A">
              <w:rPr>
                <w:rFonts w:eastAsia="Times New Roman" w:cs="Times New Roman"/>
                <w:szCs w:val="24"/>
                <w:lang w:eastAsia="lv-LV"/>
              </w:rPr>
              <w:t>Finanšu ministrija</w:t>
            </w:r>
          </w:p>
        </w:tc>
      </w:tr>
      <w:tr w:rsidR="008028CD" w:rsidRPr="008028CD" w14:paraId="4A2143BD" w14:textId="77777777" w:rsidTr="008028CD">
        <w:trPr>
          <w:trHeight w:val="450"/>
          <w:jc w:val="center"/>
        </w:trPr>
        <w:tc>
          <w:tcPr>
            <w:tcW w:w="286" w:type="pct"/>
            <w:tcBorders>
              <w:top w:val="outset" w:sz="6" w:space="0" w:color="auto"/>
              <w:left w:val="outset" w:sz="6" w:space="0" w:color="auto"/>
              <w:bottom w:val="outset" w:sz="6" w:space="0" w:color="auto"/>
              <w:right w:val="outset" w:sz="6" w:space="0" w:color="auto"/>
            </w:tcBorders>
            <w:hideMark/>
          </w:tcPr>
          <w:p w14:paraId="54281CBC"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lastRenderedPageBreak/>
              <w:t>2.</w:t>
            </w:r>
          </w:p>
        </w:tc>
        <w:tc>
          <w:tcPr>
            <w:tcW w:w="2119" w:type="pct"/>
            <w:tcBorders>
              <w:top w:val="outset" w:sz="6" w:space="0" w:color="auto"/>
              <w:left w:val="outset" w:sz="6" w:space="0" w:color="auto"/>
              <w:bottom w:val="outset" w:sz="6" w:space="0" w:color="auto"/>
              <w:right w:val="outset" w:sz="6" w:space="0" w:color="auto"/>
            </w:tcBorders>
            <w:hideMark/>
          </w:tcPr>
          <w:p w14:paraId="21E32E3E"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 xml:space="preserve">Projekta izpildes ietekme uz pārvaldes funkcijām un institucionālo struktūru. </w:t>
            </w:r>
          </w:p>
          <w:p w14:paraId="2371C11D" w14:textId="77777777" w:rsidR="005D4AE6" w:rsidRPr="008028CD" w:rsidRDefault="005D4AE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Jaunu institūciju izveide, esošu institūciju likvidācija vai reorganizācija, to ietekme uz institūcijas cilvēkresursiem</w:t>
            </w:r>
          </w:p>
        </w:tc>
        <w:tc>
          <w:tcPr>
            <w:tcW w:w="2595" w:type="pct"/>
            <w:tcBorders>
              <w:top w:val="outset" w:sz="6" w:space="0" w:color="auto"/>
              <w:left w:val="outset" w:sz="6" w:space="0" w:color="auto"/>
              <w:bottom w:val="outset" w:sz="6" w:space="0" w:color="auto"/>
              <w:right w:val="outset" w:sz="6" w:space="0" w:color="auto"/>
            </w:tcBorders>
            <w:hideMark/>
          </w:tcPr>
          <w:p w14:paraId="5E0A3F0A" w14:textId="77777777" w:rsidR="005D4AE6" w:rsidRPr="008028CD" w:rsidRDefault="004C29A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Izmaiņas nav paredzētas</w:t>
            </w:r>
            <w:r w:rsidR="00E66B77" w:rsidRPr="008028CD">
              <w:rPr>
                <w:rFonts w:eastAsia="Times New Roman" w:cs="Times New Roman"/>
                <w:szCs w:val="24"/>
                <w:lang w:eastAsia="lv-LV"/>
              </w:rPr>
              <w:t>.</w:t>
            </w:r>
          </w:p>
        </w:tc>
      </w:tr>
      <w:tr w:rsidR="008028CD" w:rsidRPr="008028CD" w14:paraId="2B62B705" w14:textId="77777777" w:rsidTr="008028CD">
        <w:trPr>
          <w:trHeight w:val="390"/>
          <w:jc w:val="center"/>
        </w:trPr>
        <w:tc>
          <w:tcPr>
            <w:tcW w:w="286" w:type="pct"/>
            <w:tcBorders>
              <w:top w:val="outset" w:sz="6" w:space="0" w:color="auto"/>
              <w:left w:val="outset" w:sz="6" w:space="0" w:color="auto"/>
              <w:bottom w:val="outset" w:sz="6" w:space="0" w:color="auto"/>
              <w:right w:val="outset" w:sz="6" w:space="0" w:color="auto"/>
            </w:tcBorders>
            <w:hideMark/>
          </w:tcPr>
          <w:p w14:paraId="7930931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3.</w:t>
            </w:r>
          </w:p>
        </w:tc>
        <w:tc>
          <w:tcPr>
            <w:tcW w:w="2119" w:type="pct"/>
            <w:tcBorders>
              <w:top w:val="outset" w:sz="6" w:space="0" w:color="auto"/>
              <w:left w:val="outset" w:sz="6" w:space="0" w:color="auto"/>
              <w:bottom w:val="outset" w:sz="6" w:space="0" w:color="auto"/>
              <w:right w:val="outset" w:sz="6" w:space="0" w:color="auto"/>
            </w:tcBorders>
            <w:hideMark/>
          </w:tcPr>
          <w:p w14:paraId="57877C45" w14:textId="77777777" w:rsidR="005D4AE6" w:rsidRPr="008028CD" w:rsidRDefault="005D4AE6" w:rsidP="005D4AE6">
            <w:pPr>
              <w:spacing w:after="0" w:line="240" w:lineRule="auto"/>
              <w:rPr>
                <w:rFonts w:eastAsia="Times New Roman" w:cs="Times New Roman"/>
                <w:szCs w:val="24"/>
                <w:lang w:eastAsia="lv-LV"/>
              </w:rPr>
            </w:pPr>
            <w:r w:rsidRPr="008028CD">
              <w:rPr>
                <w:rFonts w:eastAsia="Times New Roman" w:cs="Times New Roman"/>
                <w:szCs w:val="24"/>
                <w:lang w:eastAsia="lv-LV"/>
              </w:rPr>
              <w:t>Cita informācija</w:t>
            </w:r>
          </w:p>
        </w:tc>
        <w:tc>
          <w:tcPr>
            <w:tcW w:w="2595" w:type="pct"/>
            <w:tcBorders>
              <w:top w:val="outset" w:sz="6" w:space="0" w:color="auto"/>
              <w:left w:val="outset" w:sz="6" w:space="0" w:color="auto"/>
              <w:bottom w:val="outset" w:sz="6" w:space="0" w:color="auto"/>
              <w:right w:val="outset" w:sz="6" w:space="0" w:color="auto"/>
            </w:tcBorders>
            <w:hideMark/>
          </w:tcPr>
          <w:p w14:paraId="03B755C9" w14:textId="77777777" w:rsidR="005D4AE6" w:rsidRPr="008028CD" w:rsidRDefault="004C29A6" w:rsidP="005D4AE6">
            <w:pPr>
              <w:spacing w:before="100" w:beforeAutospacing="1" w:after="100" w:afterAutospacing="1" w:line="240" w:lineRule="auto"/>
              <w:rPr>
                <w:rFonts w:eastAsia="Times New Roman" w:cs="Times New Roman"/>
                <w:szCs w:val="24"/>
                <w:lang w:eastAsia="lv-LV"/>
              </w:rPr>
            </w:pPr>
            <w:r w:rsidRPr="008028CD">
              <w:rPr>
                <w:rFonts w:eastAsia="Times New Roman" w:cs="Times New Roman"/>
                <w:szCs w:val="24"/>
                <w:lang w:eastAsia="lv-LV"/>
              </w:rPr>
              <w:t>Nav</w:t>
            </w:r>
          </w:p>
        </w:tc>
      </w:tr>
    </w:tbl>
    <w:p w14:paraId="50649F21" w14:textId="001E9C85" w:rsidR="002907B4" w:rsidRPr="008028CD" w:rsidRDefault="003F6BAE" w:rsidP="002907B4">
      <w:pPr>
        <w:tabs>
          <w:tab w:val="center" w:pos="0"/>
          <w:tab w:val="right" w:pos="8306"/>
        </w:tabs>
        <w:spacing w:after="0" w:line="240" w:lineRule="auto"/>
        <w:jc w:val="both"/>
        <w:rPr>
          <w:rFonts w:eastAsia="Times New Roman" w:cs="Times New Roman"/>
          <w:szCs w:val="24"/>
        </w:rPr>
      </w:pPr>
      <w:r w:rsidRPr="008028CD">
        <w:rPr>
          <w:rFonts w:cs="Times New Roman"/>
          <w:i/>
          <w:szCs w:val="24"/>
        </w:rPr>
        <w:t>Anotācijas</w:t>
      </w:r>
      <w:r>
        <w:rPr>
          <w:rFonts w:cs="Times New Roman"/>
          <w:i/>
          <w:szCs w:val="24"/>
        </w:rPr>
        <w:t xml:space="preserve"> I</w:t>
      </w:r>
      <w:r w:rsidR="001E7767">
        <w:rPr>
          <w:rFonts w:cs="Times New Roman"/>
          <w:i/>
          <w:szCs w:val="24"/>
        </w:rPr>
        <w:t>I</w:t>
      </w:r>
      <w:r>
        <w:rPr>
          <w:rFonts w:cs="Times New Roman"/>
          <w:i/>
          <w:szCs w:val="24"/>
        </w:rPr>
        <w:t>I sadaļa</w:t>
      </w:r>
      <w:r w:rsidR="001E7767">
        <w:rPr>
          <w:rFonts w:cs="Times New Roman"/>
          <w:i/>
          <w:szCs w:val="24"/>
        </w:rPr>
        <w:t xml:space="preserve"> </w:t>
      </w:r>
      <w:r w:rsidRPr="008028CD">
        <w:rPr>
          <w:rFonts w:cs="Times New Roman"/>
          <w:i/>
          <w:szCs w:val="24"/>
        </w:rPr>
        <w:t>– projekts šo jomu neskar.</w:t>
      </w:r>
    </w:p>
    <w:p w14:paraId="01F13F84" w14:textId="77777777" w:rsidR="00A34D02" w:rsidRPr="008028CD" w:rsidRDefault="00A34D02" w:rsidP="002907B4">
      <w:pPr>
        <w:tabs>
          <w:tab w:val="center" w:pos="0"/>
          <w:tab w:val="right" w:pos="8306"/>
        </w:tabs>
        <w:spacing w:after="0" w:line="240" w:lineRule="auto"/>
        <w:jc w:val="both"/>
        <w:rPr>
          <w:rFonts w:eastAsia="Times New Roman" w:cs="Times New Roman"/>
          <w:szCs w:val="24"/>
        </w:rPr>
      </w:pPr>
    </w:p>
    <w:p w14:paraId="005A7C25" w14:textId="77777777" w:rsidR="00E21712" w:rsidRDefault="00E21712" w:rsidP="008028CD">
      <w:pPr>
        <w:pStyle w:val="naisal"/>
        <w:shd w:val="clear" w:color="auto" w:fill="FFFFFF"/>
        <w:spacing w:before="300" w:beforeAutospacing="0" w:after="75" w:afterAutospacing="0"/>
        <w:jc w:val="both"/>
        <w:rPr>
          <w:sz w:val="28"/>
          <w:szCs w:val="28"/>
        </w:rPr>
      </w:pPr>
    </w:p>
    <w:p w14:paraId="0A58B844" w14:textId="5B38CA50" w:rsidR="00EF47F5" w:rsidRPr="008028CD" w:rsidRDefault="00EF47F5" w:rsidP="008028CD">
      <w:pPr>
        <w:pStyle w:val="naisal"/>
        <w:shd w:val="clear" w:color="auto" w:fill="FFFFFF"/>
        <w:spacing w:before="300" w:beforeAutospacing="0" w:after="75" w:afterAutospacing="0"/>
        <w:jc w:val="both"/>
        <w:rPr>
          <w:sz w:val="28"/>
          <w:szCs w:val="28"/>
        </w:rPr>
      </w:pPr>
      <w:r w:rsidRPr="008028CD">
        <w:rPr>
          <w:sz w:val="28"/>
          <w:szCs w:val="28"/>
        </w:rPr>
        <w:t>Finanšu ministre</w:t>
      </w:r>
      <w:r w:rsidRPr="008028CD">
        <w:rPr>
          <w:rStyle w:val="apple-converted-space"/>
          <w:sz w:val="28"/>
          <w:szCs w:val="28"/>
        </w:rPr>
        <w:t xml:space="preserve"> </w:t>
      </w:r>
      <w:r w:rsidRPr="008028CD">
        <w:rPr>
          <w:rStyle w:val="apple-converted-space"/>
          <w:sz w:val="28"/>
          <w:szCs w:val="28"/>
        </w:rPr>
        <w:tab/>
      </w:r>
      <w:r w:rsidRPr="008028CD">
        <w:rPr>
          <w:rStyle w:val="apple-converted-space"/>
          <w:sz w:val="28"/>
          <w:szCs w:val="28"/>
        </w:rPr>
        <w:tab/>
      </w:r>
      <w:r w:rsidRPr="008028CD">
        <w:rPr>
          <w:rStyle w:val="apple-converted-space"/>
          <w:sz w:val="28"/>
          <w:szCs w:val="28"/>
        </w:rPr>
        <w:tab/>
      </w:r>
      <w:r w:rsidRPr="008028CD">
        <w:rPr>
          <w:rStyle w:val="apple-converted-space"/>
          <w:sz w:val="28"/>
          <w:szCs w:val="28"/>
        </w:rPr>
        <w:tab/>
      </w:r>
      <w:r w:rsidRPr="008028CD">
        <w:rPr>
          <w:rStyle w:val="apple-converted-space"/>
          <w:sz w:val="28"/>
          <w:szCs w:val="28"/>
        </w:rPr>
        <w:tab/>
      </w:r>
      <w:r w:rsidRPr="008028CD">
        <w:rPr>
          <w:rStyle w:val="apple-converted-space"/>
          <w:sz w:val="28"/>
          <w:szCs w:val="28"/>
        </w:rPr>
        <w:tab/>
      </w:r>
      <w:proofErr w:type="spellStart"/>
      <w:r w:rsidRPr="008028CD">
        <w:rPr>
          <w:iCs/>
          <w:sz w:val="28"/>
          <w:szCs w:val="28"/>
        </w:rPr>
        <w:t>D</w:t>
      </w:r>
      <w:r w:rsidR="00833902">
        <w:rPr>
          <w:iCs/>
          <w:sz w:val="28"/>
          <w:szCs w:val="28"/>
        </w:rPr>
        <w:t>.</w:t>
      </w:r>
      <w:r w:rsidRPr="008028CD">
        <w:rPr>
          <w:iCs/>
          <w:sz w:val="28"/>
          <w:szCs w:val="28"/>
        </w:rPr>
        <w:t>Reizniece</w:t>
      </w:r>
      <w:proofErr w:type="spellEnd"/>
      <w:r w:rsidRPr="008028CD">
        <w:rPr>
          <w:iCs/>
          <w:sz w:val="28"/>
          <w:szCs w:val="28"/>
        </w:rPr>
        <w:t>-Ozola</w:t>
      </w:r>
    </w:p>
    <w:p w14:paraId="2993A9FF" w14:textId="77777777" w:rsidR="002907B4" w:rsidRDefault="002907B4" w:rsidP="00883365">
      <w:pPr>
        <w:spacing w:after="0" w:line="240" w:lineRule="auto"/>
        <w:jc w:val="both"/>
        <w:rPr>
          <w:rFonts w:eastAsia="Times New Roman" w:cs="Times New Roman"/>
          <w:szCs w:val="24"/>
        </w:rPr>
      </w:pPr>
    </w:p>
    <w:p w14:paraId="2A5951E3" w14:textId="77777777" w:rsidR="00E21712" w:rsidRDefault="00E21712" w:rsidP="00883365">
      <w:pPr>
        <w:spacing w:after="0" w:line="240" w:lineRule="auto"/>
        <w:jc w:val="both"/>
        <w:rPr>
          <w:rFonts w:eastAsia="Times New Roman" w:cs="Times New Roman"/>
          <w:szCs w:val="24"/>
        </w:rPr>
      </w:pPr>
    </w:p>
    <w:p w14:paraId="3FA73F04" w14:textId="77777777" w:rsidR="00E21712" w:rsidRDefault="00E21712" w:rsidP="00883365">
      <w:pPr>
        <w:spacing w:after="0" w:line="240" w:lineRule="auto"/>
        <w:jc w:val="both"/>
        <w:rPr>
          <w:rFonts w:eastAsia="Times New Roman" w:cs="Times New Roman"/>
          <w:szCs w:val="24"/>
        </w:rPr>
      </w:pPr>
    </w:p>
    <w:p w14:paraId="0E29649B" w14:textId="77777777" w:rsidR="00E21712" w:rsidRPr="008028CD" w:rsidRDefault="00E21712" w:rsidP="00883365">
      <w:pPr>
        <w:spacing w:after="0" w:line="240" w:lineRule="auto"/>
        <w:jc w:val="both"/>
        <w:rPr>
          <w:rFonts w:eastAsia="Times New Roman" w:cs="Times New Roman"/>
          <w:szCs w:val="24"/>
        </w:rPr>
      </w:pPr>
    </w:p>
    <w:p w14:paraId="4C767770" w14:textId="1C218DF7" w:rsidR="00EF47F5" w:rsidRPr="008028CD" w:rsidRDefault="00E10206" w:rsidP="008028CD">
      <w:pPr>
        <w:spacing w:after="0" w:line="240" w:lineRule="auto"/>
        <w:jc w:val="both"/>
        <w:rPr>
          <w:rFonts w:eastAsia="Calibri" w:cs="Times New Roman"/>
          <w:sz w:val="20"/>
          <w:szCs w:val="20"/>
        </w:rPr>
      </w:pPr>
      <w:proofErr w:type="spellStart"/>
      <w:r>
        <w:rPr>
          <w:rFonts w:eastAsia="Calibri" w:cs="Times New Roman"/>
          <w:sz w:val="20"/>
          <w:szCs w:val="20"/>
        </w:rPr>
        <w:t>S.Kraņevska</w:t>
      </w:r>
      <w:proofErr w:type="spellEnd"/>
    </w:p>
    <w:p w14:paraId="377C3869" w14:textId="22522C36" w:rsidR="00B62E9D" w:rsidRPr="008028CD" w:rsidRDefault="00EF47F5" w:rsidP="00EF47F5">
      <w:pPr>
        <w:spacing w:after="0" w:line="240" w:lineRule="auto"/>
        <w:jc w:val="both"/>
        <w:rPr>
          <w:rFonts w:eastAsia="Times New Roman" w:cs="Times New Roman"/>
          <w:sz w:val="20"/>
          <w:szCs w:val="20"/>
        </w:rPr>
      </w:pPr>
      <w:r w:rsidRPr="008028CD">
        <w:rPr>
          <w:rFonts w:eastAsia="Calibri" w:cs="Times New Roman"/>
          <w:sz w:val="20"/>
          <w:szCs w:val="20"/>
        </w:rPr>
        <w:t>670955</w:t>
      </w:r>
      <w:r w:rsidR="00015B6C">
        <w:rPr>
          <w:rFonts w:eastAsia="Calibri" w:cs="Times New Roman"/>
          <w:sz w:val="20"/>
          <w:szCs w:val="20"/>
        </w:rPr>
        <w:t>27</w:t>
      </w:r>
      <w:r w:rsidRPr="008028CD">
        <w:rPr>
          <w:rFonts w:eastAsia="Calibri" w:cs="Times New Roman"/>
          <w:sz w:val="20"/>
          <w:szCs w:val="20"/>
        </w:rPr>
        <w:t xml:space="preserve">, </w:t>
      </w:r>
      <w:hyperlink r:id="rId8" w:history="1">
        <w:r w:rsidR="00E10206" w:rsidRPr="00B40484">
          <w:rPr>
            <w:rStyle w:val="Hyperlink"/>
            <w:rFonts w:eastAsia="Calibri" w:cs="Times New Roman"/>
            <w:sz w:val="20"/>
            <w:szCs w:val="20"/>
          </w:rPr>
          <w:t>Sanita.Kranevska</w:t>
        </w:r>
        <w:bookmarkStart w:id="4" w:name="_GoBack"/>
        <w:bookmarkEnd w:id="4"/>
        <w:r w:rsidR="00E10206" w:rsidRPr="00B40484">
          <w:rPr>
            <w:rStyle w:val="Hyperlink"/>
            <w:rFonts w:eastAsia="Calibri" w:cs="Times New Roman"/>
            <w:sz w:val="20"/>
            <w:szCs w:val="20"/>
          </w:rPr>
          <w:t>@fm.gov.lv</w:t>
        </w:r>
      </w:hyperlink>
      <w:r w:rsidRPr="008028CD">
        <w:rPr>
          <w:rFonts w:eastAsia="Calibri" w:cs="Times New Roman"/>
          <w:sz w:val="20"/>
          <w:szCs w:val="20"/>
        </w:rPr>
        <w:t xml:space="preserve"> </w:t>
      </w:r>
    </w:p>
    <w:sectPr w:rsidR="00B62E9D" w:rsidRPr="008028CD" w:rsidSect="00CF1A0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2D380" w14:textId="77777777" w:rsidR="00275967" w:rsidRDefault="00275967" w:rsidP="00CE4D88">
      <w:pPr>
        <w:spacing w:after="0" w:line="240" w:lineRule="auto"/>
      </w:pPr>
      <w:r>
        <w:separator/>
      </w:r>
    </w:p>
  </w:endnote>
  <w:endnote w:type="continuationSeparator" w:id="0">
    <w:p w14:paraId="779F5BB5" w14:textId="77777777" w:rsidR="00275967" w:rsidRDefault="00275967"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80FE" w14:textId="7C350185" w:rsidR="00CE4D88" w:rsidRPr="00073804" w:rsidRDefault="00CE6EFB" w:rsidP="004D1F9A">
    <w:pPr>
      <w:pStyle w:val="Footer"/>
      <w:jc w:val="both"/>
      <w:rPr>
        <w:sz w:val="20"/>
        <w:szCs w:val="20"/>
      </w:rPr>
    </w:pPr>
    <w:r w:rsidRPr="00CE6EFB">
      <w:rPr>
        <w:sz w:val="20"/>
        <w:szCs w:val="20"/>
      </w:rPr>
      <w:t>FMAnot_</w:t>
    </w:r>
    <w:r w:rsidR="00D36C4B">
      <w:rPr>
        <w:sz w:val="20"/>
        <w:szCs w:val="20"/>
      </w:rPr>
      <w:t>31</w:t>
    </w:r>
    <w:r w:rsidR="00996F56">
      <w:rPr>
        <w:sz w:val="20"/>
        <w:szCs w:val="20"/>
      </w:rPr>
      <w:t>10</w:t>
    </w:r>
    <w:r w:rsidRPr="00CE6EFB">
      <w:rPr>
        <w:sz w:val="20"/>
        <w:szCs w:val="20"/>
      </w:rPr>
      <w:t>16_</w:t>
    </w:r>
    <w:r w:rsidR="00AD3966">
      <w:rPr>
        <w:sz w:val="20"/>
        <w:szCs w:val="20"/>
      </w:rPr>
      <w:t>kvotas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73364" w14:textId="392C3BBD" w:rsidR="00CC56DA" w:rsidRPr="00073804" w:rsidRDefault="00CC56DA" w:rsidP="00CC56DA">
    <w:pPr>
      <w:pStyle w:val="Footer"/>
      <w:jc w:val="both"/>
      <w:rPr>
        <w:sz w:val="20"/>
        <w:szCs w:val="20"/>
      </w:rPr>
    </w:pPr>
    <w:r w:rsidRPr="00CE6EFB">
      <w:rPr>
        <w:sz w:val="20"/>
        <w:szCs w:val="20"/>
      </w:rPr>
      <w:t>FMAnot_</w:t>
    </w:r>
    <w:r w:rsidR="00D36C4B">
      <w:rPr>
        <w:sz w:val="20"/>
        <w:szCs w:val="20"/>
      </w:rPr>
      <w:t>31</w:t>
    </w:r>
    <w:r w:rsidR="00996F56">
      <w:rPr>
        <w:sz w:val="20"/>
        <w:szCs w:val="20"/>
      </w:rPr>
      <w:t>10</w:t>
    </w:r>
    <w:r w:rsidRPr="00CE6EFB">
      <w:rPr>
        <w:sz w:val="20"/>
        <w:szCs w:val="20"/>
      </w:rPr>
      <w:t>16_</w:t>
    </w:r>
    <w:r>
      <w:rPr>
        <w:sz w:val="20"/>
        <w:szCs w:val="20"/>
      </w:rPr>
      <w:t>kvotas</w:t>
    </w:r>
  </w:p>
  <w:p w14:paraId="430CC0E6" w14:textId="3C3B3E70" w:rsidR="00883365" w:rsidRPr="00CC56DA" w:rsidRDefault="00883365" w:rsidP="00CC5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12A4" w14:textId="77777777" w:rsidR="00275967" w:rsidRDefault="00275967" w:rsidP="00CE4D88">
      <w:pPr>
        <w:spacing w:after="0" w:line="240" w:lineRule="auto"/>
      </w:pPr>
      <w:r>
        <w:separator/>
      </w:r>
    </w:p>
  </w:footnote>
  <w:footnote w:type="continuationSeparator" w:id="0">
    <w:p w14:paraId="0FDE97CE" w14:textId="77777777" w:rsidR="00275967" w:rsidRDefault="00275967" w:rsidP="00CE4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86490"/>
      <w:docPartObj>
        <w:docPartGallery w:val="Page Numbers (Top of Page)"/>
        <w:docPartUnique/>
      </w:docPartObj>
    </w:sdtPr>
    <w:sdtEndPr>
      <w:rPr>
        <w:noProof/>
      </w:rPr>
    </w:sdtEndPr>
    <w:sdtContent>
      <w:p w14:paraId="2C06B9D7" w14:textId="77777777" w:rsidR="003536D5" w:rsidRDefault="003536D5">
        <w:pPr>
          <w:pStyle w:val="Header"/>
          <w:jc w:val="center"/>
        </w:pPr>
        <w:r>
          <w:fldChar w:fldCharType="begin"/>
        </w:r>
        <w:r>
          <w:instrText xml:space="preserve"> PAGE   \* MERGEFORMAT </w:instrText>
        </w:r>
        <w:r>
          <w:fldChar w:fldCharType="separate"/>
        </w:r>
        <w:r w:rsidR="00D36C4B">
          <w:rPr>
            <w:noProof/>
          </w:rPr>
          <w:t>6</w:t>
        </w:r>
        <w:r>
          <w:rPr>
            <w:noProof/>
          </w:rPr>
          <w:fldChar w:fldCharType="end"/>
        </w:r>
      </w:p>
    </w:sdtContent>
  </w:sdt>
  <w:p w14:paraId="191446DF" w14:textId="77777777" w:rsidR="00CE4D88" w:rsidRDefault="00CE4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566377"/>
    <w:multiLevelType w:val="hybridMultilevel"/>
    <w:tmpl w:val="F4B448B0"/>
    <w:lvl w:ilvl="0" w:tplc="C9F206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F550431"/>
    <w:multiLevelType w:val="hybridMultilevel"/>
    <w:tmpl w:val="84F66670"/>
    <w:lvl w:ilvl="0" w:tplc="D904F252">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83620"/>
    <w:multiLevelType w:val="hybridMultilevel"/>
    <w:tmpl w:val="A6B0410E"/>
    <w:lvl w:ilvl="0" w:tplc="EE445DD2">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E6328FD"/>
    <w:multiLevelType w:val="hybridMultilevel"/>
    <w:tmpl w:val="1122C956"/>
    <w:lvl w:ilvl="0" w:tplc="D6C251DE">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15:restartNumberingAfterBreak="0">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C329DB"/>
    <w:multiLevelType w:val="hybridMultilevel"/>
    <w:tmpl w:val="06B0DEB8"/>
    <w:lvl w:ilvl="0" w:tplc="399ED62C">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21397"/>
    <w:multiLevelType w:val="hybridMultilevel"/>
    <w:tmpl w:val="F7646632"/>
    <w:lvl w:ilvl="0" w:tplc="BDE82440">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5907C0"/>
    <w:multiLevelType w:val="hybridMultilevel"/>
    <w:tmpl w:val="6A163D80"/>
    <w:lvl w:ilvl="0" w:tplc="B95EE24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0818C0"/>
    <w:multiLevelType w:val="hybridMultilevel"/>
    <w:tmpl w:val="188E6D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2"/>
  </w:num>
  <w:num w:numId="5">
    <w:abstractNumId w:val="0"/>
  </w:num>
  <w:num w:numId="6">
    <w:abstractNumId w:val="9"/>
  </w:num>
  <w:num w:numId="7">
    <w:abstractNumId w:val="10"/>
  </w:num>
  <w:num w:numId="8">
    <w:abstractNumId w:val="7"/>
  </w:num>
  <w:num w:numId="9">
    <w:abstractNumId w:val="14"/>
  </w:num>
  <w:num w:numId="10">
    <w:abstractNumId w:val="3"/>
  </w:num>
  <w:num w:numId="11">
    <w:abstractNumId w:val="11"/>
  </w:num>
  <w:num w:numId="12">
    <w:abstractNumId w:val="5"/>
  </w:num>
  <w:num w:numId="13">
    <w:abstractNumId w:val="8"/>
  </w:num>
  <w:num w:numId="14">
    <w:abstractNumId w:val="6"/>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5D79"/>
    <w:rsid w:val="00007CA7"/>
    <w:rsid w:val="00013318"/>
    <w:rsid w:val="00015B6C"/>
    <w:rsid w:val="00022942"/>
    <w:rsid w:val="00034414"/>
    <w:rsid w:val="0004088C"/>
    <w:rsid w:val="00042B0F"/>
    <w:rsid w:val="000449A0"/>
    <w:rsid w:val="00046F6E"/>
    <w:rsid w:val="00050CBB"/>
    <w:rsid w:val="00056E33"/>
    <w:rsid w:val="00057BD7"/>
    <w:rsid w:val="00062EA2"/>
    <w:rsid w:val="00065A63"/>
    <w:rsid w:val="00070CFF"/>
    <w:rsid w:val="000729FD"/>
    <w:rsid w:val="00073804"/>
    <w:rsid w:val="00073CA3"/>
    <w:rsid w:val="00075223"/>
    <w:rsid w:val="000816CC"/>
    <w:rsid w:val="00090A3C"/>
    <w:rsid w:val="000A4250"/>
    <w:rsid w:val="000A79F0"/>
    <w:rsid w:val="000B101E"/>
    <w:rsid w:val="000C3E9C"/>
    <w:rsid w:val="000D00C0"/>
    <w:rsid w:val="000D0B15"/>
    <w:rsid w:val="000D65B1"/>
    <w:rsid w:val="000E2EC8"/>
    <w:rsid w:val="00103C93"/>
    <w:rsid w:val="00104131"/>
    <w:rsid w:val="00104DB3"/>
    <w:rsid w:val="00105B8A"/>
    <w:rsid w:val="0010635D"/>
    <w:rsid w:val="00110EF4"/>
    <w:rsid w:val="001118EF"/>
    <w:rsid w:val="00124C44"/>
    <w:rsid w:val="00132DD6"/>
    <w:rsid w:val="00132DFB"/>
    <w:rsid w:val="00144101"/>
    <w:rsid w:val="00160A62"/>
    <w:rsid w:val="001619C8"/>
    <w:rsid w:val="00163EDA"/>
    <w:rsid w:val="00173796"/>
    <w:rsid w:val="001807E9"/>
    <w:rsid w:val="001827E5"/>
    <w:rsid w:val="00195190"/>
    <w:rsid w:val="001A144F"/>
    <w:rsid w:val="001A17B6"/>
    <w:rsid w:val="001A21C8"/>
    <w:rsid w:val="001C3108"/>
    <w:rsid w:val="001C7885"/>
    <w:rsid w:val="001E7767"/>
    <w:rsid w:val="001E7789"/>
    <w:rsid w:val="001F43C5"/>
    <w:rsid w:val="001F6716"/>
    <w:rsid w:val="00203277"/>
    <w:rsid w:val="00206350"/>
    <w:rsid w:val="00207F20"/>
    <w:rsid w:val="00212075"/>
    <w:rsid w:val="00231C7F"/>
    <w:rsid w:val="00237893"/>
    <w:rsid w:val="00243ED8"/>
    <w:rsid w:val="002442F5"/>
    <w:rsid w:val="0026571E"/>
    <w:rsid w:val="00275967"/>
    <w:rsid w:val="00275F82"/>
    <w:rsid w:val="00276C59"/>
    <w:rsid w:val="00281295"/>
    <w:rsid w:val="00283D21"/>
    <w:rsid w:val="00284002"/>
    <w:rsid w:val="002907B4"/>
    <w:rsid w:val="002923CC"/>
    <w:rsid w:val="00293F9F"/>
    <w:rsid w:val="002A1110"/>
    <w:rsid w:val="002A456D"/>
    <w:rsid w:val="002A7042"/>
    <w:rsid w:val="002B3534"/>
    <w:rsid w:val="002C1253"/>
    <w:rsid w:val="002C252A"/>
    <w:rsid w:val="002C531D"/>
    <w:rsid w:val="002E2440"/>
    <w:rsid w:val="002F2B9D"/>
    <w:rsid w:val="002F338E"/>
    <w:rsid w:val="00300F7C"/>
    <w:rsid w:val="00303218"/>
    <w:rsid w:val="00311257"/>
    <w:rsid w:val="003200B0"/>
    <w:rsid w:val="003252A4"/>
    <w:rsid w:val="0034252E"/>
    <w:rsid w:val="00342A3D"/>
    <w:rsid w:val="00345897"/>
    <w:rsid w:val="00345B2A"/>
    <w:rsid w:val="00347E04"/>
    <w:rsid w:val="003536D5"/>
    <w:rsid w:val="0035596F"/>
    <w:rsid w:val="00357E6A"/>
    <w:rsid w:val="00363288"/>
    <w:rsid w:val="00366D6A"/>
    <w:rsid w:val="0037647B"/>
    <w:rsid w:val="00394F0D"/>
    <w:rsid w:val="0039630F"/>
    <w:rsid w:val="003A0EDB"/>
    <w:rsid w:val="003A22FC"/>
    <w:rsid w:val="003A4BE6"/>
    <w:rsid w:val="003A5B26"/>
    <w:rsid w:val="003A7954"/>
    <w:rsid w:val="003B5BB3"/>
    <w:rsid w:val="003B71DC"/>
    <w:rsid w:val="003D44B8"/>
    <w:rsid w:val="003D4842"/>
    <w:rsid w:val="003D4925"/>
    <w:rsid w:val="003D5E8E"/>
    <w:rsid w:val="003D780C"/>
    <w:rsid w:val="003E3B60"/>
    <w:rsid w:val="003E4203"/>
    <w:rsid w:val="003F6BAE"/>
    <w:rsid w:val="00406BF0"/>
    <w:rsid w:val="00412479"/>
    <w:rsid w:val="004174A4"/>
    <w:rsid w:val="004202B1"/>
    <w:rsid w:val="00427FBF"/>
    <w:rsid w:val="0043624D"/>
    <w:rsid w:val="004362C0"/>
    <w:rsid w:val="00442DD1"/>
    <w:rsid w:val="0045116B"/>
    <w:rsid w:val="004629EC"/>
    <w:rsid w:val="00462ABF"/>
    <w:rsid w:val="004647AF"/>
    <w:rsid w:val="00465514"/>
    <w:rsid w:val="00465919"/>
    <w:rsid w:val="00481970"/>
    <w:rsid w:val="00485AA7"/>
    <w:rsid w:val="00487FA7"/>
    <w:rsid w:val="00492F64"/>
    <w:rsid w:val="0049411D"/>
    <w:rsid w:val="004A4141"/>
    <w:rsid w:val="004C29A6"/>
    <w:rsid w:val="004D045F"/>
    <w:rsid w:val="004D1F9A"/>
    <w:rsid w:val="004E2C2B"/>
    <w:rsid w:val="004E75A5"/>
    <w:rsid w:val="00500885"/>
    <w:rsid w:val="00504759"/>
    <w:rsid w:val="0052177A"/>
    <w:rsid w:val="00533FA8"/>
    <w:rsid w:val="0053696C"/>
    <w:rsid w:val="00537C20"/>
    <w:rsid w:val="0055674F"/>
    <w:rsid w:val="0055712F"/>
    <w:rsid w:val="005638A9"/>
    <w:rsid w:val="00563B81"/>
    <w:rsid w:val="005939AE"/>
    <w:rsid w:val="00595E2D"/>
    <w:rsid w:val="0059781E"/>
    <w:rsid w:val="005A7A4F"/>
    <w:rsid w:val="005B06BB"/>
    <w:rsid w:val="005B6D59"/>
    <w:rsid w:val="005D22F9"/>
    <w:rsid w:val="005D4AE6"/>
    <w:rsid w:val="005D6973"/>
    <w:rsid w:val="005E5A60"/>
    <w:rsid w:val="005F3214"/>
    <w:rsid w:val="005F45D9"/>
    <w:rsid w:val="00601980"/>
    <w:rsid w:val="0060380F"/>
    <w:rsid w:val="00605367"/>
    <w:rsid w:val="006071A8"/>
    <w:rsid w:val="00622A8F"/>
    <w:rsid w:val="00624039"/>
    <w:rsid w:val="0062668A"/>
    <w:rsid w:val="00631A74"/>
    <w:rsid w:val="00635762"/>
    <w:rsid w:val="00644ADF"/>
    <w:rsid w:val="00646392"/>
    <w:rsid w:val="0064643E"/>
    <w:rsid w:val="00646919"/>
    <w:rsid w:val="00653C36"/>
    <w:rsid w:val="006563F2"/>
    <w:rsid w:val="00657820"/>
    <w:rsid w:val="00657CB2"/>
    <w:rsid w:val="00662FAB"/>
    <w:rsid w:val="00665A69"/>
    <w:rsid w:val="006664DE"/>
    <w:rsid w:val="006665DC"/>
    <w:rsid w:val="00691CA7"/>
    <w:rsid w:val="00693436"/>
    <w:rsid w:val="006B5656"/>
    <w:rsid w:val="006B76A6"/>
    <w:rsid w:val="006B7AA8"/>
    <w:rsid w:val="006C6A98"/>
    <w:rsid w:val="006D2C69"/>
    <w:rsid w:val="006E394B"/>
    <w:rsid w:val="006F3606"/>
    <w:rsid w:val="007017C8"/>
    <w:rsid w:val="00703DDF"/>
    <w:rsid w:val="00711247"/>
    <w:rsid w:val="00712C13"/>
    <w:rsid w:val="00714175"/>
    <w:rsid w:val="00720641"/>
    <w:rsid w:val="0072108F"/>
    <w:rsid w:val="007218FD"/>
    <w:rsid w:val="0072367F"/>
    <w:rsid w:val="007251B2"/>
    <w:rsid w:val="0072603D"/>
    <w:rsid w:val="00737367"/>
    <w:rsid w:val="00741B02"/>
    <w:rsid w:val="007479B9"/>
    <w:rsid w:val="0075067E"/>
    <w:rsid w:val="00750FC8"/>
    <w:rsid w:val="00763A89"/>
    <w:rsid w:val="00774C21"/>
    <w:rsid w:val="00775E71"/>
    <w:rsid w:val="00785E4A"/>
    <w:rsid w:val="00786F83"/>
    <w:rsid w:val="00793683"/>
    <w:rsid w:val="00793791"/>
    <w:rsid w:val="007A535D"/>
    <w:rsid w:val="007B2E1C"/>
    <w:rsid w:val="007B3EA1"/>
    <w:rsid w:val="007B5179"/>
    <w:rsid w:val="007B7E31"/>
    <w:rsid w:val="007E4FE4"/>
    <w:rsid w:val="007E6084"/>
    <w:rsid w:val="007E77E4"/>
    <w:rsid w:val="008028CD"/>
    <w:rsid w:val="00817321"/>
    <w:rsid w:val="00823278"/>
    <w:rsid w:val="00833902"/>
    <w:rsid w:val="00833E85"/>
    <w:rsid w:val="008464D2"/>
    <w:rsid w:val="0085595E"/>
    <w:rsid w:val="00864DF9"/>
    <w:rsid w:val="00874E92"/>
    <w:rsid w:val="008807B5"/>
    <w:rsid w:val="00883365"/>
    <w:rsid w:val="008A01F4"/>
    <w:rsid w:val="008A16EF"/>
    <w:rsid w:val="008C0079"/>
    <w:rsid w:val="008E4C8A"/>
    <w:rsid w:val="008F743B"/>
    <w:rsid w:val="00901CEF"/>
    <w:rsid w:val="00902191"/>
    <w:rsid w:val="00905BEF"/>
    <w:rsid w:val="00920D6B"/>
    <w:rsid w:val="00920DBA"/>
    <w:rsid w:val="00922E9A"/>
    <w:rsid w:val="00930AE2"/>
    <w:rsid w:val="009313B8"/>
    <w:rsid w:val="00934910"/>
    <w:rsid w:val="0094096E"/>
    <w:rsid w:val="00946175"/>
    <w:rsid w:val="00954639"/>
    <w:rsid w:val="009564CE"/>
    <w:rsid w:val="00961872"/>
    <w:rsid w:val="00965493"/>
    <w:rsid w:val="00976558"/>
    <w:rsid w:val="00980E52"/>
    <w:rsid w:val="00985345"/>
    <w:rsid w:val="00986F1F"/>
    <w:rsid w:val="00996F56"/>
    <w:rsid w:val="009A51CC"/>
    <w:rsid w:val="009B017F"/>
    <w:rsid w:val="009C65F0"/>
    <w:rsid w:val="009C68B6"/>
    <w:rsid w:val="009C7C00"/>
    <w:rsid w:val="009D14BA"/>
    <w:rsid w:val="009E43D9"/>
    <w:rsid w:val="00A0377E"/>
    <w:rsid w:val="00A054A9"/>
    <w:rsid w:val="00A0610A"/>
    <w:rsid w:val="00A10BA2"/>
    <w:rsid w:val="00A10F6F"/>
    <w:rsid w:val="00A115BA"/>
    <w:rsid w:val="00A156B9"/>
    <w:rsid w:val="00A21F92"/>
    <w:rsid w:val="00A2372D"/>
    <w:rsid w:val="00A26259"/>
    <w:rsid w:val="00A27144"/>
    <w:rsid w:val="00A316C9"/>
    <w:rsid w:val="00A32D4A"/>
    <w:rsid w:val="00A34D02"/>
    <w:rsid w:val="00A42BCE"/>
    <w:rsid w:val="00A51823"/>
    <w:rsid w:val="00A51E29"/>
    <w:rsid w:val="00A561BF"/>
    <w:rsid w:val="00A60009"/>
    <w:rsid w:val="00A7275A"/>
    <w:rsid w:val="00AA7BD9"/>
    <w:rsid w:val="00AB1610"/>
    <w:rsid w:val="00AC2F80"/>
    <w:rsid w:val="00AC6491"/>
    <w:rsid w:val="00AC6988"/>
    <w:rsid w:val="00AD2E44"/>
    <w:rsid w:val="00AD3966"/>
    <w:rsid w:val="00AF23BC"/>
    <w:rsid w:val="00B000B5"/>
    <w:rsid w:val="00B0582E"/>
    <w:rsid w:val="00B2725C"/>
    <w:rsid w:val="00B317F3"/>
    <w:rsid w:val="00B33325"/>
    <w:rsid w:val="00B45851"/>
    <w:rsid w:val="00B47F60"/>
    <w:rsid w:val="00B5084E"/>
    <w:rsid w:val="00B522B8"/>
    <w:rsid w:val="00B55049"/>
    <w:rsid w:val="00B5728C"/>
    <w:rsid w:val="00B60859"/>
    <w:rsid w:val="00B62E9D"/>
    <w:rsid w:val="00B7321E"/>
    <w:rsid w:val="00B94DB2"/>
    <w:rsid w:val="00BB2D4A"/>
    <w:rsid w:val="00BB36D8"/>
    <w:rsid w:val="00BC0FC8"/>
    <w:rsid w:val="00BC3246"/>
    <w:rsid w:val="00BC5367"/>
    <w:rsid w:val="00BD56A3"/>
    <w:rsid w:val="00BE3E80"/>
    <w:rsid w:val="00BE664D"/>
    <w:rsid w:val="00BE6A43"/>
    <w:rsid w:val="00BF11AA"/>
    <w:rsid w:val="00BF4E60"/>
    <w:rsid w:val="00C05019"/>
    <w:rsid w:val="00C07327"/>
    <w:rsid w:val="00C1320E"/>
    <w:rsid w:val="00C20009"/>
    <w:rsid w:val="00C321CF"/>
    <w:rsid w:val="00C41CDD"/>
    <w:rsid w:val="00C461B7"/>
    <w:rsid w:val="00C52198"/>
    <w:rsid w:val="00C625C9"/>
    <w:rsid w:val="00C724CE"/>
    <w:rsid w:val="00C72CB1"/>
    <w:rsid w:val="00C7302E"/>
    <w:rsid w:val="00C73FD4"/>
    <w:rsid w:val="00C81A52"/>
    <w:rsid w:val="00C94991"/>
    <w:rsid w:val="00C96E06"/>
    <w:rsid w:val="00C9754E"/>
    <w:rsid w:val="00CA10D0"/>
    <w:rsid w:val="00CA26DB"/>
    <w:rsid w:val="00CA52FC"/>
    <w:rsid w:val="00CA5BA6"/>
    <w:rsid w:val="00CA6A2F"/>
    <w:rsid w:val="00CB4E50"/>
    <w:rsid w:val="00CC09D7"/>
    <w:rsid w:val="00CC56DA"/>
    <w:rsid w:val="00CD7023"/>
    <w:rsid w:val="00CE4D88"/>
    <w:rsid w:val="00CE6EFB"/>
    <w:rsid w:val="00CE7BE5"/>
    <w:rsid w:val="00CF1A04"/>
    <w:rsid w:val="00CF24BB"/>
    <w:rsid w:val="00CF5AEB"/>
    <w:rsid w:val="00CF7F5A"/>
    <w:rsid w:val="00D01A6B"/>
    <w:rsid w:val="00D04D1E"/>
    <w:rsid w:val="00D07A5C"/>
    <w:rsid w:val="00D12F7D"/>
    <w:rsid w:val="00D2298F"/>
    <w:rsid w:val="00D25915"/>
    <w:rsid w:val="00D30689"/>
    <w:rsid w:val="00D36C4B"/>
    <w:rsid w:val="00D46637"/>
    <w:rsid w:val="00D47F50"/>
    <w:rsid w:val="00D52DC5"/>
    <w:rsid w:val="00D53915"/>
    <w:rsid w:val="00D55AE4"/>
    <w:rsid w:val="00D6223D"/>
    <w:rsid w:val="00D73B29"/>
    <w:rsid w:val="00DA0C63"/>
    <w:rsid w:val="00DA5AC1"/>
    <w:rsid w:val="00DA6C24"/>
    <w:rsid w:val="00DB3465"/>
    <w:rsid w:val="00DD1A7D"/>
    <w:rsid w:val="00DD4F7A"/>
    <w:rsid w:val="00DE390B"/>
    <w:rsid w:val="00DF39BD"/>
    <w:rsid w:val="00DF3DB8"/>
    <w:rsid w:val="00E00429"/>
    <w:rsid w:val="00E01F7D"/>
    <w:rsid w:val="00E021AC"/>
    <w:rsid w:val="00E06656"/>
    <w:rsid w:val="00E10206"/>
    <w:rsid w:val="00E11675"/>
    <w:rsid w:val="00E203ED"/>
    <w:rsid w:val="00E21712"/>
    <w:rsid w:val="00E31009"/>
    <w:rsid w:val="00E5040F"/>
    <w:rsid w:val="00E51355"/>
    <w:rsid w:val="00E537F1"/>
    <w:rsid w:val="00E6097B"/>
    <w:rsid w:val="00E60C8E"/>
    <w:rsid w:val="00E6108F"/>
    <w:rsid w:val="00E6373C"/>
    <w:rsid w:val="00E65B72"/>
    <w:rsid w:val="00E66B77"/>
    <w:rsid w:val="00E67E66"/>
    <w:rsid w:val="00E82888"/>
    <w:rsid w:val="00E974AE"/>
    <w:rsid w:val="00EA44F3"/>
    <w:rsid w:val="00EA4729"/>
    <w:rsid w:val="00EB4303"/>
    <w:rsid w:val="00EB7114"/>
    <w:rsid w:val="00EC2B18"/>
    <w:rsid w:val="00ED0E21"/>
    <w:rsid w:val="00ED4D92"/>
    <w:rsid w:val="00EF0DB4"/>
    <w:rsid w:val="00EF16AB"/>
    <w:rsid w:val="00EF47F5"/>
    <w:rsid w:val="00F008E4"/>
    <w:rsid w:val="00F21469"/>
    <w:rsid w:val="00F22C21"/>
    <w:rsid w:val="00F230BD"/>
    <w:rsid w:val="00F23E5D"/>
    <w:rsid w:val="00F2433A"/>
    <w:rsid w:val="00F25201"/>
    <w:rsid w:val="00F25B69"/>
    <w:rsid w:val="00F313C8"/>
    <w:rsid w:val="00F32FD6"/>
    <w:rsid w:val="00F43937"/>
    <w:rsid w:val="00F47513"/>
    <w:rsid w:val="00F505A6"/>
    <w:rsid w:val="00F539F8"/>
    <w:rsid w:val="00F54857"/>
    <w:rsid w:val="00F570F0"/>
    <w:rsid w:val="00F6017A"/>
    <w:rsid w:val="00F61E71"/>
    <w:rsid w:val="00F7797C"/>
    <w:rsid w:val="00F817A8"/>
    <w:rsid w:val="00FA2A77"/>
    <w:rsid w:val="00FD02A7"/>
    <w:rsid w:val="00FE092D"/>
    <w:rsid w:val="00FF19C1"/>
    <w:rsid w:val="00FF3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08ED"/>
  <w15:docId w15:val="{54091B32-803B-4129-BF97-FEB1181D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paragraph" w:styleId="Heading1">
    <w:name w:val="heading 1"/>
    <w:basedOn w:val="Normal"/>
    <w:link w:val="Heading1Char"/>
    <w:uiPriority w:val="9"/>
    <w:qFormat/>
    <w:rsid w:val="002F338E"/>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34"/>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semiHidden/>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semiHidden/>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customStyle="1" w:styleId="CM4">
    <w:name w:val="CM4"/>
    <w:basedOn w:val="Normal"/>
    <w:next w:val="Normal"/>
    <w:uiPriority w:val="99"/>
    <w:rsid w:val="00CA26DB"/>
    <w:pPr>
      <w:autoSpaceDE w:val="0"/>
      <w:autoSpaceDN w:val="0"/>
      <w:adjustRightInd w:val="0"/>
      <w:spacing w:after="0" w:line="240" w:lineRule="auto"/>
    </w:pPr>
    <w:rPr>
      <w:rFonts w:cs="Times New Roman"/>
      <w:szCs w:val="24"/>
    </w:rPr>
  </w:style>
  <w:style w:type="paragraph" w:customStyle="1" w:styleId="naiskr">
    <w:name w:val="naiskr"/>
    <w:basedOn w:val="Normal"/>
    <w:rsid w:val="00FF19C1"/>
    <w:pPr>
      <w:spacing w:before="75" w:after="75" w:line="240" w:lineRule="auto"/>
    </w:pPr>
    <w:rPr>
      <w:rFonts w:eastAsia="Times New Roman" w:cs="Times New Roman"/>
      <w:szCs w:val="24"/>
      <w:lang w:eastAsia="lv-LV"/>
    </w:rPr>
  </w:style>
  <w:style w:type="character" w:styleId="Strong">
    <w:name w:val="Strong"/>
    <w:uiPriority w:val="22"/>
    <w:qFormat/>
    <w:rsid w:val="00712C13"/>
    <w:rPr>
      <w:b/>
      <w:bCs/>
    </w:rPr>
  </w:style>
  <w:style w:type="paragraph" w:customStyle="1" w:styleId="naisal">
    <w:name w:val="naisal"/>
    <w:basedOn w:val="Normal"/>
    <w:rsid w:val="00EF47F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EF47F5"/>
  </w:style>
  <w:style w:type="paragraph" w:customStyle="1" w:styleId="naispant">
    <w:name w:val="naispant"/>
    <w:basedOn w:val="Normal"/>
    <w:rsid w:val="002F338E"/>
    <w:pPr>
      <w:spacing w:before="100" w:beforeAutospacing="1" w:after="100" w:afterAutospacing="1" w:line="240" w:lineRule="auto"/>
    </w:pPr>
    <w:rPr>
      <w:rFonts w:eastAsia="Times New Roman" w:cs="Times New Roman"/>
      <w:szCs w:val="24"/>
      <w:lang w:eastAsia="lv-LV"/>
    </w:rPr>
  </w:style>
  <w:style w:type="paragraph" w:customStyle="1" w:styleId="naispie">
    <w:name w:val="naispie"/>
    <w:basedOn w:val="Normal"/>
    <w:rsid w:val="002F338E"/>
    <w:pPr>
      <w:spacing w:before="100" w:beforeAutospacing="1" w:after="100" w:afterAutospacing="1" w:line="240" w:lineRule="auto"/>
    </w:pPr>
    <w:rPr>
      <w:rFonts w:eastAsia="Times New Roman" w:cs="Times New Roman"/>
      <w:szCs w:val="24"/>
      <w:lang w:eastAsia="lv-LV"/>
    </w:rPr>
  </w:style>
  <w:style w:type="character" w:customStyle="1" w:styleId="Heading1Char">
    <w:name w:val="Heading 1 Char"/>
    <w:basedOn w:val="DefaultParagraphFont"/>
    <w:link w:val="Heading1"/>
    <w:uiPriority w:val="9"/>
    <w:rsid w:val="002F338E"/>
    <w:rPr>
      <w:rFonts w:eastAsia="Times New Roman" w:cs="Times New Roman"/>
      <w:b/>
      <w:bCs/>
      <w:kern w:val="36"/>
      <w:sz w:val="48"/>
      <w:szCs w:val="48"/>
      <w:lang w:eastAsia="lv-LV"/>
    </w:rPr>
  </w:style>
  <w:style w:type="character" w:customStyle="1" w:styleId="BodyText1">
    <w:name w:val="Body Text1"/>
    <w:rsid w:val="00666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448">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111439770">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Kranevs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93CB-377A-40E0-99F3-5F2A12C1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7902</Words>
  <Characters>4505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Iesniegumu par muitas nodokļa atcelšanu un kvotu piemērošanu, kā arī noraidījumu sagatavošanas kārtība</vt:lpstr>
    </vt:vector>
  </TitlesOfParts>
  <Manager>S.Āmare-Pilka</Manager>
  <Company>Finanšu ministrija</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Iesniegumu par muitas nodokļa atcelšanu un kvotu piemērošanu, kā arī noraidījumu sagatavošanas kārtība</dc:title>
  <dc:subject>Anotācija</dc:subject>
  <dc:creator>sanita.kranevska@fm.gov.lv</dc:creator>
  <dc:description>T.67095527
Sanita.Kranevska@fm.gov.lv</dc:description>
  <cp:lastModifiedBy>Sanita Kraņevska</cp:lastModifiedBy>
  <cp:revision>55</cp:revision>
  <cp:lastPrinted>2016-10-06T09:11:00Z</cp:lastPrinted>
  <dcterms:created xsi:type="dcterms:W3CDTF">2016-04-14T11:18:00Z</dcterms:created>
  <dcterms:modified xsi:type="dcterms:W3CDTF">2016-10-31T11:38:00Z</dcterms:modified>
</cp:coreProperties>
</file>