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F7295" w14:textId="77777777" w:rsidR="004A7EF0" w:rsidRPr="00093D7B" w:rsidRDefault="004A7EF0" w:rsidP="004A7EF0">
      <w:pPr>
        <w:jc w:val="center"/>
        <w:rPr>
          <w:b/>
          <w:bCs/>
          <w:sz w:val="28"/>
          <w:szCs w:val="28"/>
          <w:lang w:eastAsia="ru-RU"/>
        </w:rPr>
      </w:pPr>
      <w:r w:rsidRPr="00093D7B">
        <w:rPr>
          <w:b/>
          <w:sz w:val="28"/>
          <w:szCs w:val="28"/>
          <w:lang w:eastAsia="ru-RU"/>
        </w:rPr>
        <w:t>Ministru kabineta noteikumu projekta „</w:t>
      </w:r>
      <w:r w:rsidR="00276BAC" w:rsidRPr="00093D7B">
        <w:rPr>
          <w:b/>
          <w:sz w:val="28"/>
          <w:szCs w:val="28"/>
          <w:lang w:eastAsia="ru-RU"/>
        </w:rPr>
        <w:t>Noteikumi par vienotās azartspēļu automātu kontroles un uzraudzības sistēmas ieviešanas un uzturēšanas kārtību, sistēmā iekļauj</w:t>
      </w:r>
      <w:r w:rsidR="00C2518E" w:rsidRPr="00093D7B">
        <w:rPr>
          <w:b/>
          <w:sz w:val="28"/>
          <w:szCs w:val="28"/>
          <w:lang w:eastAsia="ru-RU"/>
        </w:rPr>
        <w:t>amajiem datiem un to apmaiņas kā</w:t>
      </w:r>
      <w:r w:rsidR="00276BAC" w:rsidRPr="00093D7B">
        <w:rPr>
          <w:b/>
          <w:sz w:val="28"/>
          <w:szCs w:val="28"/>
          <w:lang w:eastAsia="ru-RU"/>
        </w:rPr>
        <w:t>rtību</w:t>
      </w:r>
      <w:r w:rsidRPr="00093D7B">
        <w:rPr>
          <w:b/>
          <w:sz w:val="28"/>
          <w:szCs w:val="28"/>
          <w:lang w:eastAsia="ru-RU"/>
        </w:rPr>
        <w:t xml:space="preserve">” </w:t>
      </w:r>
      <w:r w:rsidRPr="00093D7B">
        <w:rPr>
          <w:b/>
          <w:bCs/>
          <w:sz w:val="28"/>
          <w:szCs w:val="28"/>
          <w:lang w:eastAsia="ru-RU"/>
        </w:rPr>
        <w:t>sākotnējās ietekmes novērtējuma ziņojums (anotācija)</w:t>
      </w:r>
    </w:p>
    <w:p w14:paraId="63BF7296" w14:textId="77777777" w:rsidR="001E4890" w:rsidRPr="00093D7B" w:rsidRDefault="001E4890" w:rsidP="004C0D5F">
      <w:pPr>
        <w:jc w:val="center"/>
        <w:rPr>
          <w:b/>
          <w:bCs/>
          <w:sz w:val="28"/>
          <w:szCs w:val="28"/>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3"/>
        <w:gridCol w:w="2249"/>
        <w:gridCol w:w="6636"/>
      </w:tblGrid>
      <w:tr w:rsidR="001E4890" w:rsidRPr="0037347B" w14:paraId="63BF7298"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3BF7297" w14:textId="77777777" w:rsidR="001E4890" w:rsidRPr="00093D7B" w:rsidRDefault="001E4890" w:rsidP="00052654">
            <w:pPr>
              <w:pStyle w:val="NormalWeb"/>
              <w:spacing w:before="0" w:beforeAutospacing="0" w:after="0" w:afterAutospacing="0"/>
              <w:jc w:val="center"/>
              <w:rPr>
                <w:b/>
                <w:bCs/>
                <w:sz w:val="28"/>
                <w:szCs w:val="28"/>
              </w:rPr>
            </w:pPr>
            <w:r w:rsidRPr="00093D7B">
              <w:rPr>
                <w:b/>
                <w:bCs/>
                <w:sz w:val="28"/>
                <w:szCs w:val="28"/>
              </w:rPr>
              <w:t>I. Tiesību akta projekta izstrādes nepieciešamība</w:t>
            </w:r>
          </w:p>
        </w:tc>
      </w:tr>
      <w:tr w:rsidR="001E4890" w:rsidRPr="0037347B" w14:paraId="63BF729E" w14:textId="77777777" w:rsidTr="00A436BC">
        <w:trPr>
          <w:trHeight w:val="646"/>
        </w:trPr>
        <w:tc>
          <w:tcPr>
            <w:tcW w:w="298" w:type="pct"/>
            <w:tcBorders>
              <w:top w:val="outset" w:sz="6" w:space="0" w:color="000000"/>
              <w:left w:val="outset" w:sz="6" w:space="0" w:color="000000"/>
              <w:bottom w:val="outset" w:sz="6" w:space="0" w:color="000000"/>
              <w:right w:val="outset" w:sz="6" w:space="0" w:color="000000"/>
            </w:tcBorders>
            <w:hideMark/>
          </w:tcPr>
          <w:p w14:paraId="63BF7299" w14:textId="77777777" w:rsidR="001E4890" w:rsidRPr="00093D7B" w:rsidRDefault="001E4890" w:rsidP="00052654">
            <w:pPr>
              <w:pStyle w:val="NormalWeb"/>
              <w:spacing w:before="0" w:beforeAutospacing="0" w:after="0" w:afterAutospacing="0"/>
              <w:rPr>
                <w:sz w:val="28"/>
                <w:szCs w:val="28"/>
              </w:rPr>
            </w:pPr>
            <w:r w:rsidRPr="00093D7B">
              <w:rPr>
                <w:sz w:val="28"/>
                <w:szCs w:val="28"/>
              </w:rPr>
              <w:t>1.</w:t>
            </w:r>
          </w:p>
        </w:tc>
        <w:tc>
          <w:tcPr>
            <w:tcW w:w="1190" w:type="pct"/>
            <w:tcBorders>
              <w:top w:val="outset" w:sz="6" w:space="0" w:color="000000"/>
              <w:left w:val="outset" w:sz="6" w:space="0" w:color="000000"/>
              <w:bottom w:val="outset" w:sz="6" w:space="0" w:color="000000"/>
              <w:right w:val="outset" w:sz="6" w:space="0" w:color="000000"/>
            </w:tcBorders>
            <w:hideMark/>
          </w:tcPr>
          <w:p w14:paraId="63BF729A" w14:textId="77777777" w:rsidR="001E4890" w:rsidRPr="00093D7B" w:rsidRDefault="001E4890" w:rsidP="00052654">
            <w:pPr>
              <w:pStyle w:val="NormalWeb"/>
              <w:spacing w:before="0" w:beforeAutospacing="0" w:after="0" w:afterAutospacing="0"/>
              <w:rPr>
                <w:sz w:val="28"/>
                <w:szCs w:val="28"/>
              </w:rPr>
            </w:pPr>
            <w:r w:rsidRPr="00093D7B">
              <w:rPr>
                <w:sz w:val="28"/>
                <w:szCs w:val="28"/>
              </w:rPr>
              <w:t>Pamatojums</w:t>
            </w:r>
          </w:p>
        </w:tc>
        <w:tc>
          <w:tcPr>
            <w:tcW w:w="3512" w:type="pct"/>
            <w:tcBorders>
              <w:top w:val="outset" w:sz="6" w:space="0" w:color="000000"/>
              <w:left w:val="outset" w:sz="6" w:space="0" w:color="000000"/>
              <w:bottom w:val="outset" w:sz="6" w:space="0" w:color="000000"/>
              <w:right w:val="outset" w:sz="6" w:space="0" w:color="000000"/>
            </w:tcBorders>
            <w:hideMark/>
          </w:tcPr>
          <w:p w14:paraId="63BF729B" w14:textId="77777777" w:rsidR="00AE5023" w:rsidRPr="00093D7B" w:rsidRDefault="0037347B" w:rsidP="005C14B8">
            <w:pPr>
              <w:jc w:val="both"/>
              <w:rPr>
                <w:sz w:val="28"/>
                <w:szCs w:val="28"/>
              </w:rPr>
            </w:pPr>
            <w:r w:rsidRPr="00093D7B">
              <w:rPr>
                <w:sz w:val="28"/>
                <w:szCs w:val="28"/>
              </w:rPr>
              <w:t>Azartspēļu un izložu likuma 24.panta otrā daļa</w:t>
            </w:r>
            <w:r w:rsidR="00C2518E" w:rsidRPr="00093D7B">
              <w:rPr>
                <w:sz w:val="28"/>
                <w:szCs w:val="28"/>
              </w:rPr>
              <w:t>.</w:t>
            </w:r>
          </w:p>
          <w:p w14:paraId="63BF729C" w14:textId="77777777" w:rsidR="0037347B" w:rsidRPr="00093D7B" w:rsidRDefault="0037347B" w:rsidP="005C14B8">
            <w:pPr>
              <w:jc w:val="both"/>
              <w:rPr>
                <w:sz w:val="28"/>
                <w:szCs w:val="28"/>
              </w:rPr>
            </w:pPr>
            <w:r w:rsidRPr="00093D7B">
              <w:rPr>
                <w:sz w:val="28"/>
                <w:szCs w:val="28"/>
              </w:rPr>
              <w:t>Ministru kabineta 2012.gada 30.oktobra rīkojuma Nr.518 “Par koncepciju “Par azartspēļu automātu saslēgšanu vienotā tīklā”” 2.2.apakšpunkts.</w:t>
            </w:r>
          </w:p>
          <w:p w14:paraId="63BF729D" w14:textId="77777777" w:rsidR="00276BAC" w:rsidRPr="00093D7B" w:rsidRDefault="00665CA6" w:rsidP="00665CA6">
            <w:pPr>
              <w:jc w:val="both"/>
              <w:rPr>
                <w:sz w:val="28"/>
                <w:szCs w:val="28"/>
              </w:rPr>
            </w:pPr>
            <w:r w:rsidRPr="00093D7B">
              <w:rPr>
                <w:sz w:val="28"/>
                <w:szCs w:val="28"/>
              </w:rPr>
              <w:t xml:space="preserve">Ar </w:t>
            </w:r>
            <w:r w:rsidR="00276BAC" w:rsidRPr="00093D7B">
              <w:rPr>
                <w:sz w:val="28"/>
                <w:szCs w:val="28"/>
              </w:rPr>
              <w:t>Ministru kabine</w:t>
            </w:r>
            <w:r w:rsidRPr="00093D7B">
              <w:rPr>
                <w:sz w:val="28"/>
                <w:szCs w:val="28"/>
              </w:rPr>
              <w:t>ta 2010.gada 26.augusta rīkojumu</w:t>
            </w:r>
            <w:r w:rsidR="00276BAC" w:rsidRPr="00093D7B">
              <w:rPr>
                <w:sz w:val="28"/>
                <w:szCs w:val="28"/>
              </w:rPr>
              <w:t xml:space="preserve"> Nr.513 “Par pasākumu plānu ēnu ekonomikas apkarošanai un godīgas konkurences nodrošināšanai 2010.-2013.gadam” </w:t>
            </w:r>
            <w:r w:rsidRPr="00093D7B">
              <w:rPr>
                <w:sz w:val="28"/>
                <w:szCs w:val="28"/>
              </w:rPr>
              <w:t xml:space="preserve">apstiprinātā pasākumu plānā ēnu ekonomikas apkarošanai un godīgas konkurences nodrošināšanai </w:t>
            </w:r>
            <w:r w:rsidR="00276BAC" w:rsidRPr="00093D7B">
              <w:rPr>
                <w:sz w:val="28"/>
                <w:szCs w:val="28"/>
              </w:rPr>
              <w:t>46.punkts.</w:t>
            </w:r>
          </w:p>
        </w:tc>
      </w:tr>
      <w:tr w:rsidR="0058257C" w:rsidRPr="009752F5" w14:paraId="63BF72AE"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9F" w14:textId="77777777" w:rsidR="001E4890" w:rsidRPr="00093D7B" w:rsidRDefault="001E4890" w:rsidP="00052654">
            <w:pPr>
              <w:pStyle w:val="NormalWeb"/>
              <w:spacing w:before="0" w:beforeAutospacing="0" w:after="0" w:afterAutospacing="0"/>
              <w:rPr>
                <w:sz w:val="28"/>
                <w:szCs w:val="28"/>
              </w:rPr>
            </w:pPr>
            <w:r w:rsidRPr="00093D7B">
              <w:rPr>
                <w:sz w:val="28"/>
                <w:szCs w:val="28"/>
              </w:rPr>
              <w:t>2.</w:t>
            </w:r>
          </w:p>
        </w:tc>
        <w:tc>
          <w:tcPr>
            <w:tcW w:w="1190" w:type="pct"/>
            <w:tcBorders>
              <w:top w:val="outset" w:sz="6" w:space="0" w:color="000000"/>
              <w:left w:val="outset" w:sz="6" w:space="0" w:color="000000"/>
              <w:bottom w:val="outset" w:sz="6" w:space="0" w:color="000000"/>
              <w:right w:val="outset" w:sz="6" w:space="0" w:color="000000"/>
            </w:tcBorders>
            <w:hideMark/>
          </w:tcPr>
          <w:p w14:paraId="63BF72A0" w14:textId="77777777" w:rsidR="001E4890" w:rsidRPr="00093D7B" w:rsidRDefault="001E4890" w:rsidP="00850D6E">
            <w:pPr>
              <w:pStyle w:val="NormalWeb"/>
              <w:spacing w:before="0" w:beforeAutospacing="0" w:after="0" w:afterAutospacing="0"/>
              <w:rPr>
                <w:sz w:val="28"/>
                <w:szCs w:val="28"/>
              </w:rPr>
            </w:pPr>
            <w:r w:rsidRPr="00093D7B">
              <w:rPr>
                <w:sz w:val="28"/>
                <w:szCs w:val="28"/>
              </w:rPr>
              <w:t>Pašreizējā situācija un problēmas</w:t>
            </w:r>
            <w:r w:rsidR="002A4871" w:rsidRPr="00093D7B">
              <w:rPr>
                <w:sz w:val="28"/>
                <w:szCs w:val="28"/>
              </w:rPr>
              <w:t>, kuru risināšanai tiesību akta projekts izstrādāts</w:t>
            </w:r>
            <w:r w:rsidR="002A7800" w:rsidRPr="00093D7B">
              <w:rPr>
                <w:sz w:val="28"/>
                <w:szCs w:val="28"/>
              </w:rPr>
              <w:t>, tiesiskā regulējuma mērķis un būtība</w:t>
            </w:r>
          </w:p>
        </w:tc>
        <w:tc>
          <w:tcPr>
            <w:tcW w:w="3512" w:type="pct"/>
            <w:tcBorders>
              <w:top w:val="outset" w:sz="6" w:space="0" w:color="000000"/>
              <w:left w:val="outset" w:sz="6" w:space="0" w:color="000000"/>
              <w:bottom w:val="outset" w:sz="6" w:space="0" w:color="000000"/>
              <w:right w:val="outset" w:sz="6" w:space="0" w:color="000000"/>
            </w:tcBorders>
          </w:tcPr>
          <w:p w14:paraId="63BF72A1" w14:textId="5751B33A" w:rsidR="001952EA" w:rsidRPr="00093D7B" w:rsidRDefault="009752F5" w:rsidP="009F4B2E">
            <w:pPr>
              <w:tabs>
                <w:tab w:val="center" w:pos="4680"/>
                <w:tab w:val="right" w:pos="9360"/>
              </w:tabs>
              <w:jc w:val="both"/>
              <w:rPr>
                <w:sz w:val="28"/>
                <w:szCs w:val="28"/>
                <w:lang w:eastAsia="en-US"/>
              </w:rPr>
            </w:pPr>
            <w:r w:rsidRPr="00093D7B">
              <w:rPr>
                <w:sz w:val="28"/>
                <w:szCs w:val="28"/>
                <w:lang w:eastAsia="en-US"/>
              </w:rPr>
              <w:t>Saskaņā ar koncepciju “Par azartspēļu automātu saslēgšanu vienotā tīklā” (apstiprināta ar Ministru kabineta 2012.gada 30.oktobra rīkojumu Nr.518 “Par koncepciju “Par azartspēļu automātu saslēgšanu vienotā tīklā””</w:t>
            </w:r>
            <w:r w:rsidR="004466F9" w:rsidRPr="00093D7B">
              <w:rPr>
                <w:sz w:val="28"/>
                <w:szCs w:val="28"/>
                <w:lang w:eastAsia="en-US"/>
              </w:rPr>
              <w:t>)</w:t>
            </w:r>
            <w:r w:rsidR="00C20B3B" w:rsidRPr="00093D7B">
              <w:rPr>
                <w:sz w:val="28"/>
                <w:szCs w:val="28"/>
                <w:lang w:eastAsia="en-US"/>
              </w:rPr>
              <w:t xml:space="preserve"> (turpmāk – Koncepcija)</w:t>
            </w:r>
            <w:r w:rsidRPr="00093D7B">
              <w:rPr>
                <w:sz w:val="28"/>
                <w:szCs w:val="28"/>
                <w:lang w:eastAsia="en-US"/>
              </w:rPr>
              <w:t xml:space="preserve"> </w:t>
            </w:r>
            <w:r w:rsidR="007E5E9C" w:rsidRPr="00093D7B">
              <w:rPr>
                <w:sz w:val="28"/>
                <w:szCs w:val="28"/>
                <w:lang w:eastAsia="en-US"/>
              </w:rPr>
              <w:t xml:space="preserve">un Azartspēļu un izložu likuma 24.panta otro daļu </w:t>
            </w:r>
            <w:r w:rsidRPr="00093D7B">
              <w:rPr>
                <w:sz w:val="28"/>
                <w:szCs w:val="28"/>
                <w:lang w:eastAsia="en-US"/>
              </w:rPr>
              <w:t>ir paredzēts uzsākt vienotās azartspēļu automātu kontroles un uzraudzības sistēmas</w:t>
            </w:r>
            <w:r w:rsidR="0058257C" w:rsidRPr="00093D7B">
              <w:rPr>
                <w:sz w:val="28"/>
                <w:szCs w:val="28"/>
                <w:lang w:eastAsia="en-US"/>
              </w:rPr>
              <w:t xml:space="preserve"> (turpmāk – vienotā sistēma (AKUS))</w:t>
            </w:r>
            <w:r w:rsidRPr="00093D7B">
              <w:rPr>
                <w:sz w:val="28"/>
                <w:szCs w:val="28"/>
                <w:lang w:eastAsia="en-US"/>
              </w:rPr>
              <w:t xml:space="preserve"> ieviešanu, kas paredz, ka no 2019.gada 1.janvāra drīkstēs ekspluatēt tikai tādus azartspēļu automātus, kuri būs pieslēgti vienotajai sistēmai</w:t>
            </w:r>
            <w:r w:rsidR="0058257C" w:rsidRPr="00093D7B">
              <w:rPr>
                <w:sz w:val="28"/>
                <w:szCs w:val="28"/>
                <w:lang w:eastAsia="en-US"/>
              </w:rPr>
              <w:t xml:space="preserve"> (AKUS)</w:t>
            </w:r>
            <w:r w:rsidRPr="00093D7B">
              <w:rPr>
                <w:sz w:val="28"/>
                <w:szCs w:val="28"/>
                <w:lang w:eastAsia="en-US"/>
              </w:rPr>
              <w:t xml:space="preserve"> vienotā tīklā.</w:t>
            </w:r>
            <w:r w:rsidR="0058257C" w:rsidRPr="00093D7B">
              <w:rPr>
                <w:sz w:val="28"/>
                <w:szCs w:val="28"/>
                <w:lang w:eastAsia="en-US"/>
              </w:rPr>
              <w:t xml:space="preserve"> </w:t>
            </w:r>
            <w:r w:rsidR="00E65FA3" w:rsidRPr="00093D7B">
              <w:rPr>
                <w:sz w:val="28"/>
                <w:szCs w:val="28"/>
                <w:lang w:eastAsia="en-US"/>
              </w:rPr>
              <w:t>Lai azartspēļu organizētāji varētu veikt visus nepieciešamos sagatavošanās darbus azartspēļu automātu pieslēgšanai vienotajai si</w:t>
            </w:r>
            <w:r w:rsidR="00923D3D" w:rsidRPr="00093D7B">
              <w:rPr>
                <w:sz w:val="28"/>
                <w:szCs w:val="28"/>
                <w:lang w:eastAsia="en-US"/>
              </w:rPr>
              <w:t>stēmai (AKUS), tiek izstrādāts</w:t>
            </w:r>
            <w:r w:rsidR="0005658C" w:rsidRPr="00093D7B">
              <w:rPr>
                <w:sz w:val="28"/>
                <w:szCs w:val="28"/>
                <w:lang w:eastAsia="en-US"/>
              </w:rPr>
              <w:t xml:space="preserve"> Ministru kabineta noteikumu projekts „Noteikumi par vienotās azartspēļu automātu kontroles un uzraudzības sistēmas ieviešanas un uzturēšanas kārtību, sistēmā iekļaujamajiem datiem un to apmaiņas kārtību” (turpmāk- Noteikumu projekts)</w:t>
            </w:r>
            <w:r w:rsidR="00BF7448" w:rsidRPr="00093D7B">
              <w:rPr>
                <w:sz w:val="28"/>
                <w:szCs w:val="28"/>
                <w:lang w:eastAsia="en-US"/>
              </w:rPr>
              <w:t>.</w:t>
            </w:r>
            <w:r w:rsidR="00E65FA3" w:rsidRPr="00093D7B">
              <w:rPr>
                <w:sz w:val="28"/>
                <w:szCs w:val="28"/>
                <w:lang w:eastAsia="en-US"/>
              </w:rPr>
              <w:t xml:space="preserve"> </w:t>
            </w:r>
            <w:r w:rsidR="00BF7448" w:rsidRPr="00093D7B">
              <w:rPr>
                <w:sz w:val="28"/>
                <w:szCs w:val="28"/>
                <w:lang w:eastAsia="en-US"/>
              </w:rPr>
              <w:t xml:space="preserve">Tiek plānots, ka Noteikumu projekts </w:t>
            </w:r>
            <w:r w:rsidR="00E65FA3" w:rsidRPr="00093D7B">
              <w:rPr>
                <w:sz w:val="28"/>
                <w:szCs w:val="28"/>
                <w:lang w:eastAsia="en-US"/>
              </w:rPr>
              <w:t xml:space="preserve">stāsies spēkā </w:t>
            </w:r>
            <w:r w:rsidR="003C583E" w:rsidRPr="00093D7B">
              <w:rPr>
                <w:sz w:val="28"/>
                <w:szCs w:val="28"/>
                <w:lang w:eastAsia="en-US"/>
              </w:rPr>
              <w:t xml:space="preserve">ne vēlāk kā </w:t>
            </w:r>
            <w:r w:rsidR="00E65FA3" w:rsidRPr="00093D7B">
              <w:rPr>
                <w:sz w:val="28"/>
                <w:szCs w:val="28"/>
                <w:lang w:eastAsia="en-US"/>
              </w:rPr>
              <w:t xml:space="preserve">2017.gada 1.janvārī, lai nodrošinātu Finanšu ministrijas un biedrības “Spēļu biznesa asociācija” 2013.gada 28.jūnija vienošanās </w:t>
            </w:r>
            <w:r w:rsidR="004C619A" w:rsidRPr="00093D7B">
              <w:rPr>
                <w:sz w:val="28"/>
                <w:szCs w:val="28"/>
                <w:lang w:eastAsia="en-US"/>
              </w:rPr>
              <w:t>Nr.12-21/96 ceturt</w:t>
            </w:r>
            <w:r w:rsidR="003C583E" w:rsidRPr="00093D7B">
              <w:rPr>
                <w:sz w:val="28"/>
                <w:szCs w:val="28"/>
                <w:lang w:eastAsia="en-US"/>
              </w:rPr>
              <w:t xml:space="preserve">ā </w:t>
            </w:r>
            <w:r w:rsidR="00E65FA3" w:rsidRPr="00093D7B">
              <w:rPr>
                <w:sz w:val="28"/>
                <w:szCs w:val="28"/>
                <w:lang w:eastAsia="en-US"/>
              </w:rPr>
              <w:t>punkta izpildi</w:t>
            </w:r>
            <w:r w:rsidR="004466F9" w:rsidRPr="00093D7B">
              <w:rPr>
                <w:sz w:val="28"/>
                <w:szCs w:val="28"/>
                <w:lang w:eastAsia="en-US"/>
              </w:rPr>
              <w:t xml:space="preserve"> </w:t>
            </w:r>
            <w:r w:rsidR="00E65FA3" w:rsidRPr="00093D7B">
              <w:rPr>
                <w:sz w:val="28"/>
                <w:szCs w:val="28"/>
                <w:lang w:eastAsia="en-US"/>
              </w:rPr>
              <w:t>(Ministru kabineta noteikumi stājās spēkā ne vēlāk kā divus gadus pirms vienotās sistēmas (AKUS) ieviešanas termiņa</w:t>
            </w:r>
            <w:r w:rsidR="004466F9" w:rsidRPr="00093D7B">
              <w:rPr>
                <w:sz w:val="28"/>
                <w:szCs w:val="28"/>
                <w:lang w:eastAsia="en-US"/>
              </w:rPr>
              <w:t>)</w:t>
            </w:r>
            <w:r w:rsidR="00BF7448" w:rsidRPr="00093D7B">
              <w:rPr>
                <w:sz w:val="28"/>
                <w:szCs w:val="28"/>
                <w:lang w:eastAsia="en-US"/>
              </w:rPr>
              <w:t>, bet tas būs piemērojams no 2019.gada 1.janvāra (Noteikumu projekta 6.punkts)</w:t>
            </w:r>
            <w:r w:rsidR="00E65FA3" w:rsidRPr="00093D7B">
              <w:rPr>
                <w:sz w:val="28"/>
                <w:szCs w:val="28"/>
                <w:lang w:eastAsia="en-US"/>
              </w:rPr>
              <w:t>.</w:t>
            </w:r>
          </w:p>
          <w:p w14:paraId="63BF72A2" w14:textId="77777777" w:rsidR="003834DD" w:rsidRPr="00093D7B" w:rsidRDefault="003834DD" w:rsidP="003834DD">
            <w:pPr>
              <w:tabs>
                <w:tab w:val="center" w:pos="4680"/>
                <w:tab w:val="right" w:pos="9360"/>
              </w:tabs>
              <w:jc w:val="both"/>
              <w:rPr>
                <w:sz w:val="28"/>
                <w:szCs w:val="28"/>
                <w:lang w:eastAsia="en-US"/>
              </w:rPr>
            </w:pPr>
            <w:r w:rsidRPr="00093D7B">
              <w:rPr>
                <w:sz w:val="28"/>
                <w:szCs w:val="28"/>
                <w:lang w:eastAsia="en-US"/>
              </w:rPr>
              <w:t>Noteikumu projekts nosaka:</w:t>
            </w:r>
          </w:p>
          <w:p w14:paraId="63BF72A3" w14:textId="77777777" w:rsidR="003834DD" w:rsidRPr="00093D7B" w:rsidRDefault="003834DD" w:rsidP="003834DD">
            <w:pPr>
              <w:numPr>
                <w:ilvl w:val="0"/>
                <w:numId w:val="16"/>
              </w:numPr>
              <w:tabs>
                <w:tab w:val="center" w:pos="679"/>
                <w:tab w:val="right" w:pos="9360"/>
              </w:tabs>
              <w:ind w:left="679" w:hanging="319"/>
              <w:jc w:val="both"/>
              <w:rPr>
                <w:sz w:val="28"/>
                <w:szCs w:val="28"/>
                <w:lang w:eastAsia="en-US"/>
              </w:rPr>
            </w:pPr>
            <w:r w:rsidRPr="00093D7B">
              <w:rPr>
                <w:sz w:val="28"/>
                <w:szCs w:val="28"/>
                <w:lang w:eastAsia="en-US"/>
              </w:rPr>
              <w:lastRenderedPageBreak/>
              <w:t>vienotās sistēmas (AKUS) ie</w:t>
            </w:r>
            <w:r w:rsidR="00C30712" w:rsidRPr="00093D7B">
              <w:rPr>
                <w:sz w:val="28"/>
                <w:szCs w:val="28"/>
                <w:lang w:eastAsia="en-US"/>
              </w:rPr>
              <w:t>viešanas un uzturēšanas kārtību</w:t>
            </w:r>
            <w:r w:rsidRPr="00093D7B">
              <w:rPr>
                <w:sz w:val="28"/>
                <w:szCs w:val="28"/>
                <w:lang w:eastAsia="en-US"/>
              </w:rPr>
              <w:t>;</w:t>
            </w:r>
          </w:p>
          <w:p w14:paraId="63BF72A4" w14:textId="77777777" w:rsidR="003834DD" w:rsidRPr="00093D7B" w:rsidRDefault="003834DD" w:rsidP="003834DD">
            <w:pPr>
              <w:numPr>
                <w:ilvl w:val="0"/>
                <w:numId w:val="16"/>
              </w:numPr>
              <w:tabs>
                <w:tab w:val="center" w:pos="679"/>
                <w:tab w:val="right" w:pos="9360"/>
              </w:tabs>
              <w:ind w:left="679" w:hanging="319"/>
              <w:jc w:val="both"/>
              <w:rPr>
                <w:sz w:val="28"/>
                <w:szCs w:val="28"/>
                <w:lang w:eastAsia="en-US"/>
              </w:rPr>
            </w:pPr>
            <w:r w:rsidRPr="00093D7B">
              <w:rPr>
                <w:sz w:val="28"/>
                <w:szCs w:val="28"/>
                <w:lang w:eastAsia="en-US"/>
              </w:rPr>
              <w:t>prasības azartspēļu automātu pieslēgšanai vienotajai sistēmai (AKUS);</w:t>
            </w:r>
          </w:p>
          <w:p w14:paraId="63BF72A5" w14:textId="77777777" w:rsidR="003834DD" w:rsidRPr="00093D7B" w:rsidRDefault="003834DD" w:rsidP="003834DD">
            <w:pPr>
              <w:numPr>
                <w:ilvl w:val="0"/>
                <w:numId w:val="16"/>
              </w:numPr>
              <w:tabs>
                <w:tab w:val="center" w:pos="679"/>
                <w:tab w:val="right" w:pos="9360"/>
              </w:tabs>
              <w:ind w:left="679" w:hanging="319"/>
              <w:jc w:val="both"/>
              <w:rPr>
                <w:sz w:val="28"/>
                <w:szCs w:val="28"/>
                <w:lang w:eastAsia="en-US"/>
              </w:rPr>
            </w:pPr>
            <w:r w:rsidRPr="00093D7B">
              <w:rPr>
                <w:sz w:val="28"/>
                <w:szCs w:val="28"/>
                <w:lang w:eastAsia="en-US"/>
              </w:rPr>
              <w:t>vienotajā sistēmā (AKUS) iekļaujamos da</w:t>
            </w:r>
            <w:r w:rsidR="002D6DBF" w:rsidRPr="00093D7B">
              <w:rPr>
                <w:sz w:val="28"/>
                <w:szCs w:val="28"/>
                <w:lang w:eastAsia="en-US"/>
              </w:rPr>
              <w:t>tus un šo datu apmaiņas kārtību, kā arī prasības iekļaujamo datu uzglabāšanai;</w:t>
            </w:r>
          </w:p>
          <w:p w14:paraId="63BF72A6" w14:textId="77777777" w:rsidR="002D6DBF" w:rsidRPr="00093D7B" w:rsidRDefault="002D6DBF" w:rsidP="003834DD">
            <w:pPr>
              <w:numPr>
                <w:ilvl w:val="0"/>
                <w:numId w:val="16"/>
              </w:numPr>
              <w:tabs>
                <w:tab w:val="center" w:pos="679"/>
                <w:tab w:val="right" w:pos="9360"/>
              </w:tabs>
              <w:ind w:left="679" w:hanging="319"/>
              <w:jc w:val="both"/>
              <w:rPr>
                <w:sz w:val="28"/>
                <w:szCs w:val="28"/>
                <w:lang w:eastAsia="en-US"/>
              </w:rPr>
            </w:pPr>
            <w:r w:rsidRPr="00093D7B">
              <w:rPr>
                <w:sz w:val="28"/>
                <w:szCs w:val="28"/>
                <w:lang w:eastAsia="en-US"/>
              </w:rPr>
              <w:t>Izložu un azartspēļu uzraudzības inspekcijas</w:t>
            </w:r>
            <w:r w:rsidR="00FB3297" w:rsidRPr="00093D7B">
              <w:rPr>
                <w:sz w:val="28"/>
                <w:szCs w:val="28"/>
                <w:lang w:eastAsia="en-US"/>
              </w:rPr>
              <w:t xml:space="preserve"> </w:t>
            </w:r>
            <w:r w:rsidRPr="00093D7B">
              <w:rPr>
                <w:sz w:val="28"/>
                <w:szCs w:val="28"/>
                <w:lang w:eastAsia="en-US"/>
              </w:rPr>
              <w:t xml:space="preserve"> tiesības iegūt informāciju no vienotās sistēmas (AKUS).</w:t>
            </w:r>
          </w:p>
          <w:p w14:paraId="63BF72A7" w14:textId="4E43A3DE" w:rsidR="009752F5" w:rsidRPr="00093D7B" w:rsidRDefault="003834DD" w:rsidP="003834DD">
            <w:pPr>
              <w:tabs>
                <w:tab w:val="center" w:pos="4680"/>
                <w:tab w:val="right" w:pos="9360"/>
              </w:tabs>
              <w:jc w:val="both"/>
              <w:rPr>
                <w:sz w:val="28"/>
                <w:szCs w:val="28"/>
                <w:lang w:eastAsia="en-US"/>
              </w:rPr>
            </w:pPr>
            <w:r w:rsidRPr="00093D7B">
              <w:rPr>
                <w:sz w:val="28"/>
                <w:szCs w:val="28"/>
                <w:lang w:eastAsia="en-US"/>
              </w:rPr>
              <w:t>Vienoto sistēmu (AKUS) ievieš azartspēļu organizētājs</w:t>
            </w:r>
            <w:r w:rsidR="00FB3297" w:rsidRPr="00093D7B">
              <w:rPr>
                <w:sz w:val="28"/>
                <w:szCs w:val="28"/>
                <w:lang w:eastAsia="en-US"/>
              </w:rPr>
              <w:t xml:space="preserve"> vietās, kur tas organizē azartspēles</w:t>
            </w:r>
            <w:r w:rsidR="00E2670C" w:rsidRPr="00093D7B">
              <w:rPr>
                <w:sz w:val="28"/>
                <w:szCs w:val="28"/>
                <w:lang w:eastAsia="en-US"/>
              </w:rPr>
              <w:t>, izmantojot azartspēļu automātus.</w:t>
            </w:r>
            <w:r w:rsidR="00CD091D" w:rsidRPr="00093D7B">
              <w:rPr>
                <w:sz w:val="28"/>
                <w:szCs w:val="28"/>
                <w:lang w:eastAsia="en-US"/>
              </w:rPr>
              <w:t xml:space="preserve"> </w:t>
            </w:r>
            <w:r w:rsidR="004C619A" w:rsidRPr="00093D7B">
              <w:rPr>
                <w:sz w:val="28"/>
                <w:szCs w:val="28"/>
                <w:lang w:eastAsia="en-US"/>
              </w:rPr>
              <w:t>K</w:t>
            </w:r>
            <w:r w:rsidR="00CD091D" w:rsidRPr="00093D7B">
              <w:rPr>
                <w:sz w:val="28"/>
                <w:szCs w:val="28"/>
                <w:lang w:eastAsia="en-US"/>
              </w:rPr>
              <w:t xml:space="preserve">atrā </w:t>
            </w:r>
            <w:r w:rsidR="004C619A" w:rsidRPr="00093D7B">
              <w:rPr>
                <w:sz w:val="28"/>
                <w:szCs w:val="28"/>
                <w:lang w:eastAsia="en-US"/>
              </w:rPr>
              <w:t xml:space="preserve">azartspēļu organizēšanas </w:t>
            </w:r>
            <w:r w:rsidR="00CD091D" w:rsidRPr="00093D7B">
              <w:rPr>
                <w:sz w:val="28"/>
                <w:szCs w:val="28"/>
                <w:lang w:eastAsia="en-US"/>
              </w:rPr>
              <w:t xml:space="preserve">vietā </w:t>
            </w:r>
            <w:r w:rsidR="004C619A" w:rsidRPr="00093D7B">
              <w:rPr>
                <w:sz w:val="28"/>
                <w:szCs w:val="28"/>
                <w:lang w:eastAsia="en-US"/>
              </w:rPr>
              <w:t xml:space="preserve">azartspēļu organizētājam no 2019.gada 1.janvāra </w:t>
            </w:r>
            <w:r w:rsidR="00CD091D" w:rsidRPr="00093D7B">
              <w:rPr>
                <w:sz w:val="28"/>
                <w:szCs w:val="28"/>
                <w:lang w:eastAsia="en-US"/>
              </w:rPr>
              <w:t>esoš</w:t>
            </w:r>
            <w:r w:rsidR="004C619A" w:rsidRPr="00093D7B">
              <w:rPr>
                <w:sz w:val="28"/>
                <w:szCs w:val="28"/>
                <w:lang w:eastAsia="en-US"/>
              </w:rPr>
              <w:t>ie</w:t>
            </w:r>
            <w:r w:rsidR="00CD091D" w:rsidRPr="00093D7B">
              <w:rPr>
                <w:sz w:val="28"/>
                <w:szCs w:val="28"/>
                <w:lang w:eastAsia="en-US"/>
              </w:rPr>
              <w:t xml:space="preserve"> azartspēļu automāt</w:t>
            </w:r>
            <w:r w:rsidR="004C619A" w:rsidRPr="00093D7B">
              <w:rPr>
                <w:sz w:val="28"/>
                <w:szCs w:val="28"/>
                <w:lang w:eastAsia="en-US"/>
              </w:rPr>
              <w:t>i</w:t>
            </w:r>
            <w:r w:rsidR="00CD091D" w:rsidRPr="00093D7B">
              <w:rPr>
                <w:sz w:val="28"/>
                <w:szCs w:val="28"/>
                <w:lang w:eastAsia="en-US"/>
              </w:rPr>
              <w:t xml:space="preserve"> </w:t>
            </w:r>
            <w:r w:rsidR="004C619A" w:rsidRPr="00093D7B">
              <w:rPr>
                <w:sz w:val="28"/>
                <w:szCs w:val="28"/>
                <w:lang w:eastAsia="en-US"/>
              </w:rPr>
              <w:t xml:space="preserve">būs </w:t>
            </w:r>
            <w:r w:rsidR="00580F41" w:rsidRPr="00093D7B">
              <w:rPr>
                <w:sz w:val="28"/>
                <w:szCs w:val="28"/>
                <w:lang w:eastAsia="en-US"/>
              </w:rPr>
              <w:t>jāsaslēdz vienotā tīklā, nodrošinot visu datu pārraidi uz azartspēļu organizētāja</w:t>
            </w:r>
            <w:r w:rsidR="00E2670C" w:rsidRPr="00093D7B">
              <w:rPr>
                <w:sz w:val="28"/>
                <w:szCs w:val="28"/>
                <w:lang w:eastAsia="en-US"/>
              </w:rPr>
              <w:t xml:space="preserve"> centrālo</w:t>
            </w:r>
            <w:r w:rsidR="00580F41" w:rsidRPr="00093D7B">
              <w:rPr>
                <w:sz w:val="28"/>
                <w:szCs w:val="28"/>
                <w:lang w:eastAsia="en-US"/>
              </w:rPr>
              <w:t xml:space="preserve"> serveri</w:t>
            </w:r>
            <w:r w:rsidR="004C619A" w:rsidRPr="00093D7B">
              <w:rPr>
                <w:sz w:val="28"/>
                <w:szCs w:val="28"/>
                <w:lang w:eastAsia="en-US"/>
              </w:rPr>
              <w:t>.</w:t>
            </w:r>
            <w:r w:rsidR="00CD091D" w:rsidRPr="00093D7B">
              <w:rPr>
                <w:sz w:val="28"/>
                <w:szCs w:val="28"/>
                <w:lang w:eastAsia="en-US"/>
              </w:rPr>
              <w:t xml:space="preserve"> </w:t>
            </w:r>
            <w:r w:rsidR="00580F41" w:rsidRPr="00093D7B">
              <w:rPr>
                <w:sz w:val="28"/>
                <w:szCs w:val="28"/>
                <w:lang w:eastAsia="en-US"/>
              </w:rPr>
              <w:t xml:space="preserve">Azartspēļu automātu datu nolasīšana un pārraidīšana uz azartspēļu organizētāja </w:t>
            </w:r>
            <w:r w:rsidR="00E2670C" w:rsidRPr="00093D7B">
              <w:rPr>
                <w:sz w:val="28"/>
                <w:szCs w:val="28"/>
                <w:lang w:eastAsia="en-US"/>
              </w:rPr>
              <w:t xml:space="preserve">centrālo </w:t>
            </w:r>
            <w:r w:rsidR="00580F41" w:rsidRPr="00093D7B">
              <w:rPr>
                <w:sz w:val="28"/>
                <w:szCs w:val="28"/>
                <w:lang w:eastAsia="en-US"/>
              </w:rPr>
              <w:t xml:space="preserve">serveri  veido vienoto sistēmu (AKUS). </w:t>
            </w:r>
            <w:r w:rsidR="004C619A" w:rsidRPr="00093D7B">
              <w:rPr>
                <w:sz w:val="28"/>
                <w:szCs w:val="28"/>
                <w:lang w:eastAsia="en-US"/>
              </w:rPr>
              <w:t xml:space="preserve">Pēc 2019.gada 1.janvāra, ja azartspēļu organizētājs iegādāsies jaunus azartspēļu automātus, tad tie būs jāpieslēdz vienotajai </w:t>
            </w:r>
            <w:proofErr w:type="spellStart"/>
            <w:r w:rsidR="004C619A" w:rsidRPr="00093D7B">
              <w:rPr>
                <w:sz w:val="28"/>
                <w:szCs w:val="28"/>
                <w:lang w:eastAsia="en-US"/>
              </w:rPr>
              <w:t>sistēmais</w:t>
            </w:r>
            <w:proofErr w:type="spellEnd"/>
            <w:r w:rsidR="004C619A" w:rsidRPr="00093D7B">
              <w:rPr>
                <w:sz w:val="28"/>
                <w:szCs w:val="28"/>
                <w:lang w:eastAsia="en-US"/>
              </w:rPr>
              <w:t xml:space="preserve"> (AKUS), lai varētu ekspluatēt jaunos azartspēļu automātus.</w:t>
            </w:r>
          </w:p>
          <w:p w14:paraId="63BF72A8" w14:textId="13F24B86" w:rsidR="00196543" w:rsidRPr="00093D7B" w:rsidRDefault="008E7451" w:rsidP="00CD091D">
            <w:pPr>
              <w:tabs>
                <w:tab w:val="center" w:pos="4680"/>
                <w:tab w:val="right" w:pos="9360"/>
              </w:tabs>
              <w:jc w:val="both"/>
              <w:rPr>
                <w:sz w:val="28"/>
                <w:szCs w:val="28"/>
                <w:lang w:eastAsia="en-US"/>
              </w:rPr>
            </w:pPr>
            <w:r w:rsidRPr="00093D7B">
              <w:rPr>
                <w:sz w:val="28"/>
                <w:szCs w:val="28"/>
                <w:lang w:eastAsia="en-US"/>
              </w:rPr>
              <w:t>A</w:t>
            </w:r>
            <w:r w:rsidR="00196543" w:rsidRPr="00093D7B">
              <w:rPr>
                <w:sz w:val="28"/>
                <w:szCs w:val="28"/>
                <w:lang w:eastAsia="en-US"/>
              </w:rPr>
              <w:t xml:space="preserve">zartspēļu organizētājs </w:t>
            </w:r>
            <w:r w:rsidRPr="00093D7B">
              <w:rPr>
                <w:sz w:val="28"/>
                <w:szCs w:val="28"/>
                <w:lang w:eastAsia="en-US"/>
              </w:rPr>
              <w:t xml:space="preserve">vienotajā sistēmā (AKUS) </w:t>
            </w:r>
            <w:r w:rsidR="00196543" w:rsidRPr="00093D7B">
              <w:rPr>
                <w:sz w:val="28"/>
                <w:szCs w:val="28"/>
                <w:lang w:eastAsia="en-US"/>
              </w:rPr>
              <w:t>par katru azartspēļu automātu iekļaus Noteikumu projekta 3.punkt</w:t>
            </w:r>
            <w:r w:rsidRPr="00093D7B">
              <w:rPr>
                <w:sz w:val="28"/>
                <w:szCs w:val="28"/>
                <w:lang w:eastAsia="en-US"/>
              </w:rPr>
              <w:t>ā</w:t>
            </w:r>
            <w:r w:rsidR="00196543" w:rsidRPr="00093D7B">
              <w:rPr>
                <w:sz w:val="28"/>
                <w:szCs w:val="28"/>
                <w:lang w:eastAsia="en-US"/>
              </w:rPr>
              <w:t xml:space="preserve"> minētos datus. </w:t>
            </w:r>
          </w:p>
          <w:p w14:paraId="22B85ADF" w14:textId="66942EC3" w:rsidR="00574A43" w:rsidRPr="00093D7B" w:rsidRDefault="00574A43" w:rsidP="008E7451">
            <w:pPr>
              <w:tabs>
                <w:tab w:val="center" w:pos="4680"/>
                <w:tab w:val="right" w:pos="9360"/>
              </w:tabs>
              <w:jc w:val="both"/>
              <w:rPr>
                <w:sz w:val="28"/>
                <w:szCs w:val="28"/>
                <w:lang w:eastAsia="en-US"/>
              </w:rPr>
            </w:pPr>
            <w:r w:rsidRPr="00093D7B">
              <w:rPr>
                <w:sz w:val="28"/>
                <w:szCs w:val="28"/>
                <w:lang w:eastAsia="en-US"/>
              </w:rPr>
              <w:t>Noteikumu projekta 4.3.apakšpunkts nosaka, ka vienotā sistēma (AKUS) ir sinhronizēta atbilstoši Latvijas laika joslai. Ministru kabineta 2010.gada 26.oktobra noteikumi Nr.1010 “Noteikumi par pāreju uz vasaras laiku” otrais punkts nosaka, ka Latvijas Republikas teritorijā lieto laiku atbilstoši otrajai laika joslai (</w:t>
            </w:r>
            <w:proofErr w:type="spellStart"/>
            <w:r w:rsidRPr="00093D7B">
              <w:rPr>
                <w:sz w:val="28"/>
                <w:szCs w:val="28"/>
                <w:lang w:eastAsia="en-US"/>
              </w:rPr>
              <w:t>Grīnvičas</w:t>
            </w:r>
            <w:proofErr w:type="spellEnd"/>
            <w:r w:rsidRPr="00093D7B">
              <w:rPr>
                <w:sz w:val="28"/>
                <w:szCs w:val="28"/>
                <w:lang w:eastAsia="en-US"/>
              </w:rPr>
              <w:t xml:space="preserve"> laiks plus divas stundas) un trešais punkts nosaka kā notiek pāreja uz v</w:t>
            </w:r>
            <w:r w:rsidR="00EF5EC2" w:rsidRPr="00093D7B">
              <w:rPr>
                <w:sz w:val="28"/>
                <w:szCs w:val="28"/>
                <w:lang w:eastAsia="en-US"/>
              </w:rPr>
              <w:t>a</w:t>
            </w:r>
            <w:r w:rsidRPr="00093D7B">
              <w:rPr>
                <w:sz w:val="28"/>
                <w:szCs w:val="28"/>
                <w:lang w:eastAsia="en-US"/>
              </w:rPr>
              <w:t>saras laiku un atpakaļ.</w:t>
            </w:r>
          </w:p>
          <w:p w14:paraId="63BF72A9" w14:textId="51481F48" w:rsidR="00B81233" w:rsidRPr="00093D7B" w:rsidRDefault="008E7451" w:rsidP="008E7451">
            <w:pPr>
              <w:tabs>
                <w:tab w:val="center" w:pos="4680"/>
                <w:tab w:val="right" w:pos="9360"/>
              </w:tabs>
              <w:jc w:val="both"/>
              <w:rPr>
                <w:sz w:val="28"/>
                <w:szCs w:val="28"/>
                <w:lang w:eastAsia="en-US"/>
              </w:rPr>
            </w:pPr>
            <w:r w:rsidRPr="00093D7B">
              <w:rPr>
                <w:sz w:val="28"/>
                <w:szCs w:val="28"/>
                <w:lang w:eastAsia="en-US"/>
              </w:rPr>
              <w:t>Azartspēļu organizētājs nodrošin</w:t>
            </w:r>
            <w:r w:rsidR="00923D3D" w:rsidRPr="00093D7B">
              <w:rPr>
                <w:sz w:val="28"/>
                <w:szCs w:val="28"/>
                <w:lang w:eastAsia="en-US"/>
              </w:rPr>
              <w:t>ās</w:t>
            </w:r>
            <w:r w:rsidRPr="00093D7B">
              <w:rPr>
                <w:sz w:val="28"/>
                <w:szCs w:val="28"/>
                <w:lang w:eastAsia="en-US"/>
              </w:rPr>
              <w:t xml:space="preserve">, ka vienotajā sistēmā (AKUS) ievadītie dati </w:t>
            </w:r>
            <w:r w:rsidR="0035030C" w:rsidRPr="00093D7B">
              <w:rPr>
                <w:sz w:val="28"/>
                <w:szCs w:val="28"/>
                <w:lang w:eastAsia="en-US"/>
              </w:rPr>
              <w:t xml:space="preserve">Noteikumu projekta 3.1. un 3.3.apakšpunktā </w:t>
            </w:r>
            <w:r w:rsidRPr="00093D7B">
              <w:rPr>
                <w:sz w:val="28"/>
                <w:szCs w:val="28"/>
                <w:lang w:eastAsia="en-US"/>
              </w:rPr>
              <w:t xml:space="preserve">tiek atjaunoti ik pēc </w:t>
            </w:r>
            <w:r w:rsidR="0035030C" w:rsidRPr="00093D7B">
              <w:rPr>
                <w:sz w:val="28"/>
                <w:szCs w:val="28"/>
                <w:lang w:eastAsia="en-US"/>
              </w:rPr>
              <w:t xml:space="preserve">30 minūtēm un 3.2.apakšpunktā </w:t>
            </w:r>
            <w:r w:rsidR="003E129A" w:rsidRPr="00093D7B">
              <w:rPr>
                <w:sz w:val="28"/>
                <w:szCs w:val="28"/>
                <w:lang w:eastAsia="en-US"/>
              </w:rPr>
              <w:t>– ik pēc 24 stundām.</w:t>
            </w:r>
            <w:r w:rsidRPr="00093D7B">
              <w:rPr>
                <w:sz w:val="28"/>
                <w:szCs w:val="28"/>
                <w:lang w:eastAsia="en-US"/>
              </w:rPr>
              <w:t xml:space="preserve"> </w:t>
            </w:r>
            <w:r w:rsidR="003E129A" w:rsidRPr="00093D7B">
              <w:rPr>
                <w:sz w:val="28"/>
                <w:szCs w:val="28"/>
                <w:lang w:eastAsia="en-US"/>
              </w:rPr>
              <w:t>Ievadītie dati</w:t>
            </w:r>
            <w:r w:rsidR="000F4234" w:rsidRPr="00093D7B">
              <w:rPr>
                <w:sz w:val="28"/>
                <w:szCs w:val="28"/>
                <w:lang w:eastAsia="en-US"/>
              </w:rPr>
              <w:t xml:space="preserve"> (</w:t>
            </w:r>
            <w:r w:rsidR="001731F3" w:rsidRPr="00093D7B">
              <w:rPr>
                <w:sz w:val="28"/>
                <w:szCs w:val="28"/>
                <w:lang w:eastAsia="en-US"/>
              </w:rPr>
              <w:t>3.punktā norādītie dati</w:t>
            </w:r>
            <w:r w:rsidR="000F4234" w:rsidRPr="00093D7B">
              <w:rPr>
                <w:sz w:val="28"/>
                <w:szCs w:val="28"/>
                <w:lang w:eastAsia="en-US"/>
              </w:rPr>
              <w:t>)</w:t>
            </w:r>
            <w:r w:rsidR="003E129A" w:rsidRPr="00093D7B">
              <w:rPr>
                <w:sz w:val="28"/>
                <w:szCs w:val="28"/>
                <w:lang w:eastAsia="en-US"/>
              </w:rPr>
              <w:t xml:space="preserve"> tiek </w:t>
            </w:r>
            <w:r w:rsidRPr="00093D7B">
              <w:rPr>
                <w:sz w:val="28"/>
                <w:szCs w:val="28"/>
                <w:lang w:eastAsia="en-US"/>
              </w:rPr>
              <w:t xml:space="preserve">uzglabāti </w:t>
            </w:r>
            <w:r w:rsidR="003E129A" w:rsidRPr="00093D7B">
              <w:rPr>
                <w:sz w:val="28"/>
                <w:szCs w:val="28"/>
                <w:lang w:eastAsia="en-US"/>
              </w:rPr>
              <w:t xml:space="preserve">45 dienas, bet arhivētā formā </w:t>
            </w:r>
            <w:r w:rsidR="000F4234" w:rsidRPr="00093D7B">
              <w:rPr>
                <w:sz w:val="28"/>
                <w:szCs w:val="28"/>
                <w:lang w:eastAsia="en-US"/>
              </w:rPr>
              <w:t>ievadītie dati (3.1. un 3.2.apakšpunktā norādītie</w:t>
            </w:r>
            <w:r w:rsidR="001731F3" w:rsidRPr="00093D7B">
              <w:rPr>
                <w:sz w:val="28"/>
                <w:szCs w:val="28"/>
                <w:lang w:eastAsia="en-US"/>
              </w:rPr>
              <w:t xml:space="preserve"> dati</w:t>
            </w:r>
            <w:r w:rsidR="000F4234" w:rsidRPr="00093D7B">
              <w:rPr>
                <w:sz w:val="28"/>
                <w:szCs w:val="28"/>
                <w:lang w:eastAsia="en-US"/>
              </w:rPr>
              <w:t xml:space="preserve">) tiek </w:t>
            </w:r>
            <w:r w:rsidRPr="00093D7B">
              <w:rPr>
                <w:sz w:val="28"/>
                <w:szCs w:val="28"/>
                <w:lang w:eastAsia="en-US"/>
              </w:rPr>
              <w:t>glabāti trīs gadus.</w:t>
            </w:r>
            <w:r w:rsidR="000F4234" w:rsidRPr="00093D7B">
              <w:rPr>
                <w:sz w:val="28"/>
                <w:szCs w:val="28"/>
                <w:lang w:eastAsia="en-US"/>
              </w:rPr>
              <w:t xml:space="preserve"> 3.3.apakšpunktā norādītos datus nav </w:t>
            </w:r>
            <w:proofErr w:type="spellStart"/>
            <w:r w:rsidR="000F4234" w:rsidRPr="00093D7B">
              <w:rPr>
                <w:sz w:val="28"/>
                <w:szCs w:val="28"/>
                <w:lang w:eastAsia="en-US"/>
              </w:rPr>
              <w:t>ne</w:t>
            </w:r>
            <w:r w:rsidR="00001ECF" w:rsidRPr="00093D7B">
              <w:rPr>
                <w:sz w:val="28"/>
                <w:szCs w:val="28"/>
                <w:lang w:eastAsia="en-US"/>
              </w:rPr>
              <w:t>piešams</w:t>
            </w:r>
            <w:proofErr w:type="spellEnd"/>
            <w:r w:rsidR="00001ECF" w:rsidRPr="00093D7B">
              <w:rPr>
                <w:sz w:val="28"/>
                <w:szCs w:val="28"/>
                <w:lang w:eastAsia="en-US"/>
              </w:rPr>
              <w:t xml:space="preserve"> uzglabāt arhivētā formā trīs gadus, jo šie dati nav nepieciešami ilglaicīgā laika periodā.</w:t>
            </w:r>
            <w:r w:rsidRPr="00093D7B">
              <w:rPr>
                <w:sz w:val="28"/>
                <w:szCs w:val="28"/>
                <w:lang w:eastAsia="en-US"/>
              </w:rPr>
              <w:t xml:space="preserve"> </w:t>
            </w:r>
            <w:r w:rsidR="00001ECF" w:rsidRPr="00093D7B">
              <w:rPr>
                <w:sz w:val="28"/>
                <w:szCs w:val="28"/>
                <w:lang w:eastAsia="en-US"/>
              </w:rPr>
              <w:t>Attiecībā uz datu atjaunošanu un uzglabāšanu, a</w:t>
            </w:r>
            <w:r w:rsidR="00C20B3B" w:rsidRPr="00093D7B">
              <w:rPr>
                <w:sz w:val="28"/>
                <w:szCs w:val="28"/>
                <w:lang w:eastAsia="en-US"/>
              </w:rPr>
              <w:t>tkārtoti izvērtējot Koncepciju, tika secināts, ka</w:t>
            </w:r>
            <w:r w:rsidR="00B81233" w:rsidRPr="00093D7B">
              <w:rPr>
                <w:sz w:val="28"/>
                <w:szCs w:val="28"/>
                <w:lang w:eastAsia="en-US"/>
              </w:rPr>
              <w:t>:</w:t>
            </w:r>
          </w:p>
          <w:p w14:paraId="63BF72AA" w14:textId="77777777" w:rsidR="00C20B3B" w:rsidRPr="00093D7B" w:rsidRDefault="00C20B3B" w:rsidP="00B81233">
            <w:pPr>
              <w:numPr>
                <w:ilvl w:val="0"/>
                <w:numId w:val="22"/>
              </w:numPr>
              <w:tabs>
                <w:tab w:val="center" w:pos="679"/>
                <w:tab w:val="right" w:pos="9360"/>
              </w:tabs>
              <w:jc w:val="both"/>
              <w:rPr>
                <w:sz w:val="28"/>
                <w:szCs w:val="28"/>
                <w:lang w:eastAsia="en-US"/>
              </w:rPr>
            </w:pPr>
            <w:r w:rsidRPr="00093D7B">
              <w:rPr>
                <w:sz w:val="28"/>
                <w:szCs w:val="28"/>
                <w:lang w:eastAsia="en-US"/>
              </w:rPr>
              <w:lastRenderedPageBreak/>
              <w:t>optimāla datu atjaunošana būtu</w:t>
            </w:r>
            <w:r w:rsidR="003E129A" w:rsidRPr="00093D7B">
              <w:rPr>
                <w:sz w:val="28"/>
                <w:szCs w:val="28"/>
                <w:lang w:eastAsia="en-US"/>
              </w:rPr>
              <w:t>,</w:t>
            </w:r>
            <w:r w:rsidRPr="00093D7B">
              <w:rPr>
                <w:sz w:val="28"/>
                <w:szCs w:val="28"/>
                <w:lang w:eastAsia="en-US"/>
              </w:rPr>
              <w:t xml:space="preserve"> </w:t>
            </w:r>
            <w:r w:rsidR="003E129A" w:rsidRPr="00093D7B">
              <w:rPr>
                <w:sz w:val="28"/>
                <w:szCs w:val="28"/>
                <w:lang w:eastAsia="en-US"/>
              </w:rPr>
              <w:t xml:space="preserve">ja pamatinformācija par azartspēļu automātu un vēsturiskie dati tiek atjaunoti ik pēc 30 minūtēm azartspēļu organizētāja centrālajā serverī, bet finanšu dati tiek atjaunoti ik pēc 24 stundām </w:t>
            </w:r>
            <w:r w:rsidRPr="00093D7B">
              <w:rPr>
                <w:sz w:val="28"/>
                <w:szCs w:val="28"/>
                <w:lang w:eastAsia="en-US"/>
              </w:rPr>
              <w:t xml:space="preserve">azartspēļu organizētāja </w:t>
            </w:r>
            <w:r w:rsidR="003E129A" w:rsidRPr="00093D7B">
              <w:rPr>
                <w:sz w:val="28"/>
                <w:szCs w:val="28"/>
                <w:lang w:eastAsia="en-US"/>
              </w:rPr>
              <w:t>centrālajā</w:t>
            </w:r>
            <w:r w:rsidRPr="00093D7B">
              <w:rPr>
                <w:sz w:val="28"/>
                <w:szCs w:val="28"/>
                <w:lang w:eastAsia="en-US"/>
              </w:rPr>
              <w:t xml:space="preserve"> serverī</w:t>
            </w:r>
            <w:r w:rsidR="003E129A" w:rsidRPr="00093D7B">
              <w:rPr>
                <w:sz w:val="28"/>
                <w:szCs w:val="28"/>
                <w:lang w:eastAsia="en-US"/>
              </w:rPr>
              <w:t>. Šādā veidā tiktu nodrošināts, ka Izložu un azartspēļu uzraudzības inspekcija var saņemt visu aktuālo informāciju un azartspēļu organizētāja centrālā servera darbība netiek pārslogota</w:t>
            </w:r>
            <w:r w:rsidR="00B81233" w:rsidRPr="00093D7B">
              <w:rPr>
                <w:sz w:val="28"/>
                <w:szCs w:val="28"/>
                <w:lang w:eastAsia="en-US"/>
              </w:rPr>
              <w:t>;</w:t>
            </w:r>
          </w:p>
          <w:p w14:paraId="63BF72AB" w14:textId="77777777" w:rsidR="00B81233" w:rsidRPr="00093D7B" w:rsidRDefault="00B81233" w:rsidP="00B81233">
            <w:pPr>
              <w:numPr>
                <w:ilvl w:val="0"/>
                <w:numId w:val="22"/>
              </w:numPr>
              <w:tabs>
                <w:tab w:val="center" w:pos="679"/>
                <w:tab w:val="right" w:pos="9360"/>
              </w:tabs>
              <w:jc w:val="both"/>
              <w:rPr>
                <w:sz w:val="28"/>
                <w:szCs w:val="28"/>
                <w:lang w:eastAsia="en-US"/>
              </w:rPr>
            </w:pPr>
            <w:r w:rsidRPr="00093D7B">
              <w:rPr>
                <w:sz w:val="28"/>
                <w:szCs w:val="28"/>
                <w:lang w:eastAsia="en-US"/>
              </w:rPr>
              <w:t xml:space="preserve">arhivētā formā dati tiktu uzglabāti trīs gadus, jo vienotās sistēmas (AKUS) veiksmīgas darbības rezultātā, iespējams varētu tikt </w:t>
            </w:r>
            <w:r w:rsidR="00923D3D" w:rsidRPr="00093D7B">
              <w:rPr>
                <w:sz w:val="28"/>
                <w:szCs w:val="28"/>
                <w:lang w:eastAsia="en-US"/>
              </w:rPr>
              <w:t xml:space="preserve">mainīts </w:t>
            </w:r>
            <w:r w:rsidRPr="00093D7B">
              <w:rPr>
                <w:sz w:val="28"/>
                <w:szCs w:val="28"/>
                <w:lang w:eastAsia="en-US"/>
              </w:rPr>
              <w:t>azartspēļ</w:t>
            </w:r>
            <w:r w:rsidR="00923D3D" w:rsidRPr="00093D7B">
              <w:rPr>
                <w:sz w:val="28"/>
                <w:szCs w:val="28"/>
                <w:lang w:eastAsia="en-US"/>
              </w:rPr>
              <w:t>u</w:t>
            </w:r>
            <w:r w:rsidRPr="00093D7B">
              <w:rPr>
                <w:sz w:val="28"/>
                <w:szCs w:val="28"/>
                <w:lang w:eastAsia="en-US"/>
              </w:rPr>
              <w:t xml:space="preserve"> nodokļa aprēķināšanas mehānisms azartspēļu automātiem (mainīts azartspēļu nodokļa objekts – no azartspēļu automāta uz procentos no azartspēļu automāta neto ieņēmumiem) un saskaņā ar likuma “Par nodokļiem un nodevām”16.panta sesto punktu nodokļu maksātājiem ir tiesības iesniegt nodokļu administrācijai iesniegumu par nodokļu deklarācijas labojumu vai precizējumu triju gadu laikā pēc konkrētajos likumos noteiktā maksāšanas termiņa</w:t>
            </w:r>
            <w:r w:rsidR="00F13486" w:rsidRPr="00093D7B">
              <w:rPr>
                <w:sz w:val="28"/>
                <w:szCs w:val="28"/>
                <w:lang w:eastAsia="en-US"/>
              </w:rPr>
              <w:t>.</w:t>
            </w:r>
          </w:p>
          <w:p w14:paraId="153925B3" w14:textId="4D033FE1" w:rsidR="00301C17" w:rsidRPr="00093D7B" w:rsidRDefault="00301C17" w:rsidP="00D90710">
            <w:pPr>
              <w:tabs>
                <w:tab w:val="center" w:pos="4680"/>
                <w:tab w:val="right" w:pos="9360"/>
              </w:tabs>
              <w:jc w:val="both"/>
              <w:rPr>
                <w:sz w:val="28"/>
                <w:szCs w:val="28"/>
                <w:lang w:eastAsia="en-US"/>
              </w:rPr>
            </w:pPr>
            <w:r w:rsidRPr="00093D7B">
              <w:rPr>
                <w:sz w:val="28"/>
                <w:szCs w:val="28"/>
                <w:lang w:eastAsia="en-US"/>
              </w:rPr>
              <w:t>Pēc 4.8., 4.9. un 4.10.apakšpunktā noteiktajiem termiņiem  3.punktā norādītie dati nebūs pieejami Izložu un azartspēļu uzraudzības inspekcijai. Datu glabāšanas termiņi tika izvērtēti, sadarbojoties Izložu un azartspēļu uzraudzības inspekcijai un azartspēļu organizētājiem, lai atrastu kopīgu risinājumu</w:t>
            </w:r>
            <w:r w:rsidR="00A67B1E" w:rsidRPr="00093D7B">
              <w:rPr>
                <w:sz w:val="28"/>
                <w:szCs w:val="28"/>
                <w:lang w:eastAsia="en-US"/>
              </w:rPr>
              <w:t>, cik ilgi šos datus uzglabāt, nepārslogojot azartspēļu organizētāja serverus</w:t>
            </w:r>
            <w:r w:rsidRPr="00093D7B">
              <w:rPr>
                <w:sz w:val="28"/>
                <w:szCs w:val="28"/>
                <w:lang w:eastAsia="en-US"/>
              </w:rPr>
              <w:t>. 4.8., 4.9. un 4.10.apakšpunktā noteiktie termi</w:t>
            </w:r>
            <w:r w:rsidR="00A67B1E" w:rsidRPr="00093D7B">
              <w:rPr>
                <w:sz w:val="28"/>
                <w:szCs w:val="28"/>
                <w:lang w:eastAsia="en-US"/>
              </w:rPr>
              <w:t>ņi, ļauj</w:t>
            </w:r>
            <w:r w:rsidRPr="00093D7B">
              <w:rPr>
                <w:sz w:val="28"/>
                <w:szCs w:val="28"/>
                <w:lang w:eastAsia="en-US"/>
              </w:rPr>
              <w:t xml:space="preserve"> Izložu un azartspēļu uzraudzības inspekcijai </w:t>
            </w:r>
            <w:proofErr w:type="spellStart"/>
            <w:r w:rsidRPr="00093D7B">
              <w:rPr>
                <w:sz w:val="28"/>
                <w:szCs w:val="28"/>
                <w:lang w:eastAsia="en-US"/>
              </w:rPr>
              <w:t>īstenotot</w:t>
            </w:r>
            <w:proofErr w:type="spellEnd"/>
            <w:r w:rsidRPr="00093D7B">
              <w:rPr>
                <w:sz w:val="28"/>
                <w:szCs w:val="28"/>
                <w:lang w:eastAsia="en-US"/>
              </w:rPr>
              <w:t xml:space="preserve"> visus nepieciešamos kontroles pasākumus un šo kontroles pasākumu laikā iegūtie dati no vienotās sistēmas (AKUS) tiks saglabāti Izložu un azartspēļu uzraudzības inspekcijas </w:t>
            </w:r>
            <w:proofErr w:type="spellStart"/>
            <w:r w:rsidRPr="00093D7B">
              <w:rPr>
                <w:sz w:val="28"/>
                <w:szCs w:val="28"/>
                <w:lang w:eastAsia="en-US"/>
              </w:rPr>
              <w:t>severī</w:t>
            </w:r>
            <w:proofErr w:type="spellEnd"/>
            <w:r w:rsidRPr="00093D7B">
              <w:rPr>
                <w:sz w:val="28"/>
                <w:szCs w:val="28"/>
                <w:lang w:eastAsia="en-US"/>
              </w:rPr>
              <w:t>, tādēj</w:t>
            </w:r>
            <w:r w:rsidR="00A67B1E" w:rsidRPr="00093D7B">
              <w:rPr>
                <w:sz w:val="28"/>
                <w:szCs w:val="28"/>
                <w:lang w:eastAsia="en-US"/>
              </w:rPr>
              <w:t xml:space="preserve">ādi, </w:t>
            </w:r>
            <w:r w:rsidRPr="00093D7B">
              <w:rPr>
                <w:sz w:val="28"/>
                <w:szCs w:val="28"/>
                <w:lang w:eastAsia="en-US"/>
              </w:rPr>
              <w:t>veicot jaunu kontroles pas</w:t>
            </w:r>
            <w:r w:rsidR="00A67B1E" w:rsidRPr="00093D7B">
              <w:rPr>
                <w:sz w:val="28"/>
                <w:szCs w:val="28"/>
                <w:lang w:eastAsia="en-US"/>
              </w:rPr>
              <w:t xml:space="preserve">ākumu, </w:t>
            </w:r>
            <w:r w:rsidR="00F87A35" w:rsidRPr="00093D7B">
              <w:rPr>
                <w:sz w:val="28"/>
                <w:szCs w:val="28"/>
                <w:lang w:eastAsia="en-US"/>
              </w:rPr>
              <w:t>Izložu un azartspēļu uzraudzības inspekcijai iepriekš jau pieprasītie</w:t>
            </w:r>
            <w:r w:rsidR="00A67B1E" w:rsidRPr="00093D7B">
              <w:rPr>
                <w:sz w:val="28"/>
                <w:szCs w:val="28"/>
                <w:lang w:eastAsia="en-US"/>
              </w:rPr>
              <w:t xml:space="preserve"> vēsturiskie dati būs pieejami.</w:t>
            </w:r>
          </w:p>
          <w:p w14:paraId="63BF72AC" w14:textId="24C59CEE" w:rsidR="00D90710" w:rsidRPr="00093D7B" w:rsidRDefault="00900C4E" w:rsidP="00D90710">
            <w:pPr>
              <w:tabs>
                <w:tab w:val="center" w:pos="4680"/>
                <w:tab w:val="right" w:pos="9360"/>
              </w:tabs>
              <w:jc w:val="both"/>
              <w:rPr>
                <w:sz w:val="28"/>
                <w:szCs w:val="28"/>
                <w:lang w:eastAsia="en-US"/>
              </w:rPr>
            </w:pPr>
            <w:r w:rsidRPr="00093D7B">
              <w:rPr>
                <w:sz w:val="28"/>
                <w:szCs w:val="28"/>
                <w:lang w:eastAsia="en-US"/>
              </w:rPr>
              <w:t xml:space="preserve">Izložu un azartspēļu uzraudzības inspekcija iegūs informāciju no konkrētā azartspēļu organizētāja vienotās sistēmas (AKUS), elektroniskā veidā tiešsaistes datu režīmā, izmantojot tīkla lietotāja </w:t>
            </w:r>
            <w:proofErr w:type="spellStart"/>
            <w:r w:rsidRPr="00093D7B">
              <w:rPr>
                <w:sz w:val="28"/>
                <w:szCs w:val="28"/>
                <w:lang w:eastAsia="en-US"/>
              </w:rPr>
              <w:t>saskarni</w:t>
            </w:r>
            <w:proofErr w:type="spellEnd"/>
            <w:r w:rsidRPr="00093D7B">
              <w:rPr>
                <w:sz w:val="28"/>
                <w:szCs w:val="28"/>
                <w:lang w:eastAsia="en-US"/>
              </w:rPr>
              <w:t xml:space="preserve">. </w:t>
            </w:r>
            <w:r w:rsidR="00D90710" w:rsidRPr="00093D7B">
              <w:rPr>
                <w:sz w:val="28"/>
                <w:szCs w:val="28"/>
                <w:lang w:eastAsia="en-US"/>
              </w:rPr>
              <w:t>Katram Izložu un azartspēļu uzraudzības inspekcijas darbiniekam, kura amata pienākumos būs darbs ar vienoto sistēmu (AKUS), azartspēļu organizētājs, pēc Izložu un azartspēļu inspekcijas p</w:t>
            </w:r>
            <w:r w:rsidR="00985A9F" w:rsidRPr="00093D7B">
              <w:rPr>
                <w:sz w:val="28"/>
                <w:szCs w:val="28"/>
                <w:lang w:eastAsia="en-US"/>
              </w:rPr>
              <w:t>riekšnieka pieprasījuma izsniegs</w:t>
            </w:r>
            <w:r w:rsidR="00D90710" w:rsidRPr="00093D7B">
              <w:rPr>
                <w:sz w:val="28"/>
                <w:szCs w:val="28"/>
                <w:lang w:eastAsia="en-US"/>
              </w:rPr>
              <w:t xml:space="preserve"> </w:t>
            </w:r>
            <w:r w:rsidR="007E20EF" w:rsidRPr="00093D7B">
              <w:rPr>
                <w:sz w:val="28"/>
                <w:szCs w:val="28"/>
                <w:lang w:eastAsia="en-US"/>
              </w:rPr>
              <w:lastRenderedPageBreak/>
              <w:t>identifikācijas datus</w:t>
            </w:r>
            <w:r w:rsidR="00D90710" w:rsidRPr="00093D7B">
              <w:rPr>
                <w:sz w:val="28"/>
                <w:szCs w:val="28"/>
                <w:lang w:eastAsia="en-US"/>
              </w:rPr>
              <w:t xml:space="preserve">, lai varētu attālināti piekļūt azartspēļu organizētāja iekļautajiem </w:t>
            </w:r>
            <w:r w:rsidR="00985A9F" w:rsidRPr="00093D7B">
              <w:rPr>
                <w:sz w:val="28"/>
                <w:szCs w:val="28"/>
                <w:lang w:eastAsia="en-US"/>
              </w:rPr>
              <w:t xml:space="preserve">datiem vienotajā sistēmā (AKUS). </w:t>
            </w:r>
            <w:r w:rsidR="007E20EF" w:rsidRPr="00093D7B">
              <w:rPr>
                <w:sz w:val="28"/>
                <w:szCs w:val="28"/>
                <w:lang w:eastAsia="en-US"/>
              </w:rPr>
              <w:t>Identifikācijas dati</w:t>
            </w:r>
            <w:r w:rsidR="00985A9F" w:rsidRPr="00093D7B">
              <w:rPr>
                <w:sz w:val="28"/>
                <w:szCs w:val="28"/>
                <w:lang w:eastAsia="en-US"/>
              </w:rPr>
              <w:t xml:space="preserve"> nepieciešam</w:t>
            </w:r>
            <w:r w:rsidR="007E20EF" w:rsidRPr="00093D7B">
              <w:rPr>
                <w:sz w:val="28"/>
                <w:szCs w:val="28"/>
                <w:lang w:eastAsia="en-US"/>
              </w:rPr>
              <w:t>i</w:t>
            </w:r>
            <w:r w:rsidR="00985A9F" w:rsidRPr="00093D7B">
              <w:rPr>
                <w:sz w:val="28"/>
                <w:szCs w:val="28"/>
                <w:lang w:eastAsia="en-US"/>
              </w:rPr>
              <w:t xml:space="preserve"> unik</w:t>
            </w:r>
            <w:r w:rsidR="009363D4" w:rsidRPr="00093D7B">
              <w:rPr>
                <w:sz w:val="28"/>
                <w:szCs w:val="28"/>
                <w:lang w:eastAsia="en-US"/>
              </w:rPr>
              <w:t>āl</w:t>
            </w:r>
            <w:r w:rsidR="007E20EF" w:rsidRPr="00093D7B">
              <w:rPr>
                <w:sz w:val="28"/>
                <w:szCs w:val="28"/>
                <w:lang w:eastAsia="en-US"/>
              </w:rPr>
              <w:t>i</w:t>
            </w:r>
            <w:r w:rsidR="00985A9F" w:rsidRPr="00093D7B">
              <w:rPr>
                <w:sz w:val="28"/>
                <w:szCs w:val="28"/>
                <w:lang w:eastAsia="en-US"/>
              </w:rPr>
              <w:t xml:space="preserve"> katram Izložu un azartspēļu uzraudzības inspekcijas darbiniekam, kura amata pienākumos būs darbs ar vienoto sistēmu (AKUS),</w:t>
            </w:r>
            <w:r w:rsidR="00D90710" w:rsidRPr="00093D7B">
              <w:rPr>
                <w:sz w:val="28"/>
                <w:szCs w:val="28"/>
                <w:lang w:eastAsia="en-US"/>
              </w:rPr>
              <w:t xml:space="preserve"> jo iegūtā informācija ir </w:t>
            </w:r>
            <w:proofErr w:type="spellStart"/>
            <w:r w:rsidR="00D90710" w:rsidRPr="00093D7B">
              <w:rPr>
                <w:sz w:val="28"/>
                <w:szCs w:val="28"/>
                <w:lang w:eastAsia="en-US"/>
              </w:rPr>
              <w:t>sensitīva</w:t>
            </w:r>
            <w:proofErr w:type="spellEnd"/>
            <w:r w:rsidR="00D90710" w:rsidRPr="00093D7B">
              <w:rPr>
                <w:sz w:val="28"/>
                <w:szCs w:val="28"/>
                <w:lang w:eastAsia="en-US"/>
              </w:rPr>
              <w:t xml:space="preserve"> un var saturēt komercnoslēpumu, tādēļ nepieciešams precīzi identificēt, kādu informāciju un</w:t>
            </w:r>
            <w:r w:rsidR="009363D4" w:rsidRPr="00093D7B">
              <w:rPr>
                <w:sz w:val="28"/>
                <w:szCs w:val="28"/>
                <w:lang w:eastAsia="en-US"/>
              </w:rPr>
              <w:t xml:space="preserve"> kad ir</w:t>
            </w:r>
            <w:r w:rsidR="00D90710" w:rsidRPr="00093D7B">
              <w:rPr>
                <w:sz w:val="28"/>
                <w:szCs w:val="28"/>
                <w:lang w:eastAsia="en-US"/>
              </w:rPr>
              <w:t xml:space="preserve"> apskatījis konkrētais Izložu un azartspēļu uzraudzības inspekcijas darbinieks.</w:t>
            </w:r>
            <w:r w:rsidR="00985A9F" w:rsidRPr="00093D7B">
              <w:rPr>
                <w:sz w:val="28"/>
                <w:szCs w:val="28"/>
                <w:lang w:eastAsia="en-US"/>
              </w:rPr>
              <w:t xml:space="preserve"> Izložu un azartspēļu uzraudzības inspekcija sagatavos iekšējo normatīvo aktu, kurā tiks aprakstīta, kārtība, kādā Izložu un azartspēļu uzraudzības inspekcijas darbinieks saņems konkrēto</w:t>
            </w:r>
            <w:r w:rsidR="007E20EF" w:rsidRPr="00093D7B">
              <w:rPr>
                <w:sz w:val="28"/>
                <w:szCs w:val="28"/>
                <w:lang w:eastAsia="en-US"/>
              </w:rPr>
              <w:t>s</w:t>
            </w:r>
            <w:r w:rsidR="00985A9F" w:rsidRPr="00093D7B">
              <w:rPr>
                <w:sz w:val="28"/>
                <w:szCs w:val="28"/>
                <w:lang w:eastAsia="en-US"/>
              </w:rPr>
              <w:t xml:space="preserve"> </w:t>
            </w:r>
            <w:r w:rsidR="007E20EF" w:rsidRPr="00093D7B">
              <w:rPr>
                <w:sz w:val="28"/>
                <w:szCs w:val="28"/>
                <w:lang w:eastAsia="en-US"/>
              </w:rPr>
              <w:t>identifikācijas datus</w:t>
            </w:r>
            <w:r w:rsidR="00985A9F" w:rsidRPr="00093D7B">
              <w:rPr>
                <w:sz w:val="28"/>
                <w:szCs w:val="28"/>
                <w:lang w:eastAsia="en-US"/>
              </w:rPr>
              <w:t xml:space="preserve"> un ar savu parakstu apliecinās, ka neizpaudīs trešajām personām azartspēļu organizētāja </w:t>
            </w:r>
            <w:proofErr w:type="spellStart"/>
            <w:r w:rsidR="00985A9F" w:rsidRPr="00093D7B">
              <w:rPr>
                <w:sz w:val="28"/>
                <w:szCs w:val="28"/>
                <w:lang w:eastAsia="en-US"/>
              </w:rPr>
              <w:t>sensitīvos</w:t>
            </w:r>
            <w:proofErr w:type="spellEnd"/>
            <w:r w:rsidR="00985A9F" w:rsidRPr="00093D7B">
              <w:rPr>
                <w:sz w:val="28"/>
                <w:szCs w:val="28"/>
                <w:lang w:eastAsia="en-US"/>
              </w:rPr>
              <w:t xml:space="preserve"> datus.</w:t>
            </w:r>
          </w:p>
          <w:p w14:paraId="7BA267F6" w14:textId="25BFE16B" w:rsidR="00D20744" w:rsidRPr="00093D7B" w:rsidRDefault="00D20744" w:rsidP="00CD091D">
            <w:pPr>
              <w:tabs>
                <w:tab w:val="center" w:pos="4680"/>
                <w:tab w:val="right" w:pos="9360"/>
              </w:tabs>
              <w:jc w:val="both"/>
              <w:rPr>
                <w:sz w:val="28"/>
                <w:szCs w:val="28"/>
                <w:lang w:eastAsia="en-US"/>
              </w:rPr>
            </w:pPr>
            <w:r w:rsidRPr="00093D7B">
              <w:rPr>
                <w:sz w:val="28"/>
                <w:szCs w:val="28"/>
                <w:lang w:eastAsia="en-US"/>
              </w:rPr>
              <w:t>Vienotajā sistēmā (AKUS) esošos datus, kas tiks iegūti no azartspēļu automātiem, nevarēs labot. Ja tiks konstatētas neatbilstības, salīdzinot azartspēļu automāta faktiskos datus ar datiem vienotajā sistēmā (AKUS) par konkrēto azartspēļu automātu, tad būs jāveic kļūdu koriģēšana. Lai panāktu atbilstību faktiskajiem rezultātiem dažādu elektronisku un elektrotehnisku traucējumu radītu kļūdu aprēķinu koriģēšanas kārtība un nepieciešamo darbību dokumentēšanas kārtība tiks iekļauta Ministru kabineta 2006.gada 19.decembra noteikumos Nr.1043 “Azartspēļu un izložu organizācijas vienotā grāmatvedības uzskaites kārtība”</w:t>
            </w:r>
            <w:r w:rsidR="00574A43" w:rsidRPr="00093D7B">
              <w:rPr>
                <w:sz w:val="28"/>
                <w:szCs w:val="28"/>
                <w:lang w:eastAsia="en-US"/>
              </w:rPr>
              <w:t>.</w:t>
            </w:r>
          </w:p>
          <w:p w14:paraId="63BF72AD" w14:textId="77777777" w:rsidR="00196543" w:rsidRPr="00093D7B" w:rsidRDefault="00C30712" w:rsidP="00CD091D">
            <w:pPr>
              <w:tabs>
                <w:tab w:val="center" w:pos="4680"/>
                <w:tab w:val="right" w:pos="9360"/>
              </w:tabs>
              <w:jc w:val="both"/>
              <w:rPr>
                <w:sz w:val="28"/>
                <w:szCs w:val="28"/>
                <w:lang w:eastAsia="en-US"/>
              </w:rPr>
            </w:pPr>
            <w:r w:rsidRPr="00093D7B">
              <w:rPr>
                <w:sz w:val="28"/>
                <w:szCs w:val="28"/>
                <w:lang w:eastAsia="en-US"/>
              </w:rPr>
              <w:t>Noteikumu projekta 1. un 2.pielikumā norādītie pārskati – azartspēļu automāta finanšu pārskats un azartspēļu organizēšanas vietas finanšu pārskats – tiek sagatavoti vienotajā sistēmā (AKUS), izmantojot šajā sistēmā esošos datus. Šos pārskatus iegūs Izložu un azartspēļu uzraudzības inspekcija, izvēloties noteiktu laika posmu. Azartspēļu organizētājiem minētie pārskati nebūs jāsagatavo un jāiesniedz Izložu un azartspēļu uzraudzības inspekcijai.</w:t>
            </w:r>
          </w:p>
        </w:tc>
      </w:tr>
      <w:tr w:rsidR="001E4890" w:rsidRPr="00D20594" w14:paraId="63BF72B2"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AF" w14:textId="1582D091" w:rsidR="001E4890" w:rsidRPr="00093D7B" w:rsidRDefault="00DF7BAD" w:rsidP="00052654">
            <w:pPr>
              <w:pStyle w:val="NormalWeb"/>
              <w:spacing w:before="0" w:beforeAutospacing="0" w:after="0" w:afterAutospacing="0"/>
              <w:rPr>
                <w:sz w:val="28"/>
                <w:szCs w:val="28"/>
              </w:rPr>
            </w:pPr>
            <w:r w:rsidRPr="00093D7B">
              <w:rPr>
                <w:sz w:val="28"/>
                <w:szCs w:val="28"/>
              </w:rPr>
              <w:lastRenderedPageBreak/>
              <w:t>3</w:t>
            </w:r>
            <w:r w:rsidR="001E4890" w:rsidRPr="00093D7B">
              <w:rPr>
                <w:sz w:val="28"/>
                <w:szCs w:val="28"/>
              </w:rPr>
              <w:t>.</w:t>
            </w:r>
          </w:p>
        </w:tc>
        <w:tc>
          <w:tcPr>
            <w:tcW w:w="1190" w:type="pct"/>
            <w:tcBorders>
              <w:top w:val="outset" w:sz="6" w:space="0" w:color="000000"/>
              <w:left w:val="outset" w:sz="6" w:space="0" w:color="000000"/>
              <w:bottom w:val="outset" w:sz="6" w:space="0" w:color="000000"/>
              <w:right w:val="outset" w:sz="6" w:space="0" w:color="000000"/>
            </w:tcBorders>
            <w:hideMark/>
          </w:tcPr>
          <w:p w14:paraId="63BF72B0" w14:textId="77777777" w:rsidR="001E4890" w:rsidRPr="00093D7B" w:rsidRDefault="001E4890" w:rsidP="00052654">
            <w:pPr>
              <w:pStyle w:val="NormalWeb"/>
              <w:spacing w:before="0" w:beforeAutospacing="0" w:after="0" w:afterAutospacing="0"/>
              <w:rPr>
                <w:sz w:val="28"/>
                <w:szCs w:val="28"/>
              </w:rPr>
            </w:pPr>
            <w:r w:rsidRPr="00093D7B">
              <w:rPr>
                <w:sz w:val="28"/>
                <w:szCs w:val="28"/>
              </w:rPr>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14:paraId="63BF72B1" w14:textId="77777777" w:rsidR="001E4890" w:rsidRPr="00093D7B" w:rsidRDefault="00D20594" w:rsidP="000D2508">
            <w:pPr>
              <w:pStyle w:val="NormalWeb"/>
              <w:spacing w:before="0" w:beforeAutospacing="0" w:after="0" w:afterAutospacing="0"/>
              <w:rPr>
                <w:sz w:val="28"/>
                <w:szCs w:val="28"/>
              </w:rPr>
            </w:pPr>
            <w:r w:rsidRPr="00093D7B">
              <w:rPr>
                <w:sz w:val="28"/>
                <w:szCs w:val="28"/>
              </w:rPr>
              <w:t>Izložu un azartspēļu uzraudzības inspekcija</w:t>
            </w:r>
            <w:r w:rsidR="006B3E7B" w:rsidRPr="00093D7B">
              <w:rPr>
                <w:sz w:val="28"/>
                <w:szCs w:val="28"/>
              </w:rPr>
              <w:t>.</w:t>
            </w:r>
          </w:p>
        </w:tc>
      </w:tr>
      <w:tr w:rsidR="001E4890" w:rsidRPr="00D20594" w14:paraId="63BF72B6"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B3" w14:textId="77777777" w:rsidR="001E4890" w:rsidRPr="00093D7B" w:rsidRDefault="00DF7BAD" w:rsidP="00052654">
            <w:pPr>
              <w:pStyle w:val="NormalWeb"/>
              <w:spacing w:before="0" w:beforeAutospacing="0" w:after="0" w:afterAutospacing="0"/>
              <w:rPr>
                <w:sz w:val="28"/>
                <w:szCs w:val="28"/>
              </w:rPr>
            </w:pPr>
            <w:r w:rsidRPr="00093D7B">
              <w:rPr>
                <w:sz w:val="28"/>
                <w:szCs w:val="28"/>
              </w:rPr>
              <w:t>4</w:t>
            </w:r>
            <w:r w:rsidR="001E4890" w:rsidRPr="00093D7B">
              <w:rPr>
                <w:sz w:val="28"/>
                <w:szCs w:val="28"/>
              </w:rPr>
              <w:t>.</w:t>
            </w:r>
          </w:p>
        </w:tc>
        <w:tc>
          <w:tcPr>
            <w:tcW w:w="1190" w:type="pct"/>
            <w:tcBorders>
              <w:top w:val="outset" w:sz="6" w:space="0" w:color="000000"/>
              <w:left w:val="outset" w:sz="6" w:space="0" w:color="000000"/>
              <w:bottom w:val="outset" w:sz="6" w:space="0" w:color="000000"/>
              <w:right w:val="outset" w:sz="6" w:space="0" w:color="000000"/>
            </w:tcBorders>
            <w:hideMark/>
          </w:tcPr>
          <w:p w14:paraId="63BF72B4" w14:textId="77777777" w:rsidR="001E4890" w:rsidRPr="00093D7B" w:rsidRDefault="001E4890" w:rsidP="00052654">
            <w:pPr>
              <w:pStyle w:val="NormalWeb"/>
              <w:spacing w:before="0" w:beforeAutospacing="0" w:after="0" w:afterAutospacing="0"/>
              <w:rPr>
                <w:sz w:val="28"/>
                <w:szCs w:val="28"/>
              </w:rPr>
            </w:pPr>
            <w:r w:rsidRPr="00093D7B">
              <w:rPr>
                <w:sz w:val="28"/>
                <w:szCs w:val="28"/>
              </w:rPr>
              <w:t>Cita informācija</w:t>
            </w:r>
          </w:p>
        </w:tc>
        <w:tc>
          <w:tcPr>
            <w:tcW w:w="3512" w:type="pct"/>
            <w:tcBorders>
              <w:top w:val="outset" w:sz="6" w:space="0" w:color="000000"/>
              <w:left w:val="outset" w:sz="6" w:space="0" w:color="000000"/>
              <w:bottom w:val="outset" w:sz="6" w:space="0" w:color="000000"/>
              <w:right w:val="outset" w:sz="6" w:space="0" w:color="000000"/>
            </w:tcBorders>
          </w:tcPr>
          <w:p w14:paraId="63BF72B5" w14:textId="77777777" w:rsidR="00701964" w:rsidRPr="00093D7B" w:rsidRDefault="00E768AB" w:rsidP="00701964">
            <w:pPr>
              <w:pStyle w:val="NormalWeb"/>
              <w:spacing w:before="0" w:beforeAutospacing="0" w:after="0" w:afterAutospacing="0"/>
              <w:jc w:val="both"/>
              <w:rPr>
                <w:sz w:val="28"/>
                <w:szCs w:val="28"/>
              </w:rPr>
            </w:pPr>
            <w:r w:rsidRPr="00093D7B">
              <w:rPr>
                <w:sz w:val="28"/>
                <w:szCs w:val="28"/>
              </w:rPr>
              <w:t>Nav.</w:t>
            </w:r>
          </w:p>
        </w:tc>
      </w:tr>
    </w:tbl>
    <w:p w14:paraId="6B3738DC" w14:textId="408D3D51" w:rsidR="00D95716" w:rsidRPr="00093D7B" w:rsidRDefault="001E4890" w:rsidP="001E4890">
      <w:pPr>
        <w:pStyle w:val="NormalWeb"/>
        <w:spacing w:before="0" w:beforeAutospacing="0" w:after="0" w:afterAutospacing="0"/>
        <w:rPr>
          <w:sz w:val="28"/>
          <w:szCs w:val="28"/>
        </w:rPr>
      </w:pPr>
      <w:r w:rsidRPr="00093D7B">
        <w:rPr>
          <w:sz w:val="28"/>
          <w:szCs w:val="28"/>
        </w:rPr>
        <w:t> </w:t>
      </w: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3"/>
        <w:gridCol w:w="3205"/>
        <w:gridCol w:w="5650"/>
      </w:tblGrid>
      <w:tr w:rsidR="001E4890" w:rsidRPr="00093D7B" w14:paraId="63BF72B9"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3BF72B8" w14:textId="77777777" w:rsidR="001E4890" w:rsidRPr="00093D7B" w:rsidRDefault="001E4890" w:rsidP="00052654">
            <w:pPr>
              <w:pStyle w:val="NormalWeb"/>
              <w:spacing w:before="0" w:beforeAutospacing="0" w:after="0" w:afterAutospacing="0"/>
              <w:jc w:val="center"/>
              <w:rPr>
                <w:b/>
                <w:bCs/>
                <w:sz w:val="28"/>
                <w:szCs w:val="28"/>
              </w:rPr>
            </w:pPr>
            <w:r w:rsidRPr="00093D7B">
              <w:rPr>
                <w:b/>
                <w:bCs/>
                <w:sz w:val="28"/>
                <w:szCs w:val="28"/>
              </w:rPr>
              <w:t>II. Tiesību akta projekta ietekme uz sabiedrību</w:t>
            </w:r>
            <w:r w:rsidR="00E459BB" w:rsidRPr="00093D7B">
              <w:rPr>
                <w:b/>
                <w:bCs/>
                <w:sz w:val="28"/>
                <w:szCs w:val="28"/>
              </w:rPr>
              <w:t>, tautsaimniecības attīstību un administratīvo slogu</w:t>
            </w:r>
          </w:p>
        </w:tc>
      </w:tr>
      <w:tr w:rsidR="001E4890" w:rsidRPr="00D95716" w14:paraId="63BF72BD"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BA" w14:textId="77777777" w:rsidR="001E4890" w:rsidRPr="00093D7B" w:rsidRDefault="001E4890" w:rsidP="00052654">
            <w:pPr>
              <w:pStyle w:val="NormalWeb"/>
              <w:spacing w:before="0" w:beforeAutospacing="0" w:after="0" w:afterAutospacing="0"/>
              <w:rPr>
                <w:sz w:val="28"/>
                <w:szCs w:val="28"/>
              </w:rPr>
            </w:pPr>
            <w:r w:rsidRPr="00093D7B">
              <w:rPr>
                <w:sz w:val="28"/>
                <w:szCs w:val="28"/>
              </w:rPr>
              <w:lastRenderedPageBreak/>
              <w:t>1.</w:t>
            </w:r>
          </w:p>
        </w:tc>
        <w:tc>
          <w:tcPr>
            <w:tcW w:w="1696" w:type="pct"/>
            <w:tcBorders>
              <w:top w:val="outset" w:sz="6" w:space="0" w:color="000000"/>
              <w:left w:val="outset" w:sz="6" w:space="0" w:color="000000"/>
              <w:bottom w:val="outset" w:sz="6" w:space="0" w:color="000000"/>
              <w:right w:val="outset" w:sz="6" w:space="0" w:color="000000"/>
            </w:tcBorders>
            <w:hideMark/>
          </w:tcPr>
          <w:p w14:paraId="63BF72BB" w14:textId="77777777" w:rsidR="001E4890" w:rsidRPr="00093D7B" w:rsidRDefault="001E4890" w:rsidP="005F588E">
            <w:pPr>
              <w:pStyle w:val="NormalWeb"/>
              <w:spacing w:before="0" w:beforeAutospacing="0" w:after="0" w:afterAutospacing="0"/>
              <w:rPr>
                <w:sz w:val="28"/>
                <w:szCs w:val="28"/>
              </w:rPr>
            </w:pPr>
            <w:r w:rsidRPr="00093D7B">
              <w:rPr>
                <w:sz w:val="28"/>
                <w:szCs w:val="28"/>
              </w:rPr>
              <w:t xml:space="preserve">Sabiedrības </w:t>
            </w:r>
            <w:proofErr w:type="spellStart"/>
            <w:r w:rsidRPr="00093D7B">
              <w:rPr>
                <w:sz w:val="28"/>
                <w:szCs w:val="28"/>
              </w:rPr>
              <w:t>mērķgrupa</w:t>
            </w:r>
            <w:r w:rsidR="00E459BB" w:rsidRPr="00093D7B">
              <w:rPr>
                <w:sz w:val="28"/>
                <w:szCs w:val="28"/>
              </w:rPr>
              <w:t>s</w:t>
            </w:r>
            <w:proofErr w:type="spellEnd"/>
            <w:r w:rsidR="00E459BB" w:rsidRPr="00093D7B">
              <w:rPr>
                <w:sz w:val="28"/>
                <w:szCs w:val="28"/>
              </w:rPr>
              <w:t>,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14:paraId="63BF72BC" w14:textId="77777777" w:rsidR="003A3E26" w:rsidRPr="00093D7B" w:rsidRDefault="006B3E7B" w:rsidP="00B64D33">
            <w:pPr>
              <w:pStyle w:val="NormalWeb"/>
              <w:spacing w:before="0" w:beforeAutospacing="0" w:after="0" w:afterAutospacing="0"/>
              <w:jc w:val="both"/>
              <w:rPr>
                <w:sz w:val="28"/>
                <w:szCs w:val="28"/>
              </w:rPr>
            </w:pPr>
            <w:r w:rsidRPr="00093D7B">
              <w:rPr>
                <w:sz w:val="28"/>
                <w:szCs w:val="28"/>
              </w:rPr>
              <w:t>Kapitālsabiedrības, kas organizē azartspēles</w:t>
            </w:r>
            <w:r w:rsidR="00CD299B" w:rsidRPr="00093D7B">
              <w:rPr>
                <w:sz w:val="28"/>
                <w:szCs w:val="28"/>
              </w:rPr>
              <w:t xml:space="preserve"> (kazino un spēļu zāles, kurās tiek izvietoti azartspēļu automāti)</w:t>
            </w:r>
            <w:r w:rsidRPr="00093D7B">
              <w:rPr>
                <w:sz w:val="28"/>
                <w:szCs w:val="28"/>
              </w:rPr>
              <w:t xml:space="preserve">. Šobrīd Latvijā ir </w:t>
            </w:r>
            <w:r w:rsidR="00B64D33" w:rsidRPr="00093D7B">
              <w:rPr>
                <w:sz w:val="28"/>
                <w:szCs w:val="28"/>
              </w:rPr>
              <w:t>11</w:t>
            </w:r>
            <w:r w:rsidRPr="00093D7B">
              <w:rPr>
                <w:sz w:val="28"/>
                <w:szCs w:val="28"/>
              </w:rPr>
              <w:t xml:space="preserve"> šād</w:t>
            </w:r>
            <w:r w:rsidR="00CD299B" w:rsidRPr="00093D7B">
              <w:rPr>
                <w:sz w:val="28"/>
                <w:szCs w:val="28"/>
              </w:rPr>
              <w:t>i</w:t>
            </w:r>
            <w:r w:rsidRPr="00093D7B">
              <w:rPr>
                <w:sz w:val="28"/>
                <w:szCs w:val="28"/>
              </w:rPr>
              <w:t xml:space="preserve"> </w:t>
            </w:r>
            <w:r w:rsidR="00CD299B" w:rsidRPr="00093D7B">
              <w:rPr>
                <w:sz w:val="28"/>
                <w:szCs w:val="28"/>
              </w:rPr>
              <w:t>azartspēļu organizētāji</w:t>
            </w:r>
            <w:r w:rsidRPr="00093D7B">
              <w:rPr>
                <w:sz w:val="28"/>
                <w:szCs w:val="28"/>
              </w:rPr>
              <w:t>.</w:t>
            </w:r>
          </w:p>
        </w:tc>
      </w:tr>
      <w:tr w:rsidR="007C454A" w:rsidRPr="00D95716" w14:paraId="63BF72C3"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BE" w14:textId="77777777" w:rsidR="001E4890" w:rsidRPr="00093D7B" w:rsidRDefault="001E4890" w:rsidP="00052654">
            <w:pPr>
              <w:pStyle w:val="NormalWeb"/>
              <w:spacing w:before="0" w:beforeAutospacing="0" w:after="0" w:afterAutospacing="0"/>
              <w:rPr>
                <w:sz w:val="28"/>
                <w:szCs w:val="28"/>
              </w:rPr>
            </w:pPr>
            <w:r w:rsidRPr="00093D7B">
              <w:rPr>
                <w:sz w:val="28"/>
                <w:szCs w:val="28"/>
              </w:rPr>
              <w:t>2.</w:t>
            </w:r>
          </w:p>
        </w:tc>
        <w:tc>
          <w:tcPr>
            <w:tcW w:w="1696" w:type="pct"/>
            <w:tcBorders>
              <w:top w:val="outset" w:sz="6" w:space="0" w:color="000000"/>
              <w:left w:val="outset" w:sz="6" w:space="0" w:color="000000"/>
              <w:bottom w:val="outset" w:sz="6" w:space="0" w:color="000000"/>
              <w:right w:val="outset" w:sz="6" w:space="0" w:color="000000"/>
            </w:tcBorders>
            <w:hideMark/>
          </w:tcPr>
          <w:p w14:paraId="63BF72BF" w14:textId="77777777" w:rsidR="001E4890" w:rsidRPr="00093D7B" w:rsidRDefault="00E459BB" w:rsidP="00052654">
            <w:pPr>
              <w:pStyle w:val="NormalWeb"/>
              <w:spacing w:before="0" w:beforeAutospacing="0" w:after="0" w:afterAutospacing="0"/>
              <w:rPr>
                <w:sz w:val="28"/>
                <w:szCs w:val="28"/>
              </w:rPr>
            </w:pPr>
            <w:r w:rsidRPr="00093D7B">
              <w:rPr>
                <w:sz w:val="28"/>
                <w:szCs w:val="28"/>
              </w:rPr>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14:paraId="63BF72C0" w14:textId="77777777" w:rsidR="002E3C62" w:rsidRPr="00093D7B" w:rsidRDefault="007C454A" w:rsidP="007C454A">
            <w:pPr>
              <w:pStyle w:val="NormalWeb"/>
              <w:spacing w:before="0" w:beforeAutospacing="0" w:after="0" w:afterAutospacing="0"/>
              <w:jc w:val="both"/>
              <w:rPr>
                <w:sz w:val="28"/>
                <w:szCs w:val="28"/>
              </w:rPr>
            </w:pPr>
            <w:r w:rsidRPr="00093D7B">
              <w:rPr>
                <w:sz w:val="28"/>
                <w:szCs w:val="28"/>
              </w:rPr>
              <w:t>Vienotās sistēmas (AKUS) ieviešanas un uzturēšanas izmaksas dalās divās daļās:</w:t>
            </w:r>
          </w:p>
          <w:p w14:paraId="63BF72C1" w14:textId="77777777" w:rsidR="007C454A" w:rsidRPr="00093D7B" w:rsidRDefault="007C454A" w:rsidP="007C454A">
            <w:pPr>
              <w:pStyle w:val="NormalWeb"/>
              <w:numPr>
                <w:ilvl w:val="0"/>
                <w:numId w:val="17"/>
              </w:numPr>
              <w:spacing w:before="0" w:beforeAutospacing="0" w:after="0" w:afterAutospacing="0"/>
              <w:jc w:val="both"/>
              <w:rPr>
                <w:sz w:val="28"/>
                <w:szCs w:val="28"/>
              </w:rPr>
            </w:pPr>
            <w:r w:rsidRPr="00093D7B">
              <w:rPr>
                <w:sz w:val="28"/>
                <w:szCs w:val="28"/>
              </w:rPr>
              <w:t>izmaksas I</w:t>
            </w:r>
            <w:r w:rsidR="004466F9" w:rsidRPr="00093D7B">
              <w:rPr>
                <w:sz w:val="28"/>
                <w:szCs w:val="28"/>
              </w:rPr>
              <w:t>zložu un azartspēļu uzraudzības i</w:t>
            </w:r>
            <w:r w:rsidRPr="00093D7B">
              <w:rPr>
                <w:sz w:val="28"/>
                <w:szCs w:val="28"/>
              </w:rPr>
              <w:t>nspekcijai, kuras tiks finansētas no valsts budžeta;</w:t>
            </w:r>
          </w:p>
          <w:p w14:paraId="63BF72C2" w14:textId="4C220F7B" w:rsidR="007C454A" w:rsidRPr="00093D7B" w:rsidRDefault="0056484E" w:rsidP="006A4065">
            <w:pPr>
              <w:pStyle w:val="NormalWeb"/>
              <w:numPr>
                <w:ilvl w:val="0"/>
                <w:numId w:val="17"/>
              </w:numPr>
              <w:spacing w:before="0" w:beforeAutospacing="0" w:after="0" w:afterAutospacing="0"/>
              <w:jc w:val="both"/>
              <w:rPr>
                <w:sz w:val="28"/>
                <w:szCs w:val="28"/>
              </w:rPr>
            </w:pPr>
            <w:r w:rsidRPr="00093D7B">
              <w:rPr>
                <w:sz w:val="28"/>
                <w:szCs w:val="28"/>
              </w:rPr>
              <w:t xml:space="preserve">izmaksas azartspēļu organizētājiem, kuras tie segs no saviem līdzekļiem. Ņemot vērā azartspēļu organizētāju lielās izmaksas vienotās sistēmas (AKUS) ieviešanai (apmēram </w:t>
            </w:r>
            <w:r w:rsidR="006A4065" w:rsidRPr="00093D7B">
              <w:rPr>
                <w:sz w:val="28"/>
                <w:szCs w:val="28"/>
              </w:rPr>
              <w:t>2</w:t>
            </w:r>
            <w:r w:rsidRPr="00093D7B">
              <w:rPr>
                <w:sz w:val="28"/>
                <w:szCs w:val="28"/>
              </w:rPr>
              <w:t xml:space="preserve"> 000 </w:t>
            </w:r>
            <w:r w:rsidRPr="00093D7B">
              <w:rPr>
                <w:i/>
                <w:sz w:val="28"/>
                <w:szCs w:val="28"/>
              </w:rPr>
              <w:t>euro</w:t>
            </w:r>
            <w:r w:rsidRPr="00093D7B">
              <w:rPr>
                <w:sz w:val="28"/>
                <w:szCs w:val="28"/>
              </w:rPr>
              <w:t xml:space="preserve"> un vairāk uz vienu azartspēļu automātu, </w:t>
            </w:r>
            <w:r w:rsidR="00B64D33" w:rsidRPr="00093D7B">
              <w:rPr>
                <w:sz w:val="28"/>
                <w:szCs w:val="28"/>
              </w:rPr>
              <w:t xml:space="preserve">pēc statistikas datiem </w:t>
            </w:r>
            <w:r w:rsidRPr="00093D7B">
              <w:rPr>
                <w:sz w:val="28"/>
                <w:szCs w:val="28"/>
              </w:rPr>
              <w:t>201</w:t>
            </w:r>
            <w:r w:rsidR="00B64D33" w:rsidRPr="00093D7B">
              <w:rPr>
                <w:sz w:val="28"/>
                <w:szCs w:val="28"/>
              </w:rPr>
              <w:t>6</w:t>
            </w:r>
            <w:r w:rsidRPr="00093D7B">
              <w:rPr>
                <w:sz w:val="28"/>
                <w:szCs w:val="28"/>
              </w:rPr>
              <w:t xml:space="preserve">.gada </w:t>
            </w:r>
            <w:r w:rsidR="00B64D33" w:rsidRPr="00093D7B">
              <w:rPr>
                <w:sz w:val="28"/>
                <w:szCs w:val="28"/>
              </w:rPr>
              <w:t>10.martā tika ekspluatēti</w:t>
            </w:r>
            <w:r w:rsidRPr="00093D7B">
              <w:rPr>
                <w:sz w:val="28"/>
                <w:szCs w:val="28"/>
              </w:rPr>
              <w:t xml:space="preserve"> 8 7</w:t>
            </w:r>
            <w:r w:rsidR="00B64D33" w:rsidRPr="00093D7B">
              <w:rPr>
                <w:sz w:val="28"/>
                <w:szCs w:val="28"/>
              </w:rPr>
              <w:t>60</w:t>
            </w:r>
            <w:r w:rsidRPr="00093D7B">
              <w:rPr>
                <w:sz w:val="28"/>
                <w:szCs w:val="28"/>
              </w:rPr>
              <w:t xml:space="preserve"> azartspēļu automāt</w:t>
            </w:r>
            <w:r w:rsidR="00652CDA" w:rsidRPr="00093D7B">
              <w:rPr>
                <w:sz w:val="28"/>
                <w:szCs w:val="28"/>
              </w:rPr>
              <w:t>i</w:t>
            </w:r>
            <w:r w:rsidRPr="00093D7B">
              <w:rPr>
                <w:sz w:val="28"/>
                <w:szCs w:val="28"/>
              </w:rPr>
              <w:t>), azartspēļu organizētājiem tika dots piecu gadu pārejas periods (no 2014.gada līdz 2019.gadam), lai uzkrātu finanšu līdzekļus vienotās sistēmas (AKUS) ieviešanai.</w:t>
            </w:r>
          </w:p>
        </w:tc>
      </w:tr>
      <w:tr w:rsidR="007C454A" w:rsidRPr="007C454A" w14:paraId="63BF72C7"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C4" w14:textId="77777777" w:rsidR="001E4890" w:rsidRPr="00093D7B" w:rsidRDefault="001E4890" w:rsidP="00052654">
            <w:pPr>
              <w:pStyle w:val="NormalWeb"/>
              <w:spacing w:before="0" w:beforeAutospacing="0" w:after="0" w:afterAutospacing="0"/>
              <w:rPr>
                <w:sz w:val="28"/>
                <w:szCs w:val="28"/>
              </w:rPr>
            </w:pPr>
            <w:r w:rsidRPr="00093D7B">
              <w:rPr>
                <w:sz w:val="28"/>
                <w:szCs w:val="28"/>
              </w:rPr>
              <w:t>3.</w:t>
            </w:r>
          </w:p>
        </w:tc>
        <w:tc>
          <w:tcPr>
            <w:tcW w:w="1696" w:type="pct"/>
            <w:tcBorders>
              <w:top w:val="outset" w:sz="6" w:space="0" w:color="000000"/>
              <w:left w:val="outset" w:sz="6" w:space="0" w:color="000000"/>
              <w:bottom w:val="outset" w:sz="6" w:space="0" w:color="000000"/>
              <w:right w:val="outset" w:sz="6" w:space="0" w:color="000000"/>
            </w:tcBorders>
            <w:hideMark/>
          </w:tcPr>
          <w:p w14:paraId="63BF72C5" w14:textId="77777777" w:rsidR="001E4890" w:rsidRPr="00093D7B" w:rsidRDefault="00E459BB" w:rsidP="00052654">
            <w:pPr>
              <w:pStyle w:val="NormalWeb"/>
              <w:spacing w:before="0" w:beforeAutospacing="0" w:after="0" w:afterAutospacing="0"/>
              <w:rPr>
                <w:sz w:val="28"/>
                <w:szCs w:val="28"/>
              </w:rPr>
            </w:pPr>
            <w:r w:rsidRPr="00093D7B">
              <w:rPr>
                <w:sz w:val="28"/>
                <w:szCs w:val="28"/>
              </w:rPr>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hideMark/>
          </w:tcPr>
          <w:p w14:paraId="63BF72C6" w14:textId="77777777" w:rsidR="004912EA" w:rsidRPr="00093D7B" w:rsidRDefault="005061F2" w:rsidP="002C04C1">
            <w:pPr>
              <w:pStyle w:val="NormalWeb"/>
              <w:spacing w:before="0" w:beforeAutospacing="0" w:after="0" w:afterAutospacing="0"/>
              <w:jc w:val="both"/>
              <w:rPr>
                <w:sz w:val="28"/>
                <w:szCs w:val="28"/>
              </w:rPr>
            </w:pPr>
            <w:r w:rsidRPr="00093D7B">
              <w:rPr>
                <w:sz w:val="28"/>
                <w:szCs w:val="28"/>
              </w:rPr>
              <w:t>Noteikumu projekts</w:t>
            </w:r>
            <w:r w:rsidR="00E7459F" w:rsidRPr="00093D7B">
              <w:rPr>
                <w:sz w:val="28"/>
                <w:szCs w:val="28"/>
              </w:rPr>
              <w:t xml:space="preserve"> šo jomu neskar</w:t>
            </w:r>
            <w:r w:rsidR="00E459BB" w:rsidRPr="00093D7B">
              <w:rPr>
                <w:sz w:val="28"/>
                <w:szCs w:val="28"/>
              </w:rPr>
              <w:t>.</w:t>
            </w:r>
          </w:p>
        </w:tc>
      </w:tr>
      <w:tr w:rsidR="007C454A" w:rsidRPr="007C454A" w14:paraId="63BF72CB"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C8" w14:textId="77777777" w:rsidR="001E4890" w:rsidRPr="00093D7B" w:rsidRDefault="00E459BB" w:rsidP="00052654">
            <w:pPr>
              <w:pStyle w:val="NormalWeb"/>
              <w:spacing w:before="0" w:beforeAutospacing="0" w:after="0" w:afterAutospacing="0"/>
              <w:rPr>
                <w:sz w:val="28"/>
                <w:szCs w:val="28"/>
              </w:rPr>
            </w:pPr>
            <w:r w:rsidRPr="00093D7B">
              <w:rPr>
                <w:sz w:val="28"/>
                <w:szCs w:val="28"/>
              </w:rPr>
              <w:t>4</w:t>
            </w:r>
            <w:r w:rsidR="001E4890" w:rsidRPr="00093D7B">
              <w:rPr>
                <w:sz w:val="28"/>
                <w:szCs w:val="28"/>
              </w:rPr>
              <w:t>.</w:t>
            </w:r>
          </w:p>
        </w:tc>
        <w:tc>
          <w:tcPr>
            <w:tcW w:w="1696" w:type="pct"/>
            <w:tcBorders>
              <w:top w:val="outset" w:sz="6" w:space="0" w:color="000000"/>
              <w:left w:val="outset" w:sz="6" w:space="0" w:color="000000"/>
              <w:bottom w:val="outset" w:sz="6" w:space="0" w:color="000000"/>
              <w:right w:val="outset" w:sz="6" w:space="0" w:color="000000"/>
            </w:tcBorders>
            <w:hideMark/>
          </w:tcPr>
          <w:p w14:paraId="63BF72C9" w14:textId="77777777" w:rsidR="001E4890" w:rsidRPr="00093D7B" w:rsidRDefault="001E4890" w:rsidP="00052654">
            <w:pPr>
              <w:pStyle w:val="NormalWeb"/>
              <w:spacing w:before="0" w:beforeAutospacing="0" w:after="0" w:afterAutospacing="0"/>
              <w:rPr>
                <w:sz w:val="28"/>
                <w:szCs w:val="28"/>
              </w:rPr>
            </w:pPr>
            <w:r w:rsidRPr="00093D7B">
              <w:rPr>
                <w:sz w:val="28"/>
                <w:szCs w:val="28"/>
              </w:rPr>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14:paraId="63BF72CA" w14:textId="77777777" w:rsidR="001E4890" w:rsidRPr="00093D7B" w:rsidRDefault="001E4890" w:rsidP="00052654">
            <w:pPr>
              <w:pStyle w:val="NormalWeb"/>
              <w:spacing w:before="0" w:beforeAutospacing="0" w:after="0" w:afterAutospacing="0"/>
              <w:rPr>
                <w:sz w:val="28"/>
                <w:szCs w:val="28"/>
              </w:rPr>
            </w:pPr>
            <w:r w:rsidRPr="00093D7B">
              <w:rPr>
                <w:sz w:val="28"/>
                <w:szCs w:val="28"/>
              </w:rPr>
              <w:t>Nav</w:t>
            </w:r>
            <w:r w:rsidR="0026359B" w:rsidRPr="00093D7B">
              <w:rPr>
                <w:sz w:val="28"/>
                <w:szCs w:val="28"/>
              </w:rPr>
              <w:t>.</w:t>
            </w:r>
          </w:p>
        </w:tc>
      </w:tr>
    </w:tbl>
    <w:p w14:paraId="63BF72CC" w14:textId="77777777" w:rsidR="00880A15" w:rsidRPr="00093D7B" w:rsidRDefault="00880A15" w:rsidP="005061F2">
      <w:pPr>
        <w:rPr>
          <w:sz w:val="28"/>
          <w:szCs w:val="28"/>
        </w:rPr>
      </w:pPr>
    </w:p>
    <w:tbl>
      <w:tblPr>
        <w:tblpPr w:leftFromText="180" w:rightFromText="180" w:vertAnchor="text" w:horzAnchor="margin" w:tblpX="-52" w:tblpY="151"/>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89"/>
        <w:gridCol w:w="1093"/>
        <w:gridCol w:w="1149"/>
        <w:gridCol w:w="1209"/>
        <w:gridCol w:w="1149"/>
        <w:gridCol w:w="1149"/>
      </w:tblGrid>
      <w:tr w:rsidR="0059425F" w:rsidRPr="007C454A" w14:paraId="63BF72CE" w14:textId="77777777" w:rsidTr="00A436BC">
        <w:tc>
          <w:tcPr>
            <w:tcW w:w="5000" w:type="pct"/>
            <w:gridSpan w:val="6"/>
            <w:tcBorders>
              <w:top w:val="outset" w:sz="6" w:space="0" w:color="000000"/>
              <w:left w:val="outset" w:sz="6" w:space="0" w:color="000000"/>
              <w:bottom w:val="outset" w:sz="6" w:space="0" w:color="000000"/>
              <w:right w:val="outset" w:sz="6" w:space="0" w:color="000000"/>
            </w:tcBorders>
          </w:tcPr>
          <w:p w14:paraId="63BF72CD" w14:textId="77777777" w:rsidR="0059425F" w:rsidRPr="00093D7B" w:rsidRDefault="0059425F" w:rsidP="00A436BC">
            <w:pPr>
              <w:spacing w:before="100" w:beforeAutospacing="1" w:after="100" w:afterAutospacing="1"/>
              <w:jc w:val="both"/>
              <w:rPr>
                <w:b/>
                <w:bCs/>
                <w:sz w:val="28"/>
                <w:szCs w:val="28"/>
              </w:rPr>
            </w:pPr>
            <w:r w:rsidRPr="00093D7B">
              <w:rPr>
                <w:b/>
                <w:bCs/>
                <w:sz w:val="28"/>
                <w:szCs w:val="28"/>
              </w:rPr>
              <w:t>III. Tiesību akta projekta ietekme uz valsts budžetu un pašvaldību budžetiem</w:t>
            </w:r>
          </w:p>
        </w:tc>
      </w:tr>
      <w:tr w:rsidR="0059425F" w:rsidRPr="007C454A" w14:paraId="63BF72D2" w14:textId="77777777" w:rsidTr="00A436BC">
        <w:tc>
          <w:tcPr>
            <w:tcW w:w="1931" w:type="pct"/>
            <w:vMerge w:val="restart"/>
            <w:tcBorders>
              <w:top w:val="outset" w:sz="6" w:space="0" w:color="000000"/>
              <w:left w:val="outset" w:sz="6" w:space="0" w:color="000000"/>
              <w:bottom w:val="outset" w:sz="6" w:space="0" w:color="000000"/>
              <w:right w:val="outset" w:sz="6" w:space="0" w:color="000000"/>
            </w:tcBorders>
            <w:vAlign w:val="center"/>
          </w:tcPr>
          <w:p w14:paraId="63BF72CF" w14:textId="77777777" w:rsidR="0059425F" w:rsidRPr="00093D7B" w:rsidRDefault="0059425F" w:rsidP="00A436BC">
            <w:pPr>
              <w:spacing w:before="100" w:beforeAutospacing="1" w:after="100" w:afterAutospacing="1"/>
              <w:jc w:val="both"/>
              <w:rPr>
                <w:b/>
                <w:bCs/>
                <w:sz w:val="28"/>
                <w:szCs w:val="28"/>
              </w:rPr>
            </w:pPr>
            <w:r w:rsidRPr="00093D7B">
              <w:rPr>
                <w:b/>
                <w:bCs/>
                <w:sz w:val="28"/>
                <w:szCs w:val="28"/>
              </w:rPr>
              <w:t>Rādītāji</w:t>
            </w:r>
          </w:p>
        </w:tc>
        <w:tc>
          <w:tcPr>
            <w:tcW w:w="1203" w:type="pct"/>
            <w:gridSpan w:val="2"/>
            <w:vMerge w:val="restart"/>
            <w:tcBorders>
              <w:top w:val="outset" w:sz="6" w:space="0" w:color="000000"/>
              <w:left w:val="outset" w:sz="6" w:space="0" w:color="000000"/>
              <w:bottom w:val="outset" w:sz="6" w:space="0" w:color="000000"/>
              <w:right w:val="outset" w:sz="6" w:space="0" w:color="000000"/>
            </w:tcBorders>
            <w:vAlign w:val="center"/>
          </w:tcPr>
          <w:p w14:paraId="63BF72D0" w14:textId="77777777" w:rsidR="0059425F" w:rsidRPr="00093D7B" w:rsidRDefault="0059425F" w:rsidP="00A436BC">
            <w:pPr>
              <w:spacing w:before="100" w:beforeAutospacing="1" w:after="100" w:afterAutospacing="1"/>
              <w:jc w:val="center"/>
              <w:rPr>
                <w:b/>
                <w:bCs/>
                <w:sz w:val="28"/>
                <w:szCs w:val="28"/>
              </w:rPr>
            </w:pPr>
            <w:r w:rsidRPr="00093D7B">
              <w:rPr>
                <w:b/>
                <w:bCs/>
                <w:sz w:val="28"/>
                <w:szCs w:val="28"/>
              </w:rPr>
              <w:t>201</w:t>
            </w:r>
            <w:r w:rsidR="007C454A" w:rsidRPr="00093D7B">
              <w:rPr>
                <w:b/>
                <w:bCs/>
                <w:sz w:val="28"/>
                <w:szCs w:val="28"/>
              </w:rPr>
              <w:t>6</w:t>
            </w:r>
          </w:p>
        </w:tc>
        <w:tc>
          <w:tcPr>
            <w:tcW w:w="1866" w:type="pct"/>
            <w:gridSpan w:val="3"/>
            <w:tcBorders>
              <w:top w:val="outset" w:sz="6" w:space="0" w:color="000000"/>
              <w:left w:val="outset" w:sz="6" w:space="0" w:color="000000"/>
              <w:bottom w:val="outset" w:sz="6" w:space="0" w:color="000000"/>
              <w:right w:val="outset" w:sz="6" w:space="0" w:color="000000"/>
            </w:tcBorders>
            <w:vAlign w:val="center"/>
          </w:tcPr>
          <w:p w14:paraId="63BF72D1" w14:textId="77777777" w:rsidR="0059425F" w:rsidRPr="00093D7B" w:rsidRDefault="0059425F" w:rsidP="00A436BC">
            <w:pPr>
              <w:spacing w:before="100" w:beforeAutospacing="1" w:after="100" w:afterAutospacing="1"/>
              <w:jc w:val="both"/>
              <w:rPr>
                <w:sz w:val="28"/>
                <w:szCs w:val="28"/>
              </w:rPr>
            </w:pPr>
            <w:r w:rsidRPr="00093D7B">
              <w:rPr>
                <w:sz w:val="28"/>
                <w:szCs w:val="28"/>
              </w:rPr>
              <w:t>Turpmākie trīs gadi (</w:t>
            </w:r>
            <w:r w:rsidRPr="00093D7B">
              <w:rPr>
                <w:i/>
                <w:sz w:val="28"/>
                <w:szCs w:val="28"/>
              </w:rPr>
              <w:t>euro</w:t>
            </w:r>
            <w:r w:rsidRPr="00093D7B">
              <w:rPr>
                <w:sz w:val="28"/>
                <w:szCs w:val="28"/>
              </w:rPr>
              <w:t>)</w:t>
            </w:r>
          </w:p>
        </w:tc>
      </w:tr>
      <w:tr w:rsidR="0059425F" w:rsidRPr="007C454A" w14:paraId="63BF72D8" w14:textId="77777777" w:rsidTr="00A436BC">
        <w:trPr>
          <w:trHeight w:val="254"/>
        </w:trPr>
        <w:tc>
          <w:tcPr>
            <w:tcW w:w="1931" w:type="pct"/>
            <w:vMerge/>
            <w:tcBorders>
              <w:top w:val="outset" w:sz="6" w:space="0" w:color="000000"/>
              <w:left w:val="outset" w:sz="6" w:space="0" w:color="000000"/>
              <w:bottom w:val="outset" w:sz="6" w:space="0" w:color="000000"/>
              <w:right w:val="outset" w:sz="6" w:space="0" w:color="000000"/>
            </w:tcBorders>
            <w:vAlign w:val="center"/>
          </w:tcPr>
          <w:p w14:paraId="63BF72D3" w14:textId="77777777" w:rsidR="0059425F" w:rsidRPr="00093D7B" w:rsidRDefault="0059425F" w:rsidP="00A436BC">
            <w:pPr>
              <w:jc w:val="both"/>
              <w:rPr>
                <w:b/>
                <w:bCs/>
                <w:sz w:val="28"/>
                <w:szCs w:val="28"/>
              </w:rPr>
            </w:pPr>
          </w:p>
        </w:tc>
        <w:tc>
          <w:tcPr>
            <w:tcW w:w="1203" w:type="pct"/>
            <w:gridSpan w:val="2"/>
            <w:vMerge/>
            <w:tcBorders>
              <w:top w:val="outset" w:sz="6" w:space="0" w:color="000000"/>
              <w:left w:val="outset" w:sz="6" w:space="0" w:color="000000"/>
              <w:bottom w:val="outset" w:sz="6" w:space="0" w:color="000000"/>
              <w:right w:val="outset" w:sz="6" w:space="0" w:color="000000"/>
            </w:tcBorders>
            <w:vAlign w:val="center"/>
          </w:tcPr>
          <w:p w14:paraId="63BF72D4" w14:textId="77777777" w:rsidR="0059425F" w:rsidRPr="00093D7B" w:rsidRDefault="0059425F" w:rsidP="00A436BC">
            <w:pPr>
              <w:jc w:val="both"/>
              <w:rPr>
                <w:b/>
                <w:bCs/>
                <w:sz w:val="28"/>
                <w:szCs w:val="28"/>
              </w:rPr>
            </w:pPr>
          </w:p>
        </w:tc>
        <w:tc>
          <w:tcPr>
            <w:tcW w:w="656" w:type="pct"/>
            <w:tcBorders>
              <w:top w:val="outset" w:sz="6" w:space="0" w:color="000000"/>
              <w:left w:val="outset" w:sz="6" w:space="0" w:color="000000"/>
              <w:bottom w:val="outset" w:sz="6" w:space="0" w:color="000000"/>
              <w:right w:val="outset" w:sz="6" w:space="0" w:color="000000"/>
            </w:tcBorders>
            <w:vAlign w:val="center"/>
          </w:tcPr>
          <w:p w14:paraId="63BF72D5" w14:textId="77777777" w:rsidR="0059425F" w:rsidRPr="00093D7B" w:rsidRDefault="0059425F" w:rsidP="00A436BC">
            <w:pPr>
              <w:spacing w:before="100" w:beforeAutospacing="1" w:after="100" w:afterAutospacing="1"/>
              <w:jc w:val="center"/>
              <w:rPr>
                <w:b/>
                <w:bCs/>
                <w:sz w:val="28"/>
                <w:szCs w:val="28"/>
              </w:rPr>
            </w:pPr>
            <w:r w:rsidRPr="00093D7B">
              <w:rPr>
                <w:b/>
                <w:bCs/>
                <w:sz w:val="28"/>
                <w:szCs w:val="28"/>
              </w:rPr>
              <w:t>201</w:t>
            </w:r>
            <w:r w:rsidR="007C454A" w:rsidRPr="00093D7B">
              <w:rPr>
                <w:b/>
                <w:bCs/>
                <w:sz w:val="28"/>
                <w:szCs w:val="28"/>
              </w:rPr>
              <w:t>7</w:t>
            </w:r>
          </w:p>
        </w:tc>
        <w:tc>
          <w:tcPr>
            <w:tcW w:w="605" w:type="pct"/>
            <w:tcBorders>
              <w:top w:val="outset" w:sz="6" w:space="0" w:color="000000"/>
              <w:left w:val="outset" w:sz="6" w:space="0" w:color="000000"/>
              <w:bottom w:val="outset" w:sz="6" w:space="0" w:color="000000"/>
              <w:right w:val="outset" w:sz="6" w:space="0" w:color="000000"/>
            </w:tcBorders>
            <w:vAlign w:val="center"/>
          </w:tcPr>
          <w:p w14:paraId="63BF72D6" w14:textId="77777777" w:rsidR="0059425F" w:rsidRPr="00093D7B" w:rsidRDefault="0059425F" w:rsidP="00A436BC">
            <w:pPr>
              <w:spacing w:before="100" w:beforeAutospacing="1" w:after="100" w:afterAutospacing="1"/>
              <w:jc w:val="center"/>
              <w:rPr>
                <w:b/>
                <w:bCs/>
                <w:sz w:val="28"/>
                <w:szCs w:val="28"/>
              </w:rPr>
            </w:pPr>
            <w:r w:rsidRPr="00093D7B">
              <w:rPr>
                <w:b/>
                <w:bCs/>
                <w:sz w:val="28"/>
                <w:szCs w:val="28"/>
              </w:rPr>
              <w:t>201</w:t>
            </w:r>
            <w:r w:rsidR="007C454A" w:rsidRPr="00093D7B">
              <w:rPr>
                <w:b/>
                <w:bCs/>
                <w:sz w:val="28"/>
                <w:szCs w:val="28"/>
              </w:rPr>
              <w:t>8</w:t>
            </w:r>
          </w:p>
        </w:tc>
        <w:tc>
          <w:tcPr>
            <w:tcW w:w="605" w:type="pct"/>
            <w:tcBorders>
              <w:top w:val="outset" w:sz="6" w:space="0" w:color="000000"/>
              <w:left w:val="outset" w:sz="6" w:space="0" w:color="000000"/>
              <w:bottom w:val="outset" w:sz="6" w:space="0" w:color="000000"/>
              <w:right w:val="outset" w:sz="6" w:space="0" w:color="000000"/>
            </w:tcBorders>
            <w:vAlign w:val="center"/>
          </w:tcPr>
          <w:p w14:paraId="63BF72D7" w14:textId="77777777" w:rsidR="0059425F" w:rsidRPr="00093D7B" w:rsidRDefault="0059425F" w:rsidP="00A436BC">
            <w:pPr>
              <w:spacing w:before="100" w:beforeAutospacing="1" w:after="100" w:afterAutospacing="1"/>
              <w:jc w:val="center"/>
              <w:rPr>
                <w:b/>
                <w:bCs/>
                <w:sz w:val="28"/>
                <w:szCs w:val="28"/>
              </w:rPr>
            </w:pPr>
            <w:r w:rsidRPr="00093D7B">
              <w:rPr>
                <w:b/>
                <w:bCs/>
                <w:sz w:val="28"/>
                <w:szCs w:val="28"/>
              </w:rPr>
              <w:t>2</w:t>
            </w:r>
            <w:r w:rsidR="007C454A" w:rsidRPr="00093D7B">
              <w:rPr>
                <w:b/>
                <w:bCs/>
                <w:sz w:val="28"/>
                <w:szCs w:val="28"/>
              </w:rPr>
              <w:t>019</w:t>
            </w:r>
          </w:p>
        </w:tc>
      </w:tr>
      <w:tr w:rsidR="0059425F" w:rsidRPr="007C454A" w14:paraId="63BF72DF" w14:textId="77777777" w:rsidTr="00A436BC">
        <w:tc>
          <w:tcPr>
            <w:tcW w:w="1931" w:type="pct"/>
            <w:vMerge/>
            <w:tcBorders>
              <w:top w:val="outset" w:sz="6" w:space="0" w:color="000000"/>
              <w:left w:val="outset" w:sz="6" w:space="0" w:color="000000"/>
              <w:bottom w:val="outset" w:sz="6" w:space="0" w:color="000000"/>
              <w:right w:val="outset" w:sz="6" w:space="0" w:color="000000"/>
            </w:tcBorders>
            <w:vAlign w:val="center"/>
          </w:tcPr>
          <w:p w14:paraId="63BF72D9" w14:textId="77777777" w:rsidR="0059425F" w:rsidRPr="00093D7B" w:rsidRDefault="0059425F" w:rsidP="00A436BC">
            <w:pPr>
              <w:jc w:val="both"/>
              <w:rPr>
                <w:b/>
                <w:bCs/>
                <w:sz w:val="28"/>
                <w:szCs w:val="28"/>
              </w:rPr>
            </w:pPr>
          </w:p>
        </w:tc>
        <w:tc>
          <w:tcPr>
            <w:tcW w:w="594" w:type="pct"/>
            <w:tcBorders>
              <w:top w:val="outset" w:sz="6" w:space="0" w:color="000000"/>
              <w:left w:val="outset" w:sz="6" w:space="0" w:color="000000"/>
              <w:bottom w:val="outset" w:sz="6" w:space="0" w:color="000000"/>
              <w:right w:val="outset" w:sz="6" w:space="0" w:color="000000"/>
            </w:tcBorders>
            <w:vAlign w:val="center"/>
          </w:tcPr>
          <w:p w14:paraId="63BF72DA" w14:textId="77777777" w:rsidR="0059425F" w:rsidRPr="00093D7B" w:rsidRDefault="0059425F" w:rsidP="00A436BC">
            <w:pPr>
              <w:spacing w:before="100" w:beforeAutospacing="1" w:after="100" w:afterAutospacing="1"/>
              <w:jc w:val="both"/>
              <w:rPr>
                <w:sz w:val="28"/>
                <w:szCs w:val="28"/>
              </w:rPr>
            </w:pPr>
            <w:r w:rsidRPr="00093D7B">
              <w:rPr>
                <w:sz w:val="28"/>
                <w:szCs w:val="28"/>
              </w:rPr>
              <w:t>Saskaņā ar valsts budžetu kārtējam gadam</w:t>
            </w:r>
          </w:p>
        </w:tc>
        <w:tc>
          <w:tcPr>
            <w:tcW w:w="610" w:type="pct"/>
            <w:tcBorders>
              <w:top w:val="outset" w:sz="6" w:space="0" w:color="000000"/>
              <w:left w:val="outset" w:sz="6" w:space="0" w:color="000000"/>
              <w:bottom w:val="outset" w:sz="6" w:space="0" w:color="000000"/>
              <w:right w:val="outset" w:sz="6" w:space="0" w:color="000000"/>
            </w:tcBorders>
            <w:vAlign w:val="center"/>
          </w:tcPr>
          <w:p w14:paraId="63BF72DB" w14:textId="77777777" w:rsidR="0059425F" w:rsidRPr="00093D7B" w:rsidRDefault="0059425F" w:rsidP="00A436BC">
            <w:pPr>
              <w:spacing w:before="100" w:beforeAutospacing="1" w:after="100" w:afterAutospacing="1"/>
              <w:jc w:val="both"/>
              <w:rPr>
                <w:sz w:val="28"/>
                <w:szCs w:val="28"/>
              </w:rPr>
            </w:pPr>
            <w:r w:rsidRPr="00093D7B">
              <w:rPr>
                <w:sz w:val="28"/>
                <w:szCs w:val="28"/>
              </w:rPr>
              <w:t>Izmaiņas kārtējā gadā, salīdzinot ar budžetu kārtējam gadam</w:t>
            </w:r>
          </w:p>
        </w:tc>
        <w:tc>
          <w:tcPr>
            <w:tcW w:w="656" w:type="pct"/>
            <w:tcBorders>
              <w:top w:val="outset" w:sz="6" w:space="0" w:color="000000"/>
              <w:left w:val="outset" w:sz="6" w:space="0" w:color="000000"/>
              <w:bottom w:val="outset" w:sz="6" w:space="0" w:color="000000"/>
              <w:right w:val="outset" w:sz="6" w:space="0" w:color="000000"/>
            </w:tcBorders>
            <w:vAlign w:val="center"/>
          </w:tcPr>
          <w:p w14:paraId="63BF72DC" w14:textId="77777777" w:rsidR="0059425F" w:rsidRPr="00093D7B" w:rsidRDefault="0059425F" w:rsidP="00A436BC">
            <w:pPr>
              <w:spacing w:before="100" w:beforeAutospacing="1" w:after="100" w:afterAutospacing="1"/>
              <w:jc w:val="both"/>
              <w:rPr>
                <w:sz w:val="28"/>
                <w:szCs w:val="28"/>
              </w:rPr>
            </w:pPr>
            <w:r w:rsidRPr="00093D7B">
              <w:rPr>
                <w:sz w:val="28"/>
                <w:szCs w:val="28"/>
              </w:rPr>
              <w:t>Izmaiņas, salīdzinot ar kārtējo (n) gadu</w:t>
            </w:r>
          </w:p>
        </w:tc>
        <w:tc>
          <w:tcPr>
            <w:tcW w:w="605" w:type="pct"/>
            <w:tcBorders>
              <w:top w:val="outset" w:sz="6" w:space="0" w:color="000000"/>
              <w:left w:val="outset" w:sz="6" w:space="0" w:color="000000"/>
              <w:bottom w:val="outset" w:sz="6" w:space="0" w:color="000000"/>
              <w:right w:val="outset" w:sz="6" w:space="0" w:color="000000"/>
            </w:tcBorders>
            <w:vAlign w:val="center"/>
          </w:tcPr>
          <w:p w14:paraId="63BF72DD" w14:textId="77777777" w:rsidR="0059425F" w:rsidRPr="00093D7B" w:rsidRDefault="0059425F" w:rsidP="00A436BC">
            <w:pPr>
              <w:spacing w:before="100" w:beforeAutospacing="1" w:after="100" w:afterAutospacing="1"/>
              <w:jc w:val="both"/>
              <w:rPr>
                <w:sz w:val="28"/>
                <w:szCs w:val="28"/>
              </w:rPr>
            </w:pPr>
            <w:r w:rsidRPr="00093D7B">
              <w:rPr>
                <w:sz w:val="28"/>
                <w:szCs w:val="28"/>
              </w:rPr>
              <w:t>Izmaiņas, salīdzinot ar kārtējo (n) gadu</w:t>
            </w:r>
          </w:p>
        </w:tc>
        <w:tc>
          <w:tcPr>
            <w:tcW w:w="605" w:type="pct"/>
            <w:tcBorders>
              <w:top w:val="outset" w:sz="6" w:space="0" w:color="000000"/>
              <w:left w:val="outset" w:sz="6" w:space="0" w:color="000000"/>
              <w:bottom w:val="outset" w:sz="6" w:space="0" w:color="000000"/>
              <w:right w:val="outset" w:sz="6" w:space="0" w:color="000000"/>
            </w:tcBorders>
            <w:vAlign w:val="center"/>
          </w:tcPr>
          <w:p w14:paraId="63BF72DE" w14:textId="77777777" w:rsidR="0059425F" w:rsidRPr="00093D7B" w:rsidRDefault="0059425F" w:rsidP="00A436BC">
            <w:pPr>
              <w:spacing w:before="100" w:beforeAutospacing="1" w:after="100" w:afterAutospacing="1"/>
              <w:jc w:val="both"/>
              <w:rPr>
                <w:sz w:val="28"/>
                <w:szCs w:val="28"/>
              </w:rPr>
            </w:pPr>
            <w:r w:rsidRPr="00093D7B">
              <w:rPr>
                <w:sz w:val="28"/>
                <w:szCs w:val="28"/>
              </w:rPr>
              <w:t>Izmaiņas, salīdzinot ar kārtējo (n) gadu</w:t>
            </w:r>
          </w:p>
        </w:tc>
      </w:tr>
      <w:tr w:rsidR="00D27948" w:rsidRPr="00D27948" w14:paraId="63BF72E6" w14:textId="77777777" w:rsidTr="00A436BC">
        <w:tc>
          <w:tcPr>
            <w:tcW w:w="1931" w:type="pct"/>
            <w:tcBorders>
              <w:top w:val="outset" w:sz="6" w:space="0" w:color="000000"/>
              <w:left w:val="outset" w:sz="6" w:space="0" w:color="000000"/>
              <w:bottom w:val="outset" w:sz="6" w:space="0" w:color="000000"/>
              <w:right w:val="outset" w:sz="6" w:space="0" w:color="000000"/>
            </w:tcBorders>
            <w:vAlign w:val="center"/>
          </w:tcPr>
          <w:p w14:paraId="63BF72E0" w14:textId="77777777" w:rsidR="0059425F" w:rsidRPr="00093D7B" w:rsidRDefault="0059425F" w:rsidP="00A436BC">
            <w:pPr>
              <w:spacing w:before="100" w:beforeAutospacing="1" w:after="100" w:afterAutospacing="1"/>
              <w:jc w:val="center"/>
              <w:rPr>
                <w:sz w:val="28"/>
                <w:szCs w:val="28"/>
              </w:rPr>
            </w:pPr>
            <w:r w:rsidRPr="00093D7B">
              <w:rPr>
                <w:sz w:val="28"/>
                <w:szCs w:val="28"/>
              </w:rPr>
              <w:t>1</w:t>
            </w:r>
          </w:p>
        </w:tc>
        <w:tc>
          <w:tcPr>
            <w:tcW w:w="594" w:type="pct"/>
            <w:tcBorders>
              <w:top w:val="outset" w:sz="6" w:space="0" w:color="000000"/>
              <w:left w:val="outset" w:sz="6" w:space="0" w:color="000000"/>
              <w:bottom w:val="outset" w:sz="6" w:space="0" w:color="000000"/>
              <w:right w:val="outset" w:sz="6" w:space="0" w:color="000000"/>
            </w:tcBorders>
            <w:vAlign w:val="center"/>
          </w:tcPr>
          <w:p w14:paraId="63BF72E1" w14:textId="77777777" w:rsidR="0059425F" w:rsidRPr="00093D7B" w:rsidRDefault="0059425F" w:rsidP="00A436BC">
            <w:pPr>
              <w:spacing w:before="100" w:beforeAutospacing="1" w:after="100" w:afterAutospacing="1"/>
              <w:jc w:val="center"/>
              <w:rPr>
                <w:sz w:val="28"/>
                <w:szCs w:val="28"/>
              </w:rPr>
            </w:pPr>
            <w:r w:rsidRPr="00093D7B">
              <w:rPr>
                <w:sz w:val="28"/>
                <w:szCs w:val="28"/>
              </w:rPr>
              <w:t>2</w:t>
            </w:r>
          </w:p>
        </w:tc>
        <w:tc>
          <w:tcPr>
            <w:tcW w:w="610" w:type="pct"/>
            <w:tcBorders>
              <w:top w:val="outset" w:sz="6" w:space="0" w:color="000000"/>
              <w:left w:val="outset" w:sz="6" w:space="0" w:color="000000"/>
              <w:bottom w:val="outset" w:sz="6" w:space="0" w:color="000000"/>
              <w:right w:val="outset" w:sz="6" w:space="0" w:color="000000"/>
            </w:tcBorders>
            <w:vAlign w:val="center"/>
          </w:tcPr>
          <w:p w14:paraId="63BF72E2" w14:textId="77777777" w:rsidR="0059425F" w:rsidRPr="00093D7B" w:rsidRDefault="0059425F" w:rsidP="00A436BC">
            <w:pPr>
              <w:spacing w:before="100" w:beforeAutospacing="1" w:after="100" w:afterAutospacing="1"/>
              <w:jc w:val="center"/>
              <w:rPr>
                <w:sz w:val="28"/>
                <w:szCs w:val="28"/>
              </w:rPr>
            </w:pPr>
            <w:r w:rsidRPr="00093D7B">
              <w:rPr>
                <w:sz w:val="28"/>
                <w:szCs w:val="28"/>
              </w:rPr>
              <w:t>3</w:t>
            </w:r>
          </w:p>
        </w:tc>
        <w:tc>
          <w:tcPr>
            <w:tcW w:w="656" w:type="pct"/>
            <w:tcBorders>
              <w:top w:val="outset" w:sz="6" w:space="0" w:color="000000"/>
              <w:left w:val="outset" w:sz="6" w:space="0" w:color="000000"/>
              <w:bottom w:val="outset" w:sz="6" w:space="0" w:color="000000"/>
              <w:right w:val="outset" w:sz="6" w:space="0" w:color="000000"/>
            </w:tcBorders>
            <w:vAlign w:val="center"/>
          </w:tcPr>
          <w:p w14:paraId="63BF72E3" w14:textId="77777777" w:rsidR="0059425F" w:rsidRPr="00093D7B" w:rsidRDefault="0059425F" w:rsidP="00A436BC">
            <w:pPr>
              <w:spacing w:before="100" w:beforeAutospacing="1" w:after="100" w:afterAutospacing="1"/>
              <w:jc w:val="center"/>
              <w:rPr>
                <w:sz w:val="28"/>
                <w:szCs w:val="28"/>
              </w:rPr>
            </w:pPr>
            <w:r w:rsidRPr="00093D7B">
              <w:rPr>
                <w:sz w:val="28"/>
                <w:szCs w:val="28"/>
              </w:rPr>
              <w:t>4</w:t>
            </w:r>
          </w:p>
        </w:tc>
        <w:tc>
          <w:tcPr>
            <w:tcW w:w="605" w:type="pct"/>
            <w:tcBorders>
              <w:top w:val="outset" w:sz="6" w:space="0" w:color="000000"/>
              <w:left w:val="outset" w:sz="6" w:space="0" w:color="000000"/>
              <w:bottom w:val="outset" w:sz="6" w:space="0" w:color="000000"/>
              <w:right w:val="outset" w:sz="6" w:space="0" w:color="000000"/>
            </w:tcBorders>
            <w:vAlign w:val="center"/>
          </w:tcPr>
          <w:p w14:paraId="63BF72E4" w14:textId="77777777" w:rsidR="0059425F" w:rsidRPr="00093D7B" w:rsidRDefault="0059425F" w:rsidP="00A436BC">
            <w:pPr>
              <w:spacing w:before="100" w:beforeAutospacing="1" w:after="100" w:afterAutospacing="1"/>
              <w:jc w:val="center"/>
              <w:rPr>
                <w:sz w:val="28"/>
                <w:szCs w:val="28"/>
              </w:rPr>
            </w:pPr>
            <w:r w:rsidRPr="00093D7B">
              <w:rPr>
                <w:sz w:val="28"/>
                <w:szCs w:val="28"/>
              </w:rPr>
              <w:t>5</w:t>
            </w:r>
          </w:p>
        </w:tc>
        <w:tc>
          <w:tcPr>
            <w:tcW w:w="605" w:type="pct"/>
            <w:tcBorders>
              <w:top w:val="outset" w:sz="6" w:space="0" w:color="000000"/>
              <w:left w:val="outset" w:sz="6" w:space="0" w:color="000000"/>
              <w:bottom w:val="outset" w:sz="6" w:space="0" w:color="000000"/>
              <w:right w:val="outset" w:sz="6" w:space="0" w:color="000000"/>
            </w:tcBorders>
            <w:vAlign w:val="center"/>
          </w:tcPr>
          <w:p w14:paraId="63BF72E5" w14:textId="77777777" w:rsidR="0059425F" w:rsidRPr="00093D7B" w:rsidRDefault="0059425F" w:rsidP="00A436BC">
            <w:pPr>
              <w:spacing w:before="100" w:beforeAutospacing="1" w:after="100" w:afterAutospacing="1"/>
              <w:jc w:val="center"/>
              <w:rPr>
                <w:sz w:val="28"/>
                <w:szCs w:val="28"/>
              </w:rPr>
            </w:pPr>
            <w:r w:rsidRPr="00093D7B">
              <w:rPr>
                <w:sz w:val="28"/>
                <w:szCs w:val="28"/>
              </w:rPr>
              <w:t>6</w:t>
            </w:r>
          </w:p>
        </w:tc>
      </w:tr>
      <w:tr w:rsidR="00D27948" w:rsidRPr="00D27948" w14:paraId="63BF72ED"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2E7" w14:textId="77777777" w:rsidR="0059425F" w:rsidRPr="00093D7B" w:rsidRDefault="0059425F" w:rsidP="00A436BC">
            <w:pPr>
              <w:spacing w:before="100" w:beforeAutospacing="1" w:after="100" w:afterAutospacing="1"/>
              <w:jc w:val="both"/>
              <w:rPr>
                <w:sz w:val="28"/>
                <w:szCs w:val="28"/>
              </w:rPr>
            </w:pPr>
            <w:r w:rsidRPr="00093D7B">
              <w:rPr>
                <w:sz w:val="28"/>
                <w:szCs w:val="28"/>
              </w:rPr>
              <w:t>1. Budžeta ieņēmumi:</w:t>
            </w:r>
          </w:p>
        </w:tc>
        <w:tc>
          <w:tcPr>
            <w:tcW w:w="594" w:type="pct"/>
            <w:tcBorders>
              <w:top w:val="outset" w:sz="6" w:space="0" w:color="000000"/>
              <w:left w:val="outset" w:sz="6" w:space="0" w:color="000000"/>
              <w:bottom w:val="outset" w:sz="6" w:space="0" w:color="000000"/>
              <w:right w:val="outset" w:sz="6" w:space="0" w:color="000000"/>
            </w:tcBorders>
          </w:tcPr>
          <w:p w14:paraId="63BF72E8" w14:textId="77777777" w:rsidR="0059425F" w:rsidRPr="00093D7B" w:rsidRDefault="0059425F" w:rsidP="00A436BC">
            <w:pPr>
              <w:spacing w:line="360" w:lineRule="auto"/>
              <w:jc w:val="center"/>
              <w:rPr>
                <w:sz w:val="28"/>
                <w:szCs w:val="28"/>
              </w:rPr>
            </w:pPr>
            <w:r w:rsidRPr="00093D7B">
              <w:rPr>
                <w:sz w:val="28"/>
                <w:szCs w:val="28"/>
              </w:rPr>
              <w:t>0</w:t>
            </w:r>
          </w:p>
        </w:tc>
        <w:tc>
          <w:tcPr>
            <w:tcW w:w="610" w:type="pct"/>
            <w:tcBorders>
              <w:top w:val="outset" w:sz="6" w:space="0" w:color="000000"/>
              <w:left w:val="outset" w:sz="6" w:space="0" w:color="000000"/>
              <w:bottom w:val="outset" w:sz="6" w:space="0" w:color="000000"/>
              <w:right w:val="outset" w:sz="6" w:space="0" w:color="000000"/>
            </w:tcBorders>
          </w:tcPr>
          <w:p w14:paraId="63BF72E9" w14:textId="77777777" w:rsidR="0059425F" w:rsidRPr="00093D7B" w:rsidRDefault="0059425F" w:rsidP="00A436BC">
            <w:pPr>
              <w:spacing w:line="360" w:lineRule="auto"/>
              <w:jc w:val="center"/>
              <w:rPr>
                <w:sz w:val="28"/>
                <w:szCs w:val="28"/>
              </w:rPr>
            </w:pPr>
            <w:r w:rsidRPr="00093D7B">
              <w:rPr>
                <w:sz w:val="28"/>
                <w:szCs w:val="28"/>
              </w:rPr>
              <w:t>0</w:t>
            </w:r>
          </w:p>
        </w:tc>
        <w:tc>
          <w:tcPr>
            <w:tcW w:w="656" w:type="pct"/>
            <w:tcBorders>
              <w:top w:val="outset" w:sz="6" w:space="0" w:color="000000"/>
              <w:left w:val="outset" w:sz="6" w:space="0" w:color="000000"/>
              <w:bottom w:val="outset" w:sz="6" w:space="0" w:color="000000"/>
              <w:right w:val="outset" w:sz="6" w:space="0" w:color="000000"/>
            </w:tcBorders>
          </w:tcPr>
          <w:p w14:paraId="63BF72EA" w14:textId="77777777" w:rsidR="0059425F" w:rsidRPr="00093D7B" w:rsidRDefault="0059425F" w:rsidP="00A436BC">
            <w:pPr>
              <w:spacing w:line="360" w:lineRule="auto"/>
              <w:jc w:val="center"/>
              <w:rPr>
                <w:sz w:val="28"/>
                <w:szCs w:val="28"/>
              </w:rPr>
            </w:pPr>
            <w:r w:rsidRPr="00093D7B">
              <w:rPr>
                <w:sz w:val="28"/>
                <w:szCs w:val="28"/>
              </w:rPr>
              <w:t>0</w:t>
            </w:r>
          </w:p>
        </w:tc>
        <w:tc>
          <w:tcPr>
            <w:tcW w:w="605" w:type="pct"/>
            <w:tcBorders>
              <w:top w:val="outset" w:sz="6" w:space="0" w:color="000000"/>
              <w:left w:val="outset" w:sz="6" w:space="0" w:color="000000"/>
              <w:bottom w:val="outset" w:sz="6" w:space="0" w:color="000000"/>
              <w:right w:val="outset" w:sz="6" w:space="0" w:color="000000"/>
            </w:tcBorders>
          </w:tcPr>
          <w:p w14:paraId="63BF72EB" w14:textId="77777777" w:rsidR="0059425F" w:rsidRPr="00093D7B" w:rsidRDefault="007C454A" w:rsidP="00A436BC">
            <w:pPr>
              <w:spacing w:line="360" w:lineRule="auto"/>
              <w:jc w:val="center"/>
              <w:rPr>
                <w:sz w:val="28"/>
                <w:szCs w:val="28"/>
              </w:rPr>
            </w:pPr>
            <w:r w:rsidRPr="00093D7B">
              <w:rPr>
                <w:sz w:val="28"/>
                <w:szCs w:val="28"/>
              </w:rPr>
              <w:t>0</w:t>
            </w:r>
          </w:p>
        </w:tc>
        <w:tc>
          <w:tcPr>
            <w:tcW w:w="605" w:type="pct"/>
            <w:tcBorders>
              <w:top w:val="outset" w:sz="6" w:space="0" w:color="000000"/>
              <w:left w:val="outset" w:sz="6" w:space="0" w:color="000000"/>
              <w:bottom w:val="outset" w:sz="6" w:space="0" w:color="000000"/>
              <w:right w:val="outset" w:sz="6" w:space="0" w:color="000000"/>
            </w:tcBorders>
          </w:tcPr>
          <w:p w14:paraId="63BF72EC" w14:textId="77777777" w:rsidR="0059425F" w:rsidRPr="00093D7B" w:rsidRDefault="007C454A" w:rsidP="00A436BC">
            <w:pPr>
              <w:spacing w:line="360" w:lineRule="auto"/>
              <w:jc w:val="center"/>
              <w:rPr>
                <w:sz w:val="28"/>
                <w:szCs w:val="28"/>
              </w:rPr>
            </w:pPr>
            <w:r w:rsidRPr="00093D7B">
              <w:rPr>
                <w:sz w:val="28"/>
                <w:szCs w:val="28"/>
              </w:rPr>
              <w:t>0</w:t>
            </w:r>
          </w:p>
        </w:tc>
      </w:tr>
      <w:tr w:rsidR="00D27948" w:rsidRPr="00D27948" w14:paraId="63BF72F4"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2EE" w14:textId="77777777" w:rsidR="0059425F" w:rsidRPr="00093D7B" w:rsidRDefault="0059425F" w:rsidP="00A436BC">
            <w:pPr>
              <w:spacing w:before="100" w:beforeAutospacing="1" w:after="100" w:afterAutospacing="1"/>
              <w:jc w:val="both"/>
              <w:rPr>
                <w:sz w:val="28"/>
                <w:szCs w:val="28"/>
              </w:rPr>
            </w:pPr>
            <w:r w:rsidRPr="00093D7B">
              <w:rPr>
                <w:sz w:val="28"/>
                <w:szCs w:val="28"/>
              </w:rPr>
              <w:t xml:space="preserve">1.1. valsts pamatbudžets, tai skaitā ieņēmumi no maksas </w:t>
            </w:r>
            <w:r w:rsidR="00CE35E8" w:rsidRPr="00093D7B">
              <w:rPr>
                <w:sz w:val="28"/>
                <w:szCs w:val="28"/>
              </w:rPr>
              <w:lastRenderedPageBreak/>
              <w:t>pakalpo</w:t>
            </w:r>
            <w:r w:rsidRPr="00093D7B">
              <w:rPr>
                <w:sz w:val="28"/>
                <w:szCs w:val="28"/>
              </w:rPr>
              <w:t>jumiem un citi pašu ieņēmumi</w:t>
            </w:r>
          </w:p>
        </w:tc>
        <w:tc>
          <w:tcPr>
            <w:tcW w:w="594" w:type="pct"/>
            <w:tcBorders>
              <w:top w:val="outset" w:sz="6" w:space="0" w:color="000000"/>
              <w:left w:val="outset" w:sz="6" w:space="0" w:color="000000"/>
              <w:bottom w:val="outset" w:sz="6" w:space="0" w:color="000000"/>
              <w:right w:val="outset" w:sz="6" w:space="0" w:color="000000"/>
            </w:tcBorders>
          </w:tcPr>
          <w:p w14:paraId="63BF72EF" w14:textId="587A62E5" w:rsidR="0059425F" w:rsidRPr="00093D7B" w:rsidRDefault="0059425F" w:rsidP="00A436BC">
            <w:pPr>
              <w:spacing w:line="360" w:lineRule="auto"/>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2F0" w14:textId="55311EE0"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2F1" w14:textId="6FBD88AC"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2F2" w14:textId="1D661197"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2F3" w14:textId="1F4B0E08" w:rsidR="0059425F" w:rsidRPr="00093D7B" w:rsidRDefault="0059425F" w:rsidP="00A436BC">
            <w:pPr>
              <w:spacing w:line="360" w:lineRule="auto"/>
              <w:jc w:val="center"/>
              <w:rPr>
                <w:sz w:val="28"/>
                <w:szCs w:val="28"/>
              </w:rPr>
            </w:pPr>
          </w:p>
        </w:tc>
      </w:tr>
      <w:tr w:rsidR="00D27948" w:rsidRPr="00D27948" w14:paraId="63BF72FB"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2F5" w14:textId="77777777" w:rsidR="0059425F" w:rsidRPr="00093D7B" w:rsidRDefault="0059425F" w:rsidP="00A436BC">
            <w:pPr>
              <w:spacing w:before="100" w:beforeAutospacing="1" w:after="100" w:afterAutospacing="1"/>
              <w:jc w:val="both"/>
              <w:rPr>
                <w:sz w:val="28"/>
                <w:szCs w:val="28"/>
              </w:rPr>
            </w:pPr>
            <w:r w:rsidRPr="00093D7B">
              <w:rPr>
                <w:sz w:val="28"/>
                <w:szCs w:val="28"/>
              </w:rPr>
              <w:t>1.2. valsts speciālais budžets</w:t>
            </w:r>
          </w:p>
        </w:tc>
        <w:tc>
          <w:tcPr>
            <w:tcW w:w="594" w:type="pct"/>
            <w:tcBorders>
              <w:top w:val="outset" w:sz="6" w:space="0" w:color="000000"/>
              <w:left w:val="outset" w:sz="6" w:space="0" w:color="000000"/>
              <w:bottom w:val="outset" w:sz="6" w:space="0" w:color="000000"/>
              <w:right w:val="outset" w:sz="6" w:space="0" w:color="000000"/>
            </w:tcBorders>
          </w:tcPr>
          <w:p w14:paraId="63BF72F6" w14:textId="02E536D9" w:rsidR="0059425F" w:rsidRPr="00093D7B" w:rsidRDefault="0059425F" w:rsidP="00A436BC">
            <w:pPr>
              <w:spacing w:line="360" w:lineRule="auto"/>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2F7" w14:textId="198448B0"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2F8" w14:textId="2EB2B987"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2F9" w14:textId="6FC68A40"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2FA" w14:textId="6A30DE21" w:rsidR="0059425F" w:rsidRPr="00093D7B" w:rsidRDefault="0059425F" w:rsidP="00A436BC">
            <w:pPr>
              <w:spacing w:line="360" w:lineRule="auto"/>
              <w:jc w:val="center"/>
              <w:rPr>
                <w:sz w:val="28"/>
                <w:szCs w:val="28"/>
              </w:rPr>
            </w:pPr>
          </w:p>
        </w:tc>
      </w:tr>
      <w:tr w:rsidR="00D27948" w:rsidRPr="00D27948" w14:paraId="63BF7302"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2FC" w14:textId="77777777" w:rsidR="0059425F" w:rsidRPr="00093D7B" w:rsidRDefault="0059425F" w:rsidP="00A436BC">
            <w:pPr>
              <w:spacing w:before="100" w:beforeAutospacing="1" w:after="100" w:afterAutospacing="1"/>
              <w:jc w:val="both"/>
              <w:rPr>
                <w:sz w:val="28"/>
                <w:szCs w:val="28"/>
              </w:rPr>
            </w:pPr>
            <w:r w:rsidRPr="00093D7B">
              <w:rPr>
                <w:sz w:val="28"/>
                <w:szCs w:val="28"/>
              </w:rPr>
              <w:t>1.3. pašvaldību budžets</w:t>
            </w:r>
          </w:p>
        </w:tc>
        <w:tc>
          <w:tcPr>
            <w:tcW w:w="594" w:type="pct"/>
            <w:tcBorders>
              <w:top w:val="outset" w:sz="6" w:space="0" w:color="000000"/>
              <w:left w:val="outset" w:sz="6" w:space="0" w:color="000000"/>
              <w:bottom w:val="outset" w:sz="6" w:space="0" w:color="000000"/>
              <w:right w:val="outset" w:sz="6" w:space="0" w:color="000000"/>
            </w:tcBorders>
          </w:tcPr>
          <w:p w14:paraId="63BF72FD" w14:textId="2D5A9905" w:rsidR="0059425F" w:rsidRPr="00093D7B" w:rsidRDefault="0059425F" w:rsidP="00A436BC">
            <w:pPr>
              <w:spacing w:line="360" w:lineRule="auto"/>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2FE" w14:textId="39C09D2D"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2FF" w14:textId="22412F4F"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00" w14:textId="77FC39C5"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01" w14:textId="2E75CB12" w:rsidR="0059425F" w:rsidRPr="00093D7B" w:rsidRDefault="0059425F" w:rsidP="00A436BC">
            <w:pPr>
              <w:spacing w:line="360" w:lineRule="auto"/>
              <w:jc w:val="center"/>
              <w:rPr>
                <w:sz w:val="28"/>
                <w:szCs w:val="28"/>
              </w:rPr>
            </w:pPr>
          </w:p>
        </w:tc>
      </w:tr>
      <w:tr w:rsidR="00D27948" w:rsidRPr="00D27948" w14:paraId="63BF7309"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03" w14:textId="77777777" w:rsidR="0059425F" w:rsidRPr="00093D7B" w:rsidRDefault="0059425F" w:rsidP="00A436BC">
            <w:pPr>
              <w:spacing w:before="100" w:beforeAutospacing="1" w:after="100" w:afterAutospacing="1"/>
              <w:jc w:val="both"/>
              <w:rPr>
                <w:sz w:val="28"/>
                <w:szCs w:val="28"/>
              </w:rPr>
            </w:pPr>
            <w:r w:rsidRPr="00093D7B">
              <w:rPr>
                <w:sz w:val="28"/>
                <w:szCs w:val="28"/>
              </w:rPr>
              <w:t>2. Budžeta izdevumi:</w:t>
            </w:r>
          </w:p>
        </w:tc>
        <w:tc>
          <w:tcPr>
            <w:tcW w:w="594" w:type="pct"/>
            <w:tcBorders>
              <w:top w:val="outset" w:sz="6" w:space="0" w:color="000000"/>
              <w:left w:val="outset" w:sz="6" w:space="0" w:color="000000"/>
              <w:bottom w:val="outset" w:sz="6" w:space="0" w:color="000000"/>
              <w:right w:val="outset" w:sz="6" w:space="0" w:color="000000"/>
            </w:tcBorders>
          </w:tcPr>
          <w:p w14:paraId="63BF7304" w14:textId="77777777" w:rsidR="0059425F" w:rsidRPr="00093D7B" w:rsidRDefault="0059425F" w:rsidP="00A436BC">
            <w:pPr>
              <w:spacing w:line="360" w:lineRule="auto"/>
              <w:jc w:val="center"/>
              <w:rPr>
                <w:sz w:val="28"/>
                <w:szCs w:val="28"/>
              </w:rPr>
            </w:pPr>
            <w:r w:rsidRPr="00093D7B">
              <w:rPr>
                <w:sz w:val="28"/>
                <w:szCs w:val="28"/>
              </w:rPr>
              <w:t>0</w:t>
            </w:r>
          </w:p>
        </w:tc>
        <w:tc>
          <w:tcPr>
            <w:tcW w:w="610" w:type="pct"/>
            <w:tcBorders>
              <w:top w:val="outset" w:sz="6" w:space="0" w:color="000000"/>
              <w:left w:val="outset" w:sz="6" w:space="0" w:color="000000"/>
              <w:bottom w:val="outset" w:sz="6" w:space="0" w:color="000000"/>
              <w:right w:val="outset" w:sz="6" w:space="0" w:color="000000"/>
            </w:tcBorders>
          </w:tcPr>
          <w:p w14:paraId="63BF7305" w14:textId="77777777" w:rsidR="0059425F" w:rsidRPr="00093D7B" w:rsidRDefault="0059425F" w:rsidP="00A436BC">
            <w:pPr>
              <w:spacing w:line="360" w:lineRule="auto"/>
              <w:jc w:val="center"/>
              <w:rPr>
                <w:sz w:val="28"/>
                <w:szCs w:val="28"/>
              </w:rPr>
            </w:pPr>
            <w:r w:rsidRPr="00093D7B">
              <w:rPr>
                <w:sz w:val="28"/>
                <w:szCs w:val="28"/>
              </w:rPr>
              <w:t>0</w:t>
            </w:r>
          </w:p>
        </w:tc>
        <w:tc>
          <w:tcPr>
            <w:tcW w:w="656" w:type="pct"/>
            <w:tcBorders>
              <w:top w:val="outset" w:sz="6" w:space="0" w:color="000000"/>
              <w:left w:val="outset" w:sz="6" w:space="0" w:color="000000"/>
              <w:bottom w:val="outset" w:sz="6" w:space="0" w:color="000000"/>
              <w:right w:val="outset" w:sz="6" w:space="0" w:color="000000"/>
            </w:tcBorders>
          </w:tcPr>
          <w:p w14:paraId="63BF7306" w14:textId="77777777" w:rsidR="0059425F" w:rsidRPr="00093D7B" w:rsidRDefault="0059425F" w:rsidP="00A436BC">
            <w:pPr>
              <w:spacing w:line="360" w:lineRule="auto"/>
              <w:ind w:left="95" w:hanging="27"/>
              <w:jc w:val="center"/>
              <w:rPr>
                <w:sz w:val="28"/>
                <w:szCs w:val="28"/>
              </w:rPr>
            </w:pPr>
            <w:r w:rsidRPr="00093D7B">
              <w:rPr>
                <w:sz w:val="28"/>
                <w:szCs w:val="28"/>
              </w:rPr>
              <w:t>0</w:t>
            </w:r>
          </w:p>
        </w:tc>
        <w:tc>
          <w:tcPr>
            <w:tcW w:w="605" w:type="pct"/>
            <w:tcBorders>
              <w:top w:val="outset" w:sz="6" w:space="0" w:color="000000"/>
              <w:left w:val="outset" w:sz="6" w:space="0" w:color="000000"/>
              <w:bottom w:val="outset" w:sz="6" w:space="0" w:color="000000"/>
              <w:right w:val="outset" w:sz="6" w:space="0" w:color="000000"/>
            </w:tcBorders>
          </w:tcPr>
          <w:p w14:paraId="63BF7307" w14:textId="5AE8E256" w:rsidR="0059425F" w:rsidRPr="00093D7B" w:rsidRDefault="00316D67" w:rsidP="00A436BC">
            <w:pPr>
              <w:spacing w:line="360" w:lineRule="auto"/>
              <w:jc w:val="center"/>
              <w:rPr>
                <w:sz w:val="28"/>
                <w:szCs w:val="28"/>
              </w:rPr>
            </w:pPr>
            <w:r w:rsidRPr="00093D7B">
              <w:rPr>
                <w:sz w:val="28"/>
                <w:szCs w:val="28"/>
              </w:rPr>
              <w:t>0</w:t>
            </w:r>
          </w:p>
        </w:tc>
        <w:tc>
          <w:tcPr>
            <w:tcW w:w="605" w:type="pct"/>
            <w:tcBorders>
              <w:top w:val="outset" w:sz="6" w:space="0" w:color="000000"/>
              <w:left w:val="outset" w:sz="6" w:space="0" w:color="000000"/>
              <w:bottom w:val="outset" w:sz="6" w:space="0" w:color="000000"/>
              <w:right w:val="outset" w:sz="6" w:space="0" w:color="000000"/>
            </w:tcBorders>
          </w:tcPr>
          <w:p w14:paraId="63BF7308" w14:textId="333FF37B" w:rsidR="0059425F" w:rsidRPr="00093D7B" w:rsidRDefault="00316D67" w:rsidP="00A436BC">
            <w:pPr>
              <w:spacing w:line="360" w:lineRule="auto"/>
              <w:jc w:val="center"/>
              <w:rPr>
                <w:sz w:val="28"/>
                <w:szCs w:val="28"/>
              </w:rPr>
            </w:pPr>
            <w:r w:rsidRPr="00093D7B">
              <w:rPr>
                <w:sz w:val="28"/>
                <w:szCs w:val="28"/>
              </w:rPr>
              <w:t>0</w:t>
            </w:r>
          </w:p>
        </w:tc>
      </w:tr>
      <w:tr w:rsidR="00D27948" w:rsidRPr="00D27948" w14:paraId="63BF7310"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0A" w14:textId="77777777" w:rsidR="0059425F" w:rsidRPr="00093D7B" w:rsidRDefault="0059425F" w:rsidP="00A436BC">
            <w:pPr>
              <w:spacing w:before="100" w:beforeAutospacing="1" w:after="100" w:afterAutospacing="1"/>
              <w:jc w:val="both"/>
              <w:rPr>
                <w:sz w:val="28"/>
                <w:szCs w:val="28"/>
              </w:rPr>
            </w:pPr>
            <w:r w:rsidRPr="00093D7B">
              <w:rPr>
                <w:sz w:val="28"/>
                <w:szCs w:val="28"/>
              </w:rPr>
              <w:t>2.1. valsts pamatbudžets</w:t>
            </w:r>
          </w:p>
        </w:tc>
        <w:tc>
          <w:tcPr>
            <w:tcW w:w="594" w:type="pct"/>
            <w:tcBorders>
              <w:top w:val="outset" w:sz="6" w:space="0" w:color="000000"/>
              <w:left w:val="outset" w:sz="6" w:space="0" w:color="000000"/>
              <w:bottom w:val="outset" w:sz="6" w:space="0" w:color="000000"/>
              <w:right w:val="outset" w:sz="6" w:space="0" w:color="000000"/>
            </w:tcBorders>
          </w:tcPr>
          <w:p w14:paraId="63BF730B" w14:textId="7B4B756D" w:rsidR="0059425F" w:rsidRPr="00093D7B" w:rsidRDefault="0059425F" w:rsidP="00A436BC">
            <w:pPr>
              <w:spacing w:line="360" w:lineRule="auto"/>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0C" w14:textId="44FEBAA7"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0D" w14:textId="4E9F0139"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0E" w14:textId="3FCA4AA9"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0F" w14:textId="3B7CDA2A" w:rsidR="0059425F" w:rsidRPr="00093D7B" w:rsidRDefault="0059425F" w:rsidP="00A436BC">
            <w:pPr>
              <w:spacing w:line="360" w:lineRule="auto"/>
              <w:jc w:val="center"/>
              <w:rPr>
                <w:sz w:val="28"/>
                <w:szCs w:val="28"/>
              </w:rPr>
            </w:pPr>
          </w:p>
        </w:tc>
      </w:tr>
      <w:tr w:rsidR="00D27948" w:rsidRPr="00D27948" w14:paraId="63BF7317"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11" w14:textId="77777777" w:rsidR="0059425F" w:rsidRPr="00093D7B" w:rsidRDefault="0059425F" w:rsidP="00A436BC">
            <w:pPr>
              <w:spacing w:before="100" w:beforeAutospacing="1" w:after="100" w:afterAutospacing="1"/>
              <w:jc w:val="both"/>
              <w:rPr>
                <w:sz w:val="28"/>
                <w:szCs w:val="28"/>
              </w:rPr>
            </w:pPr>
            <w:r w:rsidRPr="00093D7B">
              <w:rPr>
                <w:sz w:val="28"/>
                <w:szCs w:val="28"/>
              </w:rPr>
              <w:t>2.2. valsts speciālais budžets</w:t>
            </w:r>
          </w:p>
        </w:tc>
        <w:tc>
          <w:tcPr>
            <w:tcW w:w="594" w:type="pct"/>
            <w:tcBorders>
              <w:top w:val="outset" w:sz="6" w:space="0" w:color="000000"/>
              <w:left w:val="outset" w:sz="6" w:space="0" w:color="000000"/>
              <w:bottom w:val="outset" w:sz="6" w:space="0" w:color="000000"/>
              <w:right w:val="outset" w:sz="6" w:space="0" w:color="000000"/>
            </w:tcBorders>
          </w:tcPr>
          <w:p w14:paraId="63BF7312" w14:textId="4B88F0E9" w:rsidR="0059425F" w:rsidRPr="00093D7B" w:rsidRDefault="0059425F" w:rsidP="00A436BC">
            <w:pPr>
              <w:spacing w:line="360" w:lineRule="auto"/>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13" w14:textId="5606521C"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14" w14:textId="29E51FEB"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15" w14:textId="1D5390C2"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16" w14:textId="18E4D1DB" w:rsidR="0059425F" w:rsidRPr="00093D7B" w:rsidRDefault="0059425F" w:rsidP="00A436BC">
            <w:pPr>
              <w:spacing w:line="360" w:lineRule="auto"/>
              <w:jc w:val="center"/>
              <w:rPr>
                <w:sz w:val="28"/>
                <w:szCs w:val="28"/>
              </w:rPr>
            </w:pPr>
          </w:p>
        </w:tc>
      </w:tr>
      <w:tr w:rsidR="00D27948" w:rsidRPr="00D27948" w14:paraId="63BF731E"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18" w14:textId="77777777" w:rsidR="0059425F" w:rsidRPr="00093D7B" w:rsidRDefault="0059425F" w:rsidP="00A436BC">
            <w:pPr>
              <w:spacing w:before="100" w:beforeAutospacing="1" w:after="100" w:afterAutospacing="1"/>
              <w:jc w:val="both"/>
              <w:rPr>
                <w:sz w:val="28"/>
                <w:szCs w:val="28"/>
              </w:rPr>
            </w:pPr>
            <w:r w:rsidRPr="00093D7B">
              <w:rPr>
                <w:sz w:val="28"/>
                <w:szCs w:val="28"/>
              </w:rPr>
              <w:t>2.3. pašvaldību budžets</w:t>
            </w:r>
          </w:p>
        </w:tc>
        <w:tc>
          <w:tcPr>
            <w:tcW w:w="594" w:type="pct"/>
            <w:tcBorders>
              <w:top w:val="outset" w:sz="6" w:space="0" w:color="000000"/>
              <w:left w:val="outset" w:sz="6" w:space="0" w:color="000000"/>
              <w:bottom w:val="outset" w:sz="6" w:space="0" w:color="000000"/>
              <w:right w:val="outset" w:sz="6" w:space="0" w:color="000000"/>
            </w:tcBorders>
          </w:tcPr>
          <w:p w14:paraId="63BF7319" w14:textId="08A61D33" w:rsidR="0059425F" w:rsidRPr="00093D7B" w:rsidRDefault="0059425F" w:rsidP="00A436BC">
            <w:pPr>
              <w:spacing w:line="360" w:lineRule="auto"/>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1A" w14:textId="2E94419E"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1B" w14:textId="5F893A73"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1C" w14:textId="0A404AFB"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1D" w14:textId="5F8EF455" w:rsidR="0059425F" w:rsidRPr="00093D7B" w:rsidRDefault="0059425F" w:rsidP="00A436BC">
            <w:pPr>
              <w:spacing w:line="360" w:lineRule="auto"/>
              <w:jc w:val="center"/>
              <w:rPr>
                <w:sz w:val="28"/>
                <w:szCs w:val="28"/>
              </w:rPr>
            </w:pPr>
          </w:p>
        </w:tc>
      </w:tr>
      <w:tr w:rsidR="00D27948" w:rsidRPr="00D27948" w14:paraId="63BF7325"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1F" w14:textId="77777777" w:rsidR="0059425F" w:rsidRPr="00093D7B" w:rsidRDefault="0059425F" w:rsidP="00A436BC">
            <w:pPr>
              <w:spacing w:before="100" w:beforeAutospacing="1" w:after="100" w:afterAutospacing="1"/>
              <w:jc w:val="both"/>
              <w:rPr>
                <w:sz w:val="28"/>
                <w:szCs w:val="28"/>
              </w:rPr>
            </w:pPr>
            <w:r w:rsidRPr="00093D7B">
              <w:rPr>
                <w:sz w:val="28"/>
                <w:szCs w:val="28"/>
              </w:rPr>
              <w:t>3. Finansiālā ietekme:</w:t>
            </w:r>
          </w:p>
        </w:tc>
        <w:tc>
          <w:tcPr>
            <w:tcW w:w="594" w:type="pct"/>
            <w:tcBorders>
              <w:top w:val="outset" w:sz="6" w:space="0" w:color="000000"/>
              <w:left w:val="outset" w:sz="6" w:space="0" w:color="000000"/>
              <w:bottom w:val="outset" w:sz="6" w:space="0" w:color="000000"/>
              <w:right w:val="outset" w:sz="6" w:space="0" w:color="000000"/>
            </w:tcBorders>
            <w:vAlign w:val="center"/>
          </w:tcPr>
          <w:p w14:paraId="63BF7320" w14:textId="77777777" w:rsidR="0059425F" w:rsidRPr="00093D7B" w:rsidRDefault="0059425F" w:rsidP="00A436BC">
            <w:pPr>
              <w:spacing w:line="360" w:lineRule="auto"/>
              <w:jc w:val="center"/>
              <w:rPr>
                <w:sz w:val="28"/>
                <w:szCs w:val="28"/>
              </w:rPr>
            </w:pPr>
            <w:r w:rsidRPr="00093D7B">
              <w:rPr>
                <w:sz w:val="28"/>
                <w:szCs w:val="28"/>
              </w:rPr>
              <w:t>0</w:t>
            </w:r>
          </w:p>
        </w:tc>
        <w:tc>
          <w:tcPr>
            <w:tcW w:w="610" w:type="pct"/>
            <w:tcBorders>
              <w:top w:val="outset" w:sz="6" w:space="0" w:color="000000"/>
              <w:left w:val="outset" w:sz="6" w:space="0" w:color="000000"/>
              <w:bottom w:val="outset" w:sz="6" w:space="0" w:color="000000"/>
              <w:right w:val="outset" w:sz="6" w:space="0" w:color="000000"/>
            </w:tcBorders>
          </w:tcPr>
          <w:p w14:paraId="63BF7321" w14:textId="77777777" w:rsidR="0059425F" w:rsidRPr="00093D7B" w:rsidRDefault="0059425F" w:rsidP="00A436BC">
            <w:pPr>
              <w:spacing w:line="360" w:lineRule="auto"/>
              <w:jc w:val="center"/>
              <w:rPr>
                <w:sz w:val="28"/>
                <w:szCs w:val="28"/>
              </w:rPr>
            </w:pPr>
            <w:r w:rsidRPr="00093D7B">
              <w:rPr>
                <w:sz w:val="28"/>
                <w:szCs w:val="28"/>
              </w:rPr>
              <w:t>0</w:t>
            </w:r>
          </w:p>
        </w:tc>
        <w:tc>
          <w:tcPr>
            <w:tcW w:w="656" w:type="pct"/>
            <w:tcBorders>
              <w:top w:val="outset" w:sz="6" w:space="0" w:color="000000"/>
              <w:left w:val="outset" w:sz="6" w:space="0" w:color="000000"/>
              <w:bottom w:val="outset" w:sz="6" w:space="0" w:color="000000"/>
              <w:right w:val="outset" w:sz="6" w:space="0" w:color="000000"/>
            </w:tcBorders>
          </w:tcPr>
          <w:p w14:paraId="63BF7322" w14:textId="77777777" w:rsidR="0059425F" w:rsidRPr="00093D7B" w:rsidRDefault="0059425F" w:rsidP="00A436BC">
            <w:pPr>
              <w:spacing w:line="360" w:lineRule="auto"/>
              <w:jc w:val="center"/>
              <w:rPr>
                <w:sz w:val="28"/>
                <w:szCs w:val="28"/>
              </w:rPr>
            </w:pPr>
            <w:r w:rsidRPr="00093D7B">
              <w:rPr>
                <w:sz w:val="28"/>
                <w:szCs w:val="28"/>
              </w:rPr>
              <w:t>0</w:t>
            </w:r>
          </w:p>
        </w:tc>
        <w:tc>
          <w:tcPr>
            <w:tcW w:w="605" w:type="pct"/>
            <w:tcBorders>
              <w:top w:val="outset" w:sz="6" w:space="0" w:color="000000"/>
              <w:left w:val="outset" w:sz="6" w:space="0" w:color="000000"/>
              <w:bottom w:val="outset" w:sz="6" w:space="0" w:color="000000"/>
              <w:right w:val="outset" w:sz="6" w:space="0" w:color="000000"/>
            </w:tcBorders>
          </w:tcPr>
          <w:p w14:paraId="63BF7323" w14:textId="376C8149" w:rsidR="0059425F" w:rsidRPr="00093D7B" w:rsidRDefault="00316D67" w:rsidP="00A436BC">
            <w:pPr>
              <w:spacing w:line="360" w:lineRule="auto"/>
              <w:jc w:val="center"/>
              <w:rPr>
                <w:sz w:val="28"/>
                <w:szCs w:val="28"/>
              </w:rPr>
            </w:pPr>
            <w:r w:rsidRPr="00093D7B">
              <w:rPr>
                <w:sz w:val="28"/>
                <w:szCs w:val="28"/>
              </w:rPr>
              <w:t>0</w:t>
            </w:r>
          </w:p>
        </w:tc>
        <w:tc>
          <w:tcPr>
            <w:tcW w:w="605" w:type="pct"/>
            <w:tcBorders>
              <w:top w:val="outset" w:sz="6" w:space="0" w:color="000000"/>
              <w:left w:val="outset" w:sz="6" w:space="0" w:color="000000"/>
              <w:bottom w:val="outset" w:sz="6" w:space="0" w:color="000000"/>
              <w:right w:val="outset" w:sz="6" w:space="0" w:color="000000"/>
            </w:tcBorders>
          </w:tcPr>
          <w:p w14:paraId="63BF7324" w14:textId="58A8B1EC" w:rsidR="0059425F" w:rsidRPr="00093D7B" w:rsidRDefault="00316D67" w:rsidP="00A436BC">
            <w:pPr>
              <w:spacing w:line="360" w:lineRule="auto"/>
              <w:jc w:val="center"/>
              <w:rPr>
                <w:sz w:val="28"/>
                <w:szCs w:val="28"/>
              </w:rPr>
            </w:pPr>
            <w:r w:rsidRPr="00093D7B">
              <w:rPr>
                <w:sz w:val="28"/>
                <w:szCs w:val="28"/>
              </w:rPr>
              <w:t>0</w:t>
            </w:r>
          </w:p>
        </w:tc>
      </w:tr>
      <w:tr w:rsidR="00D27948" w:rsidRPr="00D27948" w14:paraId="63BF732C"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26" w14:textId="77777777" w:rsidR="0059425F" w:rsidRPr="00093D7B" w:rsidRDefault="0059425F" w:rsidP="00A436BC">
            <w:pPr>
              <w:spacing w:before="100" w:beforeAutospacing="1" w:after="100" w:afterAutospacing="1"/>
              <w:jc w:val="both"/>
              <w:rPr>
                <w:sz w:val="28"/>
                <w:szCs w:val="28"/>
              </w:rPr>
            </w:pPr>
            <w:r w:rsidRPr="00093D7B">
              <w:rPr>
                <w:sz w:val="28"/>
                <w:szCs w:val="28"/>
              </w:rPr>
              <w:t>3.1. valsts pamatbudžets</w:t>
            </w:r>
          </w:p>
        </w:tc>
        <w:tc>
          <w:tcPr>
            <w:tcW w:w="594" w:type="pct"/>
            <w:tcBorders>
              <w:top w:val="outset" w:sz="6" w:space="0" w:color="000000"/>
              <w:left w:val="outset" w:sz="6" w:space="0" w:color="000000"/>
              <w:bottom w:val="outset" w:sz="6" w:space="0" w:color="000000"/>
              <w:right w:val="outset" w:sz="6" w:space="0" w:color="000000"/>
            </w:tcBorders>
          </w:tcPr>
          <w:p w14:paraId="63BF7327" w14:textId="6AB1BC45" w:rsidR="0059425F" w:rsidRPr="00093D7B" w:rsidRDefault="0059425F" w:rsidP="00A436BC">
            <w:pPr>
              <w:spacing w:line="360" w:lineRule="auto"/>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28" w14:textId="779D5ACF"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29" w14:textId="51FD25BB"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2A" w14:textId="05B0280D"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2B" w14:textId="67BAD5FD" w:rsidR="0059425F" w:rsidRPr="00093D7B" w:rsidRDefault="0059425F" w:rsidP="00A436BC">
            <w:pPr>
              <w:spacing w:line="360" w:lineRule="auto"/>
              <w:jc w:val="center"/>
              <w:rPr>
                <w:sz w:val="28"/>
                <w:szCs w:val="28"/>
              </w:rPr>
            </w:pPr>
          </w:p>
        </w:tc>
      </w:tr>
      <w:tr w:rsidR="00D27948" w:rsidRPr="00D27948" w14:paraId="63BF7333"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2D" w14:textId="77777777" w:rsidR="0059425F" w:rsidRPr="00093D7B" w:rsidRDefault="0059425F" w:rsidP="00A436BC">
            <w:pPr>
              <w:spacing w:before="100" w:beforeAutospacing="1" w:after="100" w:afterAutospacing="1"/>
              <w:jc w:val="both"/>
              <w:rPr>
                <w:sz w:val="28"/>
                <w:szCs w:val="28"/>
              </w:rPr>
            </w:pPr>
            <w:r w:rsidRPr="00093D7B">
              <w:rPr>
                <w:sz w:val="28"/>
                <w:szCs w:val="28"/>
              </w:rPr>
              <w:t>3.2. speciālais budžets</w:t>
            </w:r>
          </w:p>
        </w:tc>
        <w:tc>
          <w:tcPr>
            <w:tcW w:w="594" w:type="pct"/>
            <w:tcBorders>
              <w:top w:val="outset" w:sz="6" w:space="0" w:color="000000"/>
              <w:left w:val="outset" w:sz="6" w:space="0" w:color="000000"/>
              <w:bottom w:val="outset" w:sz="6" w:space="0" w:color="000000"/>
              <w:right w:val="outset" w:sz="6" w:space="0" w:color="000000"/>
            </w:tcBorders>
          </w:tcPr>
          <w:p w14:paraId="63BF732E" w14:textId="578B6047" w:rsidR="0059425F" w:rsidRPr="00093D7B" w:rsidRDefault="0059425F" w:rsidP="00A436BC">
            <w:pPr>
              <w:spacing w:line="360" w:lineRule="auto"/>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2F" w14:textId="336C29C6"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30" w14:textId="1733A5CB"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31" w14:textId="287E7AA4"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32" w14:textId="3F9093AF" w:rsidR="0059425F" w:rsidRPr="00093D7B" w:rsidRDefault="0059425F" w:rsidP="00A436BC">
            <w:pPr>
              <w:spacing w:line="360" w:lineRule="auto"/>
              <w:jc w:val="center"/>
              <w:rPr>
                <w:sz w:val="28"/>
                <w:szCs w:val="28"/>
              </w:rPr>
            </w:pPr>
          </w:p>
        </w:tc>
      </w:tr>
      <w:tr w:rsidR="00D27948" w:rsidRPr="00D27948" w14:paraId="63BF733A"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34" w14:textId="77777777" w:rsidR="0059425F" w:rsidRPr="00093D7B" w:rsidRDefault="0059425F" w:rsidP="00A436BC">
            <w:pPr>
              <w:spacing w:before="100" w:beforeAutospacing="1" w:after="100" w:afterAutospacing="1"/>
              <w:jc w:val="both"/>
              <w:rPr>
                <w:sz w:val="28"/>
                <w:szCs w:val="28"/>
              </w:rPr>
            </w:pPr>
            <w:r w:rsidRPr="00093D7B">
              <w:rPr>
                <w:sz w:val="28"/>
                <w:szCs w:val="28"/>
              </w:rPr>
              <w:t>3.3. pašvaldību budžets</w:t>
            </w:r>
          </w:p>
        </w:tc>
        <w:tc>
          <w:tcPr>
            <w:tcW w:w="594" w:type="pct"/>
            <w:tcBorders>
              <w:top w:val="outset" w:sz="6" w:space="0" w:color="000000"/>
              <w:left w:val="outset" w:sz="6" w:space="0" w:color="000000"/>
              <w:bottom w:val="outset" w:sz="6" w:space="0" w:color="000000"/>
              <w:right w:val="outset" w:sz="6" w:space="0" w:color="000000"/>
            </w:tcBorders>
          </w:tcPr>
          <w:p w14:paraId="63BF7335" w14:textId="4ACFE27B" w:rsidR="0059425F" w:rsidRPr="00093D7B" w:rsidRDefault="0059425F" w:rsidP="00A436BC">
            <w:pPr>
              <w:spacing w:line="360" w:lineRule="auto"/>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36" w14:textId="4445F4DF"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37" w14:textId="65F35D0F"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38" w14:textId="3397E9DC"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39" w14:textId="18F96B59" w:rsidR="0059425F" w:rsidRPr="00093D7B" w:rsidRDefault="0059425F" w:rsidP="00A436BC">
            <w:pPr>
              <w:spacing w:line="360" w:lineRule="auto"/>
              <w:jc w:val="center"/>
              <w:rPr>
                <w:sz w:val="28"/>
                <w:szCs w:val="28"/>
              </w:rPr>
            </w:pPr>
          </w:p>
        </w:tc>
      </w:tr>
      <w:tr w:rsidR="00D27948" w:rsidRPr="00D27948" w14:paraId="63BF7341" w14:textId="77777777" w:rsidTr="00A436BC">
        <w:tc>
          <w:tcPr>
            <w:tcW w:w="1931" w:type="pct"/>
            <w:vMerge w:val="restart"/>
            <w:tcBorders>
              <w:top w:val="outset" w:sz="6" w:space="0" w:color="000000"/>
              <w:left w:val="outset" w:sz="6" w:space="0" w:color="000000"/>
              <w:bottom w:val="outset" w:sz="6" w:space="0" w:color="000000"/>
              <w:right w:val="outset" w:sz="6" w:space="0" w:color="000000"/>
            </w:tcBorders>
          </w:tcPr>
          <w:p w14:paraId="63BF733B" w14:textId="77777777" w:rsidR="0059425F" w:rsidRPr="00093D7B" w:rsidRDefault="0059425F" w:rsidP="00A436BC">
            <w:pPr>
              <w:spacing w:before="100" w:beforeAutospacing="1" w:after="100" w:afterAutospacing="1"/>
              <w:jc w:val="both"/>
              <w:rPr>
                <w:sz w:val="28"/>
                <w:szCs w:val="28"/>
              </w:rPr>
            </w:pPr>
            <w:r w:rsidRPr="00093D7B">
              <w:rPr>
                <w:sz w:val="28"/>
                <w:szCs w:val="28"/>
              </w:rPr>
              <w:t>4</w:t>
            </w:r>
            <w:r w:rsidR="00A70F5A" w:rsidRPr="00093D7B">
              <w:rPr>
                <w:sz w:val="28"/>
                <w:szCs w:val="28"/>
              </w:rPr>
              <w:t>. Finanšu līdzekļi papildu izde</w:t>
            </w:r>
            <w:r w:rsidRPr="00093D7B">
              <w:rPr>
                <w:sz w:val="28"/>
                <w:szCs w:val="28"/>
              </w:rPr>
              <w:t>vumu finansēšanai (kompensējošu izdevumu samazinājumu norāda ar "+" zīmi)</w:t>
            </w:r>
          </w:p>
        </w:tc>
        <w:tc>
          <w:tcPr>
            <w:tcW w:w="594" w:type="pct"/>
            <w:vMerge w:val="restart"/>
            <w:tcBorders>
              <w:top w:val="outset" w:sz="6" w:space="0" w:color="000000"/>
              <w:left w:val="outset" w:sz="6" w:space="0" w:color="000000"/>
              <w:bottom w:val="outset" w:sz="6" w:space="0" w:color="000000"/>
              <w:right w:val="outset" w:sz="6" w:space="0" w:color="000000"/>
            </w:tcBorders>
          </w:tcPr>
          <w:p w14:paraId="63BF733C" w14:textId="77777777" w:rsidR="0059425F" w:rsidRPr="00093D7B" w:rsidRDefault="0059425F" w:rsidP="00A436BC">
            <w:pPr>
              <w:spacing w:before="100" w:beforeAutospacing="1" w:after="100" w:afterAutospacing="1"/>
              <w:jc w:val="center"/>
              <w:rPr>
                <w:sz w:val="28"/>
                <w:szCs w:val="28"/>
              </w:rPr>
            </w:pPr>
            <w:r w:rsidRPr="00093D7B">
              <w:rPr>
                <w:sz w:val="28"/>
                <w:szCs w:val="28"/>
              </w:rPr>
              <w:t>X</w:t>
            </w:r>
          </w:p>
        </w:tc>
        <w:tc>
          <w:tcPr>
            <w:tcW w:w="610" w:type="pct"/>
            <w:tcBorders>
              <w:top w:val="outset" w:sz="6" w:space="0" w:color="000000"/>
              <w:left w:val="outset" w:sz="6" w:space="0" w:color="000000"/>
              <w:bottom w:val="outset" w:sz="6" w:space="0" w:color="000000"/>
              <w:right w:val="outset" w:sz="6" w:space="0" w:color="000000"/>
            </w:tcBorders>
          </w:tcPr>
          <w:p w14:paraId="63BF733D" w14:textId="77777777" w:rsidR="0059425F" w:rsidRPr="00093D7B" w:rsidRDefault="0059425F" w:rsidP="00A436BC">
            <w:pPr>
              <w:spacing w:line="360" w:lineRule="auto"/>
              <w:jc w:val="center"/>
              <w:rPr>
                <w:sz w:val="28"/>
                <w:szCs w:val="28"/>
              </w:rPr>
            </w:pPr>
            <w:r w:rsidRPr="00093D7B">
              <w:rPr>
                <w:sz w:val="28"/>
                <w:szCs w:val="28"/>
              </w:rPr>
              <w:t>0</w:t>
            </w:r>
          </w:p>
        </w:tc>
        <w:tc>
          <w:tcPr>
            <w:tcW w:w="656" w:type="pct"/>
            <w:tcBorders>
              <w:top w:val="outset" w:sz="6" w:space="0" w:color="000000"/>
              <w:left w:val="outset" w:sz="6" w:space="0" w:color="000000"/>
              <w:bottom w:val="outset" w:sz="6" w:space="0" w:color="000000"/>
              <w:right w:val="outset" w:sz="6" w:space="0" w:color="000000"/>
            </w:tcBorders>
          </w:tcPr>
          <w:p w14:paraId="63BF733E" w14:textId="77777777" w:rsidR="0059425F" w:rsidRPr="00093D7B" w:rsidRDefault="0059425F" w:rsidP="00A436BC">
            <w:pPr>
              <w:spacing w:line="360" w:lineRule="auto"/>
              <w:jc w:val="center"/>
              <w:rPr>
                <w:sz w:val="28"/>
                <w:szCs w:val="28"/>
              </w:rPr>
            </w:pPr>
            <w:r w:rsidRPr="00093D7B">
              <w:rPr>
                <w:sz w:val="28"/>
                <w:szCs w:val="28"/>
              </w:rPr>
              <w:t>0</w:t>
            </w:r>
          </w:p>
        </w:tc>
        <w:tc>
          <w:tcPr>
            <w:tcW w:w="605" w:type="pct"/>
            <w:tcBorders>
              <w:top w:val="outset" w:sz="6" w:space="0" w:color="000000"/>
              <w:left w:val="outset" w:sz="6" w:space="0" w:color="000000"/>
              <w:bottom w:val="outset" w:sz="6" w:space="0" w:color="000000"/>
              <w:right w:val="outset" w:sz="6" w:space="0" w:color="000000"/>
            </w:tcBorders>
          </w:tcPr>
          <w:p w14:paraId="63BF733F" w14:textId="77777777" w:rsidR="0059425F" w:rsidRPr="00093D7B" w:rsidRDefault="0059425F" w:rsidP="00A436BC">
            <w:pPr>
              <w:spacing w:line="360" w:lineRule="auto"/>
              <w:jc w:val="center"/>
              <w:rPr>
                <w:sz w:val="28"/>
                <w:szCs w:val="28"/>
              </w:rPr>
            </w:pPr>
            <w:r w:rsidRPr="00093D7B">
              <w:rPr>
                <w:sz w:val="28"/>
                <w:szCs w:val="28"/>
              </w:rPr>
              <w:t>0</w:t>
            </w:r>
          </w:p>
        </w:tc>
        <w:tc>
          <w:tcPr>
            <w:tcW w:w="605" w:type="pct"/>
            <w:tcBorders>
              <w:top w:val="outset" w:sz="6" w:space="0" w:color="000000"/>
              <w:left w:val="outset" w:sz="6" w:space="0" w:color="000000"/>
              <w:bottom w:val="outset" w:sz="6" w:space="0" w:color="000000"/>
              <w:right w:val="outset" w:sz="6" w:space="0" w:color="000000"/>
            </w:tcBorders>
          </w:tcPr>
          <w:p w14:paraId="63BF7340" w14:textId="77777777" w:rsidR="0059425F" w:rsidRPr="00093D7B" w:rsidRDefault="0059425F" w:rsidP="00A436BC">
            <w:pPr>
              <w:spacing w:line="360" w:lineRule="auto"/>
              <w:jc w:val="center"/>
              <w:rPr>
                <w:sz w:val="28"/>
                <w:szCs w:val="28"/>
              </w:rPr>
            </w:pPr>
            <w:r w:rsidRPr="00093D7B">
              <w:rPr>
                <w:sz w:val="28"/>
                <w:szCs w:val="28"/>
              </w:rPr>
              <w:t>0</w:t>
            </w:r>
          </w:p>
        </w:tc>
      </w:tr>
      <w:tr w:rsidR="00D27948" w:rsidRPr="00D27948" w14:paraId="63BF7348" w14:textId="77777777" w:rsidTr="00A436BC">
        <w:tc>
          <w:tcPr>
            <w:tcW w:w="1931" w:type="pct"/>
            <w:vMerge/>
            <w:tcBorders>
              <w:top w:val="outset" w:sz="6" w:space="0" w:color="000000"/>
              <w:left w:val="outset" w:sz="6" w:space="0" w:color="000000"/>
              <w:bottom w:val="outset" w:sz="6" w:space="0" w:color="000000"/>
              <w:right w:val="outset" w:sz="6" w:space="0" w:color="000000"/>
            </w:tcBorders>
            <w:vAlign w:val="center"/>
          </w:tcPr>
          <w:p w14:paraId="63BF7342" w14:textId="77777777" w:rsidR="0059425F" w:rsidRPr="00093D7B" w:rsidRDefault="0059425F" w:rsidP="00A436BC">
            <w:pPr>
              <w:jc w:val="both"/>
              <w:rPr>
                <w:sz w:val="28"/>
                <w:szCs w:val="28"/>
              </w:rPr>
            </w:pPr>
          </w:p>
        </w:tc>
        <w:tc>
          <w:tcPr>
            <w:tcW w:w="594" w:type="pct"/>
            <w:vMerge/>
            <w:tcBorders>
              <w:top w:val="outset" w:sz="6" w:space="0" w:color="000000"/>
              <w:left w:val="outset" w:sz="6" w:space="0" w:color="000000"/>
              <w:bottom w:val="outset" w:sz="6" w:space="0" w:color="000000"/>
              <w:right w:val="outset" w:sz="6" w:space="0" w:color="000000"/>
            </w:tcBorders>
            <w:vAlign w:val="center"/>
          </w:tcPr>
          <w:p w14:paraId="63BF7343" w14:textId="77777777" w:rsidR="0059425F" w:rsidRPr="00093D7B" w:rsidRDefault="0059425F" w:rsidP="00A436BC">
            <w:pPr>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44" w14:textId="1F999C63"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45" w14:textId="457E769F"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46" w14:textId="71402954"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47" w14:textId="24306FDD" w:rsidR="0059425F" w:rsidRPr="00093D7B" w:rsidRDefault="0059425F" w:rsidP="00A436BC">
            <w:pPr>
              <w:spacing w:line="360" w:lineRule="auto"/>
              <w:jc w:val="center"/>
              <w:rPr>
                <w:sz w:val="28"/>
                <w:szCs w:val="28"/>
              </w:rPr>
            </w:pPr>
          </w:p>
        </w:tc>
      </w:tr>
      <w:tr w:rsidR="00D27948" w:rsidRPr="00D27948" w14:paraId="63BF734F" w14:textId="77777777" w:rsidTr="00A436BC">
        <w:tc>
          <w:tcPr>
            <w:tcW w:w="1931" w:type="pct"/>
            <w:vMerge/>
            <w:tcBorders>
              <w:top w:val="outset" w:sz="6" w:space="0" w:color="000000"/>
              <w:left w:val="outset" w:sz="6" w:space="0" w:color="000000"/>
              <w:bottom w:val="outset" w:sz="6" w:space="0" w:color="000000"/>
              <w:right w:val="outset" w:sz="6" w:space="0" w:color="000000"/>
            </w:tcBorders>
            <w:vAlign w:val="center"/>
          </w:tcPr>
          <w:p w14:paraId="63BF7349" w14:textId="77777777" w:rsidR="0059425F" w:rsidRPr="00093D7B" w:rsidRDefault="0059425F" w:rsidP="00A436BC">
            <w:pPr>
              <w:jc w:val="both"/>
              <w:rPr>
                <w:sz w:val="28"/>
                <w:szCs w:val="28"/>
              </w:rPr>
            </w:pPr>
          </w:p>
        </w:tc>
        <w:tc>
          <w:tcPr>
            <w:tcW w:w="594" w:type="pct"/>
            <w:vMerge/>
            <w:tcBorders>
              <w:top w:val="outset" w:sz="6" w:space="0" w:color="000000"/>
              <w:left w:val="outset" w:sz="6" w:space="0" w:color="000000"/>
              <w:bottom w:val="outset" w:sz="6" w:space="0" w:color="000000"/>
              <w:right w:val="outset" w:sz="6" w:space="0" w:color="000000"/>
            </w:tcBorders>
            <w:vAlign w:val="center"/>
          </w:tcPr>
          <w:p w14:paraId="63BF734A" w14:textId="77777777" w:rsidR="0059425F" w:rsidRPr="00093D7B" w:rsidRDefault="0059425F" w:rsidP="00A436BC">
            <w:pPr>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4B" w14:textId="30D6B015"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4C" w14:textId="13F17308"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4D" w14:textId="28F6824C"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4E" w14:textId="631147A5" w:rsidR="0059425F" w:rsidRPr="00093D7B" w:rsidRDefault="0059425F" w:rsidP="00A436BC">
            <w:pPr>
              <w:spacing w:line="360" w:lineRule="auto"/>
              <w:jc w:val="center"/>
              <w:rPr>
                <w:sz w:val="28"/>
                <w:szCs w:val="28"/>
              </w:rPr>
            </w:pPr>
          </w:p>
        </w:tc>
      </w:tr>
      <w:tr w:rsidR="00D27948" w:rsidRPr="00D27948" w14:paraId="63BF7356"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50" w14:textId="77777777" w:rsidR="0059425F" w:rsidRPr="00093D7B" w:rsidRDefault="0059425F" w:rsidP="00A436BC">
            <w:pPr>
              <w:spacing w:before="100" w:beforeAutospacing="1" w:after="100" w:afterAutospacing="1"/>
              <w:jc w:val="both"/>
              <w:rPr>
                <w:sz w:val="28"/>
                <w:szCs w:val="28"/>
              </w:rPr>
            </w:pPr>
            <w:r w:rsidRPr="00093D7B">
              <w:rPr>
                <w:sz w:val="28"/>
                <w:szCs w:val="28"/>
              </w:rPr>
              <w:t>5. Precizēta finansiālā ietekme:</w:t>
            </w:r>
          </w:p>
        </w:tc>
        <w:tc>
          <w:tcPr>
            <w:tcW w:w="594" w:type="pct"/>
            <w:vMerge w:val="restart"/>
            <w:tcBorders>
              <w:top w:val="outset" w:sz="6" w:space="0" w:color="000000"/>
              <w:left w:val="outset" w:sz="6" w:space="0" w:color="000000"/>
              <w:bottom w:val="outset" w:sz="6" w:space="0" w:color="000000"/>
              <w:right w:val="outset" w:sz="6" w:space="0" w:color="000000"/>
            </w:tcBorders>
          </w:tcPr>
          <w:p w14:paraId="63BF7351" w14:textId="77777777" w:rsidR="0059425F" w:rsidRPr="00093D7B" w:rsidRDefault="0059425F" w:rsidP="00A436BC">
            <w:pPr>
              <w:spacing w:before="100" w:beforeAutospacing="1" w:after="100" w:afterAutospacing="1"/>
              <w:jc w:val="center"/>
              <w:rPr>
                <w:sz w:val="28"/>
                <w:szCs w:val="28"/>
              </w:rPr>
            </w:pPr>
            <w:r w:rsidRPr="00093D7B">
              <w:rPr>
                <w:sz w:val="28"/>
                <w:szCs w:val="28"/>
              </w:rPr>
              <w:t>X</w:t>
            </w:r>
          </w:p>
        </w:tc>
        <w:tc>
          <w:tcPr>
            <w:tcW w:w="610" w:type="pct"/>
            <w:tcBorders>
              <w:top w:val="outset" w:sz="6" w:space="0" w:color="000000"/>
              <w:left w:val="outset" w:sz="6" w:space="0" w:color="000000"/>
              <w:bottom w:val="outset" w:sz="6" w:space="0" w:color="000000"/>
              <w:right w:val="outset" w:sz="6" w:space="0" w:color="000000"/>
            </w:tcBorders>
          </w:tcPr>
          <w:p w14:paraId="63BF7352" w14:textId="77777777" w:rsidR="0059425F" w:rsidRPr="00093D7B" w:rsidRDefault="0059425F" w:rsidP="00A436BC">
            <w:pPr>
              <w:spacing w:line="360" w:lineRule="auto"/>
              <w:jc w:val="center"/>
              <w:rPr>
                <w:sz w:val="28"/>
                <w:szCs w:val="28"/>
              </w:rPr>
            </w:pPr>
            <w:r w:rsidRPr="00093D7B">
              <w:rPr>
                <w:sz w:val="28"/>
                <w:szCs w:val="28"/>
              </w:rPr>
              <w:t>0</w:t>
            </w:r>
          </w:p>
        </w:tc>
        <w:tc>
          <w:tcPr>
            <w:tcW w:w="656" w:type="pct"/>
            <w:tcBorders>
              <w:top w:val="outset" w:sz="6" w:space="0" w:color="000000"/>
              <w:left w:val="outset" w:sz="6" w:space="0" w:color="000000"/>
              <w:bottom w:val="outset" w:sz="6" w:space="0" w:color="000000"/>
              <w:right w:val="outset" w:sz="6" w:space="0" w:color="000000"/>
            </w:tcBorders>
          </w:tcPr>
          <w:p w14:paraId="63BF7353" w14:textId="77777777" w:rsidR="0059425F" w:rsidRPr="00093D7B" w:rsidRDefault="0059425F" w:rsidP="00A436BC">
            <w:pPr>
              <w:spacing w:line="360" w:lineRule="auto"/>
              <w:jc w:val="center"/>
              <w:rPr>
                <w:sz w:val="28"/>
                <w:szCs w:val="28"/>
              </w:rPr>
            </w:pPr>
            <w:r w:rsidRPr="00093D7B">
              <w:rPr>
                <w:sz w:val="28"/>
                <w:szCs w:val="28"/>
              </w:rPr>
              <w:t>0</w:t>
            </w:r>
          </w:p>
        </w:tc>
        <w:tc>
          <w:tcPr>
            <w:tcW w:w="605" w:type="pct"/>
            <w:tcBorders>
              <w:top w:val="outset" w:sz="6" w:space="0" w:color="000000"/>
              <w:left w:val="outset" w:sz="6" w:space="0" w:color="000000"/>
              <w:bottom w:val="outset" w:sz="6" w:space="0" w:color="000000"/>
              <w:right w:val="outset" w:sz="6" w:space="0" w:color="000000"/>
            </w:tcBorders>
          </w:tcPr>
          <w:p w14:paraId="63BF7354" w14:textId="77777777" w:rsidR="0059425F" w:rsidRPr="00093D7B" w:rsidRDefault="0059425F" w:rsidP="00A436BC">
            <w:pPr>
              <w:spacing w:line="360" w:lineRule="auto"/>
              <w:jc w:val="center"/>
              <w:rPr>
                <w:sz w:val="28"/>
                <w:szCs w:val="28"/>
              </w:rPr>
            </w:pPr>
            <w:r w:rsidRPr="00093D7B">
              <w:rPr>
                <w:sz w:val="28"/>
                <w:szCs w:val="28"/>
              </w:rPr>
              <w:t>0</w:t>
            </w:r>
          </w:p>
        </w:tc>
        <w:tc>
          <w:tcPr>
            <w:tcW w:w="605" w:type="pct"/>
            <w:tcBorders>
              <w:top w:val="outset" w:sz="6" w:space="0" w:color="000000"/>
              <w:left w:val="outset" w:sz="6" w:space="0" w:color="000000"/>
              <w:bottom w:val="outset" w:sz="6" w:space="0" w:color="000000"/>
              <w:right w:val="outset" w:sz="6" w:space="0" w:color="000000"/>
            </w:tcBorders>
          </w:tcPr>
          <w:p w14:paraId="63BF7355" w14:textId="77777777" w:rsidR="0059425F" w:rsidRPr="00093D7B" w:rsidRDefault="0059425F" w:rsidP="00A436BC">
            <w:pPr>
              <w:spacing w:line="360" w:lineRule="auto"/>
              <w:jc w:val="center"/>
              <w:rPr>
                <w:sz w:val="28"/>
                <w:szCs w:val="28"/>
              </w:rPr>
            </w:pPr>
            <w:r w:rsidRPr="00093D7B">
              <w:rPr>
                <w:sz w:val="28"/>
                <w:szCs w:val="28"/>
              </w:rPr>
              <w:t>0</w:t>
            </w:r>
          </w:p>
        </w:tc>
      </w:tr>
      <w:tr w:rsidR="00D27948" w:rsidRPr="00D27948" w14:paraId="63BF735D"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57" w14:textId="77777777" w:rsidR="0059425F" w:rsidRPr="00093D7B" w:rsidRDefault="0059425F" w:rsidP="00A436BC">
            <w:pPr>
              <w:spacing w:before="100" w:beforeAutospacing="1" w:after="100" w:afterAutospacing="1"/>
              <w:jc w:val="both"/>
              <w:rPr>
                <w:sz w:val="28"/>
                <w:szCs w:val="28"/>
              </w:rPr>
            </w:pPr>
            <w:r w:rsidRPr="00093D7B">
              <w:rPr>
                <w:sz w:val="28"/>
                <w:szCs w:val="28"/>
              </w:rPr>
              <w:t>5.1. valsts pamatbudžets</w:t>
            </w:r>
          </w:p>
        </w:tc>
        <w:tc>
          <w:tcPr>
            <w:tcW w:w="594" w:type="pct"/>
            <w:vMerge/>
            <w:tcBorders>
              <w:top w:val="outset" w:sz="6" w:space="0" w:color="000000"/>
              <w:left w:val="outset" w:sz="6" w:space="0" w:color="000000"/>
              <w:bottom w:val="outset" w:sz="6" w:space="0" w:color="000000"/>
              <w:right w:val="outset" w:sz="6" w:space="0" w:color="000000"/>
            </w:tcBorders>
            <w:vAlign w:val="center"/>
          </w:tcPr>
          <w:p w14:paraId="63BF7358" w14:textId="77777777" w:rsidR="0059425F" w:rsidRPr="00093D7B" w:rsidRDefault="0059425F" w:rsidP="00A436BC">
            <w:pPr>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59" w14:textId="5B3892FD"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5A" w14:textId="785475D0"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5B" w14:textId="7468ECE1"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5C" w14:textId="372DD59E" w:rsidR="0059425F" w:rsidRPr="00093D7B" w:rsidRDefault="0059425F" w:rsidP="00A436BC">
            <w:pPr>
              <w:spacing w:line="360" w:lineRule="auto"/>
              <w:jc w:val="center"/>
              <w:rPr>
                <w:sz w:val="28"/>
                <w:szCs w:val="28"/>
              </w:rPr>
            </w:pPr>
          </w:p>
        </w:tc>
      </w:tr>
      <w:tr w:rsidR="00D27948" w:rsidRPr="00D27948" w14:paraId="63BF7364"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5E" w14:textId="77777777" w:rsidR="0059425F" w:rsidRPr="00093D7B" w:rsidRDefault="0059425F" w:rsidP="00A436BC">
            <w:pPr>
              <w:spacing w:before="100" w:beforeAutospacing="1" w:after="100" w:afterAutospacing="1"/>
              <w:jc w:val="both"/>
              <w:rPr>
                <w:sz w:val="28"/>
                <w:szCs w:val="28"/>
              </w:rPr>
            </w:pPr>
            <w:r w:rsidRPr="00093D7B">
              <w:rPr>
                <w:sz w:val="28"/>
                <w:szCs w:val="28"/>
              </w:rPr>
              <w:t>5.2. speciālais budžets</w:t>
            </w:r>
          </w:p>
        </w:tc>
        <w:tc>
          <w:tcPr>
            <w:tcW w:w="594" w:type="pct"/>
            <w:vMerge/>
            <w:tcBorders>
              <w:top w:val="outset" w:sz="6" w:space="0" w:color="000000"/>
              <w:left w:val="outset" w:sz="6" w:space="0" w:color="000000"/>
              <w:bottom w:val="outset" w:sz="6" w:space="0" w:color="000000"/>
              <w:right w:val="outset" w:sz="6" w:space="0" w:color="000000"/>
            </w:tcBorders>
            <w:vAlign w:val="center"/>
          </w:tcPr>
          <w:p w14:paraId="63BF735F" w14:textId="77777777" w:rsidR="0059425F" w:rsidRPr="00093D7B" w:rsidRDefault="0059425F" w:rsidP="00A436BC">
            <w:pPr>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60" w14:textId="5CC71FFB"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61" w14:textId="7A885F90"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62" w14:textId="58817C3F"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63" w14:textId="246BD971" w:rsidR="0059425F" w:rsidRPr="00093D7B" w:rsidRDefault="0059425F" w:rsidP="00A436BC">
            <w:pPr>
              <w:spacing w:line="360" w:lineRule="auto"/>
              <w:jc w:val="center"/>
              <w:rPr>
                <w:sz w:val="28"/>
                <w:szCs w:val="28"/>
              </w:rPr>
            </w:pPr>
          </w:p>
        </w:tc>
      </w:tr>
      <w:tr w:rsidR="00D27948" w:rsidRPr="00D27948" w14:paraId="63BF736B"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65" w14:textId="77777777" w:rsidR="0059425F" w:rsidRPr="00093D7B" w:rsidRDefault="0059425F" w:rsidP="00A436BC">
            <w:pPr>
              <w:spacing w:before="100" w:beforeAutospacing="1" w:after="100" w:afterAutospacing="1"/>
              <w:jc w:val="both"/>
              <w:rPr>
                <w:sz w:val="28"/>
                <w:szCs w:val="28"/>
              </w:rPr>
            </w:pPr>
            <w:r w:rsidRPr="00093D7B">
              <w:rPr>
                <w:sz w:val="28"/>
                <w:szCs w:val="28"/>
              </w:rPr>
              <w:t>5.3. pašvaldību budžets</w:t>
            </w:r>
          </w:p>
        </w:tc>
        <w:tc>
          <w:tcPr>
            <w:tcW w:w="594" w:type="pct"/>
            <w:vMerge/>
            <w:tcBorders>
              <w:top w:val="outset" w:sz="6" w:space="0" w:color="000000"/>
              <w:left w:val="outset" w:sz="6" w:space="0" w:color="000000"/>
              <w:bottom w:val="outset" w:sz="6" w:space="0" w:color="000000"/>
              <w:right w:val="outset" w:sz="6" w:space="0" w:color="000000"/>
            </w:tcBorders>
            <w:vAlign w:val="center"/>
          </w:tcPr>
          <w:p w14:paraId="63BF7366" w14:textId="77777777" w:rsidR="0059425F" w:rsidRPr="00093D7B" w:rsidRDefault="0059425F" w:rsidP="00A436BC">
            <w:pPr>
              <w:jc w:val="center"/>
              <w:rPr>
                <w:sz w:val="28"/>
                <w:szCs w:val="28"/>
              </w:rPr>
            </w:pPr>
          </w:p>
        </w:tc>
        <w:tc>
          <w:tcPr>
            <w:tcW w:w="610" w:type="pct"/>
            <w:tcBorders>
              <w:top w:val="outset" w:sz="6" w:space="0" w:color="000000"/>
              <w:left w:val="outset" w:sz="6" w:space="0" w:color="000000"/>
              <w:bottom w:val="outset" w:sz="6" w:space="0" w:color="000000"/>
              <w:right w:val="outset" w:sz="6" w:space="0" w:color="000000"/>
            </w:tcBorders>
          </w:tcPr>
          <w:p w14:paraId="63BF7367" w14:textId="78D3AE3B" w:rsidR="0059425F" w:rsidRPr="00093D7B" w:rsidRDefault="0059425F" w:rsidP="00A436BC">
            <w:pPr>
              <w:spacing w:line="360" w:lineRule="auto"/>
              <w:jc w:val="center"/>
              <w:rPr>
                <w:sz w:val="28"/>
                <w:szCs w:val="28"/>
              </w:rPr>
            </w:pPr>
          </w:p>
        </w:tc>
        <w:tc>
          <w:tcPr>
            <w:tcW w:w="656" w:type="pct"/>
            <w:tcBorders>
              <w:top w:val="outset" w:sz="6" w:space="0" w:color="000000"/>
              <w:left w:val="outset" w:sz="6" w:space="0" w:color="000000"/>
              <w:bottom w:val="outset" w:sz="6" w:space="0" w:color="000000"/>
              <w:right w:val="outset" w:sz="6" w:space="0" w:color="000000"/>
            </w:tcBorders>
          </w:tcPr>
          <w:p w14:paraId="63BF7368" w14:textId="36EB3817"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69" w14:textId="77133528" w:rsidR="0059425F" w:rsidRPr="00093D7B" w:rsidRDefault="0059425F" w:rsidP="00A436BC">
            <w:pPr>
              <w:spacing w:line="360" w:lineRule="auto"/>
              <w:jc w:val="center"/>
              <w:rPr>
                <w:sz w:val="28"/>
                <w:szCs w:val="28"/>
              </w:rPr>
            </w:pPr>
          </w:p>
        </w:tc>
        <w:tc>
          <w:tcPr>
            <w:tcW w:w="605" w:type="pct"/>
            <w:tcBorders>
              <w:top w:val="outset" w:sz="6" w:space="0" w:color="000000"/>
              <w:left w:val="outset" w:sz="6" w:space="0" w:color="000000"/>
              <w:bottom w:val="outset" w:sz="6" w:space="0" w:color="000000"/>
              <w:right w:val="outset" w:sz="6" w:space="0" w:color="000000"/>
            </w:tcBorders>
          </w:tcPr>
          <w:p w14:paraId="63BF736A" w14:textId="5E22C602" w:rsidR="0059425F" w:rsidRPr="00093D7B" w:rsidRDefault="0059425F" w:rsidP="00A436BC">
            <w:pPr>
              <w:spacing w:line="360" w:lineRule="auto"/>
              <w:jc w:val="center"/>
              <w:rPr>
                <w:sz w:val="28"/>
                <w:szCs w:val="28"/>
              </w:rPr>
            </w:pPr>
          </w:p>
        </w:tc>
      </w:tr>
      <w:tr w:rsidR="00D27948" w:rsidRPr="00D27948" w14:paraId="63BF7375"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6C" w14:textId="77777777" w:rsidR="0059425F" w:rsidRPr="00093D7B" w:rsidRDefault="0059425F" w:rsidP="00A436BC">
            <w:pPr>
              <w:spacing w:before="100" w:beforeAutospacing="1" w:after="100" w:afterAutospacing="1"/>
              <w:jc w:val="both"/>
              <w:rPr>
                <w:sz w:val="28"/>
                <w:szCs w:val="28"/>
              </w:rPr>
            </w:pPr>
            <w:r w:rsidRPr="00093D7B">
              <w:rPr>
                <w:sz w:val="28"/>
                <w:szCs w:val="28"/>
              </w:rPr>
              <w:t>6</w:t>
            </w:r>
            <w:r w:rsidR="00A70F5A" w:rsidRPr="00093D7B">
              <w:rPr>
                <w:sz w:val="28"/>
                <w:szCs w:val="28"/>
              </w:rPr>
              <w:t>. Detalizēts ieņēmumu un izdevu</w:t>
            </w:r>
            <w:r w:rsidRPr="00093D7B">
              <w:rPr>
                <w:sz w:val="28"/>
                <w:szCs w:val="28"/>
              </w:rPr>
              <w:t>mu aprēķins (ja nepieciešams, detalizētu ieņēmumu un izdevumu aprēķinu var pievienot anotācijas pielikumā):</w:t>
            </w:r>
          </w:p>
        </w:tc>
        <w:tc>
          <w:tcPr>
            <w:tcW w:w="3069" w:type="pct"/>
            <w:gridSpan w:val="5"/>
            <w:vMerge w:val="restart"/>
            <w:tcBorders>
              <w:top w:val="outset" w:sz="6" w:space="0" w:color="000000"/>
              <w:left w:val="outset" w:sz="6" w:space="0" w:color="000000"/>
              <w:bottom w:val="outset" w:sz="6" w:space="0" w:color="000000"/>
              <w:right w:val="outset" w:sz="6" w:space="0" w:color="000000"/>
            </w:tcBorders>
            <w:vAlign w:val="center"/>
          </w:tcPr>
          <w:p w14:paraId="63BF7374" w14:textId="19314313" w:rsidR="00CD299B" w:rsidRPr="00093D7B" w:rsidRDefault="00316D67" w:rsidP="00A436BC">
            <w:pPr>
              <w:jc w:val="both"/>
              <w:rPr>
                <w:sz w:val="28"/>
                <w:szCs w:val="28"/>
              </w:rPr>
            </w:pPr>
            <w:r w:rsidRPr="00093D7B">
              <w:rPr>
                <w:sz w:val="28"/>
                <w:szCs w:val="28"/>
              </w:rPr>
              <w:t>Nav.</w:t>
            </w:r>
          </w:p>
        </w:tc>
      </w:tr>
      <w:tr w:rsidR="00D27948" w:rsidRPr="00D27948" w14:paraId="63BF7378"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76" w14:textId="77777777" w:rsidR="0059425F" w:rsidRPr="00093D7B" w:rsidRDefault="0059425F" w:rsidP="00A436BC">
            <w:pPr>
              <w:spacing w:before="100" w:beforeAutospacing="1" w:after="100" w:afterAutospacing="1"/>
              <w:jc w:val="both"/>
              <w:rPr>
                <w:sz w:val="28"/>
                <w:szCs w:val="28"/>
              </w:rPr>
            </w:pPr>
            <w:r w:rsidRPr="00093D7B">
              <w:rPr>
                <w:sz w:val="28"/>
                <w:szCs w:val="28"/>
              </w:rPr>
              <w:t>6.1. detalizēts ieņēmumu aprēķins</w:t>
            </w:r>
          </w:p>
        </w:tc>
        <w:tc>
          <w:tcPr>
            <w:tcW w:w="3069" w:type="pct"/>
            <w:gridSpan w:val="5"/>
            <w:vMerge/>
            <w:tcBorders>
              <w:top w:val="outset" w:sz="6" w:space="0" w:color="000000"/>
              <w:left w:val="outset" w:sz="6" w:space="0" w:color="000000"/>
              <w:bottom w:val="outset" w:sz="6" w:space="0" w:color="000000"/>
              <w:right w:val="outset" w:sz="6" w:space="0" w:color="000000"/>
            </w:tcBorders>
            <w:vAlign w:val="center"/>
          </w:tcPr>
          <w:p w14:paraId="63BF7377" w14:textId="77777777" w:rsidR="0059425F" w:rsidRPr="00093D7B" w:rsidRDefault="0059425F" w:rsidP="00A436BC">
            <w:pPr>
              <w:jc w:val="both"/>
              <w:rPr>
                <w:sz w:val="28"/>
                <w:szCs w:val="28"/>
              </w:rPr>
            </w:pPr>
          </w:p>
        </w:tc>
      </w:tr>
      <w:tr w:rsidR="00D27948" w:rsidRPr="00D27948" w14:paraId="63BF737B"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79" w14:textId="77777777" w:rsidR="0059425F" w:rsidRPr="00093D7B" w:rsidRDefault="0059425F" w:rsidP="00A436BC">
            <w:pPr>
              <w:spacing w:before="100" w:beforeAutospacing="1" w:after="100" w:afterAutospacing="1"/>
              <w:jc w:val="both"/>
              <w:rPr>
                <w:sz w:val="28"/>
                <w:szCs w:val="28"/>
              </w:rPr>
            </w:pPr>
            <w:r w:rsidRPr="00093D7B">
              <w:rPr>
                <w:sz w:val="28"/>
                <w:szCs w:val="28"/>
              </w:rPr>
              <w:t>6.2. detalizēts izdevumu aprēķins</w:t>
            </w:r>
          </w:p>
        </w:tc>
        <w:tc>
          <w:tcPr>
            <w:tcW w:w="3069" w:type="pct"/>
            <w:gridSpan w:val="5"/>
            <w:vMerge/>
            <w:tcBorders>
              <w:top w:val="outset" w:sz="6" w:space="0" w:color="000000"/>
              <w:left w:val="outset" w:sz="6" w:space="0" w:color="000000"/>
              <w:bottom w:val="outset" w:sz="6" w:space="0" w:color="000000"/>
              <w:right w:val="outset" w:sz="6" w:space="0" w:color="000000"/>
            </w:tcBorders>
            <w:vAlign w:val="center"/>
          </w:tcPr>
          <w:p w14:paraId="63BF737A" w14:textId="77777777" w:rsidR="0059425F" w:rsidRPr="00093D7B" w:rsidRDefault="0059425F" w:rsidP="00A436BC">
            <w:pPr>
              <w:jc w:val="both"/>
              <w:rPr>
                <w:sz w:val="28"/>
                <w:szCs w:val="28"/>
              </w:rPr>
            </w:pPr>
          </w:p>
        </w:tc>
      </w:tr>
      <w:tr w:rsidR="0059425F" w:rsidRPr="00D27948" w14:paraId="63BF737F" w14:textId="77777777" w:rsidTr="00A436BC">
        <w:tc>
          <w:tcPr>
            <w:tcW w:w="1931" w:type="pct"/>
            <w:tcBorders>
              <w:top w:val="outset" w:sz="6" w:space="0" w:color="000000"/>
              <w:left w:val="outset" w:sz="6" w:space="0" w:color="000000"/>
              <w:bottom w:val="outset" w:sz="6" w:space="0" w:color="000000"/>
              <w:right w:val="outset" w:sz="6" w:space="0" w:color="000000"/>
            </w:tcBorders>
          </w:tcPr>
          <w:p w14:paraId="63BF737C" w14:textId="77777777" w:rsidR="0059425F" w:rsidRPr="00093D7B" w:rsidRDefault="0059425F" w:rsidP="00A436BC">
            <w:pPr>
              <w:spacing w:before="100" w:beforeAutospacing="1" w:after="100" w:afterAutospacing="1"/>
              <w:jc w:val="both"/>
              <w:rPr>
                <w:sz w:val="28"/>
                <w:szCs w:val="28"/>
              </w:rPr>
            </w:pPr>
            <w:r w:rsidRPr="00093D7B">
              <w:rPr>
                <w:sz w:val="28"/>
                <w:szCs w:val="28"/>
              </w:rPr>
              <w:lastRenderedPageBreak/>
              <w:t>7. Cita informācija</w:t>
            </w:r>
          </w:p>
        </w:tc>
        <w:tc>
          <w:tcPr>
            <w:tcW w:w="3069" w:type="pct"/>
            <w:gridSpan w:val="5"/>
            <w:tcBorders>
              <w:top w:val="outset" w:sz="6" w:space="0" w:color="000000"/>
              <w:left w:val="outset" w:sz="6" w:space="0" w:color="000000"/>
              <w:bottom w:val="outset" w:sz="6" w:space="0" w:color="000000"/>
              <w:right w:val="outset" w:sz="6" w:space="0" w:color="000000"/>
            </w:tcBorders>
          </w:tcPr>
          <w:p w14:paraId="6D5B7E52" w14:textId="79E4ED0C" w:rsidR="0085553C" w:rsidRPr="00093D7B" w:rsidRDefault="0085553C" w:rsidP="0085553C">
            <w:pPr>
              <w:jc w:val="both"/>
              <w:rPr>
                <w:sz w:val="28"/>
                <w:szCs w:val="28"/>
              </w:rPr>
            </w:pPr>
            <w:r w:rsidRPr="00093D7B">
              <w:rPr>
                <w:sz w:val="28"/>
                <w:szCs w:val="28"/>
              </w:rPr>
              <w:t xml:space="preserve">Lai ieviestu vienoto sistēmu (AKUS) nepieciešams vienreizējs finansējums tehniskajam nodrošinājumam 20 281 </w:t>
            </w:r>
            <w:r w:rsidRPr="00093D7B">
              <w:rPr>
                <w:i/>
                <w:sz w:val="28"/>
                <w:szCs w:val="28"/>
              </w:rPr>
              <w:t>euro</w:t>
            </w:r>
            <w:r w:rsidRPr="00093D7B">
              <w:rPr>
                <w:sz w:val="28"/>
                <w:szCs w:val="28"/>
              </w:rPr>
              <w:t xml:space="preserve"> apmērā:</w:t>
            </w:r>
          </w:p>
          <w:p w14:paraId="6A09FD42" w14:textId="77777777" w:rsidR="0085553C" w:rsidRPr="00093D7B" w:rsidRDefault="0085553C" w:rsidP="0085553C">
            <w:pPr>
              <w:numPr>
                <w:ilvl w:val="0"/>
                <w:numId w:val="18"/>
              </w:numPr>
              <w:jc w:val="both"/>
              <w:rPr>
                <w:sz w:val="28"/>
                <w:szCs w:val="28"/>
              </w:rPr>
            </w:pPr>
            <w:r w:rsidRPr="00093D7B">
              <w:rPr>
                <w:sz w:val="28"/>
                <w:szCs w:val="28"/>
              </w:rPr>
              <w:t xml:space="preserve">16 780 </w:t>
            </w:r>
            <w:r w:rsidRPr="00093D7B">
              <w:rPr>
                <w:i/>
                <w:sz w:val="28"/>
                <w:szCs w:val="28"/>
              </w:rPr>
              <w:t>euro</w:t>
            </w:r>
            <w:r w:rsidRPr="00093D7B">
              <w:rPr>
                <w:sz w:val="28"/>
                <w:szCs w:val="28"/>
              </w:rPr>
              <w:t xml:space="preserve"> – fiziskie serveri (2 </w:t>
            </w:r>
            <w:proofErr w:type="spellStart"/>
            <w:r w:rsidRPr="00093D7B">
              <w:rPr>
                <w:sz w:val="28"/>
                <w:szCs w:val="28"/>
              </w:rPr>
              <w:t>gab</w:t>
            </w:r>
            <w:proofErr w:type="spellEnd"/>
            <w:r w:rsidRPr="00093D7B">
              <w:rPr>
                <w:sz w:val="28"/>
                <w:szCs w:val="28"/>
              </w:rPr>
              <w:t>);</w:t>
            </w:r>
          </w:p>
          <w:p w14:paraId="1C45B55B" w14:textId="77777777" w:rsidR="0085553C" w:rsidRPr="00093D7B" w:rsidRDefault="0085553C" w:rsidP="0085553C">
            <w:pPr>
              <w:numPr>
                <w:ilvl w:val="0"/>
                <w:numId w:val="18"/>
              </w:numPr>
              <w:jc w:val="both"/>
              <w:rPr>
                <w:sz w:val="28"/>
                <w:szCs w:val="28"/>
              </w:rPr>
            </w:pPr>
            <w:r w:rsidRPr="00093D7B">
              <w:rPr>
                <w:sz w:val="28"/>
                <w:szCs w:val="28"/>
              </w:rPr>
              <w:t xml:space="preserve">1 684 </w:t>
            </w:r>
            <w:r w:rsidRPr="00093D7B">
              <w:rPr>
                <w:i/>
                <w:sz w:val="28"/>
                <w:szCs w:val="28"/>
              </w:rPr>
              <w:t>euro</w:t>
            </w:r>
            <w:r w:rsidRPr="00093D7B">
              <w:rPr>
                <w:sz w:val="28"/>
                <w:szCs w:val="28"/>
              </w:rPr>
              <w:t xml:space="preserve"> – operētājsistēmas Windows </w:t>
            </w:r>
            <w:proofErr w:type="spellStart"/>
            <w:r w:rsidRPr="00093D7B">
              <w:rPr>
                <w:sz w:val="28"/>
                <w:szCs w:val="28"/>
              </w:rPr>
              <w:t>server</w:t>
            </w:r>
            <w:proofErr w:type="spellEnd"/>
            <w:r w:rsidRPr="00093D7B">
              <w:rPr>
                <w:sz w:val="28"/>
                <w:szCs w:val="28"/>
              </w:rPr>
              <w:t xml:space="preserve"> licences (2 </w:t>
            </w:r>
            <w:proofErr w:type="spellStart"/>
            <w:r w:rsidRPr="00093D7B">
              <w:rPr>
                <w:sz w:val="28"/>
                <w:szCs w:val="28"/>
              </w:rPr>
              <w:t>gab</w:t>
            </w:r>
            <w:proofErr w:type="spellEnd"/>
            <w:r w:rsidRPr="00093D7B">
              <w:rPr>
                <w:sz w:val="28"/>
                <w:szCs w:val="28"/>
              </w:rPr>
              <w:t>);</w:t>
            </w:r>
          </w:p>
          <w:p w14:paraId="394B1882" w14:textId="77777777" w:rsidR="0085553C" w:rsidRPr="00093D7B" w:rsidRDefault="0085553C" w:rsidP="0085553C">
            <w:pPr>
              <w:numPr>
                <w:ilvl w:val="0"/>
                <w:numId w:val="18"/>
              </w:numPr>
              <w:jc w:val="both"/>
              <w:rPr>
                <w:sz w:val="28"/>
                <w:szCs w:val="28"/>
              </w:rPr>
            </w:pPr>
            <w:r w:rsidRPr="00093D7B">
              <w:rPr>
                <w:sz w:val="28"/>
                <w:szCs w:val="28"/>
              </w:rPr>
              <w:t xml:space="preserve">1 272 </w:t>
            </w:r>
            <w:r w:rsidRPr="00093D7B">
              <w:rPr>
                <w:i/>
                <w:sz w:val="28"/>
                <w:szCs w:val="28"/>
              </w:rPr>
              <w:t>euro</w:t>
            </w:r>
            <w:r w:rsidRPr="00093D7B">
              <w:rPr>
                <w:sz w:val="28"/>
                <w:szCs w:val="28"/>
              </w:rPr>
              <w:t xml:space="preserve"> – nepārtrauktās barošanas bloki (UPS) serveriem (2 </w:t>
            </w:r>
            <w:proofErr w:type="spellStart"/>
            <w:r w:rsidRPr="00093D7B">
              <w:rPr>
                <w:sz w:val="28"/>
                <w:szCs w:val="28"/>
              </w:rPr>
              <w:t>gab</w:t>
            </w:r>
            <w:proofErr w:type="spellEnd"/>
            <w:r w:rsidRPr="00093D7B">
              <w:rPr>
                <w:sz w:val="28"/>
                <w:szCs w:val="28"/>
              </w:rPr>
              <w:t>);</w:t>
            </w:r>
          </w:p>
          <w:p w14:paraId="10F812C3" w14:textId="77777777" w:rsidR="0085553C" w:rsidRPr="00093D7B" w:rsidRDefault="0085553C" w:rsidP="0085553C">
            <w:pPr>
              <w:numPr>
                <w:ilvl w:val="0"/>
                <w:numId w:val="18"/>
              </w:numPr>
              <w:jc w:val="both"/>
              <w:rPr>
                <w:sz w:val="28"/>
                <w:szCs w:val="28"/>
              </w:rPr>
            </w:pPr>
            <w:r w:rsidRPr="00093D7B">
              <w:rPr>
                <w:sz w:val="28"/>
                <w:szCs w:val="28"/>
              </w:rPr>
              <w:t xml:space="preserve">545 </w:t>
            </w:r>
            <w:r w:rsidRPr="00093D7B">
              <w:rPr>
                <w:i/>
                <w:sz w:val="28"/>
                <w:szCs w:val="28"/>
              </w:rPr>
              <w:t>euro</w:t>
            </w:r>
            <w:r w:rsidRPr="00093D7B">
              <w:rPr>
                <w:sz w:val="28"/>
                <w:szCs w:val="28"/>
              </w:rPr>
              <w:t xml:space="preserve"> – tīkla menedžmenta nodrošinājums (UPS vadība) (2 </w:t>
            </w:r>
            <w:proofErr w:type="spellStart"/>
            <w:r w:rsidRPr="00093D7B">
              <w:rPr>
                <w:sz w:val="28"/>
                <w:szCs w:val="28"/>
              </w:rPr>
              <w:t>gab</w:t>
            </w:r>
            <w:proofErr w:type="spellEnd"/>
            <w:r w:rsidRPr="00093D7B">
              <w:rPr>
                <w:sz w:val="28"/>
                <w:szCs w:val="28"/>
              </w:rPr>
              <w:t>).</w:t>
            </w:r>
          </w:p>
          <w:p w14:paraId="77486C7E" w14:textId="77777777" w:rsidR="0085553C" w:rsidRPr="00093D7B" w:rsidRDefault="0085553C" w:rsidP="00A436BC">
            <w:pPr>
              <w:jc w:val="both"/>
              <w:rPr>
                <w:sz w:val="28"/>
                <w:szCs w:val="28"/>
              </w:rPr>
            </w:pPr>
            <w:r w:rsidRPr="00093D7B">
              <w:rPr>
                <w:sz w:val="28"/>
                <w:szCs w:val="28"/>
              </w:rPr>
              <w:t xml:space="preserve">un turpmāk katru gadu nepieciešams 4 840 </w:t>
            </w:r>
            <w:r w:rsidRPr="00093D7B">
              <w:rPr>
                <w:i/>
                <w:sz w:val="28"/>
                <w:szCs w:val="28"/>
              </w:rPr>
              <w:t>euro</w:t>
            </w:r>
            <w:r w:rsidRPr="00093D7B">
              <w:rPr>
                <w:sz w:val="28"/>
                <w:szCs w:val="28"/>
              </w:rPr>
              <w:t xml:space="preserve"> serveru uzturēšanas izmaksām (t.sk. serveru un programmatūras administrēšanai un uzlabošanai).</w:t>
            </w:r>
          </w:p>
          <w:p w14:paraId="79593780" w14:textId="77777777" w:rsidR="00BD0438" w:rsidRPr="00093D7B" w:rsidRDefault="0085553C" w:rsidP="00A436BC">
            <w:pPr>
              <w:jc w:val="both"/>
              <w:rPr>
                <w:sz w:val="28"/>
                <w:szCs w:val="28"/>
              </w:rPr>
            </w:pPr>
            <w:r w:rsidRPr="00093D7B">
              <w:rPr>
                <w:sz w:val="28"/>
                <w:szCs w:val="28"/>
              </w:rPr>
              <w:t>Vienreizējais finansējums tehniskajam nodrošinājumam un turpmāk katru gadu nepieciešamais finansējums serveru uzturēšanas izmaksām ir noteikts provizoriski un var mainīties atkarībā no ekonomiskās situācijas Latvijā.</w:t>
            </w:r>
          </w:p>
          <w:p w14:paraId="63BF737E" w14:textId="0E2E7AA7" w:rsidR="00F72DD0" w:rsidRPr="00093D7B" w:rsidRDefault="00BD0438" w:rsidP="00A806DC">
            <w:pPr>
              <w:jc w:val="both"/>
              <w:rPr>
                <w:sz w:val="28"/>
                <w:szCs w:val="28"/>
              </w:rPr>
            </w:pPr>
            <w:r w:rsidRPr="00093D7B">
              <w:rPr>
                <w:sz w:val="28"/>
                <w:szCs w:val="28"/>
              </w:rPr>
              <w:t>Vienotās sistēmas (AKUS) ieviešana</w:t>
            </w:r>
            <w:r w:rsidR="00051357" w:rsidRPr="00093D7B">
              <w:rPr>
                <w:sz w:val="28"/>
                <w:szCs w:val="28"/>
              </w:rPr>
              <w:t>s</w:t>
            </w:r>
            <w:r w:rsidRPr="00093D7B">
              <w:rPr>
                <w:sz w:val="28"/>
                <w:szCs w:val="28"/>
              </w:rPr>
              <w:t xml:space="preserve"> un uzturēšanas izmaksas </w:t>
            </w:r>
            <w:r w:rsidR="003A15C3" w:rsidRPr="00093D7B">
              <w:rPr>
                <w:sz w:val="28"/>
                <w:szCs w:val="28"/>
              </w:rPr>
              <w:t xml:space="preserve">iekļautas </w:t>
            </w:r>
            <w:r w:rsidR="00A806DC">
              <w:rPr>
                <w:sz w:val="28"/>
                <w:szCs w:val="28"/>
              </w:rPr>
              <w:t>likumā</w:t>
            </w:r>
            <w:r w:rsidR="003A15C3" w:rsidRPr="00093D7B">
              <w:rPr>
                <w:sz w:val="28"/>
                <w:szCs w:val="28"/>
              </w:rPr>
              <w:t xml:space="preserve"> “Likums par 2017.gada valsts budžetu” un </w:t>
            </w:r>
            <w:r w:rsidR="00A806DC">
              <w:rPr>
                <w:sz w:val="28"/>
                <w:szCs w:val="28"/>
              </w:rPr>
              <w:t>likumā</w:t>
            </w:r>
            <w:r w:rsidR="003A15C3" w:rsidRPr="00093D7B">
              <w:rPr>
                <w:sz w:val="28"/>
                <w:szCs w:val="28"/>
              </w:rPr>
              <w:t xml:space="preserve"> “Par vidēja termiņa budžeta ietvaru 2017., 2018. un 2019.gadam”, </w:t>
            </w:r>
            <w:r w:rsidR="00051357" w:rsidRPr="00093D7B">
              <w:rPr>
                <w:sz w:val="28"/>
                <w:szCs w:val="28"/>
              </w:rPr>
              <w:t>papildu finansējums netiks pieprasīts. Izmaksas tiks segtas no Finanšu ministrijas budžeta apakšprogrammas 39.02.00 “Izložu un azartspēļu organizēšanas un norises uzraudzība”</w:t>
            </w:r>
            <w:r w:rsidR="00316D67" w:rsidRPr="00093D7B">
              <w:rPr>
                <w:sz w:val="28"/>
                <w:szCs w:val="28"/>
              </w:rPr>
              <w:t>.</w:t>
            </w:r>
          </w:p>
        </w:tc>
      </w:tr>
    </w:tbl>
    <w:p w14:paraId="63BF7380" w14:textId="77777777" w:rsidR="004865E7" w:rsidRPr="00093D7B" w:rsidRDefault="004865E7" w:rsidP="001E4890">
      <w:pPr>
        <w:rPr>
          <w:sz w:val="28"/>
          <w:szCs w:val="28"/>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0"/>
        <w:gridCol w:w="2802"/>
        <w:gridCol w:w="6179"/>
      </w:tblGrid>
      <w:tr w:rsidR="006F053E" w:rsidRPr="006F053E" w14:paraId="63BF7382" w14:textId="77777777" w:rsidTr="005061F2">
        <w:trPr>
          <w:trHeight w:val="291"/>
          <w:jc w:val="center"/>
        </w:trPr>
        <w:tc>
          <w:tcPr>
            <w:tcW w:w="9461" w:type="dxa"/>
            <w:gridSpan w:val="3"/>
            <w:tcBorders>
              <w:top w:val="single" w:sz="4" w:space="0" w:color="auto"/>
              <w:left w:val="single" w:sz="4" w:space="0" w:color="auto"/>
              <w:bottom w:val="single" w:sz="4" w:space="0" w:color="auto"/>
              <w:right w:val="single" w:sz="4" w:space="0" w:color="auto"/>
            </w:tcBorders>
          </w:tcPr>
          <w:p w14:paraId="63BF7381" w14:textId="77777777" w:rsidR="006F053E" w:rsidRPr="00093D7B" w:rsidRDefault="006F053E" w:rsidP="006F053E">
            <w:pPr>
              <w:jc w:val="center"/>
              <w:rPr>
                <w:b/>
                <w:bCs/>
                <w:sz w:val="28"/>
                <w:szCs w:val="28"/>
              </w:rPr>
            </w:pPr>
            <w:r w:rsidRPr="00093D7B">
              <w:rPr>
                <w:b/>
                <w:bCs/>
                <w:sz w:val="28"/>
                <w:szCs w:val="28"/>
              </w:rPr>
              <w:t xml:space="preserve">IV. </w:t>
            </w:r>
            <w:r w:rsidRPr="00093D7B">
              <w:rPr>
                <w:b/>
                <w:sz w:val="28"/>
                <w:szCs w:val="28"/>
              </w:rPr>
              <w:t>Tiesību aktu projekta ietekme uz spēkā esošo tiesību normu sistēmu</w:t>
            </w:r>
          </w:p>
        </w:tc>
      </w:tr>
      <w:tr w:rsidR="00187E06" w:rsidRPr="006F053E" w14:paraId="63BF7389" w14:textId="77777777" w:rsidTr="00A70F5A">
        <w:trPr>
          <w:trHeight w:val="698"/>
          <w:jc w:val="center"/>
        </w:trPr>
        <w:tc>
          <w:tcPr>
            <w:tcW w:w="480" w:type="dxa"/>
            <w:tcBorders>
              <w:top w:val="single" w:sz="4" w:space="0" w:color="auto"/>
              <w:left w:val="single" w:sz="4" w:space="0" w:color="auto"/>
              <w:bottom w:val="single" w:sz="4" w:space="0" w:color="auto"/>
              <w:right w:val="single" w:sz="4" w:space="0" w:color="auto"/>
            </w:tcBorders>
          </w:tcPr>
          <w:p w14:paraId="63BF7383" w14:textId="77777777" w:rsidR="006F053E" w:rsidRPr="00093D7B" w:rsidRDefault="006F053E" w:rsidP="0034319F">
            <w:pPr>
              <w:rPr>
                <w:iCs/>
                <w:sz w:val="28"/>
                <w:szCs w:val="28"/>
              </w:rPr>
            </w:pPr>
            <w:r w:rsidRPr="00093D7B">
              <w:rPr>
                <w:iCs/>
                <w:sz w:val="28"/>
                <w:szCs w:val="28"/>
              </w:rPr>
              <w:t>1.</w:t>
            </w:r>
          </w:p>
        </w:tc>
        <w:tc>
          <w:tcPr>
            <w:tcW w:w="2802" w:type="dxa"/>
            <w:tcBorders>
              <w:top w:val="single" w:sz="4" w:space="0" w:color="auto"/>
              <w:left w:val="single" w:sz="4" w:space="0" w:color="auto"/>
              <w:bottom w:val="single" w:sz="4" w:space="0" w:color="auto"/>
              <w:right w:val="single" w:sz="4" w:space="0" w:color="auto"/>
            </w:tcBorders>
          </w:tcPr>
          <w:p w14:paraId="63BF7384" w14:textId="77777777" w:rsidR="006F053E" w:rsidRPr="00093D7B" w:rsidRDefault="00187E06" w:rsidP="0034319F">
            <w:pPr>
              <w:rPr>
                <w:iCs/>
                <w:sz w:val="28"/>
                <w:szCs w:val="28"/>
              </w:rPr>
            </w:pPr>
            <w:r w:rsidRPr="00093D7B">
              <w:rPr>
                <w:sz w:val="28"/>
                <w:szCs w:val="28"/>
              </w:rPr>
              <w:t>Nepieciešamie saistītie tiesību aktu projekti</w:t>
            </w:r>
          </w:p>
        </w:tc>
        <w:tc>
          <w:tcPr>
            <w:tcW w:w="6179" w:type="dxa"/>
            <w:tcBorders>
              <w:top w:val="single" w:sz="4" w:space="0" w:color="auto"/>
              <w:left w:val="single" w:sz="4" w:space="0" w:color="auto"/>
              <w:bottom w:val="single" w:sz="4" w:space="0" w:color="auto"/>
              <w:right w:val="single" w:sz="4" w:space="0" w:color="auto"/>
            </w:tcBorders>
          </w:tcPr>
          <w:p w14:paraId="63BF7385" w14:textId="77777777" w:rsidR="006F053E" w:rsidRPr="00093D7B" w:rsidRDefault="000650E2" w:rsidP="0034319F">
            <w:pPr>
              <w:jc w:val="both"/>
              <w:rPr>
                <w:sz w:val="28"/>
                <w:szCs w:val="28"/>
              </w:rPr>
            </w:pPr>
            <w:r w:rsidRPr="00093D7B">
              <w:rPr>
                <w:sz w:val="28"/>
                <w:szCs w:val="28"/>
              </w:rPr>
              <w:t>Saistībā ar noteikumu projekta izstrādi tiks veikti grozījumi šādos Ministru kabineta noteikumos:</w:t>
            </w:r>
          </w:p>
          <w:p w14:paraId="63BF7386" w14:textId="77777777" w:rsidR="000650E2" w:rsidRPr="00093D7B" w:rsidRDefault="000650E2" w:rsidP="000650E2">
            <w:pPr>
              <w:numPr>
                <w:ilvl w:val="0"/>
                <w:numId w:val="19"/>
              </w:numPr>
              <w:jc w:val="both"/>
              <w:rPr>
                <w:sz w:val="28"/>
                <w:szCs w:val="28"/>
              </w:rPr>
            </w:pPr>
            <w:r w:rsidRPr="00093D7B">
              <w:rPr>
                <w:sz w:val="28"/>
                <w:szCs w:val="28"/>
              </w:rPr>
              <w:t>Ministru kabineta 2006.gada 19.decembra noteikumos Nr.1043 “Azartspēļu un izložu organizācijas vienotā grāmatvedības uzskaites kārtība”, nosakot prasības inkasācijas procesā lietotajiem skaitītājiem un izmaiņām azartspēļu automātu ieņēmumu un izdevumu uzskaitē;</w:t>
            </w:r>
          </w:p>
          <w:p w14:paraId="63BF7387" w14:textId="77777777" w:rsidR="000650E2" w:rsidRPr="00093D7B" w:rsidRDefault="000650E2" w:rsidP="000650E2">
            <w:pPr>
              <w:numPr>
                <w:ilvl w:val="0"/>
                <w:numId w:val="19"/>
              </w:numPr>
              <w:jc w:val="both"/>
              <w:rPr>
                <w:sz w:val="28"/>
                <w:szCs w:val="28"/>
              </w:rPr>
            </w:pPr>
            <w:r w:rsidRPr="00093D7B">
              <w:rPr>
                <w:sz w:val="28"/>
                <w:szCs w:val="28"/>
              </w:rPr>
              <w:t>Ministru kabineta 2006.gada 27.jūnija noteikumos Nr.512 “Azartspēļu un izložu organizēšanas un uzturēšanas uzraudzības un kontroles kārtība”, nosakot prasības kazino un spēļu zāles pārbaudes kārtībai un metodēm;</w:t>
            </w:r>
          </w:p>
          <w:p w14:paraId="63BF7388" w14:textId="77777777" w:rsidR="000650E2" w:rsidRPr="00093D7B" w:rsidRDefault="000650E2" w:rsidP="00C2799A">
            <w:pPr>
              <w:numPr>
                <w:ilvl w:val="0"/>
                <w:numId w:val="19"/>
              </w:numPr>
              <w:jc w:val="both"/>
              <w:rPr>
                <w:sz w:val="28"/>
                <w:szCs w:val="28"/>
              </w:rPr>
            </w:pPr>
            <w:r w:rsidRPr="00093D7B">
              <w:rPr>
                <w:sz w:val="28"/>
                <w:szCs w:val="28"/>
              </w:rPr>
              <w:t xml:space="preserve">Ministru kabineta 2007.gada 20.novembra noteikumos Nr.786 “Azartspēļu automāta, </w:t>
            </w:r>
            <w:r w:rsidRPr="00093D7B">
              <w:rPr>
                <w:sz w:val="28"/>
                <w:szCs w:val="28"/>
              </w:rPr>
              <w:lastRenderedPageBreak/>
              <w:t xml:space="preserve">iekārtas un azartspēļu automāta spēles programmas atbilstības sertifikātā iekļaujamā informācija”, </w:t>
            </w:r>
            <w:r w:rsidR="00C2799A" w:rsidRPr="00093D7B">
              <w:rPr>
                <w:sz w:val="28"/>
                <w:szCs w:val="28"/>
              </w:rPr>
              <w:t>paredz precizēt</w:t>
            </w:r>
            <w:r w:rsidR="009363D4" w:rsidRPr="00093D7B">
              <w:rPr>
                <w:sz w:val="28"/>
                <w:szCs w:val="28"/>
              </w:rPr>
              <w:t xml:space="preserve"> </w:t>
            </w:r>
            <w:r w:rsidR="009363D4" w:rsidRPr="00093D7B">
              <w:rPr>
                <w:sz w:val="28"/>
                <w:szCs w:val="28"/>
                <w:lang w:eastAsia="en-US"/>
              </w:rPr>
              <w:t>prasības attiecībā uz azartspēļu automāta atbilstības sertifikātā iekļaujamo informāciju, svītrojot normas par mehāniskajiem skaitītājiem.</w:t>
            </w:r>
          </w:p>
        </w:tc>
      </w:tr>
      <w:tr w:rsidR="00187E06" w:rsidRPr="006F053E" w14:paraId="63BF738D" w14:textId="77777777" w:rsidTr="00A436BC">
        <w:trPr>
          <w:trHeight w:val="594"/>
          <w:jc w:val="center"/>
        </w:trPr>
        <w:tc>
          <w:tcPr>
            <w:tcW w:w="480" w:type="dxa"/>
            <w:tcBorders>
              <w:top w:val="single" w:sz="4" w:space="0" w:color="auto"/>
              <w:left w:val="single" w:sz="4" w:space="0" w:color="auto"/>
              <w:bottom w:val="single" w:sz="4" w:space="0" w:color="auto"/>
              <w:right w:val="single" w:sz="4" w:space="0" w:color="auto"/>
            </w:tcBorders>
          </w:tcPr>
          <w:p w14:paraId="63BF738A" w14:textId="77777777" w:rsidR="006F053E" w:rsidRPr="00093D7B" w:rsidRDefault="006F053E" w:rsidP="0034319F">
            <w:pPr>
              <w:rPr>
                <w:iCs/>
                <w:sz w:val="28"/>
                <w:szCs w:val="28"/>
              </w:rPr>
            </w:pPr>
            <w:r w:rsidRPr="00093D7B">
              <w:rPr>
                <w:iCs/>
                <w:sz w:val="28"/>
                <w:szCs w:val="28"/>
              </w:rPr>
              <w:lastRenderedPageBreak/>
              <w:t>2.</w:t>
            </w:r>
          </w:p>
        </w:tc>
        <w:tc>
          <w:tcPr>
            <w:tcW w:w="2802" w:type="dxa"/>
            <w:tcBorders>
              <w:top w:val="single" w:sz="4" w:space="0" w:color="auto"/>
              <w:left w:val="single" w:sz="4" w:space="0" w:color="auto"/>
              <w:bottom w:val="single" w:sz="4" w:space="0" w:color="auto"/>
              <w:right w:val="single" w:sz="4" w:space="0" w:color="auto"/>
            </w:tcBorders>
          </w:tcPr>
          <w:p w14:paraId="63BF738B" w14:textId="77777777" w:rsidR="006F053E" w:rsidRPr="00093D7B" w:rsidRDefault="00187E06" w:rsidP="0034319F">
            <w:pPr>
              <w:rPr>
                <w:sz w:val="28"/>
                <w:szCs w:val="28"/>
              </w:rPr>
            </w:pPr>
            <w:r w:rsidRPr="00093D7B">
              <w:rPr>
                <w:sz w:val="28"/>
                <w:szCs w:val="28"/>
              </w:rPr>
              <w:t>Atbildīgā institūcija</w:t>
            </w:r>
          </w:p>
        </w:tc>
        <w:tc>
          <w:tcPr>
            <w:tcW w:w="6179" w:type="dxa"/>
            <w:tcBorders>
              <w:top w:val="single" w:sz="4" w:space="0" w:color="auto"/>
              <w:left w:val="single" w:sz="4" w:space="0" w:color="auto"/>
              <w:bottom w:val="single" w:sz="4" w:space="0" w:color="auto"/>
              <w:right w:val="single" w:sz="4" w:space="0" w:color="auto"/>
            </w:tcBorders>
          </w:tcPr>
          <w:p w14:paraId="63BF738C" w14:textId="77777777" w:rsidR="006F053E" w:rsidRPr="00093D7B" w:rsidRDefault="000E1545" w:rsidP="0034319F">
            <w:pPr>
              <w:jc w:val="both"/>
              <w:rPr>
                <w:sz w:val="28"/>
                <w:szCs w:val="28"/>
              </w:rPr>
            </w:pPr>
            <w:r w:rsidRPr="00093D7B">
              <w:rPr>
                <w:sz w:val="28"/>
                <w:szCs w:val="28"/>
              </w:rPr>
              <w:t>Finanšu ministrija.</w:t>
            </w:r>
          </w:p>
        </w:tc>
      </w:tr>
      <w:tr w:rsidR="006F053E" w:rsidRPr="006F053E" w14:paraId="63BF7391" w14:textId="77777777" w:rsidTr="00A436BC">
        <w:trPr>
          <w:trHeight w:val="315"/>
          <w:jc w:val="center"/>
        </w:trPr>
        <w:tc>
          <w:tcPr>
            <w:tcW w:w="480" w:type="dxa"/>
            <w:tcBorders>
              <w:top w:val="single" w:sz="4" w:space="0" w:color="auto"/>
              <w:left w:val="single" w:sz="4" w:space="0" w:color="auto"/>
              <w:bottom w:val="single" w:sz="4" w:space="0" w:color="auto"/>
              <w:right w:val="single" w:sz="4" w:space="0" w:color="auto"/>
            </w:tcBorders>
          </w:tcPr>
          <w:p w14:paraId="63BF738E" w14:textId="77777777" w:rsidR="006F053E" w:rsidRPr="00093D7B" w:rsidRDefault="00187E06" w:rsidP="0034319F">
            <w:pPr>
              <w:rPr>
                <w:iCs/>
                <w:sz w:val="28"/>
                <w:szCs w:val="28"/>
              </w:rPr>
            </w:pPr>
            <w:r w:rsidRPr="00093D7B">
              <w:rPr>
                <w:iCs/>
                <w:sz w:val="28"/>
                <w:szCs w:val="28"/>
              </w:rPr>
              <w:t>3</w:t>
            </w:r>
            <w:r w:rsidR="006F053E" w:rsidRPr="00093D7B">
              <w:rPr>
                <w:iCs/>
                <w:sz w:val="28"/>
                <w:szCs w:val="28"/>
              </w:rPr>
              <w:t>.</w:t>
            </w:r>
          </w:p>
        </w:tc>
        <w:tc>
          <w:tcPr>
            <w:tcW w:w="2802" w:type="dxa"/>
            <w:tcBorders>
              <w:top w:val="single" w:sz="4" w:space="0" w:color="auto"/>
              <w:left w:val="single" w:sz="4" w:space="0" w:color="auto"/>
              <w:bottom w:val="single" w:sz="4" w:space="0" w:color="auto"/>
              <w:right w:val="single" w:sz="4" w:space="0" w:color="auto"/>
            </w:tcBorders>
          </w:tcPr>
          <w:p w14:paraId="63BF738F" w14:textId="77777777" w:rsidR="006F053E" w:rsidRPr="00093D7B" w:rsidRDefault="006F053E" w:rsidP="0034319F">
            <w:pPr>
              <w:rPr>
                <w:sz w:val="28"/>
                <w:szCs w:val="28"/>
              </w:rPr>
            </w:pPr>
            <w:r w:rsidRPr="00093D7B">
              <w:rPr>
                <w:sz w:val="28"/>
                <w:szCs w:val="28"/>
              </w:rPr>
              <w:t>Cita informācija</w:t>
            </w:r>
          </w:p>
        </w:tc>
        <w:tc>
          <w:tcPr>
            <w:tcW w:w="6179" w:type="dxa"/>
            <w:tcBorders>
              <w:top w:val="single" w:sz="4" w:space="0" w:color="auto"/>
              <w:left w:val="single" w:sz="4" w:space="0" w:color="auto"/>
              <w:bottom w:val="single" w:sz="4" w:space="0" w:color="auto"/>
              <w:right w:val="single" w:sz="4" w:space="0" w:color="auto"/>
            </w:tcBorders>
          </w:tcPr>
          <w:p w14:paraId="63BF7390" w14:textId="77777777" w:rsidR="006F053E" w:rsidRPr="00093D7B" w:rsidRDefault="000E1545" w:rsidP="0034319F">
            <w:pPr>
              <w:rPr>
                <w:sz w:val="28"/>
                <w:szCs w:val="28"/>
              </w:rPr>
            </w:pPr>
            <w:r w:rsidRPr="00093D7B">
              <w:rPr>
                <w:sz w:val="28"/>
                <w:szCs w:val="28"/>
              </w:rPr>
              <w:t>Nav.</w:t>
            </w:r>
          </w:p>
        </w:tc>
      </w:tr>
    </w:tbl>
    <w:p w14:paraId="63BF7392" w14:textId="77777777" w:rsidR="006F053E" w:rsidRPr="00093D7B" w:rsidRDefault="006F053E" w:rsidP="001E4890">
      <w:pPr>
        <w:rPr>
          <w:sz w:val="28"/>
          <w:szCs w:val="28"/>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5"/>
        <w:gridCol w:w="3029"/>
        <w:gridCol w:w="5926"/>
      </w:tblGrid>
      <w:tr w:rsidR="000E1545" w:rsidRPr="000E1545" w14:paraId="63BF7394" w14:textId="77777777" w:rsidTr="0034319F">
        <w:trPr>
          <w:trHeight w:val="291"/>
          <w:jc w:val="center"/>
        </w:trPr>
        <w:tc>
          <w:tcPr>
            <w:tcW w:w="9400" w:type="dxa"/>
            <w:gridSpan w:val="3"/>
          </w:tcPr>
          <w:p w14:paraId="63BF7393" w14:textId="77777777" w:rsidR="000E1545" w:rsidRPr="00093D7B" w:rsidRDefault="000E1545" w:rsidP="000E1545">
            <w:pPr>
              <w:jc w:val="center"/>
              <w:rPr>
                <w:b/>
                <w:bCs/>
                <w:sz w:val="28"/>
                <w:szCs w:val="28"/>
              </w:rPr>
            </w:pPr>
            <w:r w:rsidRPr="00093D7B">
              <w:rPr>
                <w:b/>
                <w:bCs/>
                <w:sz w:val="28"/>
                <w:szCs w:val="28"/>
              </w:rPr>
              <w:t xml:space="preserve">V. </w:t>
            </w:r>
            <w:r w:rsidRPr="00093D7B">
              <w:rPr>
                <w:b/>
                <w:sz w:val="28"/>
                <w:szCs w:val="28"/>
              </w:rPr>
              <w:t>Tiesību aktu projekta atbilstība Latvijas Republikas starptautiskajām saistībām</w:t>
            </w:r>
          </w:p>
        </w:tc>
      </w:tr>
      <w:tr w:rsidR="00E97A46" w:rsidRPr="000E1545" w14:paraId="63BF7398" w14:textId="77777777" w:rsidTr="005061F2">
        <w:trPr>
          <w:trHeight w:val="529"/>
          <w:jc w:val="center"/>
        </w:trPr>
        <w:tc>
          <w:tcPr>
            <w:tcW w:w="445" w:type="dxa"/>
          </w:tcPr>
          <w:p w14:paraId="63BF7395" w14:textId="77777777" w:rsidR="000E1545" w:rsidRPr="00093D7B" w:rsidRDefault="000E1545" w:rsidP="0034319F">
            <w:pPr>
              <w:rPr>
                <w:iCs/>
                <w:sz w:val="28"/>
                <w:szCs w:val="28"/>
              </w:rPr>
            </w:pPr>
            <w:r w:rsidRPr="00093D7B">
              <w:rPr>
                <w:iCs/>
                <w:sz w:val="28"/>
                <w:szCs w:val="28"/>
              </w:rPr>
              <w:t>1.</w:t>
            </w:r>
          </w:p>
        </w:tc>
        <w:tc>
          <w:tcPr>
            <w:tcW w:w="3029" w:type="dxa"/>
          </w:tcPr>
          <w:p w14:paraId="63BF7396" w14:textId="77777777" w:rsidR="000E1545" w:rsidRPr="00093D7B" w:rsidRDefault="000E1545" w:rsidP="0034319F">
            <w:pPr>
              <w:rPr>
                <w:iCs/>
                <w:sz w:val="28"/>
                <w:szCs w:val="28"/>
              </w:rPr>
            </w:pPr>
            <w:r w:rsidRPr="00093D7B">
              <w:rPr>
                <w:sz w:val="28"/>
                <w:szCs w:val="28"/>
              </w:rPr>
              <w:t>Saistība pret Eiropas Savienību</w:t>
            </w:r>
          </w:p>
        </w:tc>
        <w:tc>
          <w:tcPr>
            <w:tcW w:w="5926" w:type="dxa"/>
          </w:tcPr>
          <w:p w14:paraId="63BF7397" w14:textId="77777777" w:rsidR="000E1545" w:rsidRPr="00093D7B" w:rsidRDefault="00BB4B43" w:rsidP="0034319F">
            <w:pPr>
              <w:jc w:val="both"/>
              <w:rPr>
                <w:sz w:val="28"/>
                <w:szCs w:val="28"/>
              </w:rPr>
            </w:pPr>
            <w:r w:rsidRPr="00093D7B">
              <w:rPr>
                <w:sz w:val="28"/>
                <w:szCs w:val="28"/>
              </w:rPr>
              <w:t>Noteikumu projekts šo jomu neskar.</w:t>
            </w:r>
          </w:p>
        </w:tc>
      </w:tr>
      <w:tr w:rsidR="00E97A46" w:rsidRPr="000E1545" w14:paraId="63BF739C" w14:textId="77777777" w:rsidTr="00A436BC">
        <w:trPr>
          <w:trHeight w:val="273"/>
          <w:jc w:val="center"/>
        </w:trPr>
        <w:tc>
          <w:tcPr>
            <w:tcW w:w="445" w:type="dxa"/>
          </w:tcPr>
          <w:p w14:paraId="63BF7399" w14:textId="77777777" w:rsidR="000E1545" w:rsidRPr="00093D7B" w:rsidRDefault="000E1545" w:rsidP="0034319F">
            <w:pPr>
              <w:rPr>
                <w:iCs/>
                <w:sz w:val="28"/>
                <w:szCs w:val="28"/>
              </w:rPr>
            </w:pPr>
            <w:r w:rsidRPr="00093D7B">
              <w:rPr>
                <w:iCs/>
                <w:sz w:val="28"/>
                <w:szCs w:val="28"/>
              </w:rPr>
              <w:t>2.</w:t>
            </w:r>
          </w:p>
        </w:tc>
        <w:tc>
          <w:tcPr>
            <w:tcW w:w="3029" w:type="dxa"/>
          </w:tcPr>
          <w:p w14:paraId="63BF739A" w14:textId="77777777" w:rsidR="000E1545" w:rsidRPr="00093D7B" w:rsidRDefault="000E1545" w:rsidP="0034319F">
            <w:pPr>
              <w:rPr>
                <w:sz w:val="28"/>
                <w:szCs w:val="28"/>
              </w:rPr>
            </w:pPr>
            <w:r w:rsidRPr="00093D7B">
              <w:rPr>
                <w:sz w:val="28"/>
                <w:szCs w:val="28"/>
              </w:rPr>
              <w:t>Citas starptautiskās saistības</w:t>
            </w:r>
          </w:p>
        </w:tc>
        <w:tc>
          <w:tcPr>
            <w:tcW w:w="5926" w:type="dxa"/>
          </w:tcPr>
          <w:p w14:paraId="63BF739B" w14:textId="77777777" w:rsidR="000E1545" w:rsidRPr="00093D7B" w:rsidRDefault="00BB4B43" w:rsidP="0034319F">
            <w:pPr>
              <w:jc w:val="both"/>
              <w:rPr>
                <w:sz w:val="28"/>
                <w:szCs w:val="28"/>
              </w:rPr>
            </w:pPr>
            <w:r w:rsidRPr="00093D7B">
              <w:rPr>
                <w:sz w:val="28"/>
                <w:szCs w:val="28"/>
              </w:rPr>
              <w:t>Noteikumu projekts šo jomu neskar.</w:t>
            </w:r>
          </w:p>
        </w:tc>
      </w:tr>
      <w:tr w:rsidR="000E1545" w:rsidRPr="000E1545" w14:paraId="63BF73A0" w14:textId="77777777" w:rsidTr="00E97A46">
        <w:trPr>
          <w:trHeight w:val="315"/>
          <w:jc w:val="center"/>
        </w:trPr>
        <w:tc>
          <w:tcPr>
            <w:tcW w:w="445" w:type="dxa"/>
          </w:tcPr>
          <w:p w14:paraId="63BF739D" w14:textId="77777777" w:rsidR="000E1545" w:rsidRPr="00093D7B" w:rsidRDefault="00E97A46" w:rsidP="0034319F">
            <w:pPr>
              <w:rPr>
                <w:iCs/>
                <w:sz w:val="28"/>
                <w:szCs w:val="28"/>
              </w:rPr>
            </w:pPr>
            <w:r w:rsidRPr="00093D7B">
              <w:rPr>
                <w:iCs/>
                <w:sz w:val="28"/>
                <w:szCs w:val="28"/>
              </w:rPr>
              <w:t>3</w:t>
            </w:r>
            <w:r w:rsidR="000E1545" w:rsidRPr="00093D7B">
              <w:rPr>
                <w:iCs/>
                <w:sz w:val="28"/>
                <w:szCs w:val="28"/>
              </w:rPr>
              <w:t>.</w:t>
            </w:r>
          </w:p>
        </w:tc>
        <w:tc>
          <w:tcPr>
            <w:tcW w:w="3029" w:type="dxa"/>
          </w:tcPr>
          <w:p w14:paraId="63BF739E" w14:textId="77777777" w:rsidR="000E1545" w:rsidRPr="00093D7B" w:rsidRDefault="000E1545" w:rsidP="0034319F">
            <w:pPr>
              <w:rPr>
                <w:sz w:val="28"/>
                <w:szCs w:val="28"/>
              </w:rPr>
            </w:pPr>
            <w:r w:rsidRPr="00093D7B">
              <w:rPr>
                <w:sz w:val="28"/>
                <w:szCs w:val="28"/>
              </w:rPr>
              <w:t>Cita informācija</w:t>
            </w:r>
          </w:p>
        </w:tc>
        <w:tc>
          <w:tcPr>
            <w:tcW w:w="5926" w:type="dxa"/>
          </w:tcPr>
          <w:p w14:paraId="63BF739F" w14:textId="77777777" w:rsidR="000E1545" w:rsidRPr="00093D7B" w:rsidRDefault="00BB4B43" w:rsidP="0034319F">
            <w:pPr>
              <w:rPr>
                <w:sz w:val="28"/>
                <w:szCs w:val="28"/>
              </w:rPr>
            </w:pPr>
            <w:r w:rsidRPr="00093D7B">
              <w:rPr>
                <w:sz w:val="28"/>
                <w:szCs w:val="28"/>
              </w:rPr>
              <w:t>Nav.</w:t>
            </w:r>
          </w:p>
        </w:tc>
      </w:tr>
    </w:tbl>
    <w:p w14:paraId="63BF73A1" w14:textId="77777777" w:rsidR="000E1545" w:rsidRPr="00591DA1" w:rsidRDefault="000E1545" w:rsidP="001E4890">
      <w:pPr>
        <w:rPr>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705"/>
        <w:gridCol w:w="2387"/>
        <w:gridCol w:w="2949"/>
      </w:tblGrid>
      <w:tr w:rsidR="000761E8" w:rsidRPr="008C72FC" w14:paraId="63BF73A3" w14:textId="77777777" w:rsidTr="00B5482C">
        <w:tc>
          <w:tcPr>
            <w:tcW w:w="9469" w:type="dxa"/>
            <w:gridSpan w:val="4"/>
            <w:tcBorders>
              <w:top w:val="single" w:sz="4" w:space="0" w:color="auto"/>
              <w:left w:val="single" w:sz="4" w:space="0" w:color="auto"/>
              <w:bottom w:val="single" w:sz="4" w:space="0" w:color="auto"/>
              <w:right w:val="single" w:sz="4" w:space="0" w:color="auto"/>
            </w:tcBorders>
            <w:hideMark/>
          </w:tcPr>
          <w:p w14:paraId="63BF73A2" w14:textId="77777777" w:rsidR="000761E8" w:rsidRPr="00093D7B" w:rsidRDefault="000761E8" w:rsidP="0034319F">
            <w:pPr>
              <w:spacing w:line="276" w:lineRule="auto"/>
              <w:jc w:val="center"/>
              <w:rPr>
                <w:color w:val="000000"/>
                <w:sz w:val="28"/>
                <w:szCs w:val="28"/>
                <w:lang w:eastAsia="en-US"/>
              </w:rPr>
            </w:pPr>
            <w:r w:rsidRPr="00093D7B">
              <w:rPr>
                <w:b/>
                <w:color w:val="000000"/>
                <w:sz w:val="28"/>
                <w:szCs w:val="28"/>
                <w:lang w:eastAsia="en-US"/>
              </w:rPr>
              <w:t>1.tabula. Tiesību akta projekta atbilstība ES tiesību aktiem</w:t>
            </w:r>
          </w:p>
        </w:tc>
      </w:tr>
      <w:tr w:rsidR="000761E8" w:rsidRPr="008C72FC" w14:paraId="63BF73A7" w14:textId="77777777" w:rsidTr="00B5482C">
        <w:tc>
          <w:tcPr>
            <w:tcW w:w="2428" w:type="dxa"/>
            <w:tcBorders>
              <w:top w:val="single" w:sz="4" w:space="0" w:color="auto"/>
              <w:left w:val="single" w:sz="4" w:space="0" w:color="auto"/>
              <w:bottom w:val="single" w:sz="4" w:space="0" w:color="auto"/>
              <w:right w:val="single" w:sz="4" w:space="0" w:color="auto"/>
            </w:tcBorders>
            <w:hideMark/>
          </w:tcPr>
          <w:p w14:paraId="63BF73A4" w14:textId="77777777" w:rsidR="000761E8" w:rsidRPr="00093D7B" w:rsidRDefault="000761E8" w:rsidP="0034319F">
            <w:pPr>
              <w:rPr>
                <w:color w:val="000000"/>
                <w:sz w:val="28"/>
                <w:szCs w:val="28"/>
                <w:lang w:eastAsia="en-US"/>
              </w:rPr>
            </w:pPr>
            <w:r w:rsidRPr="00093D7B">
              <w:rPr>
                <w:color w:val="000000"/>
                <w:sz w:val="28"/>
                <w:szCs w:val="28"/>
              </w:rPr>
              <w:t>Attiecīgā ES tiesību akta datums, numurs un nosaukums</w:t>
            </w:r>
          </w:p>
        </w:tc>
        <w:tc>
          <w:tcPr>
            <w:tcW w:w="7041" w:type="dxa"/>
            <w:gridSpan w:val="3"/>
            <w:tcBorders>
              <w:top w:val="single" w:sz="4" w:space="0" w:color="auto"/>
              <w:left w:val="single" w:sz="4" w:space="0" w:color="auto"/>
              <w:bottom w:val="single" w:sz="4" w:space="0" w:color="auto"/>
              <w:right w:val="single" w:sz="4" w:space="0" w:color="auto"/>
            </w:tcBorders>
            <w:hideMark/>
          </w:tcPr>
          <w:p w14:paraId="63BF73A5" w14:textId="77777777" w:rsidR="000761E8" w:rsidRPr="00093D7B" w:rsidRDefault="00416EA9" w:rsidP="009C5A5A">
            <w:pPr>
              <w:tabs>
                <w:tab w:val="left" w:pos="271"/>
              </w:tabs>
              <w:spacing w:after="200" w:line="276" w:lineRule="auto"/>
              <w:jc w:val="both"/>
              <w:rPr>
                <w:sz w:val="28"/>
                <w:szCs w:val="28"/>
              </w:rPr>
            </w:pPr>
            <w:r w:rsidRPr="00093D7B">
              <w:rPr>
                <w:sz w:val="28"/>
                <w:szCs w:val="28"/>
              </w:rPr>
              <w:t>Noteikumu projekts šo jomu neskar.</w:t>
            </w:r>
          </w:p>
          <w:p w14:paraId="63BF73A6" w14:textId="77777777" w:rsidR="000761E8" w:rsidRPr="00093D7B" w:rsidRDefault="000761E8" w:rsidP="0034319F">
            <w:pPr>
              <w:tabs>
                <w:tab w:val="left" w:pos="2628"/>
              </w:tabs>
              <w:spacing w:line="276" w:lineRule="auto"/>
              <w:jc w:val="both"/>
              <w:rPr>
                <w:color w:val="000000"/>
                <w:sz w:val="28"/>
                <w:szCs w:val="28"/>
                <w:lang w:eastAsia="en-US"/>
              </w:rPr>
            </w:pPr>
          </w:p>
        </w:tc>
      </w:tr>
      <w:tr w:rsidR="000761E8" w:rsidRPr="008C72FC" w14:paraId="63BF73AC" w14:textId="77777777" w:rsidTr="00B5482C">
        <w:tc>
          <w:tcPr>
            <w:tcW w:w="2428" w:type="dxa"/>
            <w:tcBorders>
              <w:top w:val="single" w:sz="4" w:space="0" w:color="auto"/>
              <w:left w:val="single" w:sz="4" w:space="0" w:color="auto"/>
              <w:bottom w:val="single" w:sz="4" w:space="0" w:color="auto"/>
              <w:right w:val="single" w:sz="4" w:space="0" w:color="auto"/>
            </w:tcBorders>
            <w:hideMark/>
          </w:tcPr>
          <w:p w14:paraId="63BF73A8" w14:textId="77777777" w:rsidR="000761E8" w:rsidRPr="00093D7B" w:rsidRDefault="000761E8" w:rsidP="0034319F">
            <w:pPr>
              <w:jc w:val="center"/>
              <w:rPr>
                <w:color w:val="000000"/>
                <w:sz w:val="28"/>
                <w:szCs w:val="28"/>
                <w:lang w:eastAsia="en-US"/>
              </w:rPr>
            </w:pPr>
            <w:r w:rsidRPr="00093D7B">
              <w:rPr>
                <w:color w:val="000000"/>
                <w:sz w:val="28"/>
                <w:szCs w:val="28"/>
              </w:rPr>
              <w:t>A</w:t>
            </w:r>
          </w:p>
        </w:tc>
        <w:tc>
          <w:tcPr>
            <w:tcW w:w="1705" w:type="dxa"/>
            <w:tcBorders>
              <w:top w:val="single" w:sz="4" w:space="0" w:color="auto"/>
              <w:left w:val="single" w:sz="4" w:space="0" w:color="auto"/>
              <w:bottom w:val="single" w:sz="4" w:space="0" w:color="auto"/>
              <w:right w:val="single" w:sz="4" w:space="0" w:color="auto"/>
            </w:tcBorders>
            <w:hideMark/>
          </w:tcPr>
          <w:p w14:paraId="63BF73A9" w14:textId="77777777" w:rsidR="000761E8" w:rsidRPr="00093D7B" w:rsidRDefault="000761E8" w:rsidP="0034319F">
            <w:pPr>
              <w:jc w:val="center"/>
              <w:rPr>
                <w:color w:val="000000"/>
                <w:sz w:val="28"/>
                <w:szCs w:val="28"/>
                <w:lang w:eastAsia="en-US"/>
              </w:rPr>
            </w:pPr>
            <w:r w:rsidRPr="00093D7B">
              <w:rPr>
                <w:color w:val="000000"/>
                <w:sz w:val="28"/>
                <w:szCs w:val="28"/>
              </w:rPr>
              <w:t>B</w:t>
            </w:r>
          </w:p>
        </w:tc>
        <w:tc>
          <w:tcPr>
            <w:tcW w:w="2387" w:type="dxa"/>
            <w:tcBorders>
              <w:top w:val="single" w:sz="4" w:space="0" w:color="auto"/>
              <w:left w:val="single" w:sz="4" w:space="0" w:color="auto"/>
              <w:bottom w:val="single" w:sz="4" w:space="0" w:color="auto"/>
              <w:right w:val="single" w:sz="4" w:space="0" w:color="auto"/>
            </w:tcBorders>
            <w:hideMark/>
          </w:tcPr>
          <w:p w14:paraId="63BF73AA" w14:textId="77777777" w:rsidR="000761E8" w:rsidRPr="00093D7B" w:rsidRDefault="000761E8" w:rsidP="0034319F">
            <w:pPr>
              <w:jc w:val="center"/>
              <w:rPr>
                <w:color w:val="000000"/>
                <w:sz w:val="28"/>
                <w:szCs w:val="28"/>
                <w:lang w:eastAsia="en-US"/>
              </w:rPr>
            </w:pPr>
            <w:r w:rsidRPr="00093D7B">
              <w:rPr>
                <w:color w:val="000000"/>
                <w:sz w:val="28"/>
                <w:szCs w:val="28"/>
              </w:rPr>
              <w:t>C</w:t>
            </w:r>
          </w:p>
        </w:tc>
        <w:tc>
          <w:tcPr>
            <w:tcW w:w="2949" w:type="dxa"/>
            <w:tcBorders>
              <w:top w:val="single" w:sz="4" w:space="0" w:color="auto"/>
              <w:left w:val="single" w:sz="4" w:space="0" w:color="auto"/>
              <w:bottom w:val="single" w:sz="4" w:space="0" w:color="auto"/>
              <w:right w:val="single" w:sz="4" w:space="0" w:color="auto"/>
            </w:tcBorders>
            <w:hideMark/>
          </w:tcPr>
          <w:p w14:paraId="63BF73AB" w14:textId="77777777" w:rsidR="000761E8" w:rsidRPr="00093D7B" w:rsidRDefault="000761E8" w:rsidP="0034319F">
            <w:pPr>
              <w:jc w:val="center"/>
              <w:rPr>
                <w:color w:val="000000"/>
                <w:sz w:val="28"/>
                <w:szCs w:val="28"/>
                <w:lang w:eastAsia="en-US"/>
              </w:rPr>
            </w:pPr>
            <w:r w:rsidRPr="00093D7B">
              <w:rPr>
                <w:color w:val="000000"/>
                <w:sz w:val="28"/>
                <w:szCs w:val="28"/>
              </w:rPr>
              <w:t>D</w:t>
            </w:r>
          </w:p>
        </w:tc>
      </w:tr>
      <w:tr w:rsidR="000761E8" w:rsidRPr="008C72FC" w14:paraId="63BF73B5" w14:textId="77777777" w:rsidTr="00B5482C">
        <w:tc>
          <w:tcPr>
            <w:tcW w:w="2428" w:type="dxa"/>
            <w:tcBorders>
              <w:top w:val="single" w:sz="4" w:space="0" w:color="auto"/>
              <w:left w:val="single" w:sz="4" w:space="0" w:color="auto"/>
              <w:bottom w:val="single" w:sz="4" w:space="0" w:color="auto"/>
              <w:right w:val="single" w:sz="4" w:space="0" w:color="auto"/>
            </w:tcBorders>
            <w:hideMark/>
          </w:tcPr>
          <w:p w14:paraId="63BF73AD" w14:textId="77777777" w:rsidR="000761E8" w:rsidRPr="00093D7B" w:rsidRDefault="000761E8" w:rsidP="0034319F">
            <w:pPr>
              <w:rPr>
                <w:color w:val="000000"/>
                <w:sz w:val="28"/>
                <w:szCs w:val="28"/>
                <w:lang w:eastAsia="en-US"/>
              </w:rPr>
            </w:pPr>
            <w:r w:rsidRPr="00093D7B">
              <w:rPr>
                <w:color w:val="000000"/>
                <w:sz w:val="28"/>
                <w:szCs w:val="28"/>
              </w:rPr>
              <w:t xml:space="preserve">Attiecīgā ES tiesību akta panta numurs (uzskaitot katru tiesību akta </w:t>
            </w:r>
            <w:r w:rsidRPr="00093D7B">
              <w:rPr>
                <w:color w:val="000000"/>
                <w:sz w:val="28"/>
                <w:szCs w:val="28"/>
              </w:rPr>
              <w:br/>
              <w:t>vienību – pantu, daļu, punktu, apakšpunktu)</w:t>
            </w:r>
          </w:p>
        </w:tc>
        <w:tc>
          <w:tcPr>
            <w:tcW w:w="1705" w:type="dxa"/>
            <w:tcBorders>
              <w:top w:val="single" w:sz="4" w:space="0" w:color="auto"/>
              <w:left w:val="single" w:sz="4" w:space="0" w:color="auto"/>
              <w:bottom w:val="single" w:sz="4" w:space="0" w:color="auto"/>
              <w:right w:val="single" w:sz="4" w:space="0" w:color="auto"/>
            </w:tcBorders>
            <w:hideMark/>
          </w:tcPr>
          <w:p w14:paraId="63BF73AE" w14:textId="77777777" w:rsidR="000761E8" w:rsidRPr="00093D7B" w:rsidRDefault="000761E8" w:rsidP="0034319F">
            <w:pPr>
              <w:rPr>
                <w:color w:val="000000"/>
                <w:sz w:val="28"/>
                <w:szCs w:val="28"/>
                <w:lang w:eastAsia="en-US"/>
              </w:rPr>
            </w:pPr>
            <w:r w:rsidRPr="00093D7B">
              <w:rPr>
                <w:color w:val="000000"/>
                <w:sz w:val="28"/>
                <w:szCs w:val="28"/>
              </w:rPr>
              <w:t>Projekta vienība, kas pārņem vai ievieš katru šīs tabulas A ailē minēto ES tiesību akta vienību, vai tiesību akts, kur attiecīgā ES tiesību akta vienība pārņemta vai ieviesta</w:t>
            </w:r>
          </w:p>
        </w:tc>
        <w:tc>
          <w:tcPr>
            <w:tcW w:w="2387" w:type="dxa"/>
            <w:tcBorders>
              <w:top w:val="single" w:sz="4" w:space="0" w:color="auto"/>
              <w:left w:val="single" w:sz="4" w:space="0" w:color="auto"/>
              <w:bottom w:val="single" w:sz="4" w:space="0" w:color="auto"/>
              <w:right w:val="single" w:sz="4" w:space="0" w:color="auto"/>
            </w:tcBorders>
            <w:hideMark/>
          </w:tcPr>
          <w:p w14:paraId="63BF73AF" w14:textId="77777777" w:rsidR="000761E8" w:rsidRPr="00093D7B" w:rsidRDefault="000761E8" w:rsidP="0034319F">
            <w:pPr>
              <w:rPr>
                <w:color w:val="000000"/>
                <w:sz w:val="28"/>
                <w:szCs w:val="28"/>
              </w:rPr>
            </w:pPr>
            <w:r w:rsidRPr="00093D7B">
              <w:rPr>
                <w:color w:val="000000"/>
                <w:sz w:val="28"/>
                <w:szCs w:val="28"/>
              </w:rPr>
              <w:t>Informācija par to, vai šīs tabulas A ailē minētās ES tiesību akta vienības tiek pārņemtas vai ieviestas pilnībā vai daļēji.</w:t>
            </w:r>
          </w:p>
          <w:p w14:paraId="63BF73B0" w14:textId="77777777" w:rsidR="000761E8" w:rsidRPr="00093D7B" w:rsidRDefault="000761E8" w:rsidP="0034319F">
            <w:pPr>
              <w:rPr>
                <w:color w:val="000000"/>
                <w:sz w:val="28"/>
                <w:szCs w:val="28"/>
              </w:rPr>
            </w:pPr>
            <w:r w:rsidRPr="00093D7B">
              <w:rPr>
                <w:color w:val="000000"/>
                <w:sz w:val="28"/>
                <w:szCs w:val="28"/>
              </w:rPr>
              <w:t xml:space="preserve">Ja attiecīgā ES tiesību akta vienība tiek pārņemta vai ieviesta daļēji, – sniedz attiecīgu skaidrojumu, kā arī precīzi norāda, kad un kādā veidā ES tiesību akta vienība tiks </w:t>
            </w:r>
            <w:r w:rsidRPr="00093D7B">
              <w:rPr>
                <w:color w:val="000000"/>
                <w:sz w:val="28"/>
                <w:szCs w:val="28"/>
              </w:rPr>
              <w:lastRenderedPageBreak/>
              <w:t>pārņemta vai ieviesta pilnībā.</w:t>
            </w:r>
          </w:p>
          <w:p w14:paraId="63BF73B1" w14:textId="77777777" w:rsidR="000761E8" w:rsidRPr="00093D7B" w:rsidRDefault="000761E8" w:rsidP="0034319F">
            <w:pPr>
              <w:rPr>
                <w:color w:val="000000"/>
                <w:sz w:val="28"/>
                <w:szCs w:val="28"/>
                <w:lang w:eastAsia="en-US"/>
              </w:rPr>
            </w:pPr>
            <w:r w:rsidRPr="00093D7B">
              <w:rPr>
                <w:color w:val="000000"/>
                <w:sz w:val="28"/>
                <w:szCs w:val="28"/>
              </w:rPr>
              <w:t>Norāda institūciju, kas ir atbildīga par šo saistību izpildi pilnībā</w:t>
            </w:r>
          </w:p>
        </w:tc>
        <w:tc>
          <w:tcPr>
            <w:tcW w:w="2949" w:type="dxa"/>
            <w:tcBorders>
              <w:top w:val="single" w:sz="4" w:space="0" w:color="auto"/>
              <w:left w:val="single" w:sz="4" w:space="0" w:color="auto"/>
              <w:bottom w:val="single" w:sz="4" w:space="0" w:color="auto"/>
              <w:right w:val="single" w:sz="4" w:space="0" w:color="auto"/>
            </w:tcBorders>
            <w:hideMark/>
          </w:tcPr>
          <w:p w14:paraId="63BF73B2" w14:textId="77777777" w:rsidR="000761E8" w:rsidRPr="00093D7B" w:rsidRDefault="000761E8" w:rsidP="0034319F">
            <w:pPr>
              <w:rPr>
                <w:color w:val="000000"/>
                <w:sz w:val="28"/>
                <w:szCs w:val="28"/>
              </w:rPr>
            </w:pPr>
            <w:r w:rsidRPr="00093D7B">
              <w:rPr>
                <w:color w:val="000000"/>
                <w:sz w:val="28"/>
                <w:szCs w:val="28"/>
              </w:rPr>
              <w:lastRenderedPageBreak/>
              <w:t>Informācija par to, vai šīs tabulas B ailē minētās projekta vienības paredz stingrākas prasības nekā šīs tabulas A ailē minētās ES tiesību akta vienības.</w:t>
            </w:r>
          </w:p>
          <w:p w14:paraId="63BF73B3" w14:textId="77777777" w:rsidR="000761E8" w:rsidRPr="00093D7B" w:rsidRDefault="000761E8" w:rsidP="0034319F">
            <w:pPr>
              <w:rPr>
                <w:color w:val="000000"/>
                <w:sz w:val="28"/>
                <w:szCs w:val="28"/>
              </w:rPr>
            </w:pPr>
            <w:r w:rsidRPr="00093D7B">
              <w:rPr>
                <w:color w:val="000000"/>
                <w:sz w:val="28"/>
                <w:szCs w:val="28"/>
              </w:rPr>
              <w:t>Ja projekts satur stingrākas prasības nekā attiecīgais ES tiesību akts, – norāda pamatojumu un samērīgumu.</w:t>
            </w:r>
          </w:p>
          <w:p w14:paraId="63BF73B4" w14:textId="77777777" w:rsidR="000761E8" w:rsidRPr="00093D7B" w:rsidRDefault="000761E8" w:rsidP="0034319F">
            <w:pPr>
              <w:rPr>
                <w:color w:val="000000"/>
                <w:sz w:val="28"/>
                <w:szCs w:val="28"/>
                <w:lang w:eastAsia="en-US"/>
              </w:rPr>
            </w:pPr>
            <w:r w:rsidRPr="00093D7B">
              <w:rPr>
                <w:color w:val="000000"/>
                <w:sz w:val="28"/>
                <w:szCs w:val="28"/>
              </w:rPr>
              <w:t xml:space="preserve">Norāda iespējamās alternatīvas (t.sk. alternatīvas, kas neparedz tiesiskā regulējuma izstrādi) – kādos gadījumos būtu </w:t>
            </w:r>
            <w:r w:rsidRPr="00093D7B">
              <w:rPr>
                <w:color w:val="000000"/>
                <w:sz w:val="28"/>
                <w:szCs w:val="28"/>
              </w:rPr>
              <w:lastRenderedPageBreak/>
              <w:t>iespējams izvairīties no stingrāku prasību noteikšanas, nekā paredzēts attiecīgajos ES tiesību aktos</w:t>
            </w:r>
          </w:p>
        </w:tc>
      </w:tr>
      <w:tr w:rsidR="000761E8" w:rsidRPr="008C72FC" w14:paraId="63BF73BA" w14:textId="77777777" w:rsidTr="00B5482C">
        <w:tc>
          <w:tcPr>
            <w:tcW w:w="2428" w:type="dxa"/>
            <w:tcBorders>
              <w:top w:val="single" w:sz="4" w:space="0" w:color="auto"/>
              <w:left w:val="single" w:sz="4" w:space="0" w:color="auto"/>
              <w:bottom w:val="single" w:sz="4" w:space="0" w:color="auto"/>
              <w:right w:val="single" w:sz="4" w:space="0" w:color="auto"/>
            </w:tcBorders>
          </w:tcPr>
          <w:p w14:paraId="63BF73B6" w14:textId="77777777" w:rsidR="000761E8" w:rsidRPr="00093D7B" w:rsidRDefault="00BB4B43" w:rsidP="009C5A5A">
            <w:pPr>
              <w:jc w:val="center"/>
              <w:rPr>
                <w:sz w:val="28"/>
                <w:szCs w:val="28"/>
              </w:rPr>
            </w:pPr>
            <w:r w:rsidRPr="00093D7B">
              <w:rPr>
                <w:sz w:val="28"/>
                <w:szCs w:val="28"/>
              </w:rPr>
              <w:lastRenderedPageBreak/>
              <w:t>Noteikumu projekts šo jomu neskar.</w:t>
            </w:r>
          </w:p>
        </w:tc>
        <w:tc>
          <w:tcPr>
            <w:tcW w:w="1705" w:type="dxa"/>
            <w:tcBorders>
              <w:top w:val="single" w:sz="4" w:space="0" w:color="auto"/>
              <w:left w:val="single" w:sz="4" w:space="0" w:color="auto"/>
              <w:bottom w:val="single" w:sz="4" w:space="0" w:color="auto"/>
              <w:right w:val="single" w:sz="4" w:space="0" w:color="auto"/>
            </w:tcBorders>
          </w:tcPr>
          <w:p w14:paraId="63BF73B7" w14:textId="77777777" w:rsidR="000761E8" w:rsidRPr="00093D7B" w:rsidRDefault="00BB4B43" w:rsidP="009C5A5A">
            <w:pPr>
              <w:jc w:val="center"/>
              <w:rPr>
                <w:iCs/>
                <w:color w:val="000000"/>
                <w:sz w:val="28"/>
                <w:szCs w:val="28"/>
                <w:lang w:eastAsia="en-US"/>
              </w:rPr>
            </w:pPr>
            <w:r w:rsidRPr="00093D7B">
              <w:rPr>
                <w:sz w:val="28"/>
                <w:szCs w:val="28"/>
              </w:rPr>
              <w:t>Noteikumu projekts šo jomu neskar.</w:t>
            </w:r>
          </w:p>
        </w:tc>
        <w:tc>
          <w:tcPr>
            <w:tcW w:w="2387" w:type="dxa"/>
            <w:tcBorders>
              <w:top w:val="single" w:sz="4" w:space="0" w:color="auto"/>
              <w:left w:val="single" w:sz="4" w:space="0" w:color="auto"/>
              <w:bottom w:val="single" w:sz="4" w:space="0" w:color="auto"/>
              <w:right w:val="single" w:sz="4" w:space="0" w:color="auto"/>
            </w:tcBorders>
          </w:tcPr>
          <w:p w14:paraId="63BF73B8" w14:textId="77777777" w:rsidR="000761E8" w:rsidRPr="00093D7B" w:rsidRDefault="00BB4B43" w:rsidP="009C5A5A">
            <w:pPr>
              <w:jc w:val="center"/>
              <w:rPr>
                <w:iCs/>
                <w:color w:val="000000"/>
                <w:sz w:val="28"/>
                <w:szCs w:val="28"/>
                <w:lang w:eastAsia="en-US"/>
              </w:rPr>
            </w:pPr>
            <w:r w:rsidRPr="00093D7B">
              <w:rPr>
                <w:sz w:val="28"/>
                <w:szCs w:val="28"/>
              </w:rPr>
              <w:t>Noteikumu projekts šo jomu neskar.</w:t>
            </w:r>
          </w:p>
        </w:tc>
        <w:tc>
          <w:tcPr>
            <w:tcW w:w="2949" w:type="dxa"/>
            <w:tcBorders>
              <w:top w:val="single" w:sz="4" w:space="0" w:color="auto"/>
              <w:left w:val="single" w:sz="4" w:space="0" w:color="auto"/>
              <w:bottom w:val="single" w:sz="4" w:space="0" w:color="auto"/>
              <w:right w:val="single" w:sz="4" w:space="0" w:color="auto"/>
            </w:tcBorders>
            <w:hideMark/>
          </w:tcPr>
          <w:p w14:paraId="63BF73B9" w14:textId="77777777" w:rsidR="000761E8" w:rsidRPr="00093D7B" w:rsidRDefault="00BB4B43" w:rsidP="009C5A5A">
            <w:pPr>
              <w:jc w:val="center"/>
              <w:rPr>
                <w:iCs/>
                <w:color w:val="000000"/>
                <w:sz w:val="28"/>
                <w:szCs w:val="28"/>
              </w:rPr>
            </w:pPr>
            <w:r w:rsidRPr="00093D7B">
              <w:rPr>
                <w:sz w:val="28"/>
                <w:szCs w:val="28"/>
              </w:rPr>
              <w:t>Noteikumu projekts šo jomu neskar.</w:t>
            </w:r>
          </w:p>
        </w:tc>
      </w:tr>
      <w:tr w:rsidR="000761E8" w:rsidRPr="008C72FC" w14:paraId="63BF73BE" w14:textId="77777777" w:rsidTr="00B5482C">
        <w:tc>
          <w:tcPr>
            <w:tcW w:w="4133" w:type="dxa"/>
            <w:gridSpan w:val="2"/>
            <w:tcBorders>
              <w:top w:val="single" w:sz="4" w:space="0" w:color="auto"/>
              <w:left w:val="single" w:sz="4" w:space="0" w:color="auto"/>
              <w:bottom w:val="single" w:sz="4" w:space="0" w:color="auto"/>
              <w:right w:val="single" w:sz="4" w:space="0" w:color="auto"/>
            </w:tcBorders>
            <w:hideMark/>
          </w:tcPr>
          <w:p w14:paraId="63BF73BB" w14:textId="77777777" w:rsidR="000761E8" w:rsidRPr="00093D7B" w:rsidRDefault="000761E8" w:rsidP="0034319F">
            <w:pPr>
              <w:rPr>
                <w:color w:val="000000"/>
                <w:sz w:val="28"/>
                <w:szCs w:val="28"/>
              </w:rPr>
            </w:pPr>
            <w:r w:rsidRPr="00093D7B">
              <w:rPr>
                <w:color w:val="000000"/>
                <w:sz w:val="28"/>
                <w:szCs w:val="28"/>
              </w:rPr>
              <w:t>Kā ir izmantota ES tiesību aktā paredzētā rīcības brīvība dalībvalstij pārņemt vai ieviest noteiktas ES tiesību akta normas?</w:t>
            </w:r>
          </w:p>
          <w:p w14:paraId="63BF73BC" w14:textId="77777777" w:rsidR="000761E8" w:rsidRPr="00093D7B" w:rsidRDefault="000761E8" w:rsidP="0034319F">
            <w:pPr>
              <w:rPr>
                <w:i/>
                <w:color w:val="000000"/>
                <w:sz w:val="28"/>
                <w:szCs w:val="28"/>
                <w:lang w:eastAsia="en-US"/>
              </w:rPr>
            </w:pPr>
            <w:r w:rsidRPr="00093D7B">
              <w:rPr>
                <w:color w:val="000000"/>
                <w:sz w:val="28"/>
                <w:szCs w:val="28"/>
              </w:rPr>
              <w:t>Kādēļ?</w:t>
            </w:r>
          </w:p>
        </w:tc>
        <w:tc>
          <w:tcPr>
            <w:tcW w:w="5336" w:type="dxa"/>
            <w:gridSpan w:val="2"/>
            <w:tcBorders>
              <w:top w:val="single" w:sz="4" w:space="0" w:color="auto"/>
              <w:left w:val="single" w:sz="4" w:space="0" w:color="auto"/>
              <w:bottom w:val="single" w:sz="4" w:space="0" w:color="auto"/>
              <w:right w:val="single" w:sz="4" w:space="0" w:color="auto"/>
            </w:tcBorders>
            <w:hideMark/>
          </w:tcPr>
          <w:p w14:paraId="63BF73BD" w14:textId="77777777" w:rsidR="000761E8" w:rsidRPr="00093D7B" w:rsidRDefault="00BB4B43" w:rsidP="0034319F">
            <w:pPr>
              <w:rPr>
                <w:color w:val="000000"/>
                <w:sz w:val="28"/>
                <w:szCs w:val="28"/>
                <w:lang w:eastAsia="en-US"/>
              </w:rPr>
            </w:pPr>
            <w:r w:rsidRPr="00093D7B">
              <w:rPr>
                <w:sz w:val="28"/>
                <w:szCs w:val="28"/>
              </w:rPr>
              <w:t>Noteikumu projekts šo jomu neskar.</w:t>
            </w:r>
          </w:p>
        </w:tc>
      </w:tr>
      <w:tr w:rsidR="000761E8" w:rsidRPr="008C72FC" w14:paraId="63BF73C1" w14:textId="77777777" w:rsidTr="00B5482C">
        <w:tc>
          <w:tcPr>
            <w:tcW w:w="4133" w:type="dxa"/>
            <w:gridSpan w:val="2"/>
            <w:tcBorders>
              <w:top w:val="single" w:sz="4" w:space="0" w:color="auto"/>
              <w:left w:val="single" w:sz="4" w:space="0" w:color="auto"/>
              <w:bottom w:val="single" w:sz="4" w:space="0" w:color="auto"/>
              <w:right w:val="single" w:sz="4" w:space="0" w:color="auto"/>
            </w:tcBorders>
            <w:hideMark/>
          </w:tcPr>
          <w:p w14:paraId="63BF73BF" w14:textId="77777777" w:rsidR="000761E8" w:rsidRPr="00093D7B" w:rsidRDefault="000761E8" w:rsidP="0034319F">
            <w:pPr>
              <w:rPr>
                <w:i/>
                <w:color w:val="000000"/>
                <w:sz w:val="28"/>
                <w:szCs w:val="28"/>
                <w:lang w:eastAsia="en-US"/>
              </w:rPr>
            </w:pPr>
            <w:r w:rsidRPr="00093D7B">
              <w:rPr>
                <w:color w:val="000000"/>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336" w:type="dxa"/>
            <w:gridSpan w:val="2"/>
            <w:tcBorders>
              <w:top w:val="single" w:sz="4" w:space="0" w:color="auto"/>
              <w:left w:val="single" w:sz="4" w:space="0" w:color="auto"/>
              <w:bottom w:val="single" w:sz="4" w:space="0" w:color="auto"/>
              <w:right w:val="single" w:sz="4" w:space="0" w:color="auto"/>
            </w:tcBorders>
            <w:hideMark/>
          </w:tcPr>
          <w:p w14:paraId="63BF73C0" w14:textId="51B8C44A" w:rsidR="000761E8" w:rsidRPr="00093D7B" w:rsidRDefault="00C93518" w:rsidP="00C93518">
            <w:pPr>
              <w:jc w:val="both"/>
              <w:rPr>
                <w:color w:val="000000"/>
                <w:sz w:val="28"/>
                <w:szCs w:val="28"/>
                <w:lang w:eastAsia="en-US"/>
              </w:rPr>
            </w:pPr>
            <w:r w:rsidRPr="00093D7B">
              <w:rPr>
                <w:color w:val="000000"/>
                <w:sz w:val="28"/>
                <w:szCs w:val="28"/>
                <w:lang w:eastAsia="en-US"/>
              </w:rPr>
              <w:t>Noteikumu projekts atbilst Ministru kabineta 2010.gada 23.februāra instrukcijas Nr.1 “Kārtība, kādā valsts pārvaldes iestādes sniedz informāciju par tehnisko noteikumu projektiem” 2.</w:t>
            </w:r>
            <w:r w:rsidR="00BE495F" w:rsidRPr="00093D7B">
              <w:rPr>
                <w:color w:val="000000"/>
                <w:sz w:val="28"/>
                <w:szCs w:val="28"/>
                <w:lang w:eastAsia="en-US"/>
              </w:rPr>
              <w:t>2</w:t>
            </w:r>
            <w:r w:rsidRPr="00093D7B">
              <w:rPr>
                <w:color w:val="000000"/>
                <w:sz w:val="28"/>
                <w:szCs w:val="28"/>
                <w:lang w:eastAsia="en-US"/>
              </w:rPr>
              <w:t>.apakšpunkta prasībām un, sask</w:t>
            </w:r>
            <w:r w:rsidR="00C2799A" w:rsidRPr="00093D7B">
              <w:rPr>
                <w:color w:val="000000"/>
                <w:sz w:val="28"/>
                <w:szCs w:val="28"/>
                <w:lang w:eastAsia="en-US"/>
              </w:rPr>
              <w:t>aņā ar minēto instrukciju, par N</w:t>
            </w:r>
            <w:r w:rsidRPr="00093D7B">
              <w:rPr>
                <w:color w:val="000000"/>
                <w:sz w:val="28"/>
                <w:szCs w:val="28"/>
                <w:lang w:eastAsia="en-US"/>
              </w:rPr>
              <w:t>oteikumu projektu ir jāsniedz informācija Eiropas Komisijai un Eiropas Savienības dalībvalstīm.</w:t>
            </w:r>
          </w:p>
        </w:tc>
      </w:tr>
      <w:tr w:rsidR="000761E8" w:rsidRPr="008C72FC" w14:paraId="63BF73C4" w14:textId="77777777" w:rsidTr="00B5482C">
        <w:tc>
          <w:tcPr>
            <w:tcW w:w="4133" w:type="dxa"/>
            <w:gridSpan w:val="2"/>
            <w:tcBorders>
              <w:top w:val="single" w:sz="4" w:space="0" w:color="auto"/>
              <w:left w:val="single" w:sz="4" w:space="0" w:color="auto"/>
              <w:bottom w:val="single" w:sz="4" w:space="0" w:color="auto"/>
              <w:right w:val="single" w:sz="4" w:space="0" w:color="auto"/>
            </w:tcBorders>
            <w:hideMark/>
          </w:tcPr>
          <w:p w14:paraId="63BF73C2" w14:textId="77777777" w:rsidR="000761E8" w:rsidRPr="00093D7B" w:rsidRDefault="000761E8" w:rsidP="0034319F">
            <w:pPr>
              <w:spacing w:line="276" w:lineRule="auto"/>
              <w:rPr>
                <w:i/>
                <w:color w:val="000000"/>
                <w:sz w:val="28"/>
                <w:szCs w:val="28"/>
                <w:lang w:eastAsia="en-US"/>
              </w:rPr>
            </w:pPr>
            <w:r w:rsidRPr="00093D7B">
              <w:rPr>
                <w:color w:val="000000"/>
                <w:sz w:val="28"/>
                <w:szCs w:val="28"/>
                <w:lang w:eastAsia="en-US"/>
              </w:rPr>
              <w:t>Cita informācija</w:t>
            </w:r>
          </w:p>
        </w:tc>
        <w:tc>
          <w:tcPr>
            <w:tcW w:w="5336" w:type="dxa"/>
            <w:gridSpan w:val="2"/>
            <w:tcBorders>
              <w:top w:val="single" w:sz="4" w:space="0" w:color="auto"/>
              <w:left w:val="single" w:sz="4" w:space="0" w:color="auto"/>
              <w:bottom w:val="single" w:sz="4" w:space="0" w:color="auto"/>
              <w:right w:val="single" w:sz="4" w:space="0" w:color="auto"/>
            </w:tcBorders>
            <w:hideMark/>
          </w:tcPr>
          <w:p w14:paraId="63BF73C3" w14:textId="77777777" w:rsidR="000761E8" w:rsidRPr="00093D7B" w:rsidRDefault="000761E8" w:rsidP="0034319F">
            <w:pPr>
              <w:rPr>
                <w:color w:val="000000"/>
                <w:sz w:val="28"/>
                <w:szCs w:val="28"/>
                <w:lang w:eastAsia="en-US"/>
              </w:rPr>
            </w:pPr>
            <w:r w:rsidRPr="00093D7B">
              <w:rPr>
                <w:color w:val="000000"/>
                <w:sz w:val="28"/>
                <w:szCs w:val="28"/>
              </w:rPr>
              <w:t>Nav.</w:t>
            </w:r>
          </w:p>
        </w:tc>
      </w:tr>
    </w:tbl>
    <w:p w14:paraId="63BF73C5" w14:textId="77777777" w:rsidR="000761E8" w:rsidRPr="00093D7B" w:rsidRDefault="000761E8" w:rsidP="001E4890">
      <w:pPr>
        <w:rPr>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0761E8" w:rsidRPr="008C72FC" w14:paraId="63BF73C8" w14:textId="77777777" w:rsidTr="00B5482C">
        <w:tc>
          <w:tcPr>
            <w:tcW w:w="9469" w:type="dxa"/>
            <w:tcBorders>
              <w:top w:val="single" w:sz="4" w:space="0" w:color="auto"/>
              <w:left w:val="single" w:sz="4" w:space="0" w:color="auto"/>
              <w:bottom w:val="single" w:sz="4" w:space="0" w:color="auto"/>
              <w:right w:val="single" w:sz="4" w:space="0" w:color="auto"/>
            </w:tcBorders>
            <w:hideMark/>
          </w:tcPr>
          <w:p w14:paraId="63BF73C6" w14:textId="77777777" w:rsidR="000761E8" w:rsidRPr="00093D7B" w:rsidRDefault="000761E8" w:rsidP="0034319F">
            <w:pPr>
              <w:spacing w:line="276" w:lineRule="auto"/>
              <w:jc w:val="center"/>
              <w:rPr>
                <w:b/>
                <w:color w:val="000000"/>
                <w:sz w:val="28"/>
                <w:szCs w:val="28"/>
                <w:lang w:eastAsia="en-US"/>
              </w:rPr>
            </w:pPr>
            <w:r w:rsidRPr="00093D7B">
              <w:rPr>
                <w:b/>
                <w:color w:val="000000"/>
                <w:sz w:val="28"/>
                <w:szCs w:val="28"/>
                <w:lang w:eastAsia="en-US"/>
              </w:rPr>
              <w:t>2.tabula. Ar tiesību akta projektu uzņemtās saistības, kas izriet no starptautiskajiem tiesību aktiem vai starptautiskas institūcijas vai organizācijas dokumentiem</w:t>
            </w:r>
          </w:p>
          <w:p w14:paraId="63BF73C7" w14:textId="77777777" w:rsidR="000761E8" w:rsidRPr="00093D7B" w:rsidRDefault="000761E8" w:rsidP="0034319F">
            <w:pPr>
              <w:jc w:val="center"/>
              <w:rPr>
                <w:color w:val="000000"/>
                <w:sz w:val="28"/>
                <w:szCs w:val="28"/>
                <w:lang w:eastAsia="en-US"/>
              </w:rPr>
            </w:pPr>
            <w:r w:rsidRPr="00093D7B">
              <w:rPr>
                <w:b/>
                <w:color w:val="000000"/>
                <w:sz w:val="28"/>
                <w:szCs w:val="28"/>
              </w:rPr>
              <w:t>Pasākumi šo saistību izpildei</w:t>
            </w:r>
          </w:p>
        </w:tc>
      </w:tr>
      <w:tr w:rsidR="00416EA9" w:rsidRPr="008C72FC" w14:paraId="63BF73CA" w14:textId="77777777" w:rsidTr="00B5482C">
        <w:tc>
          <w:tcPr>
            <w:tcW w:w="9469" w:type="dxa"/>
            <w:tcBorders>
              <w:top w:val="single" w:sz="4" w:space="0" w:color="auto"/>
              <w:left w:val="single" w:sz="4" w:space="0" w:color="auto"/>
              <w:bottom w:val="single" w:sz="4" w:space="0" w:color="auto"/>
              <w:right w:val="single" w:sz="4" w:space="0" w:color="auto"/>
            </w:tcBorders>
          </w:tcPr>
          <w:p w14:paraId="63BF73C9" w14:textId="77777777" w:rsidR="00416EA9" w:rsidRPr="00093D7B" w:rsidRDefault="00416EA9" w:rsidP="00416EA9">
            <w:pPr>
              <w:tabs>
                <w:tab w:val="left" w:pos="325"/>
              </w:tabs>
              <w:jc w:val="center"/>
              <w:rPr>
                <w:sz w:val="28"/>
                <w:szCs w:val="28"/>
              </w:rPr>
            </w:pPr>
            <w:r w:rsidRPr="00093D7B">
              <w:rPr>
                <w:sz w:val="28"/>
                <w:szCs w:val="28"/>
              </w:rPr>
              <w:t>Noteikumu projekts šo jomu neskar.</w:t>
            </w:r>
          </w:p>
        </w:tc>
      </w:tr>
    </w:tbl>
    <w:p w14:paraId="6E09996D" w14:textId="77777777" w:rsidR="00BE4831" w:rsidRPr="00093D7B" w:rsidRDefault="00BE4831" w:rsidP="001E4890">
      <w:pPr>
        <w:rPr>
          <w:sz w:val="28"/>
          <w:szCs w:val="28"/>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5"/>
        <w:gridCol w:w="3029"/>
        <w:gridCol w:w="5926"/>
      </w:tblGrid>
      <w:tr w:rsidR="008515C5" w:rsidRPr="00693529" w14:paraId="63BF73CD" w14:textId="77777777" w:rsidTr="008515C5">
        <w:trPr>
          <w:trHeight w:val="291"/>
          <w:jc w:val="center"/>
        </w:trPr>
        <w:tc>
          <w:tcPr>
            <w:tcW w:w="9400" w:type="dxa"/>
            <w:gridSpan w:val="3"/>
          </w:tcPr>
          <w:p w14:paraId="63BF73CC" w14:textId="77777777" w:rsidR="008515C5" w:rsidRPr="00093D7B" w:rsidRDefault="008515C5" w:rsidP="002131F3">
            <w:pPr>
              <w:jc w:val="center"/>
              <w:rPr>
                <w:b/>
                <w:bCs/>
                <w:sz w:val="28"/>
                <w:szCs w:val="28"/>
              </w:rPr>
            </w:pPr>
            <w:r w:rsidRPr="00093D7B">
              <w:rPr>
                <w:b/>
                <w:bCs/>
                <w:sz w:val="28"/>
                <w:szCs w:val="28"/>
              </w:rPr>
              <w:t>VI</w:t>
            </w:r>
            <w:r w:rsidR="002131F3" w:rsidRPr="00093D7B">
              <w:rPr>
                <w:b/>
                <w:bCs/>
                <w:sz w:val="28"/>
                <w:szCs w:val="28"/>
              </w:rPr>
              <w:t>I</w:t>
            </w:r>
            <w:r w:rsidRPr="00093D7B">
              <w:rPr>
                <w:b/>
                <w:bCs/>
                <w:sz w:val="28"/>
                <w:szCs w:val="28"/>
              </w:rPr>
              <w:t xml:space="preserve">. </w:t>
            </w:r>
            <w:r w:rsidRPr="00093D7B">
              <w:rPr>
                <w:b/>
                <w:sz w:val="28"/>
                <w:szCs w:val="28"/>
              </w:rPr>
              <w:t>Sabiedrības līdzdalība un komunikācijas aktivitātes</w:t>
            </w:r>
          </w:p>
        </w:tc>
      </w:tr>
      <w:tr w:rsidR="00693529" w:rsidRPr="00693529" w14:paraId="63BF73D1" w14:textId="77777777" w:rsidTr="00EF5EC2">
        <w:trPr>
          <w:trHeight w:val="699"/>
          <w:jc w:val="center"/>
        </w:trPr>
        <w:tc>
          <w:tcPr>
            <w:tcW w:w="445" w:type="dxa"/>
          </w:tcPr>
          <w:p w14:paraId="63BF73CE" w14:textId="77777777" w:rsidR="008515C5" w:rsidRPr="00093D7B" w:rsidRDefault="008515C5" w:rsidP="008515C5">
            <w:pPr>
              <w:rPr>
                <w:iCs/>
                <w:sz w:val="28"/>
                <w:szCs w:val="28"/>
              </w:rPr>
            </w:pPr>
            <w:r w:rsidRPr="00093D7B">
              <w:rPr>
                <w:iCs/>
                <w:sz w:val="28"/>
                <w:szCs w:val="28"/>
              </w:rPr>
              <w:t>1.</w:t>
            </w:r>
          </w:p>
        </w:tc>
        <w:tc>
          <w:tcPr>
            <w:tcW w:w="3029" w:type="dxa"/>
          </w:tcPr>
          <w:p w14:paraId="63BF73CF" w14:textId="77777777" w:rsidR="008515C5" w:rsidRPr="00093D7B" w:rsidRDefault="008515C5" w:rsidP="008515C5">
            <w:pPr>
              <w:rPr>
                <w:iCs/>
                <w:sz w:val="28"/>
                <w:szCs w:val="28"/>
              </w:rPr>
            </w:pPr>
            <w:r w:rsidRPr="00093D7B">
              <w:rPr>
                <w:sz w:val="28"/>
                <w:szCs w:val="28"/>
              </w:rPr>
              <w:t>Plānotās sabiedrības līdzdalības un komunikācijas aktivitātes saistībā ar projektu</w:t>
            </w:r>
          </w:p>
        </w:tc>
        <w:tc>
          <w:tcPr>
            <w:tcW w:w="5926" w:type="dxa"/>
          </w:tcPr>
          <w:p w14:paraId="42D28AB1" w14:textId="14F6E322" w:rsidR="008515C5" w:rsidRPr="00093D7B" w:rsidRDefault="00C2799A" w:rsidP="00B5482C">
            <w:pPr>
              <w:jc w:val="both"/>
              <w:rPr>
                <w:sz w:val="28"/>
                <w:szCs w:val="28"/>
              </w:rPr>
            </w:pPr>
            <w:r w:rsidRPr="00093D7B">
              <w:rPr>
                <w:sz w:val="28"/>
                <w:szCs w:val="28"/>
              </w:rPr>
              <w:t>Sabiedrības informēšanai N</w:t>
            </w:r>
            <w:r w:rsidR="003E7033" w:rsidRPr="00093D7B">
              <w:rPr>
                <w:sz w:val="28"/>
                <w:szCs w:val="28"/>
              </w:rPr>
              <w:t>oteikumu projekts publicēts Finanšu ministrijas mājaslapas sadaļā “Sabiedrības līdzdalība”</w:t>
            </w:r>
            <w:r w:rsidR="00F34F36" w:rsidRPr="00093D7B">
              <w:rPr>
                <w:sz w:val="28"/>
                <w:szCs w:val="28"/>
              </w:rPr>
              <w:t xml:space="preserve"> un </w:t>
            </w:r>
            <w:r w:rsidR="00B5482C" w:rsidRPr="00093D7B">
              <w:rPr>
                <w:sz w:val="28"/>
                <w:szCs w:val="28"/>
              </w:rPr>
              <w:t>izsludin</w:t>
            </w:r>
            <w:r w:rsidR="00C32C64" w:rsidRPr="00093D7B">
              <w:rPr>
                <w:sz w:val="28"/>
                <w:szCs w:val="28"/>
              </w:rPr>
              <w:t>āts</w:t>
            </w:r>
            <w:r w:rsidR="00B5482C" w:rsidRPr="00093D7B">
              <w:rPr>
                <w:sz w:val="28"/>
                <w:szCs w:val="28"/>
              </w:rPr>
              <w:t xml:space="preserve"> Valsts sekretāru 2016.gada 14.aprīļa sanāksmē (VSS-307).</w:t>
            </w:r>
          </w:p>
          <w:p w14:paraId="63BF73D0" w14:textId="5E7454CF" w:rsidR="00B5482C" w:rsidRPr="00093D7B" w:rsidRDefault="00B5482C" w:rsidP="00B5482C">
            <w:pPr>
              <w:jc w:val="both"/>
              <w:rPr>
                <w:sz w:val="28"/>
                <w:szCs w:val="28"/>
              </w:rPr>
            </w:pPr>
            <w:r w:rsidRPr="00093D7B">
              <w:rPr>
                <w:sz w:val="28"/>
                <w:szCs w:val="28"/>
              </w:rPr>
              <w:t xml:space="preserve">Noteikumu projekts pieejams </w:t>
            </w:r>
            <w:proofErr w:type="spellStart"/>
            <w:r w:rsidRPr="00093D7B">
              <w:rPr>
                <w:sz w:val="28"/>
                <w:szCs w:val="28"/>
              </w:rPr>
              <w:t>Ministu</w:t>
            </w:r>
            <w:proofErr w:type="spellEnd"/>
            <w:r w:rsidRPr="00093D7B">
              <w:rPr>
                <w:sz w:val="28"/>
                <w:szCs w:val="28"/>
              </w:rPr>
              <w:t xml:space="preserve"> kabineta mājas lapā sadaļā “Tiesību aktu projekti”.</w:t>
            </w:r>
          </w:p>
        </w:tc>
      </w:tr>
      <w:tr w:rsidR="00693529" w:rsidRPr="00693529" w14:paraId="63BF73D5" w14:textId="77777777" w:rsidTr="00693529">
        <w:trPr>
          <w:trHeight w:val="594"/>
          <w:jc w:val="center"/>
        </w:trPr>
        <w:tc>
          <w:tcPr>
            <w:tcW w:w="445" w:type="dxa"/>
          </w:tcPr>
          <w:p w14:paraId="63BF73D2" w14:textId="221F898F" w:rsidR="008515C5" w:rsidRPr="00093D7B" w:rsidRDefault="008515C5" w:rsidP="008515C5">
            <w:pPr>
              <w:rPr>
                <w:iCs/>
                <w:sz w:val="28"/>
                <w:szCs w:val="28"/>
              </w:rPr>
            </w:pPr>
            <w:r w:rsidRPr="00093D7B">
              <w:rPr>
                <w:iCs/>
                <w:sz w:val="28"/>
                <w:szCs w:val="28"/>
              </w:rPr>
              <w:t>2.</w:t>
            </w:r>
          </w:p>
        </w:tc>
        <w:tc>
          <w:tcPr>
            <w:tcW w:w="3029" w:type="dxa"/>
          </w:tcPr>
          <w:p w14:paraId="63BF73D3" w14:textId="77777777" w:rsidR="008515C5" w:rsidRPr="00093D7B" w:rsidRDefault="008515C5" w:rsidP="008515C5">
            <w:pPr>
              <w:rPr>
                <w:sz w:val="28"/>
                <w:szCs w:val="28"/>
              </w:rPr>
            </w:pPr>
            <w:r w:rsidRPr="00093D7B">
              <w:rPr>
                <w:sz w:val="28"/>
                <w:szCs w:val="28"/>
              </w:rPr>
              <w:t>Sabiedrības līdzdalība projekta izstrādē</w:t>
            </w:r>
          </w:p>
        </w:tc>
        <w:tc>
          <w:tcPr>
            <w:tcW w:w="5926" w:type="dxa"/>
          </w:tcPr>
          <w:p w14:paraId="63BF73D4" w14:textId="62D49E7C" w:rsidR="008515C5" w:rsidRPr="00093D7B" w:rsidRDefault="00645D1D" w:rsidP="00EE5BF8">
            <w:pPr>
              <w:jc w:val="both"/>
              <w:rPr>
                <w:sz w:val="28"/>
                <w:szCs w:val="28"/>
              </w:rPr>
            </w:pPr>
            <w:r w:rsidRPr="00093D7B">
              <w:rPr>
                <w:sz w:val="28"/>
                <w:szCs w:val="28"/>
              </w:rPr>
              <w:t xml:space="preserve">Noteikumu projekts </w:t>
            </w:r>
            <w:r w:rsidR="00EE5BF8">
              <w:rPr>
                <w:sz w:val="28"/>
                <w:szCs w:val="28"/>
              </w:rPr>
              <w:t>saskaņots ar</w:t>
            </w:r>
            <w:r w:rsidRPr="00093D7B">
              <w:rPr>
                <w:sz w:val="28"/>
                <w:szCs w:val="28"/>
              </w:rPr>
              <w:t xml:space="preserve"> Lat</w:t>
            </w:r>
            <w:r w:rsidR="00EE5BF8">
              <w:rPr>
                <w:sz w:val="28"/>
                <w:szCs w:val="28"/>
              </w:rPr>
              <w:t xml:space="preserve">vijas Darba devēju konfederāciju un </w:t>
            </w:r>
            <w:r w:rsidR="00C32C64" w:rsidRPr="00093D7B">
              <w:rPr>
                <w:sz w:val="28"/>
                <w:szCs w:val="28"/>
              </w:rPr>
              <w:t>biedrīb</w:t>
            </w:r>
            <w:r w:rsidR="00EE5BF8">
              <w:rPr>
                <w:sz w:val="28"/>
                <w:szCs w:val="28"/>
              </w:rPr>
              <w:t>u</w:t>
            </w:r>
            <w:r w:rsidR="00C32C64" w:rsidRPr="00093D7B">
              <w:rPr>
                <w:sz w:val="28"/>
                <w:szCs w:val="28"/>
              </w:rPr>
              <w:t xml:space="preserve"> “</w:t>
            </w:r>
            <w:r w:rsidRPr="00093D7B">
              <w:rPr>
                <w:sz w:val="28"/>
                <w:szCs w:val="28"/>
              </w:rPr>
              <w:t>Latvijas Spēļu biznesa asociācija</w:t>
            </w:r>
            <w:r w:rsidR="00C32C64" w:rsidRPr="00093D7B">
              <w:rPr>
                <w:sz w:val="28"/>
                <w:szCs w:val="28"/>
              </w:rPr>
              <w:t>”</w:t>
            </w:r>
            <w:r w:rsidRPr="00093D7B">
              <w:rPr>
                <w:sz w:val="28"/>
                <w:szCs w:val="28"/>
              </w:rPr>
              <w:t>.</w:t>
            </w:r>
          </w:p>
        </w:tc>
      </w:tr>
      <w:tr w:rsidR="00693529" w:rsidRPr="00693529" w14:paraId="63BF73D9" w14:textId="77777777" w:rsidTr="00693529">
        <w:trPr>
          <w:trHeight w:val="607"/>
          <w:jc w:val="center"/>
        </w:trPr>
        <w:tc>
          <w:tcPr>
            <w:tcW w:w="445" w:type="dxa"/>
          </w:tcPr>
          <w:p w14:paraId="63BF73D6" w14:textId="77777777" w:rsidR="008515C5" w:rsidRPr="00093D7B" w:rsidRDefault="008515C5" w:rsidP="008515C5">
            <w:pPr>
              <w:rPr>
                <w:iCs/>
                <w:sz w:val="28"/>
                <w:szCs w:val="28"/>
              </w:rPr>
            </w:pPr>
            <w:r w:rsidRPr="00093D7B">
              <w:rPr>
                <w:iCs/>
                <w:sz w:val="28"/>
                <w:szCs w:val="28"/>
              </w:rPr>
              <w:t>3.</w:t>
            </w:r>
          </w:p>
        </w:tc>
        <w:tc>
          <w:tcPr>
            <w:tcW w:w="3029" w:type="dxa"/>
          </w:tcPr>
          <w:p w14:paraId="63BF73D7" w14:textId="77777777" w:rsidR="008515C5" w:rsidRPr="00093D7B" w:rsidRDefault="008515C5" w:rsidP="008515C5">
            <w:pPr>
              <w:rPr>
                <w:iCs/>
                <w:sz w:val="28"/>
                <w:szCs w:val="28"/>
              </w:rPr>
            </w:pPr>
            <w:r w:rsidRPr="00093D7B">
              <w:rPr>
                <w:sz w:val="28"/>
                <w:szCs w:val="28"/>
              </w:rPr>
              <w:t>Sabiedrības līdzdalības rezultāti</w:t>
            </w:r>
          </w:p>
        </w:tc>
        <w:tc>
          <w:tcPr>
            <w:tcW w:w="5926" w:type="dxa"/>
          </w:tcPr>
          <w:p w14:paraId="63BF73D8" w14:textId="14589092" w:rsidR="008515C5" w:rsidRPr="00093D7B" w:rsidRDefault="00EB6084" w:rsidP="00EE5BF8">
            <w:pPr>
              <w:jc w:val="both"/>
              <w:rPr>
                <w:iCs/>
                <w:sz w:val="28"/>
                <w:szCs w:val="28"/>
              </w:rPr>
            </w:pPr>
            <w:r w:rsidRPr="00093D7B">
              <w:rPr>
                <w:iCs/>
                <w:sz w:val="28"/>
                <w:szCs w:val="28"/>
              </w:rPr>
              <w:t>Noteikumu projekta saskaņošanas procesā tik</w:t>
            </w:r>
            <w:r w:rsidR="00B5482C" w:rsidRPr="00093D7B">
              <w:rPr>
                <w:iCs/>
                <w:sz w:val="28"/>
                <w:szCs w:val="28"/>
              </w:rPr>
              <w:t>a</w:t>
            </w:r>
            <w:r w:rsidRPr="00093D7B">
              <w:rPr>
                <w:iCs/>
                <w:sz w:val="28"/>
                <w:szCs w:val="28"/>
              </w:rPr>
              <w:t xml:space="preserve"> vērtēti Latvijas Darba devēju konfederācijas un </w:t>
            </w:r>
            <w:r w:rsidR="00C32C64" w:rsidRPr="00093D7B">
              <w:rPr>
                <w:iCs/>
                <w:sz w:val="28"/>
                <w:szCs w:val="28"/>
              </w:rPr>
              <w:t>biedrības “</w:t>
            </w:r>
            <w:r w:rsidRPr="00093D7B">
              <w:rPr>
                <w:iCs/>
                <w:sz w:val="28"/>
                <w:szCs w:val="28"/>
              </w:rPr>
              <w:t>Latvijas Spēļu biznesa asociācija</w:t>
            </w:r>
            <w:r w:rsidR="00C32C64" w:rsidRPr="00093D7B">
              <w:rPr>
                <w:iCs/>
                <w:sz w:val="28"/>
                <w:szCs w:val="28"/>
              </w:rPr>
              <w:t>”</w:t>
            </w:r>
            <w:r w:rsidR="00EE5BF8">
              <w:rPr>
                <w:iCs/>
                <w:sz w:val="28"/>
                <w:szCs w:val="28"/>
              </w:rPr>
              <w:t xml:space="preserve"> iebildumi un</w:t>
            </w:r>
            <w:r w:rsidRPr="00093D7B">
              <w:rPr>
                <w:iCs/>
                <w:sz w:val="28"/>
                <w:szCs w:val="28"/>
              </w:rPr>
              <w:t xml:space="preserve"> priekšlikumi.</w:t>
            </w:r>
          </w:p>
        </w:tc>
      </w:tr>
      <w:tr w:rsidR="00693529" w:rsidRPr="00693529" w14:paraId="63BF73DD" w14:textId="77777777" w:rsidTr="00693529">
        <w:trPr>
          <w:trHeight w:val="315"/>
          <w:jc w:val="center"/>
        </w:trPr>
        <w:tc>
          <w:tcPr>
            <w:tcW w:w="445" w:type="dxa"/>
          </w:tcPr>
          <w:p w14:paraId="63BF73DA" w14:textId="77777777" w:rsidR="008515C5" w:rsidRPr="00093D7B" w:rsidRDefault="008515C5" w:rsidP="008515C5">
            <w:pPr>
              <w:rPr>
                <w:iCs/>
                <w:sz w:val="28"/>
                <w:szCs w:val="28"/>
              </w:rPr>
            </w:pPr>
            <w:r w:rsidRPr="00093D7B">
              <w:rPr>
                <w:iCs/>
                <w:sz w:val="28"/>
                <w:szCs w:val="28"/>
              </w:rPr>
              <w:lastRenderedPageBreak/>
              <w:t>4.</w:t>
            </w:r>
          </w:p>
        </w:tc>
        <w:tc>
          <w:tcPr>
            <w:tcW w:w="3029" w:type="dxa"/>
          </w:tcPr>
          <w:p w14:paraId="63BF73DB" w14:textId="77777777" w:rsidR="008515C5" w:rsidRPr="00093D7B" w:rsidRDefault="008515C5" w:rsidP="008515C5">
            <w:pPr>
              <w:rPr>
                <w:sz w:val="28"/>
                <w:szCs w:val="28"/>
              </w:rPr>
            </w:pPr>
            <w:r w:rsidRPr="00093D7B">
              <w:rPr>
                <w:sz w:val="28"/>
                <w:szCs w:val="28"/>
              </w:rPr>
              <w:t>Cita informācija</w:t>
            </w:r>
          </w:p>
        </w:tc>
        <w:tc>
          <w:tcPr>
            <w:tcW w:w="5926" w:type="dxa"/>
          </w:tcPr>
          <w:p w14:paraId="63BF73DC" w14:textId="77777777" w:rsidR="008515C5" w:rsidRPr="00093D7B" w:rsidRDefault="008515C5" w:rsidP="008515C5">
            <w:pPr>
              <w:rPr>
                <w:sz w:val="28"/>
                <w:szCs w:val="28"/>
              </w:rPr>
            </w:pPr>
            <w:r w:rsidRPr="00093D7B">
              <w:rPr>
                <w:sz w:val="28"/>
                <w:szCs w:val="28"/>
              </w:rPr>
              <w:t>Nav.</w:t>
            </w:r>
          </w:p>
        </w:tc>
      </w:tr>
    </w:tbl>
    <w:p w14:paraId="63BF73DE" w14:textId="77777777" w:rsidR="008515C5" w:rsidRPr="00093D7B" w:rsidRDefault="008515C5" w:rsidP="001E4890">
      <w:pPr>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4501"/>
        <w:gridCol w:w="4385"/>
      </w:tblGrid>
      <w:tr w:rsidR="001E4890" w:rsidRPr="00416EA9" w14:paraId="63BF73E0" w14:textId="77777777" w:rsidTr="00052654">
        <w:tc>
          <w:tcPr>
            <w:tcW w:w="0" w:type="auto"/>
            <w:gridSpan w:val="3"/>
            <w:tcBorders>
              <w:top w:val="outset" w:sz="6" w:space="0" w:color="000000"/>
              <w:left w:val="outset" w:sz="6" w:space="0" w:color="000000"/>
              <w:bottom w:val="outset" w:sz="6" w:space="0" w:color="000000"/>
              <w:right w:val="outset" w:sz="6" w:space="0" w:color="000000"/>
            </w:tcBorders>
            <w:hideMark/>
          </w:tcPr>
          <w:p w14:paraId="63BF73DF" w14:textId="77777777" w:rsidR="001E4890" w:rsidRPr="00093D7B" w:rsidRDefault="001E4890" w:rsidP="00052654">
            <w:pPr>
              <w:pStyle w:val="NormalWeb"/>
              <w:spacing w:before="0" w:beforeAutospacing="0" w:after="0" w:afterAutospacing="0"/>
              <w:jc w:val="center"/>
              <w:rPr>
                <w:b/>
                <w:bCs/>
                <w:sz w:val="28"/>
                <w:szCs w:val="28"/>
              </w:rPr>
            </w:pPr>
            <w:r w:rsidRPr="00093D7B">
              <w:rPr>
                <w:b/>
                <w:bCs/>
                <w:sz w:val="28"/>
                <w:szCs w:val="28"/>
              </w:rPr>
              <w:t>VII. Tiesību akta projekta izpildes nodrošināšana un tās ietekme uz institūcijām</w:t>
            </w:r>
          </w:p>
        </w:tc>
      </w:tr>
      <w:tr w:rsidR="001E4890" w:rsidRPr="00416EA9" w14:paraId="63BF73E4" w14:textId="77777777" w:rsidTr="00E768AB">
        <w:tc>
          <w:tcPr>
            <w:tcW w:w="242" w:type="pct"/>
            <w:tcBorders>
              <w:top w:val="outset" w:sz="6" w:space="0" w:color="000000"/>
              <w:left w:val="outset" w:sz="6" w:space="0" w:color="000000"/>
              <w:bottom w:val="outset" w:sz="6" w:space="0" w:color="000000"/>
              <w:right w:val="outset" w:sz="6" w:space="0" w:color="000000"/>
            </w:tcBorders>
            <w:hideMark/>
          </w:tcPr>
          <w:p w14:paraId="63BF73E1" w14:textId="77777777" w:rsidR="001E4890" w:rsidRPr="00093D7B" w:rsidRDefault="001E4890" w:rsidP="00052654">
            <w:pPr>
              <w:pStyle w:val="NormalWeb"/>
              <w:spacing w:before="0" w:beforeAutospacing="0" w:after="0" w:afterAutospacing="0"/>
              <w:rPr>
                <w:sz w:val="28"/>
                <w:szCs w:val="28"/>
              </w:rPr>
            </w:pPr>
            <w:r w:rsidRPr="00093D7B">
              <w:rPr>
                <w:sz w:val="28"/>
                <w:szCs w:val="28"/>
              </w:rPr>
              <w:t>1.</w:t>
            </w:r>
          </w:p>
        </w:tc>
        <w:tc>
          <w:tcPr>
            <w:tcW w:w="2410" w:type="pct"/>
            <w:tcBorders>
              <w:top w:val="outset" w:sz="6" w:space="0" w:color="000000"/>
              <w:left w:val="outset" w:sz="6" w:space="0" w:color="000000"/>
              <w:bottom w:val="outset" w:sz="6" w:space="0" w:color="000000"/>
              <w:right w:val="outset" w:sz="6" w:space="0" w:color="000000"/>
            </w:tcBorders>
            <w:hideMark/>
          </w:tcPr>
          <w:p w14:paraId="63BF73E2" w14:textId="77777777" w:rsidR="001E4890" w:rsidRPr="00093D7B" w:rsidRDefault="001E4890" w:rsidP="00052654">
            <w:pPr>
              <w:pStyle w:val="NormalWeb"/>
              <w:spacing w:before="0" w:beforeAutospacing="0" w:after="0" w:afterAutospacing="0"/>
              <w:rPr>
                <w:sz w:val="28"/>
                <w:szCs w:val="28"/>
              </w:rPr>
            </w:pPr>
            <w:r w:rsidRPr="00093D7B">
              <w:rPr>
                <w:sz w:val="28"/>
                <w:szCs w:val="28"/>
              </w:rPr>
              <w:t>Projekta izpildē iesaistītās institūcijas</w:t>
            </w:r>
          </w:p>
        </w:tc>
        <w:tc>
          <w:tcPr>
            <w:tcW w:w="2349" w:type="pct"/>
            <w:tcBorders>
              <w:top w:val="outset" w:sz="6" w:space="0" w:color="000000"/>
              <w:left w:val="outset" w:sz="6" w:space="0" w:color="000000"/>
              <w:bottom w:val="outset" w:sz="6" w:space="0" w:color="000000"/>
              <w:right w:val="outset" w:sz="6" w:space="0" w:color="000000"/>
            </w:tcBorders>
            <w:hideMark/>
          </w:tcPr>
          <w:p w14:paraId="63BF73E3" w14:textId="77777777" w:rsidR="001E4890" w:rsidRPr="00093D7B" w:rsidRDefault="00645D1D" w:rsidP="008D2DFA">
            <w:pPr>
              <w:pStyle w:val="NormalWeb"/>
              <w:spacing w:before="0" w:beforeAutospacing="0" w:after="0" w:afterAutospacing="0"/>
              <w:jc w:val="both"/>
              <w:rPr>
                <w:sz w:val="28"/>
                <w:szCs w:val="28"/>
              </w:rPr>
            </w:pPr>
            <w:r w:rsidRPr="00093D7B">
              <w:rPr>
                <w:sz w:val="28"/>
                <w:szCs w:val="28"/>
              </w:rPr>
              <w:t>Izložu un azartspēļu uzraudzības inspekcija.</w:t>
            </w:r>
          </w:p>
        </w:tc>
      </w:tr>
      <w:tr w:rsidR="001E4890" w:rsidRPr="00416EA9" w14:paraId="63BF73EA" w14:textId="77777777" w:rsidTr="00E768AB">
        <w:tc>
          <w:tcPr>
            <w:tcW w:w="242" w:type="pct"/>
            <w:tcBorders>
              <w:top w:val="outset" w:sz="6" w:space="0" w:color="000000"/>
              <w:left w:val="outset" w:sz="6" w:space="0" w:color="000000"/>
              <w:bottom w:val="outset" w:sz="6" w:space="0" w:color="000000"/>
              <w:right w:val="outset" w:sz="6" w:space="0" w:color="000000"/>
            </w:tcBorders>
            <w:hideMark/>
          </w:tcPr>
          <w:p w14:paraId="63BF73E5" w14:textId="77777777" w:rsidR="001E4890" w:rsidRPr="00093D7B" w:rsidRDefault="001E4890" w:rsidP="00052654">
            <w:pPr>
              <w:pStyle w:val="NormalWeb"/>
              <w:spacing w:before="0" w:beforeAutospacing="0" w:after="0" w:afterAutospacing="0"/>
              <w:rPr>
                <w:sz w:val="28"/>
                <w:szCs w:val="28"/>
              </w:rPr>
            </w:pPr>
            <w:r w:rsidRPr="00093D7B">
              <w:rPr>
                <w:sz w:val="28"/>
                <w:szCs w:val="28"/>
              </w:rPr>
              <w:t>2.</w:t>
            </w:r>
          </w:p>
        </w:tc>
        <w:tc>
          <w:tcPr>
            <w:tcW w:w="2410" w:type="pct"/>
            <w:tcBorders>
              <w:top w:val="outset" w:sz="6" w:space="0" w:color="000000"/>
              <w:left w:val="outset" w:sz="6" w:space="0" w:color="000000"/>
              <w:bottom w:val="outset" w:sz="6" w:space="0" w:color="000000"/>
              <w:right w:val="outset" w:sz="6" w:space="0" w:color="000000"/>
            </w:tcBorders>
            <w:hideMark/>
          </w:tcPr>
          <w:p w14:paraId="63BF73E6" w14:textId="77777777" w:rsidR="00880A15" w:rsidRPr="00093D7B" w:rsidRDefault="001E4890" w:rsidP="00052654">
            <w:pPr>
              <w:pStyle w:val="NormalWeb"/>
              <w:spacing w:before="0" w:beforeAutospacing="0" w:after="0" w:afterAutospacing="0"/>
              <w:rPr>
                <w:sz w:val="28"/>
                <w:szCs w:val="28"/>
              </w:rPr>
            </w:pPr>
            <w:r w:rsidRPr="00093D7B">
              <w:rPr>
                <w:sz w:val="28"/>
                <w:szCs w:val="28"/>
              </w:rPr>
              <w:t>Projekta izpildes ietekme uz pārvaldes funkcijām</w:t>
            </w:r>
            <w:r w:rsidR="00880A15" w:rsidRPr="00093D7B">
              <w:rPr>
                <w:sz w:val="28"/>
                <w:szCs w:val="28"/>
              </w:rPr>
              <w:t xml:space="preserve"> un institucionālo struktūru.</w:t>
            </w:r>
          </w:p>
          <w:p w14:paraId="63BF73E7" w14:textId="77777777" w:rsidR="00880A15" w:rsidRPr="00093D7B" w:rsidRDefault="00880A15" w:rsidP="00052654">
            <w:pPr>
              <w:pStyle w:val="NormalWeb"/>
              <w:spacing w:before="0" w:beforeAutospacing="0" w:after="0" w:afterAutospacing="0"/>
              <w:rPr>
                <w:sz w:val="28"/>
                <w:szCs w:val="28"/>
              </w:rPr>
            </w:pPr>
            <w:r w:rsidRPr="00093D7B">
              <w:rPr>
                <w:sz w:val="28"/>
                <w:szCs w:val="28"/>
              </w:rPr>
              <w:t>Jaunu institūciju izveide, esošo institūciju likvidācija vai reorganizācija, to ietekme uz institūcijas cilvēkresursiem</w:t>
            </w:r>
          </w:p>
        </w:tc>
        <w:tc>
          <w:tcPr>
            <w:tcW w:w="2349" w:type="pct"/>
            <w:tcBorders>
              <w:top w:val="outset" w:sz="6" w:space="0" w:color="000000"/>
              <w:left w:val="outset" w:sz="6" w:space="0" w:color="000000"/>
              <w:bottom w:val="outset" w:sz="6" w:space="0" w:color="000000"/>
              <w:right w:val="outset" w:sz="6" w:space="0" w:color="000000"/>
            </w:tcBorders>
            <w:hideMark/>
          </w:tcPr>
          <w:p w14:paraId="63BF73E8" w14:textId="77777777" w:rsidR="001E4890" w:rsidRPr="00093D7B" w:rsidRDefault="00EB6084" w:rsidP="00ED472B">
            <w:pPr>
              <w:pStyle w:val="NormalWeb"/>
              <w:spacing w:before="0" w:beforeAutospacing="0" w:after="0" w:afterAutospacing="0"/>
              <w:jc w:val="both"/>
              <w:rPr>
                <w:sz w:val="28"/>
                <w:szCs w:val="28"/>
              </w:rPr>
            </w:pPr>
            <w:r w:rsidRPr="00093D7B">
              <w:rPr>
                <w:sz w:val="28"/>
                <w:szCs w:val="28"/>
              </w:rPr>
              <w:t xml:space="preserve">Tiks paplašinātas </w:t>
            </w:r>
            <w:r w:rsidR="00591DA1" w:rsidRPr="00093D7B">
              <w:rPr>
                <w:sz w:val="28"/>
                <w:szCs w:val="28"/>
              </w:rPr>
              <w:t>Izložu un azartspēļu uzraudzības inspekcijas</w:t>
            </w:r>
            <w:r w:rsidRPr="00093D7B">
              <w:rPr>
                <w:sz w:val="28"/>
                <w:szCs w:val="28"/>
              </w:rPr>
              <w:t xml:space="preserve"> funkcijas.</w:t>
            </w:r>
            <w:r w:rsidR="002E3C62" w:rsidRPr="00093D7B">
              <w:rPr>
                <w:sz w:val="28"/>
                <w:szCs w:val="28"/>
              </w:rPr>
              <w:t xml:space="preserve"> Jaunu institūciju izveide, esošo institūciju likvidācija vai reorganizācija netiek paredzēta.</w:t>
            </w:r>
          </w:p>
          <w:p w14:paraId="63BF73E9" w14:textId="77777777" w:rsidR="002E3C62" w:rsidRPr="00093D7B" w:rsidRDefault="00C2799A" w:rsidP="00C2799A">
            <w:pPr>
              <w:pStyle w:val="NormalWeb"/>
              <w:spacing w:before="0" w:beforeAutospacing="0" w:after="0" w:afterAutospacing="0"/>
              <w:jc w:val="both"/>
              <w:rPr>
                <w:sz w:val="28"/>
                <w:szCs w:val="28"/>
              </w:rPr>
            </w:pPr>
            <w:r w:rsidRPr="00093D7B">
              <w:rPr>
                <w:sz w:val="28"/>
                <w:szCs w:val="28"/>
              </w:rPr>
              <w:t>Noteikumu p</w:t>
            </w:r>
            <w:r w:rsidR="002E3C62" w:rsidRPr="00093D7B">
              <w:rPr>
                <w:sz w:val="28"/>
                <w:szCs w:val="28"/>
              </w:rPr>
              <w:t>rojekts tiks realizēts esošo cilvēkresursu ietvaros.</w:t>
            </w:r>
          </w:p>
        </w:tc>
      </w:tr>
      <w:tr w:rsidR="001E4890" w:rsidRPr="00416EA9" w14:paraId="63BF73EE" w14:textId="77777777" w:rsidTr="00E768AB">
        <w:tc>
          <w:tcPr>
            <w:tcW w:w="242" w:type="pct"/>
            <w:tcBorders>
              <w:top w:val="outset" w:sz="6" w:space="0" w:color="000000"/>
              <w:left w:val="outset" w:sz="6" w:space="0" w:color="000000"/>
              <w:bottom w:val="outset" w:sz="6" w:space="0" w:color="000000"/>
              <w:right w:val="outset" w:sz="6" w:space="0" w:color="000000"/>
            </w:tcBorders>
            <w:hideMark/>
          </w:tcPr>
          <w:p w14:paraId="63BF73EB" w14:textId="77777777" w:rsidR="001E4890" w:rsidRPr="00093D7B" w:rsidRDefault="00880A15" w:rsidP="00052654">
            <w:pPr>
              <w:pStyle w:val="NormalWeb"/>
              <w:spacing w:before="0" w:beforeAutospacing="0" w:after="0" w:afterAutospacing="0"/>
              <w:rPr>
                <w:sz w:val="28"/>
                <w:szCs w:val="28"/>
              </w:rPr>
            </w:pPr>
            <w:r w:rsidRPr="00093D7B">
              <w:rPr>
                <w:sz w:val="28"/>
                <w:szCs w:val="28"/>
              </w:rPr>
              <w:t>3</w:t>
            </w:r>
            <w:r w:rsidR="001E4890" w:rsidRPr="00093D7B">
              <w:rPr>
                <w:sz w:val="28"/>
                <w:szCs w:val="28"/>
              </w:rPr>
              <w:t>.</w:t>
            </w:r>
          </w:p>
        </w:tc>
        <w:tc>
          <w:tcPr>
            <w:tcW w:w="2410" w:type="pct"/>
            <w:tcBorders>
              <w:top w:val="outset" w:sz="6" w:space="0" w:color="000000"/>
              <w:left w:val="outset" w:sz="6" w:space="0" w:color="000000"/>
              <w:bottom w:val="outset" w:sz="6" w:space="0" w:color="000000"/>
              <w:right w:val="outset" w:sz="6" w:space="0" w:color="000000"/>
            </w:tcBorders>
            <w:hideMark/>
          </w:tcPr>
          <w:p w14:paraId="63BF73EC" w14:textId="77777777" w:rsidR="001E4890" w:rsidRPr="00093D7B" w:rsidRDefault="001E4890" w:rsidP="00052654">
            <w:pPr>
              <w:pStyle w:val="NormalWeb"/>
              <w:spacing w:before="0" w:beforeAutospacing="0" w:after="0" w:afterAutospacing="0"/>
              <w:rPr>
                <w:sz w:val="28"/>
                <w:szCs w:val="28"/>
              </w:rPr>
            </w:pPr>
            <w:r w:rsidRPr="00093D7B">
              <w:rPr>
                <w:sz w:val="28"/>
                <w:szCs w:val="28"/>
              </w:rPr>
              <w:t>Cita informācija</w:t>
            </w:r>
          </w:p>
        </w:tc>
        <w:tc>
          <w:tcPr>
            <w:tcW w:w="2349" w:type="pct"/>
            <w:tcBorders>
              <w:top w:val="outset" w:sz="6" w:space="0" w:color="000000"/>
              <w:left w:val="outset" w:sz="6" w:space="0" w:color="000000"/>
              <w:bottom w:val="outset" w:sz="6" w:space="0" w:color="000000"/>
              <w:right w:val="outset" w:sz="6" w:space="0" w:color="000000"/>
            </w:tcBorders>
            <w:hideMark/>
          </w:tcPr>
          <w:p w14:paraId="63BF73ED" w14:textId="77777777" w:rsidR="001E4890" w:rsidRPr="00093D7B" w:rsidRDefault="001E4890" w:rsidP="00052654">
            <w:pPr>
              <w:pStyle w:val="NormalWeb"/>
              <w:spacing w:before="0" w:beforeAutospacing="0" w:after="0" w:afterAutospacing="0"/>
              <w:rPr>
                <w:sz w:val="28"/>
                <w:szCs w:val="28"/>
              </w:rPr>
            </w:pPr>
            <w:r w:rsidRPr="00093D7B">
              <w:rPr>
                <w:sz w:val="28"/>
                <w:szCs w:val="28"/>
              </w:rPr>
              <w:t>Nav</w:t>
            </w:r>
            <w:r w:rsidR="0026359B" w:rsidRPr="00093D7B">
              <w:rPr>
                <w:sz w:val="28"/>
                <w:szCs w:val="28"/>
              </w:rPr>
              <w:t>.</w:t>
            </w:r>
          </w:p>
        </w:tc>
      </w:tr>
    </w:tbl>
    <w:p w14:paraId="63BF73EF" w14:textId="77777777" w:rsidR="001E4890" w:rsidRPr="00093D7B" w:rsidRDefault="001E4890" w:rsidP="001E4890">
      <w:pPr>
        <w:rPr>
          <w:sz w:val="28"/>
          <w:szCs w:val="28"/>
        </w:rPr>
      </w:pPr>
    </w:p>
    <w:p w14:paraId="63BF73F0" w14:textId="77777777" w:rsidR="00591DA1" w:rsidRPr="00093D7B" w:rsidRDefault="00591DA1" w:rsidP="001E4890">
      <w:pPr>
        <w:rPr>
          <w:sz w:val="28"/>
          <w:szCs w:val="28"/>
        </w:rPr>
      </w:pPr>
    </w:p>
    <w:p w14:paraId="63BF73F1" w14:textId="77777777" w:rsidR="00936AFB" w:rsidRPr="00093D7B" w:rsidRDefault="00936AFB" w:rsidP="001F4C8F">
      <w:pPr>
        <w:rPr>
          <w:sz w:val="28"/>
          <w:szCs w:val="28"/>
        </w:rPr>
      </w:pPr>
    </w:p>
    <w:p w14:paraId="555FF79C" w14:textId="77777777" w:rsidR="004A5FD7" w:rsidRDefault="004A5FD7" w:rsidP="004A5FD7">
      <w:pPr>
        <w:tabs>
          <w:tab w:val="left" w:pos="7938"/>
        </w:tabs>
        <w:ind w:firstLine="720"/>
        <w:rPr>
          <w:sz w:val="28"/>
          <w:szCs w:val="28"/>
        </w:rPr>
      </w:pPr>
      <w:r>
        <w:rPr>
          <w:sz w:val="28"/>
          <w:szCs w:val="28"/>
        </w:rPr>
        <w:t xml:space="preserve">Finanšu ministres vietā – </w:t>
      </w:r>
    </w:p>
    <w:p w14:paraId="5DAB03D2" w14:textId="77777777" w:rsidR="004A5FD7" w:rsidRPr="001F5159" w:rsidRDefault="004A5FD7" w:rsidP="004A5FD7">
      <w:pPr>
        <w:tabs>
          <w:tab w:val="left" w:pos="7797"/>
        </w:tabs>
        <w:ind w:firstLine="720"/>
        <w:rPr>
          <w:sz w:val="28"/>
          <w:szCs w:val="28"/>
        </w:rPr>
      </w:pPr>
      <w:r>
        <w:rPr>
          <w:sz w:val="28"/>
          <w:szCs w:val="28"/>
        </w:rPr>
        <w:t>Ministru prezidents</w:t>
      </w:r>
      <w:r w:rsidRPr="001F5159">
        <w:rPr>
          <w:sz w:val="28"/>
          <w:szCs w:val="28"/>
        </w:rPr>
        <w:tab/>
      </w:r>
      <w:proofErr w:type="spellStart"/>
      <w:r>
        <w:rPr>
          <w:sz w:val="28"/>
          <w:szCs w:val="28"/>
        </w:rPr>
        <w:t>M.Kučinskis</w:t>
      </w:r>
      <w:proofErr w:type="spellEnd"/>
    </w:p>
    <w:p w14:paraId="63BF73F3" w14:textId="77777777" w:rsidR="00936AFB" w:rsidRPr="00093D7B" w:rsidRDefault="00936AFB" w:rsidP="00416EA9">
      <w:pPr>
        <w:tabs>
          <w:tab w:val="left" w:pos="8222"/>
        </w:tabs>
        <w:rPr>
          <w:sz w:val="28"/>
          <w:szCs w:val="28"/>
        </w:rPr>
      </w:pPr>
    </w:p>
    <w:p w14:paraId="63BF740B" w14:textId="77777777" w:rsidR="00416EA9" w:rsidRPr="00093D7B" w:rsidRDefault="00416EA9" w:rsidP="00416EA9">
      <w:pPr>
        <w:tabs>
          <w:tab w:val="left" w:pos="8222"/>
        </w:tabs>
        <w:rPr>
          <w:sz w:val="28"/>
          <w:szCs w:val="28"/>
        </w:rPr>
      </w:pPr>
    </w:p>
    <w:p w14:paraId="7E355FA7" w14:textId="77777777" w:rsidR="006B38B9" w:rsidRPr="00093D7B" w:rsidRDefault="006B38B9" w:rsidP="00416EA9">
      <w:pPr>
        <w:tabs>
          <w:tab w:val="left" w:pos="8222"/>
        </w:tabs>
        <w:rPr>
          <w:sz w:val="28"/>
          <w:szCs w:val="28"/>
        </w:rPr>
      </w:pPr>
    </w:p>
    <w:p w14:paraId="7AB3DB5D" w14:textId="77777777" w:rsidR="006B38B9" w:rsidRDefault="006B38B9" w:rsidP="00416EA9">
      <w:pPr>
        <w:tabs>
          <w:tab w:val="left" w:pos="8222"/>
        </w:tabs>
        <w:rPr>
          <w:sz w:val="28"/>
          <w:szCs w:val="28"/>
        </w:rPr>
      </w:pPr>
    </w:p>
    <w:p w14:paraId="67128EBE" w14:textId="77777777" w:rsidR="00093D7B" w:rsidRDefault="00093D7B" w:rsidP="00416EA9">
      <w:pPr>
        <w:tabs>
          <w:tab w:val="left" w:pos="8222"/>
        </w:tabs>
        <w:rPr>
          <w:sz w:val="28"/>
          <w:szCs w:val="28"/>
        </w:rPr>
      </w:pPr>
    </w:p>
    <w:p w14:paraId="4DFAEEB5" w14:textId="77777777" w:rsidR="00093D7B" w:rsidRDefault="00093D7B" w:rsidP="00416EA9">
      <w:pPr>
        <w:tabs>
          <w:tab w:val="left" w:pos="8222"/>
        </w:tabs>
        <w:rPr>
          <w:sz w:val="28"/>
          <w:szCs w:val="28"/>
        </w:rPr>
      </w:pPr>
    </w:p>
    <w:p w14:paraId="2EA46DDF" w14:textId="77777777" w:rsidR="00093D7B" w:rsidRDefault="00093D7B" w:rsidP="00416EA9">
      <w:pPr>
        <w:tabs>
          <w:tab w:val="left" w:pos="8222"/>
        </w:tabs>
        <w:rPr>
          <w:sz w:val="28"/>
          <w:szCs w:val="28"/>
        </w:rPr>
      </w:pPr>
    </w:p>
    <w:p w14:paraId="7517CEDD" w14:textId="77777777" w:rsidR="00093D7B" w:rsidRDefault="00093D7B" w:rsidP="00416EA9">
      <w:pPr>
        <w:tabs>
          <w:tab w:val="left" w:pos="8222"/>
        </w:tabs>
        <w:rPr>
          <w:sz w:val="28"/>
          <w:szCs w:val="28"/>
        </w:rPr>
      </w:pPr>
    </w:p>
    <w:p w14:paraId="2D67DFBC" w14:textId="77777777" w:rsidR="00093D7B" w:rsidRDefault="00093D7B" w:rsidP="00416EA9">
      <w:pPr>
        <w:tabs>
          <w:tab w:val="left" w:pos="8222"/>
        </w:tabs>
        <w:rPr>
          <w:sz w:val="28"/>
          <w:szCs w:val="28"/>
        </w:rPr>
      </w:pPr>
    </w:p>
    <w:p w14:paraId="04FEF50F" w14:textId="77777777" w:rsidR="00093D7B" w:rsidRDefault="00093D7B" w:rsidP="00416EA9">
      <w:pPr>
        <w:tabs>
          <w:tab w:val="left" w:pos="8222"/>
        </w:tabs>
        <w:rPr>
          <w:sz w:val="28"/>
          <w:szCs w:val="28"/>
        </w:rPr>
      </w:pPr>
    </w:p>
    <w:p w14:paraId="440BF80C" w14:textId="77777777" w:rsidR="00093D7B" w:rsidRDefault="00093D7B" w:rsidP="00416EA9">
      <w:pPr>
        <w:tabs>
          <w:tab w:val="left" w:pos="8222"/>
        </w:tabs>
        <w:rPr>
          <w:sz w:val="28"/>
          <w:szCs w:val="28"/>
        </w:rPr>
      </w:pPr>
    </w:p>
    <w:p w14:paraId="1A37B5A9" w14:textId="77777777" w:rsidR="00093D7B" w:rsidRDefault="00093D7B" w:rsidP="00416EA9">
      <w:pPr>
        <w:tabs>
          <w:tab w:val="left" w:pos="8222"/>
        </w:tabs>
        <w:rPr>
          <w:sz w:val="28"/>
          <w:szCs w:val="28"/>
        </w:rPr>
      </w:pPr>
    </w:p>
    <w:p w14:paraId="6640CAF1" w14:textId="77777777" w:rsidR="00093D7B" w:rsidRDefault="00093D7B" w:rsidP="00416EA9">
      <w:pPr>
        <w:tabs>
          <w:tab w:val="left" w:pos="8222"/>
        </w:tabs>
        <w:rPr>
          <w:sz w:val="28"/>
          <w:szCs w:val="28"/>
        </w:rPr>
      </w:pPr>
    </w:p>
    <w:p w14:paraId="5EB66261" w14:textId="77777777" w:rsidR="00093D7B" w:rsidRDefault="00093D7B" w:rsidP="00416EA9">
      <w:pPr>
        <w:tabs>
          <w:tab w:val="left" w:pos="8222"/>
        </w:tabs>
        <w:rPr>
          <w:sz w:val="28"/>
          <w:szCs w:val="28"/>
        </w:rPr>
      </w:pPr>
    </w:p>
    <w:p w14:paraId="15E9137C" w14:textId="77777777" w:rsidR="00093D7B" w:rsidRDefault="00093D7B" w:rsidP="00416EA9">
      <w:pPr>
        <w:tabs>
          <w:tab w:val="left" w:pos="8222"/>
        </w:tabs>
        <w:rPr>
          <w:sz w:val="28"/>
          <w:szCs w:val="28"/>
        </w:rPr>
      </w:pPr>
    </w:p>
    <w:p w14:paraId="299D3345" w14:textId="77777777" w:rsidR="00093D7B" w:rsidRDefault="00093D7B" w:rsidP="00416EA9">
      <w:pPr>
        <w:tabs>
          <w:tab w:val="left" w:pos="8222"/>
        </w:tabs>
        <w:rPr>
          <w:sz w:val="28"/>
          <w:szCs w:val="28"/>
        </w:rPr>
      </w:pPr>
    </w:p>
    <w:p w14:paraId="0EC4B2E3" w14:textId="77777777" w:rsidR="00093D7B" w:rsidRDefault="00093D7B" w:rsidP="00416EA9">
      <w:pPr>
        <w:tabs>
          <w:tab w:val="left" w:pos="8222"/>
        </w:tabs>
        <w:rPr>
          <w:sz w:val="28"/>
          <w:szCs w:val="28"/>
        </w:rPr>
      </w:pPr>
    </w:p>
    <w:p w14:paraId="2B0F799F" w14:textId="77777777" w:rsidR="00093D7B" w:rsidRDefault="00093D7B" w:rsidP="00416EA9">
      <w:pPr>
        <w:tabs>
          <w:tab w:val="left" w:pos="8222"/>
        </w:tabs>
        <w:rPr>
          <w:sz w:val="28"/>
          <w:szCs w:val="28"/>
        </w:rPr>
      </w:pPr>
    </w:p>
    <w:p w14:paraId="0BB9835C" w14:textId="77777777" w:rsidR="00093D7B" w:rsidRDefault="00093D7B" w:rsidP="00416EA9">
      <w:pPr>
        <w:tabs>
          <w:tab w:val="left" w:pos="8222"/>
        </w:tabs>
        <w:rPr>
          <w:sz w:val="28"/>
          <w:szCs w:val="28"/>
        </w:rPr>
      </w:pPr>
    </w:p>
    <w:p w14:paraId="66F1158B" w14:textId="77777777" w:rsidR="00093D7B" w:rsidRDefault="00093D7B" w:rsidP="00416EA9">
      <w:pPr>
        <w:tabs>
          <w:tab w:val="left" w:pos="8222"/>
        </w:tabs>
        <w:rPr>
          <w:sz w:val="28"/>
          <w:szCs w:val="28"/>
        </w:rPr>
      </w:pPr>
    </w:p>
    <w:p w14:paraId="49D46D62" w14:textId="77777777" w:rsidR="00093D7B" w:rsidRDefault="00093D7B" w:rsidP="00416EA9">
      <w:pPr>
        <w:tabs>
          <w:tab w:val="left" w:pos="8222"/>
        </w:tabs>
        <w:rPr>
          <w:sz w:val="28"/>
          <w:szCs w:val="28"/>
        </w:rPr>
      </w:pPr>
    </w:p>
    <w:p w14:paraId="7575140D" w14:textId="77777777" w:rsidR="00093D7B" w:rsidRDefault="00093D7B" w:rsidP="00416EA9">
      <w:pPr>
        <w:tabs>
          <w:tab w:val="left" w:pos="8222"/>
        </w:tabs>
        <w:rPr>
          <w:sz w:val="28"/>
          <w:szCs w:val="28"/>
        </w:rPr>
      </w:pPr>
    </w:p>
    <w:p w14:paraId="1099A81D" w14:textId="77777777" w:rsidR="00A806DC" w:rsidRPr="00093D7B" w:rsidRDefault="00A806DC" w:rsidP="00416EA9">
      <w:pPr>
        <w:tabs>
          <w:tab w:val="left" w:pos="8222"/>
        </w:tabs>
        <w:rPr>
          <w:sz w:val="28"/>
          <w:szCs w:val="28"/>
        </w:rPr>
      </w:pPr>
    </w:p>
    <w:p w14:paraId="63BF740E" w14:textId="03693307" w:rsidR="00CD38A5" w:rsidRPr="00591DA1" w:rsidRDefault="00B10408" w:rsidP="00CD38A5">
      <w:pPr>
        <w:jc w:val="both"/>
        <w:rPr>
          <w:sz w:val="22"/>
          <w:szCs w:val="22"/>
          <w:lang w:eastAsia="en-US"/>
        </w:rPr>
      </w:pPr>
      <w:r w:rsidRPr="00591DA1">
        <w:rPr>
          <w:sz w:val="22"/>
          <w:szCs w:val="22"/>
          <w:lang w:eastAsia="en-US"/>
        </w:rPr>
        <w:t>Leite, 67095</w:t>
      </w:r>
      <w:r w:rsidR="00217DFB">
        <w:rPr>
          <w:sz w:val="22"/>
          <w:szCs w:val="22"/>
          <w:lang w:eastAsia="en-US"/>
        </w:rPr>
        <w:t>496</w:t>
      </w:r>
    </w:p>
    <w:p w14:paraId="63BF740F" w14:textId="282405DA" w:rsidR="00A0109B" w:rsidRPr="00591DA1" w:rsidRDefault="00154D16" w:rsidP="009123ED">
      <w:pPr>
        <w:jc w:val="both"/>
        <w:rPr>
          <w:sz w:val="22"/>
          <w:szCs w:val="22"/>
          <w:lang w:val="en-GB" w:eastAsia="en-US"/>
        </w:rPr>
      </w:pPr>
      <w:hyperlink r:id="rId12" w:history="1">
        <w:r w:rsidR="00511068" w:rsidRPr="00591DA1">
          <w:rPr>
            <w:rStyle w:val="Hyperlink"/>
            <w:sz w:val="22"/>
            <w:szCs w:val="22"/>
            <w:lang w:val="en-GB" w:eastAsia="en-US"/>
          </w:rPr>
          <w:t>Liga.Leite@fm.gov.lv</w:t>
        </w:r>
      </w:hyperlink>
    </w:p>
    <w:sectPr w:rsidR="00A0109B" w:rsidRPr="00591DA1" w:rsidSect="001E4890">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4ACE" w14:textId="77777777" w:rsidR="00BD4709" w:rsidRDefault="00BD4709">
      <w:r>
        <w:separator/>
      </w:r>
    </w:p>
  </w:endnote>
  <w:endnote w:type="continuationSeparator" w:id="0">
    <w:p w14:paraId="6759D1FB" w14:textId="77777777" w:rsidR="00BD4709" w:rsidRDefault="00BD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8"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7419" w14:textId="77777777"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A" w14:textId="5B744125" w:rsidR="009439B5" w:rsidRPr="003834F2"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154D16">
      <w:rPr>
        <w:noProof/>
        <w:sz w:val="20"/>
        <w:szCs w:val="20"/>
      </w:rPr>
      <w:t>FManot_281116_AKUS.docx</w:t>
    </w:r>
    <w:r w:rsidRPr="003834F2">
      <w:rPr>
        <w:sz w:val="20"/>
        <w:szCs w:val="20"/>
      </w:rPr>
      <w:fldChar w:fldCharType="end"/>
    </w:r>
    <w:r w:rsidRPr="003834F2">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B" w14:textId="4F94D878" w:rsidR="009439B5" w:rsidRPr="00CA6791"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154D16">
      <w:rPr>
        <w:noProof/>
        <w:sz w:val="20"/>
        <w:szCs w:val="20"/>
      </w:rPr>
      <w:t>FManot_281116_AKUS.docx</w:t>
    </w:r>
    <w:r w:rsidRPr="00D57035">
      <w:rPr>
        <w:sz w:val="20"/>
        <w:szCs w:val="20"/>
      </w:rPr>
      <w:fldChar w:fldCharType="end"/>
    </w:r>
    <w:bookmarkStart w:id="0" w:name="_GoBack"/>
    <w:bookmarkEnd w:id="0"/>
    <w:r w:rsidRPr="00D57035">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72DA7" w14:textId="77777777" w:rsidR="00BD4709" w:rsidRDefault="00BD4709">
      <w:r>
        <w:separator/>
      </w:r>
    </w:p>
  </w:footnote>
  <w:footnote w:type="continuationSeparator" w:id="0">
    <w:p w14:paraId="2884994B" w14:textId="77777777" w:rsidR="00BD4709" w:rsidRDefault="00BD4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4"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F7415" w14:textId="77777777"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6"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D16">
      <w:rPr>
        <w:rStyle w:val="PageNumber"/>
        <w:noProof/>
      </w:rPr>
      <w:t>9</w:t>
    </w:r>
    <w:r>
      <w:rPr>
        <w:rStyle w:val="PageNumber"/>
      </w:rPr>
      <w:fldChar w:fldCharType="end"/>
    </w:r>
  </w:p>
  <w:p w14:paraId="63BF7417" w14:textId="77777777" w:rsidR="009439B5" w:rsidRPr="004F7101" w:rsidRDefault="009439B5" w:rsidP="004F7101">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28F9" w14:textId="77777777" w:rsidR="00154D16" w:rsidRDefault="00154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CF554CE"/>
    <w:multiLevelType w:val="hybridMultilevel"/>
    <w:tmpl w:val="46884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B3F1C16"/>
    <w:multiLevelType w:val="hybridMultilevel"/>
    <w:tmpl w:val="7BD2B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8"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1"/>
  </w:num>
  <w:num w:numId="2">
    <w:abstractNumId w:val="17"/>
  </w:num>
  <w:num w:numId="3">
    <w:abstractNumId w:val="19"/>
  </w:num>
  <w:num w:numId="4">
    <w:abstractNumId w:val="1"/>
  </w:num>
  <w:num w:numId="5">
    <w:abstractNumId w:val="7"/>
  </w:num>
  <w:num w:numId="6">
    <w:abstractNumId w:val="18"/>
  </w:num>
  <w:num w:numId="7">
    <w:abstractNumId w:val="4"/>
  </w:num>
  <w:num w:numId="8">
    <w:abstractNumId w:val="8"/>
  </w:num>
  <w:num w:numId="9">
    <w:abstractNumId w:val="12"/>
  </w:num>
  <w:num w:numId="10">
    <w:abstractNumId w:val="6"/>
  </w:num>
  <w:num w:numId="11">
    <w:abstractNumId w:val="16"/>
  </w:num>
  <w:num w:numId="12">
    <w:abstractNumId w:val="20"/>
  </w:num>
  <w:num w:numId="13">
    <w:abstractNumId w:val="3"/>
  </w:num>
  <w:num w:numId="14">
    <w:abstractNumId w:val="0"/>
  </w:num>
  <w:num w:numId="15">
    <w:abstractNumId w:val="5"/>
  </w:num>
  <w:num w:numId="16">
    <w:abstractNumId w:val="10"/>
  </w:num>
  <w:num w:numId="17">
    <w:abstractNumId w:val="15"/>
  </w:num>
  <w:num w:numId="18">
    <w:abstractNumId w:val="13"/>
  </w:num>
  <w:num w:numId="19">
    <w:abstractNumId w:val="11"/>
  </w:num>
  <w:num w:numId="20">
    <w:abstractNumId w:val="14"/>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ECF"/>
    <w:rsid w:val="00003633"/>
    <w:rsid w:val="00010698"/>
    <w:rsid w:val="000142E6"/>
    <w:rsid w:val="0001718B"/>
    <w:rsid w:val="0002043D"/>
    <w:rsid w:val="00020E02"/>
    <w:rsid w:val="000215CC"/>
    <w:rsid w:val="0002342B"/>
    <w:rsid w:val="000235F2"/>
    <w:rsid w:val="00026B38"/>
    <w:rsid w:val="00026D21"/>
    <w:rsid w:val="00027D92"/>
    <w:rsid w:val="00031574"/>
    <w:rsid w:val="00032913"/>
    <w:rsid w:val="00035354"/>
    <w:rsid w:val="00040E0A"/>
    <w:rsid w:val="00042338"/>
    <w:rsid w:val="00044877"/>
    <w:rsid w:val="00047364"/>
    <w:rsid w:val="00047D53"/>
    <w:rsid w:val="00051357"/>
    <w:rsid w:val="00051A01"/>
    <w:rsid w:val="00052654"/>
    <w:rsid w:val="00053620"/>
    <w:rsid w:val="00054CDF"/>
    <w:rsid w:val="0005658C"/>
    <w:rsid w:val="0005736C"/>
    <w:rsid w:val="0006132B"/>
    <w:rsid w:val="00062165"/>
    <w:rsid w:val="00062337"/>
    <w:rsid w:val="00062AC3"/>
    <w:rsid w:val="00063764"/>
    <w:rsid w:val="000650E2"/>
    <w:rsid w:val="00065458"/>
    <w:rsid w:val="00065A07"/>
    <w:rsid w:val="0007105F"/>
    <w:rsid w:val="000733D6"/>
    <w:rsid w:val="0007487C"/>
    <w:rsid w:val="000751F5"/>
    <w:rsid w:val="000761E8"/>
    <w:rsid w:val="00076E30"/>
    <w:rsid w:val="00085B64"/>
    <w:rsid w:val="000865BC"/>
    <w:rsid w:val="00087B26"/>
    <w:rsid w:val="00093D7B"/>
    <w:rsid w:val="00095B9A"/>
    <w:rsid w:val="00096000"/>
    <w:rsid w:val="000961DA"/>
    <w:rsid w:val="00097A82"/>
    <w:rsid w:val="000A2E50"/>
    <w:rsid w:val="000A3996"/>
    <w:rsid w:val="000A3E14"/>
    <w:rsid w:val="000A441E"/>
    <w:rsid w:val="000A716C"/>
    <w:rsid w:val="000A7E6D"/>
    <w:rsid w:val="000B4230"/>
    <w:rsid w:val="000C07F9"/>
    <w:rsid w:val="000C104E"/>
    <w:rsid w:val="000C415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1C39"/>
    <w:rsid w:val="000F4234"/>
    <w:rsid w:val="000F52CA"/>
    <w:rsid w:val="000F758B"/>
    <w:rsid w:val="00103556"/>
    <w:rsid w:val="001036E5"/>
    <w:rsid w:val="001044CC"/>
    <w:rsid w:val="00104785"/>
    <w:rsid w:val="00106600"/>
    <w:rsid w:val="001148C9"/>
    <w:rsid w:val="00115101"/>
    <w:rsid w:val="001171F3"/>
    <w:rsid w:val="001173E0"/>
    <w:rsid w:val="001237BA"/>
    <w:rsid w:val="00126CEB"/>
    <w:rsid w:val="00126D5D"/>
    <w:rsid w:val="00127906"/>
    <w:rsid w:val="00135026"/>
    <w:rsid w:val="001362A3"/>
    <w:rsid w:val="001368B1"/>
    <w:rsid w:val="00136A52"/>
    <w:rsid w:val="001419B1"/>
    <w:rsid w:val="00142044"/>
    <w:rsid w:val="0014307B"/>
    <w:rsid w:val="00145CA2"/>
    <w:rsid w:val="00147C6A"/>
    <w:rsid w:val="00150672"/>
    <w:rsid w:val="00150D1D"/>
    <w:rsid w:val="00151057"/>
    <w:rsid w:val="00154D16"/>
    <w:rsid w:val="001601D0"/>
    <w:rsid w:val="001604B9"/>
    <w:rsid w:val="00164F5B"/>
    <w:rsid w:val="00165D83"/>
    <w:rsid w:val="00166F8F"/>
    <w:rsid w:val="00170DF1"/>
    <w:rsid w:val="0017121A"/>
    <w:rsid w:val="00171776"/>
    <w:rsid w:val="00172E78"/>
    <w:rsid w:val="001731F3"/>
    <w:rsid w:val="00174301"/>
    <w:rsid w:val="00177FE8"/>
    <w:rsid w:val="00182C02"/>
    <w:rsid w:val="00182C0B"/>
    <w:rsid w:val="0018309B"/>
    <w:rsid w:val="0018480C"/>
    <w:rsid w:val="0018701E"/>
    <w:rsid w:val="00187E06"/>
    <w:rsid w:val="001929B1"/>
    <w:rsid w:val="00193AAB"/>
    <w:rsid w:val="00194389"/>
    <w:rsid w:val="001952EA"/>
    <w:rsid w:val="00196543"/>
    <w:rsid w:val="00197757"/>
    <w:rsid w:val="001A70F0"/>
    <w:rsid w:val="001A7D5F"/>
    <w:rsid w:val="001A7E6B"/>
    <w:rsid w:val="001C25B8"/>
    <w:rsid w:val="001C386F"/>
    <w:rsid w:val="001D038F"/>
    <w:rsid w:val="001D12DE"/>
    <w:rsid w:val="001D5B53"/>
    <w:rsid w:val="001D6249"/>
    <w:rsid w:val="001E4890"/>
    <w:rsid w:val="001E75CA"/>
    <w:rsid w:val="001F089C"/>
    <w:rsid w:val="001F0A71"/>
    <w:rsid w:val="001F21CB"/>
    <w:rsid w:val="001F4C8F"/>
    <w:rsid w:val="001F57A4"/>
    <w:rsid w:val="001F6166"/>
    <w:rsid w:val="001F7156"/>
    <w:rsid w:val="001F722B"/>
    <w:rsid w:val="00203870"/>
    <w:rsid w:val="002067F2"/>
    <w:rsid w:val="00207B9B"/>
    <w:rsid w:val="00212CDB"/>
    <w:rsid w:val="002131F3"/>
    <w:rsid w:val="002144A3"/>
    <w:rsid w:val="00217DFB"/>
    <w:rsid w:val="002229C2"/>
    <w:rsid w:val="002254C5"/>
    <w:rsid w:val="00225C6A"/>
    <w:rsid w:val="00227472"/>
    <w:rsid w:val="002319F9"/>
    <w:rsid w:val="00232290"/>
    <w:rsid w:val="00232FC7"/>
    <w:rsid w:val="00236243"/>
    <w:rsid w:val="002372E5"/>
    <w:rsid w:val="002461F5"/>
    <w:rsid w:val="00246735"/>
    <w:rsid w:val="0025017B"/>
    <w:rsid w:val="00251BD6"/>
    <w:rsid w:val="002551B8"/>
    <w:rsid w:val="00255A73"/>
    <w:rsid w:val="002560E4"/>
    <w:rsid w:val="0026006B"/>
    <w:rsid w:val="00262F54"/>
    <w:rsid w:val="0026359B"/>
    <w:rsid w:val="00264CAA"/>
    <w:rsid w:val="00270489"/>
    <w:rsid w:val="002712C0"/>
    <w:rsid w:val="00273FA2"/>
    <w:rsid w:val="00276BAC"/>
    <w:rsid w:val="0028218C"/>
    <w:rsid w:val="00285008"/>
    <w:rsid w:val="002855BC"/>
    <w:rsid w:val="00290393"/>
    <w:rsid w:val="00290DC4"/>
    <w:rsid w:val="00290EA6"/>
    <w:rsid w:val="0029515B"/>
    <w:rsid w:val="00295A81"/>
    <w:rsid w:val="00296E93"/>
    <w:rsid w:val="002A143A"/>
    <w:rsid w:val="002A1A91"/>
    <w:rsid w:val="002A2389"/>
    <w:rsid w:val="002A4871"/>
    <w:rsid w:val="002A5373"/>
    <w:rsid w:val="002A6F46"/>
    <w:rsid w:val="002A7800"/>
    <w:rsid w:val="002A797A"/>
    <w:rsid w:val="002B0C29"/>
    <w:rsid w:val="002B1E4F"/>
    <w:rsid w:val="002B6D8B"/>
    <w:rsid w:val="002C04C1"/>
    <w:rsid w:val="002C2881"/>
    <w:rsid w:val="002C2F59"/>
    <w:rsid w:val="002C5456"/>
    <w:rsid w:val="002C66F4"/>
    <w:rsid w:val="002C72CC"/>
    <w:rsid w:val="002D083D"/>
    <w:rsid w:val="002D13AF"/>
    <w:rsid w:val="002D47FC"/>
    <w:rsid w:val="002D49DC"/>
    <w:rsid w:val="002D69F9"/>
    <w:rsid w:val="002D6DBF"/>
    <w:rsid w:val="002E23CC"/>
    <w:rsid w:val="002E3C62"/>
    <w:rsid w:val="002E41D7"/>
    <w:rsid w:val="002E6F2E"/>
    <w:rsid w:val="002E79ED"/>
    <w:rsid w:val="002F0395"/>
    <w:rsid w:val="002F0740"/>
    <w:rsid w:val="002F081D"/>
    <w:rsid w:val="002F7AE9"/>
    <w:rsid w:val="003013B7"/>
    <w:rsid w:val="00301AAC"/>
    <w:rsid w:val="00301C17"/>
    <w:rsid w:val="003023A3"/>
    <w:rsid w:val="00303B38"/>
    <w:rsid w:val="00305B96"/>
    <w:rsid w:val="00310FF2"/>
    <w:rsid w:val="00314F97"/>
    <w:rsid w:val="00316D67"/>
    <w:rsid w:val="00320B49"/>
    <w:rsid w:val="00322CBE"/>
    <w:rsid w:val="0032318D"/>
    <w:rsid w:val="0032418A"/>
    <w:rsid w:val="00324B52"/>
    <w:rsid w:val="00325421"/>
    <w:rsid w:val="003260FD"/>
    <w:rsid w:val="00327F83"/>
    <w:rsid w:val="00331977"/>
    <w:rsid w:val="00332137"/>
    <w:rsid w:val="003424A8"/>
    <w:rsid w:val="003424AC"/>
    <w:rsid w:val="0034319F"/>
    <w:rsid w:val="00343316"/>
    <w:rsid w:val="003435BC"/>
    <w:rsid w:val="00343979"/>
    <w:rsid w:val="00343C43"/>
    <w:rsid w:val="003442F7"/>
    <w:rsid w:val="00344387"/>
    <w:rsid w:val="003451C7"/>
    <w:rsid w:val="00346D36"/>
    <w:rsid w:val="0035030C"/>
    <w:rsid w:val="0035132A"/>
    <w:rsid w:val="00355F6B"/>
    <w:rsid w:val="003659F6"/>
    <w:rsid w:val="0037222B"/>
    <w:rsid w:val="0037347B"/>
    <w:rsid w:val="0037584D"/>
    <w:rsid w:val="00375EC0"/>
    <w:rsid w:val="00376F87"/>
    <w:rsid w:val="003821D5"/>
    <w:rsid w:val="00382C20"/>
    <w:rsid w:val="003834DD"/>
    <w:rsid w:val="003834F2"/>
    <w:rsid w:val="00384605"/>
    <w:rsid w:val="00391231"/>
    <w:rsid w:val="00392F4F"/>
    <w:rsid w:val="0039325D"/>
    <w:rsid w:val="003938F1"/>
    <w:rsid w:val="00393ACC"/>
    <w:rsid w:val="00393D9C"/>
    <w:rsid w:val="003949F5"/>
    <w:rsid w:val="00395E7A"/>
    <w:rsid w:val="003A15C3"/>
    <w:rsid w:val="003A3E26"/>
    <w:rsid w:val="003A4BE0"/>
    <w:rsid w:val="003A6DDE"/>
    <w:rsid w:val="003A7F83"/>
    <w:rsid w:val="003B4BEA"/>
    <w:rsid w:val="003C583E"/>
    <w:rsid w:val="003C62DB"/>
    <w:rsid w:val="003C720B"/>
    <w:rsid w:val="003C72C5"/>
    <w:rsid w:val="003C78E6"/>
    <w:rsid w:val="003D105B"/>
    <w:rsid w:val="003D170A"/>
    <w:rsid w:val="003D170F"/>
    <w:rsid w:val="003D5BCD"/>
    <w:rsid w:val="003E0D8D"/>
    <w:rsid w:val="003E129A"/>
    <w:rsid w:val="003E2622"/>
    <w:rsid w:val="003E558B"/>
    <w:rsid w:val="003E7033"/>
    <w:rsid w:val="003E731F"/>
    <w:rsid w:val="003E74C1"/>
    <w:rsid w:val="003E7C26"/>
    <w:rsid w:val="003F0227"/>
    <w:rsid w:val="003F08FA"/>
    <w:rsid w:val="003F14B5"/>
    <w:rsid w:val="003F15C8"/>
    <w:rsid w:val="003F1647"/>
    <w:rsid w:val="003F18E0"/>
    <w:rsid w:val="003F48CE"/>
    <w:rsid w:val="004011A4"/>
    <w:rsid w:val="00401CF6"/>
    <w:rsid w:val="0040277D"/>
    <w:rsid w:val="004035C4"/>
    <w:rsid w:val="0041110C"/>
    <w:rsid w:val="00416EA9"/>
    <w:rsid w:val="00420B60"/>
    <w:rsid w:val="004239FC"/>
    <w:rsid w:val="00425E94"/>
    <w:rsid w:val="0043042E"/>
    <w:rsid w:val="00432B8E"/>
    <w:rsid w:val="00432ECC"/>
    <w:rsid w:val="004331F8"/>
    <w:rsid w:val="0043362E"/>
    <w:rsid w:val="004359F6"/>
    <w:rsid w:val="00442A67"/>
    <w:rsid w:val="00446175"/>
    <w:rsid w:val="004466F9"/>
    <w:rsid w:val="00450663"/>
    <w:rsid w:val="0045075A"/>
    <w:rsid w:val="004510E3"/>
    <w:rsid w:val="00452463"/>
    <w:rsid w:val="00453834"/>
    <w:rsid w:val="004573AD"/>
    <w:rsid w:val="00461283"/>
    <w:rsid w:val="0046641F"/>
    <w:rsid w:val="00472123"/>
    <w:rsid w:val="00472716"/>
    <w:rsid w:val="0047688F"/>
    <w:rsid w:val="0047780E"/>
    <w:rsid w:val="00480261"/>
    <w:rsid w:val="00481CEC"/>
    <w:rsid w:val="0048335E"/>
    <w:rsid w:val="00485687"/>
    <w:rsid w:val="004865E7"/>
    <w:rsid w:val="00487128"/>
    <w:rsid w:val="00487218"/>
    <w:rsid w:val="004912EA"/>
    <w:rsid w:val="00496F2A"/>
    <w:rsid w:val="0049796E"/>
    <w:rsid w:val="004A1218"/>
    <w:rsid w:val="004A16F4"/>
    <w:rsid w:val="004A333B"/>
    <w:rsid w:val="004A38DF"/>
    <w:rsid w:val="004A5AAF"/>
    <w:rsid w:val="004A5E4A"/>
    <w:rsid w:val="004A5FD7"/>
    <w:rsid w:val="004A6555"/>
    <w:rsid w:val="004A6DCA"/>
    <w:rsid w:val="004A7EF0"/>
    <w:rsid w:val="004B6D0A"/>
    <w:rsid w:val="004C0D5F"/>
    <w:rsid w:val="004C35A2"/>
    <w:rsid w:val="004C619A"/>
    <w:rsid w:val="004C7556"/>
    <w:rsid w:val="004D0D34"/>
    <w:rsid w:val="004D2863"/>
    <w:rsid w:val="004D2C5F"/>
    <w:rsid w:val="004E03A9"/>
    <w:rsid w:val="004E0EB8"/>
    <w:rsid w:val="004E2FFD"/>
    <w:rsid w:val="004E4520"/>
    <w:rsid w:val="004E46CB"/>
    <w:rsid w:val="004E48DC"/>
    <w:rsid w:val="004E4F4C"/>
    <w:rsid w:val="004E5E7C"/>
    <w:rsid w:val="004F3408"/>
    <w:rsid w:val="004F4114"/>
    <w:rsid w:val="004F4651"/>
    <w:rsid w:val="004F4A5C"/>
    <w:rsid w:val="004F6743"/>
    <w:rsid w:val="004F7101"/>
    <w:rsid w:val="005002B2"/>
    <w:rsid w:val="0050190F"/>
    <w:rsid w:val="00502677"/>
    <w:rsid w:val="00503B57"/>
    <w:rsid w:val="005061F2"/>
    <w:rsid w:val="005103B8"/>
    <w:rsid w:val="00511068"/>
    <w:rsid w:val="00511EB4"/>
    <w:rsid w:val="005163C8"/>
    <w:rsid w:val="005167CC"/>
    <w:rsid w:val="00516F03"/>
    <w:rsid w:val="005212D3"/>
    <w:rsid w:val="00525572"/>
    <w:rsid w:val="005307FA"/>
    <w:rsid w:val="00531FC6"/>
    <w:rsid w:val="00532B88"/>
    <w:rsid w:val="00533466"/>
    <w:rsid w:val="0053506D"/>
    <w:rsid w:val="00535F50"/>
    <w:rsid w:val="00536BCD"/>
    <w:rsid w:val="0053797C"/>
    <w:rsid w:val="005411D0"/>
    <w:rsid w:val="00542250"/>
    <w:rsid w:val="005460B5"/>
    <w:rsid w:val="00552D19"/>
    <w:rsid w:val="005554FB"/>
    <w:rsid w:val="00556A32"/>
    <w:rsid w:val="00556FF2"/>
    <w:rsid w:val="005577C0"/>
    <w:rsid w:val="00557B55"/>
    <w:rsid w:val="00560892"/>
    <w:rsid w:val="00560A28"/>
    <w:rsid w:val="00561863"/>
    <w:rsid w:val="0056484E"/>
    <w:rsid w:val="0056528F"/>
    <w:rsid w:val="00571C51"/>
    <w:rsid w:val="005732DB"/>
    <w:rsid w:val="00573633"/>
    <w:rsid w:val="0057433C"/>
    <w:rsid w:val="00574A43"/>
    <w:rsid w:val="00574A86"/>
    <w:rsid w:val="005764CD"/>
    <w:rsid w:val="0057687F"/>
    <w:rsid w:val="00580F14"/>
    <w:rsid w:val="00580F41"/>
    <w:rsid w:val="0058257C"/>
    <w:rsid w:val="00582DE9"/>
    <w:rsid w:val="005857FC"/>
    <w:rsid w:val="00585C9D"/>
    <w:rsid w:val="0058741B"/>
    <w:rsid w:val="00591DA1"/>
    <w:rsid w:val="00592270"/>
    <w:rsid w:val="00592648"/>
    <w:rsid w:val="0059425F"/>
    <w:rsid w:val="00596628"/>
    <w:rsid w:val="005A055C"/>
    <w:rsid w:val="005A342A"/>
    <w:rsid w:val="005A5033"/>
    <w:rsid w:val="005A73B3"/>
    <w:rsid w:val="005A7F8B"/>
    <w:rsid w:val="005B02EC"/>
    <w:rsid w:val="005B05E5"/>
    <w:rsid w:val="005B4BAB"/>
    <w:rsid w:val="005B7580"/>
    <w:rsid w:val="005C14B8"/>
    <w:rsid w:val="005C4125"/>
    <w:rsid w:val="005C560B"/>
    <w:rsid w:val="005C6264"/>
    <w:rsid w:val="005C708F"/>
    <w:rsid w:val="005C7CCD"/>
    <w:rsid w:val="005D340F"/>
    <w:rsid w:val="005D4043"/>
    <w:rsid w:val="005D4084"/>
    <w:rsid w:val="005D4C67"/>
    <w:rsid w:val="005D52F3"/>
    <w:rsid w:val="005D57D5"/>
    <w:rsid w:val="005D7AAD"/>
    <w:rsid w:val="005E3AE4"/>
    <w:rsid w:val="005E4627"/>
    <w:rsid w:val="005E7852"/>
    <w:rsid w:val="005F0502"/>
    <w:rsid w:val="005F13AC"/>
    <w:rsid w:val="005F514E"/>
    <w:rsid w:val="005F51A5"/>
    <w:rsid w:val="005F588E"/>
    <w:rsid w:val="005F6059"/>
    <w:rsid w:val="005F78C5"/>
    <w:rsid w:val="005F7CD9"/>
    <w:rsid w:val="00605FC9"/>
    <w:rsid w:val="00606F67"/>
    <w:rsid w:val="00607145"/>
    <w:rsid w:val="00607946"/>
    <w:rsid w:val="0061480C"/>
    <w:rsid w:val="00616624"/>
    <w:rsid w:val="006241FB"/>
    <w:rsid w:val="00625FE7"/>
    <w:rsid w:val="00636BCC"/>
    <w:rsid w:val="00637414"/>
    <w:rsid w:val="00637A14"/>
    <w:rsid w:val="00645D1D"/>
    <w:rsid w:val="00645F38"/>
    <w:rsid w:val="0064729F"/>
    <w:rsid w:val="006476B6"/>
    <w:rsid w:val="00650506"/>
    <w:rsid w:val="00650F9F"/>
    <w:rsid w:val="0065162C"/>
    <w:rsid w:val="00651670"/>
    <w:rsid w:val="00651EB6"/>
    <w:rsid w:val="00652CDA"/>
    <w:rsid w:val="00656ECE"/>
    <w:rsid w:val="00660AA4"/>
    <w:rsid w:val="00660FDC"/>
    <w:rsid w:val="00662231"/>
    <w:rsid w:val="006639A0"/>
    <w:rsid w:val="00665CA6"/>
    <w:rsid w:val="006671DA"/>
    <w:rsid w:val="0067172C"/>
    <w:rsid w:val="006732C7"/>
    <w:rsid w:val="0067450E"/>
    <w:rsid w:val="00685996"/>
    <w:rsid w:val="006878B5"/>
    <w:rsid w:val="00690C51"/>
    <w:rsid w:val="00693529"/>
    <w:rsid w:val="00695B1A"/>
    <w:rsid w:val="006A3989"/>
    <w:rsid w:val="006A4065"/>
    <w:rsid w:val="006A4E19"/>
    <w:rsid w:val="006A4F98"/>
    <w:rsid w:val="006A52E0"/>
    <w:rsid w:val="006A5EEA"/>
    <w:rsid w:val="006A62C1"/>
    <w:rsid w:val="006A7BCB"/>
    <w:rsid w:val="006B0681"/>
    <w:rsid w:val="006B38B9"/>
    <w:rsid w:val="006B3E7B"/>
    <w:rsid w:val="006B540B"/>
    <w:rsid w:val="006B621D"/>
    <w:rsid w:val="006B74BB"/>
    <w:rsid w:val="006B75C3"/>
    <w:rsid w:val="006B781E"/>
    <w:rsid w:val="006C014B"/>
    <w:rsid w:val="006C449F"/>
    <w:rsid w:val="006C58E4"/>
    <w:rsid w:val="006D10B2"/>
    <w:rsid w:val="006D51CF"/>
    <w:rsid w:val="006D6199"/>
    <w:rsid w:val="006D666B"/>
    <w:rsid w:val="006D687E"/>
    <w:rsid w:val="006D68A6"/>
    <w:rsid w:val="006E3999"/>
    <w:rsid w:val="006E453C"/>
    <w:rsid w:val="006F053E"/>
    <w:rsid w:val="006F1EAE"/>
    <w:rsid w:val="006F428C"/>
    <w:rsid w:val="00701964"/>
    <w:rsid w:val="007023D0"/>
    <w:rsid w:val="007032E3"/>
    <w:rsid w:val="0070661F"/>
    <w:rsid w:val="00706C4E"/>
    <w:rsid w:val="00713029"/>
    <w:rsid w:val="00720469"/>
    <w:rsid w:val="00721BB1"/>
    <w:rsid w:val="007224C3"/>
    <w:rsid w:val="00724701"/>
    <w:rsid w:val="007256A4"/>
    <w:rsid w:val="00725FEA"/>
    <w:rsid w:val="007263E4"/>
    <w:rsid w:val="00734143"/>
    <w:rsid w:val="00734209"/>
    <w:rsid w:val="0074034C"/>
    <w:rsid w:val="00740780"/>
    <w:rsid w:val="00742BEE"/>
    <w:rsid w:val="00743311"/>
    <w:rsid w:val="007442A7"/>
    <w:rsid w:val="00745587"/>
    <w:rsid w:val="00751CD3"/>
    <w:rsid w:val="00755C2E"/>
    <w:rsid w:val="0075711A"/>
    <w:rsid w:val="007579C6"/>
    <w:rsid w:val="00760649"/>
    <w:rsid w:val="00761D65"/>
    <w:rsid w:val="00763741"/>
    <w:rsid w:val="00765A04"/>
    <w:rsid w:val="00767BB2"/>
    <w:rsid w:val="00771F77"/>
    <w:rsid w:val="00772036"/>
    <w:rsid w:val="00774C1E"/>
    <w:rsid w:val="007750A6"/>
    <w:rsid w:val="00777848"/>
    <w:rsid w:val="00780BC3"/>
    <w:rsid w:val="0078175B"/>
    <w:rsid w:val="00781FC8"/>
    <w:rsid w:val="00784EAF"/>
    <w:rsid w:val="007860A9"/>
    <w:rsid w:val="00786342"/>
    <w:rsid w:val="0079094C"/>
    <w:rsid w:val="007957F8"/>
    <w:rsid w:val="00796C48"/>
    <w:rsid w:val="007A0C1C"/>
    <w:rsid w:val="007A17D3"/>
    <w:rsid w:val="007A1852"/>
    <w:rsid w:val="007A3028"/>
    <w:rsid w:val="007A3A88"/>
    <w:rsid w:val="007A4D47"/>
    <w:rsid w:val="007A6633"/>
    <w:rsid w:val="007A726D"/>
    <w:rsid w:val="007B1958"/>
    <w:rsid w:val="007B571B"/>
    <w:rsid w:val="007C0D5C"/>
    <w:rsid w:val="007C12BD"/>
    <w:rsid w:val="007C1E6D"/>
    <w:rsid w:val="007C454A"/>
    <w:rsid w:val="007C5128"/>
    <w:rsid w:val="007C5AEB"/>
    <w:rsid w:val="007C5D29"/>
    <w:rsid w:val="007D16F0"/>
    <w:rsid w:val="007D51C7"/>
    <w:rsid w:val="007D6145"/>
    <w:rsid w:val="007D61DC"/>
    <w:rsid w:val="007D6576"/>
    <w:rsid w:val="007E0492"/>
    <w:rsid w:val="007E20EF"/>
    <w:rsid w:val="007E2CE0"/>
    <w:rsid w:val="007E43A2"/>
    <w:rsid w:val="007E5060"/>
    <w:rsid w:val="007E59FC"/>
    <w:rsid w:val="007E5E9C"/>
    <w:rsid w:val="007F06F6"/>
    <w:rsid w:val="007F3BBD"/>
    <w:rsid w:val="007F40B6"/>
    <w:rsid w:val="007F40F0"/>
    <w:rsid w:val="007F5004"/>
    <w:rsid w:val="00802827"/>
    <w:rsid w:val="00802A1D"/>
    <w:rsid w:val="00805FCB"/>
    <w:rsid w:val="00810011"/>
    <w:rsid w:val="00812FCE"/>
    <w:rsid w:val="0082159A"/>
    <w:rsid w:val="008268D8"/>
    <w:rsid w:val="00827386"/>
    <w:rsid w:val="00830225"/>
    <w:rsid w:val="00830B1F"/>
    <w:rsid w:val="008311D9"/>
    <w:rsid w:val="008312C4"/>
    <w:rsid w:val="0083152E"/>
    <w:rsid w:val="0083178B"/>
    <w:rsid w:val="00832B10"/>
    <w:rsid w:val="0083449E"/>
    <w:rsid w:val="00835A13"/>
    <w:rsid w:val="008374A6"/>
    <w:rsid w:val="00841273"/>
    <w:rsid w:val="008434E2"/>
    <w:rsid w:val="008464C6"/>
    <w:rsid w:val="0084747F"/>
    <w:rsid w:val="00850D6E"/>
    <w:rsid w:val="00850DC2"/>
    <w:rsid w:val="00850E76"/>
    <w:rsid w:val="008515C5"/>
    <w:rsid w:val="00851CA9"/>
    <w:rsid w:val="0085553C"/>
    <w:rsid w:val="008555AC"/>
    <w:rsid w:val="00855690"/>
    <w:rsid w:val="00857D7B"/>
    <w:rsid w:val="00860361"/>
    <w:rsid w:val="00862207"/>
    <w:rsid w:val="008641F4"/>
    <w:rsid w:val="00866955"/>
    <w:rsid w:val="00867428"/>
    <w:rsid w:val="00874E43"/>
    <w:rsid w:val="008770D9"/>
    <w:rsid w:val="00880A15"/>
    <w:rsid w:val="00883455"/>
    <w:rsid w:val="0088448D"/>
    <w:rsid w:val="00884E29"/>
    <w:rsid w:val="00891871"/>
    <w:rsid w:val="00892E5D"/>
    <w:rsid w:val="00897E91"/>
    <w:rsid w:val="008A017A"/>
    <w:rsid w:val="008A405A"/>
    <w:rsid w:val="008A40EB"/>
    <w:rsid w:val="008A4959"/>
    <w:rsid w:val="008A5F10"/>
    <w:rsid w:val="008A7887"/>
    <w:rsid w:val="008B2C58"/>
    <w:rsid w:val="008B7699"/>
    <w:rsid w:val="008C30A6"/>
    <w:rsid w:val="008C4E30"/>
    <w:rsid w:val="008C5273"/>
    <w:rsid w:val="008C53D7"/>
    <w:rsid w:val="008C555E"/>
    <w:rsid w:val="008D0B9C"/>
    <w:rsid w:val="008D1902"/>
    <w:rsid w:val="008D2DFA"/>
    <w:rsid w:val="008D3694"/>
    <w:rsid w:val="008E21D5"/>
    <w:rsid w:val="008E3E67"/>
    <w:rsid w:val="008E7451"/>
    <w:rsid w:val="008F0C79"/>
    <w:rsid w:val="008F149E"/>
    <w:rsid w:val="008F1589"/>
    <w:rsid w:val="008F18CF"/>
    <w:rsid w:val="008F1FE1"/>
    <w:rsid w:val="008F4BDA"/>
    <w:rsid w:val="008F765C"/>
    <w:rsid w:val="00900C4E"/>
    <w:rsid w:val="00903AFC"/>
    <w:rsid w:val="009055DD"/>
    <w:rsid w:val="00906008"/>
    <w:rsid w:val="0090777A"/>
    <w:rsid w:val="00907F2A"/>
    <w:rsid w:val="009123ED"/>
    <w:rsid w:val="00912CEA"/>
    <w:rsid w:val="00923D3D"/>
    <w:rsid w:val="009259D3"/>
    <w:rsid w:val="009265AC"/>
    <w:rsid w:val="0092757F"/>
    <w:rsid w:val="00927FD1"/>
    <w:rsid w:val="00931543"/>
    <w:rsid w:val="009363D4"/>
    <w:rsid w:val="00936AFB"/>
    <w:rsid w:val="009372D9"/>
    <w:rsid w:val="009426B9"/>
    <w:rsid w:val="009431E6"/>
    <w:rsid w:val="009439B5"/>
    <w:rsid w:val="0094620A"/>
    <w:rsid w:val="009472E5"/>
    <w:rsid w:val="009474EF"/>
    <w:rsid w:val="00951B93"/>
    <w:rsid w:val="00952CB4"/>
    <w:rsid w:val="00956992"/>
    <w:rsid w:val="00957AAA"/>
    <w:rsid w:val="009658EC"/>
    <w:rsid w:val="00970558"/>
    <w:rsid w:val="009708F5"/>
    <w:rsid w:val="0097289B"/>
    <w:rsid w:val="00972A0B"/>
    <w:rsid w:val="00972F7E"/>
    <w:rsid w:val="009744B5"/>
    <w:rsid w:val="00974C0A"/>
    <w:rsid w:val="009752F5"/>
    <w:rsid w:val="0097617D"/>
    <w:rsid w:val="00981FF9"/>
    <w:rsid w:val="009825BB"/>
    <w:rsid w:val="00982F36"/>
    <w:rsid w:val="00984A47"/>
    <w:rsid w:val="00985148"/>
    <w:rsid w:val="00985A9F"/>
    <w:rsid w:val="00985B79"/>
    <w:rsid w:val="00992E1E"/>
    <w:rsid w:val="009946AD"/>
    <w:rsid w:val="00995105"/>
    <w:rsid w:val="0099539A"/>
    <w:rsid w:val="0099699E"/>
    <w:rsid w:val="009973CF"/>
    <w:rsid w:val="00997515"/>
    <w:rsid w:val="009A0C45"/>
    <w:rsid w:val="009A35BF"/>
    <w:rsid w:val="009A3FEE"/>
    <w:rsid w:val="009A7BEA"/>
    <w:rsid w:val="009B0C6C"/>
    <w:rsid w:val="009B0C74"/>
    <w:rsid w:val="009C010D"/>
    <w:rsid w:val="009C0B38"/>
    <w:rsid w:val="009C247D"/>
    <w:rsid w:val="009C2717"/>
    <w:rsid w:val="009C4471"/>
    <w:rsid w:val="009C5A5A"/>
    <w:rsid w:val="009C7160"/>
    <w:rsid w:val="009D0E96"/>
    <w:rsid w:val="009D2A22"/>
    <w:rsid w:val="009E3315"/>
    <w:rsid w:val="009E6295"/>
    <w:rsid w:val="009E6DBE"/>
    <w:rsid w:val="009E794E"/>
    <w:rsid w:val="009F020E"/>
    <w:rsid w:val="009F23F9"/>
    <w:rsid w:val="009F3456"/>
    <w:rsid w:val="009F4B2E"/>
    <w:rsid w:val="009F7371"/>
    <w:rsid w:val="00A0109B"/>
    <w:rsid w:val="00A03F0A"/>
    <w:rsid w:val="00A03F5C"/>
    <w:rsid w:val="00A04BD7"/>
    <w:rsid w:val="00A06CE0"/>
    <w:rsid w:val="00A1063A"/>
    <w:rsid w:val="00A12EC1"/>
    <w:rsid w:val="00A12F2D"/>
    <w:rsid w:val="00A16A6C"/>
    <w:rsid w:val="00A264E8"/>
    <w:rsid w:val="00A34E50"/>
    <w:rsid w:val="00A34E6F"/>
    <w:rsid w:val="00A351FF"/>
    <w:rsid w:val="00A3643F"/>
    <w:rsid w:val="00A436BC"/>
    <w:rsid w:val="00A436C5"/>
    <w:rsid w:val="00A4430F"/>
    <w:rsid w:val="00A4564E"/>
    <w:rsid w:val="00A46369"/>
    <w:rsid w:val="00A4641F"/>
    <w:rsid w:val="00A46B6B"/>
    <w:rsid w:val="00A47605"/>
    <w:rsid w:val="00A55CB6"/>
    <w:rsid w:val="00A6183D"/>
    <w:rsid w:val="00A61F1B"/>
    <w:rsid w:val="00A63C25"/>
    <w:rsid w:val="00A64AC7"/>
    <w:rsid w:val="00A6505C"/>
    <w:rsid w:val="00A65DDA"/>
    <w:rsid w:val="00A66167"/>
    <w:rsid w:val="00A6672B"/>
    <w:rsid w:val="00A67B1E"/>
    <w:rsid w:val="00A70F5A"/>
    <w:rsid w:val="00A721EA"/>
    <w:rsid w:val="00A72958"/>
    <w:rsid w:val="00A73C5A"/>
    <w:rsid w:val="00A74423"/>
    <w:rsid w:val="00A7447F"/>
    <w:rsid w:val="00A806DC"/>
    <w:rsid w:val="00A80C31"/>
    <w:rsid w:val="00A80DC1"/>
    <w:rsid w:val="00A8136E"/>
    <w:rsid w:val="00A84595"/>
    <w:rsid w:val="00A84E82"/>
    <w:rsid w:val="00A8517D"/>
    <w:rsid w:val="00A913AD"/>
    <w:rsid w:val="00A91789"/>
    <w:rsid w:val="00A919F6"/>
    <w:rsid w:val="00A91B4A"/>
    <w:rsid w:val="00AA4B94"/>
    <w:rsid w:val="00AB405C"/>
    <w:rsid w:val="00AB47CE"/>
    <w:rsid w:val="00AB575B"/>
    <w:rsid w:val="00AC1D29"/>
    <w:rsid w:val="00AC2DB9"/>
    <w:rsid w:val="00AC4F51"/>
    <w:rsid w:val="00AC7BC2"/>
    <w:rsid w:val="00AD5291"/>
    <w:rsid w:val="00AD54C5"/>
    <w:rsid w:val="00AD5A97"/>
    <w:rsid w:val="00AD72B7"/>
    <w:rsid w:val="00AD7C5A"/>
    <w:rsid w:val="00AE0065"/>
    <w:rsid w:val="00AE31F2"/>
    <w:rsid w:val="00AE35A3"/>
    <w:rsid w:val="00AE36A8"/>
    <w:rsid w:val="00AE407F"/>
    <w:rsid w:val="00AE5023"/>
    <w:rsid w:val="00AE6312"/>
    <w:rsid w:val="00AE72F9"/>
    <w:rsid w:val="00AF1207"/>
    <w:rsid w:val="00AF140D"/>
    <w:rsid w:val="00AF211B"/>
    <w:rsid w:val="00AF4696"/>
    <w:rsid w:val="00AF6518"/>
    <w:rsid w:val="00AF739E"/>
    <w:rsid w:val="00B02B90"/>
    <w:rsid w:val="00B03809"/>
    <w:rsid w:val="00B074FA"/>
    <w:rsid w:val="00B10408"/>
    <w:rsid w:val="00B1253D"/>
    <w:rsid w:val="00B14156"/>
    <w:rsid w:val="00B15C76"/>
    <w:rsid w:val="00B16C29"/>
    <w:rsid w:val="00B200A6"/>
    <w:rsid w:val="00B2169D"/>
    <w:rsid w:val="00B232C6"/>
    <w:rsid w:val="00B25B35"/>
    <w:rsid w:val="00B31634"/>
    <w:rsid w:val="00B32D1A"/>
    <w:rsid w:val="00B33DD7"/>
    <w:rsid w:val="00B372A8"/>
    <w:rsid w:val="00B375BE"/>
    <w:rsid w:val="00B40803"/>
    <w:rsid w:val="00B40DC5"/>
    <w:rsid w:val="00B42104"/>
    <w:rsid w:val="00B43332"/>
    <w:rsid w:val="00B45CAC"/>
    <w:rsid w:val="00B46EE7"/>
    <w:rsid w:val="00B51D85"/>
    <w:rsid w:val="00B53FDE"/>
    <w:rsid w:val="00B5482C"/>
    <w:rsid w:val="00B54DED"/>
    <w:rsid w:val="00B559A4"/>
    <w:rsid w:val="00B56DDC"/>
    <w:rsid w:val="00B6057E"/>
    <w:rsid w:val="00B60D59"/>
    <w:rsid w:val="00B63281"/>
    <w:rsid w:val="00B64D33"/>
    <w:rsid w:val="00B722B6"/>
    <w:rsid w:val="00B730ED"/>
    <w:rsid w:val="00B77431"/>
    <w:rsid w:val="00B8030D"/>
    <w:rsid w:val="00B81233"/>
    <w:rsid w:val="00B81EB4"/>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767C"/>
    <w:rsid w:val="00BB10B0"/>
    <w:rsid w:val="00BB1220"/>
    <w:rsid w:val="00BB4B43"/>
    <w:rsid w:val="00BC11F4"/>
    <w:rsid w:val="00BC21CD"/>
    <w:rsid w:val="00BC3593"/>
    <w:rsid w:val="00BC3F1F"/>
    <w:rsid w:val="00BC4272"/>
    <w:rsid w:val="00BC4812"/>
    <w:rsid w:val="00BC6D3B"/>
    <w:rsid w:val="00BD0438"/>
    <w:rsid w:val="00BD3559"/>
    <w:rsid w:val="00BD3F2E"/>
    <w:rsid w:val="00BD45F9"/>
    <w:rsid w:val="00BD4709"/>
    <w:rsid w:val="00BD4EE5"/>
    <w:rsid w:val="00BD56A7"/>
    <w:rsid w:val="00BD631F"/>
    <w:rsid w:val="00BD77BE"/>
    <w:rsid w:val="00BE044B"/>
    <w:rsid w:val="00BE0593"/>
    <w:rsid w:val="00BE3A13"/>
    <w:rsid w:val="00BE4545"/>
    <w:rsid w:val="00BE4831"/>
    <w:rsid w:val="00BE495F"/>
    <w:rsid w:val="00BE629D"/>
    <w:rsid w:val="00BE6428"/>
    <w:rsid w:val="00BF17F3"/>
    <w:rsid w:val="00BF2B04"/>
    <w:rsid w:val="00BF323C"/>
    <w:rsid w:val="00BF7448"/>
    <w:rsid w:val="00BF7F74"/>
    <w:rsid w:val="00C0434E"/>
    <w:rsid w:val="00C048E4"/>
    <w:rsid w:val="00C057A9"/>
    <w:rsid w:val="00C073FC"/>
    <w:rsid w:val="00C117D6"/>
    <w:rsid w:val="00C13854"/>
    <w:rsid w:val="00C20745"/>
    <w:rsid w:val="00C20B3B"/>
    <w:rsid w:val="00C2166C"/>
    <w:rsid w:val="00C2331C"/>
    <w:rsid w:val="00C2518E"/>
    <w:rsid w:val="00C25FD9"/>
    <w:rsid w:val="00C268E7"/>
    <w:rsid w:val="00C26F6D"/>
    <w:rsid w:val="00C276D1"/>
    <w:rsid w:val="00C2799A"/>
    <w:rsid w:val="00C30712"/>
    <w:rsid w:val="00C30CE6"/>
    <w:rsid w:val="00C32C64"/>
    <w:rsid w:val="00C37385"/>
    <w:rsid w:val="00C404BD"/>
    <w:rsid w:val="00C41A6F"/>
    <w:rsid w:val="00C41EE7"/>
    <w:rsid w:val="00C43F96"/>
    <w:rsid w:val="00C4409E"/>
    <w:rsid w:val="00C4515D"/>
    <w:rsid w:val="00C52AC7"/>
    <w:rsid w:val="00C555CB"/>
    <w:rsid w:val="00C607D3"/>
    <w:rsid w:val="00C609C2"/>
    <w:rsid w:val="00C64553"/>
    <w:rsid w:val="00C654F9"/>
    <w:rsid w:val="00C65993"/>
    <w:rsid w:val="00C663CB"/>
    <w:rsid w:val="00C672C8"/>
    <w:rsid w:val="00C71638"/>
    <w:rsid w:val="00C71754"/>
    <w:rsid w:val="00C72F5F"/>
    <w:rsid w:val="00C746C0"/>
    <w:rsid w:val="00C75785"/>
    <w:rsid w:val="00C76935"/>
    <w:rsid w:val="00C76BA0"/>
    <w:rsid w:val="00C83997"/>
    <w:rsid w:val="00C87114"/>
    <w:rsid w:val="00C901F4"/>
    <w:rsid w:val="00C9240F"/>
    <w:rsid w:val="00C93239"/>
    <w:rsid w:val="00C93518"/>
    <w:rsid w:val="00C94042"/>
    <w:rsid w:val="00C97315"/>
    <w:rsid w:val="00CA1F58"/>
    <w:rsid w:val="00CA5C36"/>
    <w:rsid w:val="00CA6791"/>
    <w:rsid w:val="00CA71CF"/>
    <w:rsid w:val="00CB753F"/>
    <w:rsid w:val="00CC0B2B"/>
    <w:rsid w:val="00CC1D67"/>
    <w:rsid w:val="00CC23FF"/>
    <w:rsid w:val="00CC3192"/>
    <w:rsid w:val="00CC7359"/>
    <w:rsid w:val="00CD06B2"/>
    <w:rsid w:val="00CD091D"/>
    <w:rsid w:val="00CD179E"/>
    <w:rsid w:val="00CD299B"/>
    <w:rsid w:val="00CD38A5"/>
    <w:rsid w:val="00CD431A"/>
    <w:rsid w:val="00CD65AB"/>
    <w:rsid w:val="00CD7B92"/>
    <w:rsid w:val="00CE35E8"/>
    <w:rsid w:val="00CE3879"/>
    <w:rsid w:val="00CE4113"/>
    <w:rsid w:val="00CE4BCF"/>
    <w:rsid w:val="00CE543A"/>
    <w:rsid w:val="00CF42EA"/>
    <w:rsid w:val="00CF4E65"/>
    <w:rsid w:val="00CF5CD2"/>
    <w:rsid w:val="00CF6AC1"/>
    <w:rsid w:val="00D0099C"/>
    <w:rsid w:val="00D0159F"/>
    <w:rsid w:val="00D02D56"/>
    <w:rsid w:val="00D03B89"/>
    <w:rsid w:val="00D03DC8"/>
    <w:rsid w:val="00D051F3"/>
    <w:rsid w:val="00D10893"/>
    <w:rsid w:val="00D11A58"/>
    <w:rsid w:val="00D20594"/>
    <w:rsid w:val="00D20744"/>
    <w:rsid w:val="00D22914"/>
    <w:rsid w:val="00D24295"/>
    <w:rsid w:val="00D24CB1"/>
    <w:rsid w:val="00D26382"/>
    <w:rsid w:val="00D27948"/>
    <w:rsid w:val="00D31432"/>
    <w:rsid w:val="00D344F1"/>
    <w:rsid w:val="00D3708D"/>
    <w:rsid w:val="00D4113E"/>
    <w:rsid w:val="00D4186C"/>
    <w:rsid w:val="00D41FD8"/>
    <w:rsid w:val="00D44628"/>
    <w:rsid w:val="00D44B3D"/>
    <w:rsid w:val="00D44DEA"/>
    <w:rsid w:val="00D451DA"/>
    <w:rsid w:val="00D45671"/>
    <w:rsid w:val="00D45AC4"/>
    <w:rsid w:val="00D503DB"/>
    <w:rsid w:val="00D505D1"/>
    <w:rsid w:val="00D50CC9"/>
    <w:rsid w:val="00D51236"/>
    <w:rsid w:val="00D52335"/>
    <w:rsid w:val="00D53E7C"/>
    <w:rsid w:val="00D57035"/>
    <w:rsid w:val="00D57437"/>
    <w:rsid w:val="00D61963"/>
    <w:rsid w:val="00D62426"/>
    <w:rsid w:val="00D64C04"/>
    <w:rsid w:val="00D6575A"/>
    <w:rsid w:val="00D67AE0"/>
    <w:rsid w:val="00D71033"/>
    <w:rsid w:val="00D75DE4"/>
    <w:rsid w:val="00D77056"/>
    <w:rsid w:val="00D81D34"/>
    <w:rsid w:val="00D82CBE"/>
    <w:rsid w:val="00D85178"/>
    <w:rsid w:val="00D85317"/>
    <w:rsid w:val="00D86C0A"/>
    <w:rsid w:val="00D87960"/>
    <w:rsid w:val="00D87ADD"/>
    <w:rsid w:val="00D87F25"/>
    <w:rsid w:val="00D90710"/>
    <w:rsid w:val="00D916B3"/>
    <w:rsid w:val="00D9179A"/>
    <w:rsid w:val="00D95716"/>
    <w:rsid w:val="00D959F8"/>
    <w:rsid w:val="00D95E78"/>
    <w:rsid w:val="00D96372"/>
    <w:rsid w:val="00D966A1"/>
    <w:rsid w:val="00DA5AEE"/>
    <w:rsid w:val="00DA607C"/>
    <w:rsid w:val="00DA6E9E"/>
    <w:rsid w:val="00DB1227"/>
    <w:rsid w:val="00DB1C79"/>
    <w:rsid w:val="00DB31F7"/>
    <w:rsid w:val="00DB5B6B"/>
    <w:rsid w:val="00DC0D60"/>
    <w:rsid w:val="00DC3E3B"/>
    <w:rsid w:val="00DC4815"/>
    <w:rsid w:val="00DC4E71"/>
    <w:rsid w:val="00DC51B2"/>
    <w:rsid w:val="00DD143E"/>
    <w:rsid w:val="00DD38E9"/>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679E"/>
    <w:rsid w:val="00E06B50"/>
    <w:rsid w:val="00E111A7"/>
    <w:rsid w:val="00E11B8A"/>
    <w:rsid w:val="00E12C27"/>
    <w:rsid w:val="00E1608B"/>
    <w:rsid w:val="00E162E5"/>
    <w:rsid w:val="00E169F4"/>
    <w:rsid w:val="00E24C33"/>
    <w:rsid w:val="00E2670C"/>
    <w:rsid w:val="00E26933"/>
    <w:rsid w:val="00E367D4"/>
    <w:rsid w:val="00E459BB"/>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5264"/>
    <w:rsid w:val="00E768AB"/>
    <w:rsid w:val="00E76D6F"/>
    <w:rsid w:val="00E80771"/>
    <w:rsid w:val="00E81F84"/>
    <w:rsid w:val="00E84A9A"/>
    <w:rsid w:val="00E957D9"/>
    <w:rsid w:val="00E96511"/>
    <w:rsid w:val="00E96EA0"/>
    <w:rsid w:val="00E97A46"/>
    <w:rsid w:val="00EA3795"/>
    <w:rsid w:val="00EB0A38"/>
    <w:rsid w:val="00EB2567"/>
    <w:rsid w:val="00EB37ED"/>
    <w:rsid w:val="00EB6084"/>
    <w:rsid w:val="00EB7CD4"/>
    <w:rsid w:val="00EC238D"/>
    <w:rsid w:val="00EC53E7"/>
    <w:rsid w:val="00EC5904"/>
    <w:rsid w:val="00EC5E63"/>
    <w:rsid w:val="00EC789C"/>
    <w:rsid w:val="00ED2149"/>
    <w:rsid w:val="00ED472B"/>
    <w:rsid w:val="00ED59E4"/>
    <w:rsid w:val="00ED641B"/>
    <w:rsid w:val="00EE4C8F"/>
    <w:rsid w:val="00EE59B8"/>
    <w:rsid w:val="00EE5BF8"/>
    <w:rsid w:val="00EE648E"/>
    <w:rsid w:val="00EE7466"/>
    <w:rsid w:val="00EE7C9C"/>
    <w:rsid w:val="00EF1EC2"/>
    <w:rsid w:val="00EF509F"/>
    <w:rsid w:val="00EF5EC2"/>
    <w:rsid w:val="00EF74EB"/>
    <w:rsid w:val="00F07361"/>
    <w:rsid w:val="00F10710"/>
    <w:rsid w:val="00F115DB"/>
    <w:rsid w:val="00F11D8F"/>
    <w:rsid w:val="00F13486"/>
    <w:rsid w:val="00F15107"/>
    <w:rsid w:val="00F16B72"/>
    <w:rsid w:val="00F21F2A"/>
    <w:rsid w:val="00F237D1"/>
    <w:rsid w:val="00F255D4"/>
    <w:rsid w:val="00F2718D"/>
    <w:rsid w:val="00F277F0"/>
    <w:rsid w:val="00F27955"/>
    <w:rsid w:val="00F31D99"/>
    <w:rsid w:val="00F34F36"/>
    <w:rsid w:val="00F37B4F"/>
    <w:rsid w:val="00F44BE8"/>
    <w:rsid w:val="00F45999"/>
    <w:rsid w:val="00F469AB"/>
    <w:rsid w:val="00F51484"/>
    <w:rsid w:val="00F571B1"/>
    <w:rsid w:val="00F63A4A"/>
    <w:rsid w:val="00F65521"/>
    <w:rsid w:val="00F65634"/>
    <w:rsid w:val="00F65E3D"/>
    <w:rsid w:val="00F6647C"/>
    <w:rsid w:val="00F66885"/>
    <w:rsid w:val="00F66E3D"/>
    <w:rsid w:val="00F7130E"/>
    <w:rsid w:val="00F72DD0"/>
    <w:rsid w:val="00F744F4"/>
    <w:rsid w:val="00F7681C"/>
    <w:rsid w:val="00F83083"/>
    <w:rsid w:val="00F83FB8"/>
    <w:rsid w:val="00F86A44"/>
    <w:rsid w:val="00F86ECC"/>
    <w:rsid w:val="00F86F33"/>
    <w:rsid w:val="00F87A35"/>
    <w:rsid w:val="00F909F9"/>
    <w:rsid w:val="00F92A5D"/>
    <w:rsid w:val="00F92EFD"/>
    <w:rsid w:val="00F938F6"/>
    <w:rsid w:val="00F96DA5"/>
    <w:rsid w:val="00F97B4F"/>
    <w:rsid w:val="00FA29F2"/>
    <w:rsid w:val="00FA7B08"/>
    <w:rsid w:val="00FB0E5D"/>
    <w:rsid w:val="00FB3297"/>
    <w:rsid w:val="00FB4121"/>
    <w:rsid w:val="00FB48F1"/>
    <w:rsid w:val="00FB65A8"/>
    <w:rsid w:val="00FB67E7"/>
    <w:rsid w:val="00FC1F32"/>
    <w:rsid w:val="00FC5CD4"/>
    <w:rsid w:val="00FC75E9"/>
    <w:rsid w:val="00FD36B5"/>
    <w:rsid w:val="00FD3AED"/>
    <w:rsid w:val="00FD4EBB"/>
    <w:rsid w:val="00FD6D35"/>
    <w:rsid w:val="00FE014A"/>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BF7295"/>
  <w15:chartTrackingRefBased/>
  <w15:docId w15:val="{1FAB6F48-C1B8-411D-86A3-5F629F39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ga.Leite@f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38</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2.xml><?xml version="1.0" encoding="utf-8"?>
<ds:datastoreItem xmlns:ds="http://schemas.openxmlformats.org/officeDocument/2006/customXml" ds:itemID="{205C8FF1-718A-4F11-A177-2ACFFFAF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4.xml><?xml version="1.0" encoding="utf-8"?>
<ds:datastoreItem xmlns:ds="http://schemas.openxmlformats.org/officeDocument/2006/customXml" ds:itemID="{735E0665-BD9C-43C8-9516-40CF25BAB0C3}">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1A7CD42D-D660-472F-BA78-816F1FF9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2189</Words>
  <Characters>15610</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MK noteikumu propjekta "Noteikumi par vienotās azartspēļu automātu kontroles un uzraudzības sistēmas ieviešanas un uzturēšanas kārtību, sistēmā iekļaujamajiem datiem un to apmaiņas kārtību" sākotnējās ietekmes novērtējuma ziņojums (anotācija)</vt:lpstr>
    </vt:vector>
  </TitlesOfParts>
  <Company>FM</Company>
  <LinksUpToDate>false</LinksUpToDate>
  <CharactersWithSpaces>17764</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propjekta "Noteikumi par vienotās azartspēļu automātu kontroles un uzraudzības sistēmas ieviešanas un uzturēšanas kārtību, sistēmā iekļaujamajiem datiem un to apmaiņas kārtību" sākotnējās ietekmes novērtējuma ziņojums (anotācija)</dc:title>
  <dc:subject>Anotācija</dc:subject>
  <dc:creator>L.Leite</dc:creator>
  <cp:keywords/>
  <dc:description>liga.leite@fm.gov.lv
tālr. 67095672</dc:description>
  <cp:lastModifiedBy>Līga Leite</cp:lastModifiedBy>
  <cp:revision>5</cp:revision>
  <cp:lastPrinted>2016-11-28T11:49:00Z</cp:lastPrinted>
  <dcterms:created xsi:type="dcterms:W3CDTF">2016-11-28T11:59:00Z</dcterms:created>
  <dcterms:modified xsi:type="dcterms:W3CDTF">2016-11-28T13:29:00Z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