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1B" w:rsidRPr="00DC55AD" w:rsidRDefault="0050041B" w:rsidP="00AF5EAE">
      <w:pPr>
        <w:jc w:val="center"/>
        <w:rPr>
          <w:b/>
        </w:rPr>
      </w:pPr>
      <w:bookmarkStart w:id="0" w:name="OLE_LINK3"/>
      <w:bookmarkStart w:id="1" w:name="OLE_LINK4"/>
      <w:bookmarkStart w:id="2" w:name="OLE_LINK1"/>
      <w:r w:rsidRPr="00DC55AD">
        <w:rPr>
          <w:b/>
        </w:rPr>
        <w:t>Ministru kabineta rīkojuma projekta</w:t>
      </w:r>
    </w:p>
    <w:p w:rsidR="0050041B" w:rsidRPr="00DC55AD" w:rsidRDefault="00DC55AD" w:rsidP="00AF5EAE">
      <w:pPr>
        <w:jc w:val="center"/>
        <w:rPr>
          <w:b/>
        </w:rPr>
      </w:pPr>
      <w:r w:rsidRPr="00DC55AD">
        <w:rPr>
          <w:b/>
        </w:rPr>
        <w:t>“</w:t>
      </w:r>
      <w:r w:rsidR="0050041B" w:rsidRPr="00DC55AD">
        <w:rPr>
          <w:b/>
        </w:rPr>
        <w:t xml:space="preserve">Par finanšu līdzekļu piešķiršanu no valsts budžeta programmas </w:t>
      </w:r>
      <w:r w:rsidRPr="00DC55AD">
        <w:rPr>
          <w:b/>
        </w:rPr>
        <w:t>“</w:t>
      </w:r>
      <w:r w:rsidR="0050041B" w:rsidRPr="00DC55AD">
        <w:rPr>
          <w:b/>
        </w:rPr>
        <w:t>Līdzekļi neparedzētiem gadījumiem</w:t>
      </w:r>
      <w:r w:rsidRPr="00DC55AD">
        <w:rPr>
          <w:b/>
        </w:rPr>
        <w:t>””</w:t>
      </w:r>
      <w:r w:rsidR="0050041B" w:rsidRPr="00DC55AD">
        <w:rPr>
          <w:b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0041B" w:rsidRPr="00DC55AD">
          <w:rPr>
            <w:b/>
          </w:rPr>
          <w:t>ziņojums</w:t>
        </w:r>
      </w:smartTag>
      <w:r w:rsidR="0050041B" w:rsidRPr="00DC55AD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409"/>
        <w:gridCol w:w="5670"/>
      </w:tblGrid>
      <w:tr w:rsidR="0050041B" w:rsidRPr="00DC55AD" w:rsidTr="00E938B9">
        <w:trPr>
          <w:trHeight w:val="416"/>
        </w:trPr>
        <w:tc>
          <w:tcPr>
            <w:tcW w:w="9077" w:type="dxa"/>
            <w:gridSpan w:val="3"/>
            <w:vAlign w:val="center"/>
          </w:tcPr>
          <w:bookmarkEnd w:id="0"/>
          <w:bookmarkEnd w:id="1"/>
          <w:bookmarkEnd w:id="2"/>
          <w:p w:rsidR="0050041B" w:rsidRPr="00DC55AD" w:rsidRDefault="0050041B" w:rsidP="00194A0F">
            <w:pPr>
              <w:pStyle w:val="naisnod"/>
              <w:spacing w:before="0" w:after="0"/>
              <w:rPr>
                <w:b w:val="0"/>
              </w:rPr>
            </w:pPr>
            <w:r w:rsidRPr="00DC55AD">
              <w:rPr>
                <w:b w:val="0"/>
              </w:rPr>
              <w:t>I. Tiesību akta projekta izstrādes nepieciešamība</w:t>
            </w:r>
          </w:p>
        </w:tc>
      </w:tr>
      <w:tr w:rsidR="0050041B" w:rsidRPr="00DC55AD" w:rsidTr="00E938B9">
        <w:trPr>
          <w:trHeight w:val="630"/>
        </w:trPr>
        <w:tc>
          <w:tcPr>
            <w:tcW w:w="998" w:type="dxa"/>
          </w:tcPr>
          <w:p w:rsidR="0050041B" w:rsidRPr="008D7AEB" w:rsidRDefault="0050041B" w:rsidP="00194A0F">
            <w:pPr>
              <w:pStyle w:val="naiskr"/>
              <w:spacing w:before="0" w:after="0"/>
            </w:pPr>
            <w:r w:rsidRPr="008D7AEB">
              <w:t>1.</w:t>
            </w:r>
          </w:p>
        </w:tc>
        <w:tc>
          <w:tcPr>
            <w:tcW w:w="2409" w:type="dxa"/>
          </w:tcPr>
          <w:p w:rsidR="00DC55AD" w:rsidRPr="008D7AEB" w:rsidRDefault="0050041B" w:rsidP="00194A0F">
            <w:pPr>
              <w:pStyle w:val="naiskr"/>
              <w:spacing w:before="0" w:after="0"/>
              <w:ind w:hanging="10"/>
            </w:pPr>
            <w:r w:rsidRPr="008D7AEB">
              <w:t>Pamatojums</w:t>
            </w:r>
          </w:p>
          <w:p w:rsidR="00DC55AD" w:rsidRPr="008D7AEB" w:rsidRDefault="00DC55AD" w:rsidP="00DC55AD"/>
          <w:p w:rsidR="00DC55AD" w:rsidRPr="008D7AEB" w:rsidRDefault="00DC55AD" w:rsidP="00DC55AD"/>
          <w:p w:rsidR="00DC55AD" w:rsidRPr="008D7AEB" w:rsidRDefault="00DC55AD" w:rsidP="00DC55AD"/>
          <w:p w:rsidR="00DC55AD" w:rsidRPr="008D7AEB" w:rsidRDefault="00DC55AD" w:rsidP="00DC55AD"/>
          <w:p w:rsidR="00DC55AD" w:rsidRPr="008D7AEB" w:rsidRDefault="00DC55AD" w:rsidP="00DC55AD"/>
          <w:p w:rsidR="00DC55AD" w:rsidRPr="008D7AEB" w:rsidRDefault="00DC55AD" w:rsidP="00DC55AD"/>
          <w:p w:rsidR="00DC55AD" w:rsidRPr="008D7AEB" w:rsidRDefault="00DC55AD" w:rsidP="00DC55AD"/>
          <w:p w:rsidR="00DC55AD" w:rsidRPr="008D7AEB" w:rsidRDefault="00DC55AD" w:rsidP="00DC55AD"/>
          <w:p w:rsidR="0050041B" w:rsidRPr="008D7AEB" w:rsidRDefault="0050041B" w:rsidP="00DC55AD"/>
        </w:tc>
        <w:tc>
          <w:tcPr>
            <w:tcW w:w="5670" w:type="dxa"/>
          </w:tcPr>
          <w:p w:rsidR="00216784" w:rsidRDefault="005F50D9" w:rsidP="00CD484C">
            <w:pPr>
              <w:ind w:left="132" w:right="151" w:firstLine="425"/>
              <w:jc w:val="both"/>
            </w:pPr>
            <w:r w:rsidRPr="00F00788">
              <w:t>Ministru kabineta rīkojuma projekts “Par finanšu līdzekļu piešķiršanu no valsts budžeta programmas “Līdzekļi neparedzētiem gadījumiem”” (turpmāk – rīkojuma projekts) sagatavots, pamatojoties uz:</w:t>
            </w:r>
          </w:p>
          <w:p w:rsidR="00CD484C" w:rsidRDefault="00CD484C" w:rsidP="00CD484C">
            <w:pPr>
              <w:ind w:left="132" w:right="151" w:firstLine="425"/>
              <w:jc w:val="both"/>
            </w:pPr>
            <w:r>
              <w:t xml:space="preserve">1. </w:t>
            </w:r>
            <w:r w:rsidRPr="00C45F14">
              <w:t xml:space="preserve">Ministru kabineta </w:t>
            </w:r>
            <w:proofErr w:type="gramStart"/>
            <w:r w:rsidRPr="00C45F14">
              <w:t>2016.gada</w:t>
            </w:r>
            <w:proofErr w:type="gramEnd"/>
            <w:r w:rsidRPr="00C45F14">
              <w:t xml:space="preserve"> 2.augusta sēd</w:t>
            </w:r>
            <w:r>
              <w:t>ē doto uzdevumu (prot. Nr.38 39.§ 3.punkts).</w:t>
            </w:r>
          </w:p>
          <w:p w:rsidR="0050041B" w:rsidRPr="00C45F14" w:rsidRDefault="00CD484C" w:rsidP="00CD484C">
            <w:pPr>
              <w:ind w:left="360" w:right="151"/>
              <w:jc w:val="both"/>
            </w:pPr>
            <w:r>
              <w:t xml:space="preserve">   2. </w:t>
            </w:r>
            <w:r w:rsidR="008531A5">
              <w:t xml:space="preserve">Ministru kabineta </w:t>
            </w:r>
            <w:proofErr w:type="gramStart"/>
            <w:r w:rsidR="008531A5">
              <w:t>2009.gada</w:t>
            </w:r>
            <w:proofErr w:type="gramEnd"/>
            <w:r w:rsidR="008531A5">
              <w:t xml:space="preserve"> 22.</w:t>
            </w:r>
            <w:r w:rsidR="00F00788" w:rsidRPr="00F00788">
              <w:t>decembra noteikumu Nr.1644 “Kārtība, kādā pieprasa un izlieto budžeta programmas “Līdzekļi neparedzētiem gadījumiem” līdzekļus” 3.punktu</w:t>
            </w:r>
            <w:r>
              <w:t>.</w:t>
            </w:r>
          </w:p>
        </w:tc>
      </w:tr>
      <w:tr w:rsidR="0050041B" w:rsidRPr="00DC55AD" w:rsidTr="00E938B9">
        <w:trPr>
          <w:trHeight w:val="472"/>
        </w:trPr>
        <w:tc>
          <w:tcPr>
            <w:tcW w:w="998" w:type="dxa"/>
          </w:tcPr>
          <w:p w:rsidR="0050041B" w:rsidRPr="008D7AEB" w:rsidRDefault="0050041B" w:rsidP="00194A0F">
            <w:pPr>
              <w:pStyle w:val="naiskr"/>
              <w:spacing w:before="0" w:after="0"/>
            </w:pPr>
            <w:r w:rsidRPr="008D7AEB">
              <w:t>2.</w:t>
            </w:r>
          </w:p>
        </w:tc>
        <w:tc>
          <w:tcPr>
            <w:tcW w:w="2409" w:type="dxa"/>
          </w:tcPr>
          <w:p w:rsidR="0050041B" w:rsidRPr="008D7AEB" w:rsidRDefault="0050041B" w:rsidP="00194A0F">
            <w:pPr>
              <w:pStyle w:val="naiskr"/>
              <w:tabs>
                <w:tab w:val="left" w:pos="170"/>
              </w:tabs>
              <w:spacing w:before="0" w:after="0"/>
            </w:pPr>
            <w:r w:rsidRPr="008D7AEB">
              <w:t>Pašreizējā situācija un problēmas</w:t>
            </w:r>
            <w:r w:rsidR="009F1F89" w:rsidRPr="008D7AEB">
              <w:t>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5A6518" w:rsidRPr="005A6518" w:rsidRDefault="00FC092C" w:rsidP="005A6518">
            <w:pPr>
              <w:pStyle w:val="NoSpacing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  <w:r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Ministru kabineta </w:t>
            </w:r>
            <w:proofErr w:type="gramStart"/>
            <w:r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2016.gada</w:t>
            </w:r>
            <w:proofErr w:type="gramEnd"/>
            <w:r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 2.augusta sēd</w:t>
            </w:r>
            <w:r w:rsidR="002B4A6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ē</w:t>
            </w:r>
            <w:r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 </w:t>
            </w:r>
            <w:r w:rsidR="002B4A6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(</w:t>
            </w:r>
            <w:r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prot</w:t>
            </w:r>
            <w:r w:rsidR="002B4A6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.</w:t>
            </w:r>
            <w:r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 Nr.38 39.§</w:t>
            </w:r>
            <w:r w:rsidR="002B4A6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) tika izskatīts Iekšlietu ministrijas sagatavotais </w:t>
            </w:r>
            <w:r w:rsidR="0006787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Informatīvais ziņojums </w:t>
            </w:r>
            <w:r w:rsidR="00CD484C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“</w:t>
            </w:r>
            <w:r w:rsidR="0006787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Par dienesta pienākumu izpildes laika organizēšanu Iekšlietu ministrijas sistēmas iestādēs un Ieslodzījuma vietu pārvaldē</w:t>
            </w:r>
            <w:r w:rsidR="00CD484C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”</w:t>
            </w:r>
            <w:r w:rsidR="00067874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 (turpmāk – Informatīvais ziņojums).</w:t>
            </w:r>
            <w:r w:rsidR="005A6518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 Informatīvais ziņojums </w:t>
            </w:r>
            <w:r w:rsid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tika </w:t>
            </w:r>
            <w:r w:rsidR="005A6518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sagatavots, lai informētu Ministru kabinetu par Augstākās tiesas Administratīvo lietu departamenta (turpmāk – Augstākā tiesa) </w:t>
            </w:r>
            <w:proofErr w:type="gramStart"/>
            <w:r w:rsidR="005A6518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2016.gada</w:t>
            </w:r>
            <w:proofErr w:type="gramEnd"/>
            <w:r w:rsidR="005A6518" w:rsidRPr="005A65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 xml:space="preserve"> 16.jūnija spriedumu lietā Nr.A420535212 (turpmāk – spriedums), un Ministru kabinets pieņemtu lēmumu par turpmāko rīcību.</w:t>
            </w:r>
          </w:p>
          <w:p w:rsidR="00CD484C" w:rsidRPr="00706C44" w:rsidRDefault="00067874" w:rsidP="00CD484C">
            <w:pPr>
              <w:ind w:left="132" w:right="151" w:firstLine="557"/>
              <w:jc w:val="both"/>
              <w:rPr>
                <w:rFonts w:eastAsia="Times New Roman"/>
                <w:szCs w:val="20"/>
                <w:lang w:eastAsia="en-US"/>
              </w:rPr>
            </w:pPr>
            <w:r w:rsidRPr="005A6518">
              <w:rPr>
                <w:rFonts w:eastAsia="Times New Roman"/>
                <w:szCs w:val="20"/>
                <w:lang w:eastAsia="en-US"/>
              </w:rPr>
              <w:t>Informatīvajā ziņojumā bija iekļauti indikatīvi aprēķini</w:t>
            </w:r>
            <w:r w:rsidR="005A65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="005A6518" w:rsidRPr="005A6518">
              <w:rPr>
                <w:rFonts w:eastAsia="Times New Roman"/>
                <w:szCs w:val="20"/>
                <w:lang w:eastAsia="en-US"/>
              </w:rPr>
              <w:t>par papildu nepieciešamo finansējumu, lai kompensētu Iekšlietu ministrijas sistēmas iestāžu un Ieslodzījuma vietu pārvaldes amatpersonām ar speciālajām dienesta pakāpēm</w:t>
            </w:r>
            <w:r w:rsidR="005A6518">
              <w:rPr>
                <w:rFonts w:eastAsia="Times New Roman"/>
                <w:szCs w:val="20"/>
                <w:lang w:eastAsia="en-US"/>
              </w:rPr>
              <w:t xml:space="preserve"> (turpmāk – amatpersona) izveidojušās virsstundas,</w:t>
            </w:r>
            <w:r w:rsidR="005A6518" w:rsidRPr="005A65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="005A6518">
              <w:rPr>
                <w:rFonts w:eastAsia="Times New Roman"/>
                <w:szCs w:val="20"/>
                <w:lang w:eastAsia="en-US"/>
              </w:rPr>
              <w:t>kas balstījās uz vidējo kompensējamo virsstundu skaitu, vidējo amatpersonu skaitu, kurām piešķirama kompensācija, un vidējo šīm amatpersonām noteikto stundas algas likmi.</w:t>
            </w:r>
            <w:r w:rsidRPr="005A65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="00706C44">
              <w:rPr>
                <w:rFonts w:eastAsia="Times New Roman"/>
                <w:szCs w:val="20"/>
                <w:lang w:eastAsia="en-US"/>
              </w:rPr>
              <w:t xml:space="preserve">Indikatīvi aprēķinātie papildu izdevumi </w:t>
            </w:r>
            <w:r w:rsidR="00CD484C">
              <w:rPr>
                <w:rFonts w:eastAsia="Times New Roman"/>
                <w:szCs w:val="20"/>
                <w:lang w:eastAsia="en-US"/>
              </w:rPr>
              <w:t>virsstundu darba apmaksai,</w:t>
            </w:r>
            <w:r w:rsidR="00CD484C" w:rsidRPr="00706C44">
              <w:rPr>
                <w:rFonts w:eastAsia="Times New Roman"/>
                <w:szCs w:val="20"/>
                <w:lang w:eastAsia="en-US"/>
              </w:rPr>
              <w:t xml:space="preserve"> ņemot vērā arī ietekmi uz piemaksu par nakts darbu</w:t>
            </w:r>
            <w:r w:rsidR="00CD484C">
              <w:rPr>
                <w:rFonts w:eastAsia="Times New Roman"/>
                <w:szCs w:val="20"/>
                <w:lang w:eastAsia="en-US"/>
              </w:rPr>
              <w:t>,</w:t>
            </w:r>
            <w:r w:rsidR="00CD484C" w:rsidRPr="005A6518">
              <w:rPr>
                <w:rFonts w:eastAsia="Times New Roman"/>
                <w:szCs w:val="20"/>
                <w:lang w:eastAsia="en-US"/>
              </w:rPr>
              <w:t xml:space="preserve"> Iekšlietu ministrijas sistēmas iestā</w:t>
            </w:r>
            <w:r w:rsidR="00CD484C">
              <w:rPr>
                <w:rFonts w:eastAsia="Times New Roman"/>
                <w:szCs w:val="20"/>
                <w:lang w:eastAsia="en-US"/>
              </w:rPr>
              <w:t xml:space="preserve">dēm sastāda 13 235 813 </w:t>
            </w:r>
            <w:proofErr w:type="spellStart"/>
            <w:r w:rsidR="00CD484C" w:rsidRPr="00706C44">
              <w:rPr>
                <w:rFonts w:eastAsia="Times New Roman"/>
                <w:i/>
                <w:szCs w:val="20"/>
                <w:lang w:eastAsia="en-US"/>
              </w:rPr>
              <w:t>euro</w:t>
            </w:r>
            <w:proofErr w:type="spellEnd"/>
            <w:r w:rsidR="00CD484C">
              <w:rPr>
                <w:rFonts w:eastAsia="Times New Roman"/>
                <w:i/>
                <w:szCs w:val="20"/>
                <w:lang w:eastAsia="en-US"/>
              </w:rPr>
              <w:t xml:space="preserve"> </w:t>
            </w:r>
            <w:r w:rsidR="00CD484C" w:rsidRPr="00CD484C">
              <w:rPr>
                <w:rFonts w:eastAsia="Times New Roman"/>
                <w:szCs w:val="20"/>
                <w:lang w:eastAsia="en-US"/>
              </w:rPr>
              <w:t>(no tā</w:t>
            </w:r>
            <w:r w:rsidR="00CD484C">
              <w:rPr>
                <w:rFonts w:eastAsia="Times New Roman"/>
                <w:szCs w:val="20"/>
                <w:lang w:eastAsia="en-US"/>
              </w:rPr>
              <w:t>:</w:t>
            </w:r>
            <w:r w:rsidR="00CD484C" w:rsidRPr="00CD484C">
              <w:rPr>
                <w:rFonts w:eastAsia="Times New Roman"/>
                <w:szCs w:val="20"/>
                <w:lang w:eastAsia="en-US"/>
              </w:rPr>
              <w:t xml:space="preserve"> Valsts ugunsdzēsības un glābšanas dienestam</w:t>
            </w:r>
            <w:r w:rsidR="00CD484C">
              <w:t xml:space="preserve"> – 8 229 710 </w:t>
            </w:r>
            <w:proofErr w:type="spellStart"/>
            <w:r w:rsidR="00CD484C" w:rsidRPr="00CD484C">
              <w:rPr>
                <w:i/>
              </w:rPr>
              <w:t>euro</w:t>
            </w:r>
            <w:proofErr w:type="spellEnd"/>
            <w:r w:rsidR="00CD484C">
              <w:t>).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067874" w:rsidRPr="00067874" w:rsidTr="00067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7874" w:rsidRPr="00067874" w:rsidRDefault="00067874" w:rsidP="004469FD">
                  <w:pPr>
                    <w:framePr w:hSpace="180" w:wrap="around" w:vAnchor="text" w:hAnchor="margin" w:xAlign="center" w:y="149"/>
                    <w:rPr>
                      <w:rFonts w:eastAsia="Times New Roman"/>
                      <w:szCs w:val="20"/>
                      <w:lang w:eastAsia="en-US"/>
                    </w:rPr>
                  </w:pPr>
                  <w:bookmarkStart w:id="3" w:name="39"/>
                  <w:bookmarkEnd w:id="3"/>
                </w:p>
              </w:tc>
            </w:tr>
            <w:tr w:rsidR="00067874" w:rsidRPr="00067874" w:rsidTr="00067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7874" w:rsidRPr="00067874" w:rsidRDefault="00067874" w:rsidP="004469FD">
                  <w:pPr>
                    <w:framePr w:hSpace="180" w:wrap="around" w:vAnchor="text" w:hAnchor="margin" w:xAlign="center" w:y="149"/>
                    <w:jc w:val="center"/>
                    <w:rPr>
                      <w:rFonts w:eastAsia="Times New Roman"/>
                      <w:szCs w:val="20"/>
                      <w:lang w:eastAsia="en-US"/>
                    </w:rPr>
                  </w:pPr>
                </w:p>
              </w:tc>
            </w:tr>
          </w:tbl>
          <w:p w:rsidR="00FC092C" w:rsidRDefault="005A6518" w:rsidP="00FC092C">
            <w:pPr>
              <w:ind w:left="132" w:right="151" w:firstLine="557"/>
              <w:jc w:val="both"/>
              <w:rPr>
                <w:rFonts w:eastAsia="Times New Roman"/>
                <w:szCs w:val="20"/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 xml:space="preserve">Izskatot Informatīvo ziņojumu, tika dots uzdevums </w:t>
            </w:r>
            <w:r w:rsidR="00FC092C" w:rsidRPr="005A6518">
              <w:rPr>
                <w:rFonts w:eastAsia="Times New Roman"/>
                <w:szCs w:val="20"/>
                <w:lang w:eastAsia="en-US"/>
              </w:rPr>
              <w:t>apkopo</w:t>
            </w:r>
            <w:r>
              <w:rPr>
                <w:rFonts w:eastAsia="Times New Roman"/>
                <w:szCs w:val="20"/>
                <w:lang w:eastAsia="en-US"/>
              </w:rPr>
              <w:t>t</w:t>
            </w:r>
            <w:r w:rsidR="00FC092C" w:rsidRPr="005A6518">
              <w:rPr>
                <w:rFonts w:eastAsia="Times New Roman"/>
                <w:szCs w:val="20"/>
                <w:lang w:eastAsia="en-US"/>
              </w:rPr>
              <w:t xml:space="preserve"> informācij</w:t>
            </w:r>
            <w:r>
              <w:rPr>
                <w:rFonts w:eastAsia="Times New Roman"/>
                <w:szCs w:val="20"/>
                <w:lang w:eastAsia="en-US"/>
              </w:rPr>
              <w:t>u</w:t>
            </w:r>
            <w:r w:rsidR="00FC092C" w:rsidRPr="005A6518">
              <w:rPr>
                <w:rFonts w:eastAsia="Times New Roman"/>
                <w:szCs w:val="20"/>
                <w:lang w:eastAsia="en-US"/>
              </w:rPr>
              <w:t xml:space="preserve"> par katrai amatpersonai faktiski kompensējamo nostrādāto virsstundu skaitu attiecīgajā laikposmā un noteiktajā kārtībā </w:t>
            </w:r>
            <w:r>
              <w:rPr>
                <w:rFonts w:eastAsia="Times New Roman"/>
                <w:szCs w:val="20"/>
                <w:lang w:eastAsia="en-US"/>
              </w:rPr>
              <w:t xml:space="preserve">iesniegt </w:t>
            </w:r>
            <w:r w:rsidR="00FC092C" w:rsidRPr="005A6518">
              <w:rPr>
                <w:rFonts w:eastAsia="Times New Roman"/>
                <w:szCs w:val="20"/>
                <w:lang w:eastAsia="en-US"/>
              </w:rPr>
              <w:t>izskatīšanai Ministru kabinetā rīkojuma projektu par finanšu līdzekļu piešķiršanu no valsts budžeta programmas 02.00.00 “Līdzekļi neparedzētiem gadījumiem”.</w:t>
            </w:r>
          </w:p>
          <w:p w:rsidR="00CD484C" w:rsidRDefault="00CD484C" w:rsidP="00CD484C">
            <w:pPr>
              <w:ind w:left="132" w:right="151" w:firstLine="557"/>
              <w:jc w:val="both"/>
              <w:rPr>
                <w:rFonts w:eastAsia="Times New Roman"/>
                <w:szCs w:val="20"/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R</w:t>
            </w:r>
            <w:r w:rsidR="005A6518">
              <w:rPr>
                <w:rFonts w:eastAsia="Times New Roman"/>
                <w:szCs w:val="20"/>
                <w:lang w:eastAsia="en-US"/>
              </w:rPr>
              <w:t>īkojuma projekt</w:t>
            </w:r>
            <w:r>
              <w:rPr>
                <w:rFonts w:eastAsia="Times New Roman"/>
                <w:szCs w:val="20"/>
                <w:lang w:eastAsia="en-US"/>
              </w:rPr>
              <w:t>s</w:t>
            </w:r>
            <w:r w:rsidR="005A6518">
              <w:rPr>
                <w:rFonts w:eastAsia="Times New Roman"/>
                <w:szCs w:val="20"/>
                <w:lang w:eastAsia="en-US"/>
              </w:rPr>
              <w:t xml:space="preserve"> paredz</w:t>
            </w:r>
            <w:r>
              <w:rPr>
                <w:rFonts w:eastAsia="Times New Roman"/>
                <w:szCs w:val="20"/>
                <w:lang w:eastAsia="en-US"/>
              </w:rPr>
              <w:t>:</w:t>
            </w:r>
          </w:p>
          <w:p w:rsidR="00CD484C" w:rsidRDefault="00CD484C" w:rsidP="00CD484C">
            <w:pPr>
              <w:ind w:left="132" w:right="151" w:firstLine="557"/>
              <w:jc w:val="both"/>
              <w:rPr>
                <w:rFonts w:eastAsia="Times New Roman"/>
                <w:i/>
                <w:szCs w:val="20"/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lastRenderedPageBreak/>
              <w:t>-</w:t>
            </w:r>
            <w:r w:rsidR="005A65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="00876627">
              <w:rPr>
                <w:rFonts w:eastAsia="Times New Roman"/>
                <w:szCs w:val="20"/>
                <w:lang w:eastAsia="en-US"/>
              </w:rPr>
              <w:t>piešķirt</w:t>
            </w:r>
            <w:r w:rsidRPr="005A6518">
              <w:rPr>
                <w:rFonts w:eastAsia="Times New Roman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Cs w:val="20"/>
                <w:lang w:eastAsia="en-US"/>
              </w:rPr>
              <w:t>2016.gadā</w:t>
            </w:r>
            <w:proofErr w:type="gramEnd"/>
            <w:r>
              <w:rPr>
                <w:rFonts w:eastAsia="Times New Roman"/>
                <w:szCs w:val="20"/>
                <w:lang w:eastAsia="en-US"/>
              </w:rPr>
              <w:t xml:space="preserve"> </w:t>
            </w:r>
            <w:r w:rsidR="00934D38" w:rsidRPr="00CD484C">
              <w:rPr>
                <w:rFonts w:eastAsia="Times New Roman"/>
                <w:szCs w:val="20"/>
                <w:lang w:eastAsia="en-US"/>
              </w:rPr>
              <w:t xml:space="preserve"> Valsts ugunsdzēsības un glābšanas dienestam</w:t>
            </w:r>
            <w:r w:rsidR="00934D38" w:rsidRPr="005A65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Pr="005A6518">
              <w:rPr>
                <w:rFonts w:eastAsia="Times New Roman"/>
                <w:szCs w:val="20"/>
                <w:lang w:eastAsia="en-US"/>
              </w:rPr>
              <w:t>no valsts budžeta programmas 02.00.00 “Līdzekļi neparedzētiem gadījumiem”</w:t>
            </w:r>
            <w:r w:rsidR="00876627">
              <w:rPr>
                <w:rFonts w:eastAsia="Times New Roman"/>
                <w:szCs w:val="20"/>
                <w:lang w:eastAsia="en-US"/>
              </w:rPr>
              <w:t xml:space="preserve"> daļu no indikatīvi aprēķinātā finansējuma</w:t>
            </w:r>
            <w:r>
              <w:rPr>
                <w:rFonts w:eastAsia="Times New Roman"/>
                <w:szCs w:val="20"/>
                <w:lang w:eastAsia="en-US"/>
              </w:rPr>
              <w:t xml:space="preserve">, nepārsniedzot 4 000 000 </w:t>
            </w:r>
            <w:proofErr w:type="spellStart"/>
            <w:r w:rsidR="00876627" w:rsidRPr="00876627">
              <w:rPr>
                <w:rFonts w:eastAsia="Times New Roman"/>
                <w:i/>
                <w:szCs w:val="20"/>
                <w:lang w:eastAsia="en-US"/>
              </w:rPr>
              <w:t>euro</w:t>
            </w:r>
            <w:proofErr w:type="spellEnd"/>
            <w:r>
              <w:rPr>
                <w:rFonts w:eastAsia="Times New Roman"/>
                <w:i/>
                <w:szCs w:val="20"/>
                <w:lang w:eastAsia="en-US"/>
              </w:rPr>
              <w:t>;</w:t>
            </w:r>
          </w:p>
          <w:p w:rsidR="00CD484C" w:rsidRPr="005A6518" w:rsidRDefault="00CD484C" w:rsidP="00934D38">
            <w:pPr>
              <w:ind w:left="132" w:right="151" w:firstLine="557"/>
              <w:jc w:val="both"/>
              <w:rPr>
                <w:rFonts w:eastAsia="Times New Roman"/>
                <w:szCs w:val="20"/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 xml:space="preserve">- </w:t>
            </w:r>
            <w:r w:rsidRPr="00CD484C">
              <w:rPr>
                <w:rFonts w:eastAsia="Times New Roman"/>
                <w:szCs w:val="20"/>
                <w:lang w:eastAsia="en-US"/>
              </w:rPr>
              <w:t xml:space="preserve">Iekšlietu ministrijai, iesniedzot Finanšu ministrijā pieprasījumu par līdzekļu piešķiršanu </w:t>
            </w:r>
            <w:proofErr w:type="gramStart"/>
            <w:r w:rsidRPr="00CD484C">
              <w:rPr>
                <w:rFonts w:eastAsia="Times New Roman"/>
                <w:szCs w:val="20"/>
                <w:lang w:eastAsia="en-US"/>
              </w:rPr>
              <w:t>2016.gadā</w:t>
            </w:r>
            <w:proofErr w:type="gramEnd"/>
            <w:r w:rsidRPr="00CD484C">
              <w:rPr>
                <w:rFonts w:eastAsia="Times New Roman"/>
                <w:szCs w:val="20"/>
                <w:lang w:eastAsia="en-US"/>
              </w:rPr>
              <w:t xml:space="preserve"> no valsts budžeta programmas 02.00.00 „Līdzekļi neparedzētiem gadījumiem”, pievienot tam detalizētu izdevumu aprēķinu.</w:t>
            </w:r>
          </w:p>
        </w:tc>
      </w:tr>
      <w:tr w:rsidR="0050041B" w:rsidRPr="00DC55AD" w:rsidTr="00E938B9">
        <w:trPr>
          <w:trHeight w:val="476"/>
        </w:trPr>
        <w:tc>
          <w:tcPr>
            <w:tcW w:w="998" w:type="dxa"/>
          </w:tcPr>
          <w:p w:rsidR="0050041B" w:rsidRPr="008D7AEB" w:rsidRDefault="008F3420" w:rsidP="00194A0F">
            <w:pPr>
              <w:pStyle w:val="naiskr"/>
              <w:spacing w:before="0" w:after="0"/>
            </w:pPr>
            <w:r w:rsidRPr="008D7AEB">
              <w:lastRenderedPageBreak/>
              <w:t>3</w:t>
            </w:r>
            <w:r w:rsidR="0050041B" w:rsidRPr="008D7AEB">
              <w:t>.</w:t>
            </w:r>
          </w:p>
        </w:tc>
        <w:tc>
          <w:tcPr>
            <w:tcW w:w="2409" w:type="dxa"/>
          </w:tcPr>
          <w:p w:rsidR="0050041B" w:rsidRPr="008D7AEB" w:rsidRDefault="0050041B" w:rsidP="00194A0F">
            <w:pPr>
              <w:pStyle w:val="naiskr"/>
              <w:spacing w:before="0" w:after="0"/>
            </w:pPr>
            <w:r w:rsidRPr="008D7AEB">
              <w:t>Projekta izstrādē iesaistītās institūcijas</w:t>
            </w:r>
          </w:p>
        </w:tc>
        <w:tc>
          <w:tcPr>
            <w:tcW w:w="5670" w:type="dxa"/>
          </w:tcPr>
          <w:p w:rsidR="0050041B" w:rsidRPr="00FC092C" w:rsidRDefault="00FC092C" w:rsidP="00CD484C">
            <w:pPr>
              <w:ind w:firstLine="132"/>
              <w:jc w:val="both"/>
            </w:pPr>
            <w:r w:rsidRPr="00CD484C">
              <w:t>Iekšlietu ministrija</w:t>
            </w:r>
            <w:r w:rsidR="00CD484C" w:rsidRPr="00CD484C">
              <w:t>.</w:t>
            </w:r>
            <w:r w:rsidR="0050041B" w:rsidRPr="00876627">
              <w:rPr>
                <w:highlight w:val="yellow"/>
              </w:rPr>
              <w:t xml:space="preserve"> </w:t>
            </w:r>
          </w:p>
        </w:tc>
      </w:tr>
      <w:tr w:rsidR="0050041B" w:rsidRPr="00DC55AD" w:rsidTr="004B4FD7">
        <w:trPr>
          <w:trHeight w:val="3023"/>
        </w:trPr>
        <w:tc>
          <w:tcPr>
            <w:tcW w:w="998" w:type="dxa"/>
          </w:tcPr>
          <w:p w:rsidR="0050041B" w:rsidRPr="008D7AEB" w:rsidRDefault="008F3420" w:rsidP="00194A0F">
            <w:pPr>
              <w:pStyle w:val="naiskr"/>
              <w:spacing w:before="0" w:after="0"/>
            </w:pPr>
            <w:r w:rsidRPr="008D7AEB">
              <w:t>4</w:t>
            </w:r>
            <w:r w:rsidR="0050041B" w:rsidRPr="008D7AEB">
              <w:t>.</w:t>
            </w:r>
          </w:p>
        </w:tc>
        <w:tc>
          <w:tcPr>
            <w:tcW w:w="2409" w:type="dxa"/>
          </w:tcPr>
          <w:p w:rsidR="0050041B" w:rsidRPr="008D7AEB" w:rsidRDefault="0050041B" w:rsidP="00194A0F">
            <w:pPr>
              <w:pStyle w:val="naiskr"/>
              <w:spacing w:before="0" w:after="0"/>
            </w:pPr>
            <w:r w:rsidRPr="008D7AEB">
              <w:t>Cita informācija</w:t>
            </w:r>
          </w:p>
        </w:tc>
        <w:tc>
          <w:tcPr>
            <w:tcW w:w="5670" w:type="dxa"/>
          </w:tcPr>
          <w:p w:rsidR="0050041B" w:rsidRPr="00FC092C" w:rsidRDefault="00934D38" w:rsidP="006B0264">
            <w:pPr>
              <w:tabs>
                <w:tab w:val="left" w:pos="709"/>
              </w:tabs>
              <w:ind w:right="151" w:firstLine="709"/>
              <w:jc w:val="both"/>
            </w:pPr>
            <w:proofErr w:type="gramStart"/>
            <w:r>
              <w:t>2016.gadā</w:t>
            </w:r>
            <w:proofErr w:type="gramEnd"/>
            <w:r>
              <w:t xml:space="preserve"> neizmaksātā atlīdzības daļa tiks izmaksāta 2017.gadā no šim mērķim valsts budžeta 74.resorā “Gadskārtējā valsts budžeta izpildes procesā pārdalāmais finansējums” programmas 07.00.00 </w:t>
            </w:r>
            <w:r w:rsidR="0012793C">
              <w:t>“</w:t>
            </w:r>
            <w:r>
              <w:t>Ties</w:t>
            </w:r>
            <w:r w:rsidR="0012793C">
              <w:t>u</w:t>
            </w:r>
            <w:r>
              <w:t xml:space="preserve"> spriedumu izpilde” (dienestā esošajām amatpersonām</w:t>
            </w:r>
            <w:r w:rsidR="004B4FD7">
              <w:t>)</w:t>
            </w:r>
            <w:r>
              <w:t xml:space="preserve">. </w:t>
            </w:r>
            <w:r w:rsidR="004B4FD7" w:rsidRPr="004B4FD7">
              <w:t xml:space="preserve"> </w:t>
            </w:r>
            <w:r w:rsidR="004B4FD7">
              <w:t>A</w:t>
            </w:r>
            <w:r w:rsidR="004B4FD7" w:rsidRPr="004B4FD7">
              <w:t xml:space="preserve">ttiecībā uz tām amatpersonām, kuras atvaļinātas no dienesta attiecīgajā Iekšlietu ministrijas sistēmas iestādē </w:t>
            </w:r>
            <w:r w:rsidR="004B4FD7">
              <w:t xml:space="preserve">Iekšlietu ministrija iesniegs </w:t>
            </w:r>
            <w:r w:rsidR="004B4FD7" w:rsidRPr="004B4FD7">
              <w:t>Finanšu ministrijai Valsts pārvaldes iestāžu nodarīto zaudējumu atlīdzināšanas likuma 21.</w:t>
            </w:r>
            <w:r w:rsidR="004B4FD7" w:rsidRPr="004B4FD7">
              <w:rPr>
                <w:vertAlign w:val="superscript"/>
              </w:rPr>
              <w:t>1</w:t>
            </w:r>
            <w:r w:rsidR="004B4FD7" w:rsidRPr="004B4FD7">
              <w:t xml:space="preserve"> pantā paredzētos lēmumus</w:t>
            </w:r>
            <w:r w:rsidR="004B4FD7">
              <w:t xml:space="preserve">, un izmaksu nodrošinās </w:t>
            </w:r>
            <w:r w:rsidR="004B4FD7" w:rsidRPr="004B4FD7">
              <w:t>Finanšu ministrija</w:t>
            </w:r>
            <w:r w:rsidR="006B0264">
              <w:t xml:space="preserve"> </w:t>
            </w:r>
            <w:proofErr w:type="gramStart"/>
            <w:r w:rsidR="006B0264">
              <w:t>2017</w:t>
            </w:r>
            <w:r w:rsidR="004B4FD7">
              <w:t>.</w:t>
            </w:r>
            <w:r w:rsidR="006B0264">
              <w:t>gadā</w:t>
            </w:r>
            <w:proofErr w:type="gramEnd"/>
            <w:r w:rsidR="006B0264">
              <w:t>.</w:t>
            </w:r>
          </w:p>
        </w:tc>
      </w:tr>
    </w:tbl>
    <w:p w:rsidR="0050041B" w:rsidRPr="00DC55AD" w:rsidRDefault="0050041B" w:rsidP="00A41AFD">
      <w:pPr>
        <w:pStyle w:val="naisf"/>
        <w:spacing w:before="0" w:after="0"/>
        <w:ind w:firstLine="0"/>
        <w:rPr>
          <w:highlight w:val="yellow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394"/>
        <w:gridCol w:w="1487"/>
        <w:gridCol w:w="1487"/>
        <w:gridCol w:w="1487"/>
        <w:gridCol w:w="1407"/>
      </w:tblGrid>
      <w:tr w:rsidR="0050041B" w:rsidRPr="00DC55AD" w:rsidTr="00E938B9">
        <w:trPr>
          <w:trHeight w:val="255"/>
          <w:jc w:val="center"/>
        </w:trPr>
        <w:tc>
          <w:tcPr>
            <w:tcW w:w="9139" w:type="dxa"/>
            <w:gridSpan w:val="6"/>
          </w:tcPr>
          <w:p w:rsidR="0050041B" w:rsidRPr="008D7AEB" w:rsidRDefault="0050041B" w:rsidP="00DA3291">
            <w:pPr>
              <w:pStyle w:val="naisnod"/>
              <w:spacing w:before="0" w:after="0"/>
              <w:ind w:left="162" w:hanging="162"/>
              <w:rPr>
                <w:i/>
              </w:rPr>
            </w:pPr>
            <w:r w:rsidRPr="008D7AEB">
              <w:br w:type="page"/>
              <w:t>III. Tiesību akta projekta ietekme uz valsts budžetu un pašvaldību budžetiem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Merge w:val="restart"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D7AEB">
              <w:rPr>
                <w:b/>
              </w:rPr>
              <w:t>Rādītāji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50041B" w:rsidRPr="008D7AEB" w:rsidRDefault="00931439" w:rsidP="0093143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D7AEB">
              <w:rPr>
                <w:b/>
              </w:rPr>
              <w:t>2016</w:t>
            </w:r>
            <w:r w:rsidR="0050041B" w:rsidRPr="008D7AEB">
              <w:rPr>
                <w:b/>
              </w:rPr>
              <w:t>.gads</w:t>
            </w:r>
          </w:p>
        </w:tc>
        <w:tc>
          <w:tcPr>
            <w:tcW w:w="4381" w:type="dxa"/>
            <w:gridSpan w:val="3"/>
            <w:vAlign w:val="center"/>
          </w:tcPr>
          <w:p w:rsidR="0050041B" w:rsidRPr="008D7AEB" w:rsidRDefault="0050041B" w:rsidP="0093143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t>Turpmākie trīs gadi (</w:t>
            </w:r>
            <w:proofErr w:type="spellStart"/>
            <w:r w:rsidR="00931439" w:rsidRPr="008D7AEB">
              <w:rPr>
                <w:i/>
              </w:rPr>
              <w:t>euro</w:t>
            </w:r>
            <w:proofErr w:type="spellEnd"/>
            <w:r w:rsidRPr="008D7AEB">
              <w:t>)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Merge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87" w:type="dxa"/>
            <w:vAlign w:val="center"/>
          </w:tcPr>
          <w:p w:rsidR="0050041B" w:rsidRPr="008D7AEB" w:rsidRDefault="00931439" w:rsidP="0093143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rPr>
                <w:b/>
                <w:bCs/>
              </w:rPr>
              <w:t>2017</w:t>
            </w:r>
          </w:p>
        </w:tc>
        <w:tc>
          <w:tcPr>
            <w:tcW w:w="1487" w:type="dxa"/>
            <w:vAlign w:val="center"/>
          </w:tcPr>
          <w:p w:rsidR="0050041B" w:rsidRPr="008D7AEB" w:rsidRDefault="00931439" w:rsidP="0093143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rPr>
                <w:b/>
                <w:bCs/>
              </w:rPr>
              <w:t>2018</w:t>
            </w:r>
          </w:p>
        </w:tc>
        <w:tc>
          <w:tcPr>
            <w:tcW w:w="1407" w:type="dxa"/>
            <w:vAlign w:val="center"/>
          </w:tcPr>
          <w:p w:rsidR="0050041B" w:rsidRPr="008D7AEB" w:rsidRDefault="00931439" w:rsidP="0093143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rPr>
                <w:b/>
                <w:bCs/>
              </w:rPr>
              <w:t>2019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Merge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94" w:type="dxa"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t>Saskaņā ar valsts budžetu kārtējam gadam</w:t>
            </w:r>
          </w:p>
        </w:tc>
        <w:tc>
          <w:tcPr>
            <w:tcW w:w="1487" w:type="dxa"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t>Izmaiņas kārtējā gadā, salīdzinot ar budžetu kārtējam gadam</w:t>
            </w:r>
          </w:p>
        </w:tc>
        <w:tc>
          <w:tcPr>
            <w:tcW w:w="1487" w:type="dxa"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8D7AEB">
              <w:t xml:space="preserve">Izmaiņas, salīdzinot ar kārtējo </w:t>
            </w:r>
            <w:r w:rsidR="00931439" w:rsidRPr="008D7AEB">
              <w:t>2016</w:t>
            </w:r>
            <w:r w:rsidRPr="008D7AEB">
              <w:t>.</w:t>
            </w:r>
          </w:p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t>gadu</w:t>
            </w:r>
          </w:p>
        </w:tc>
        <w:tc>
          <w:tcPr>
            <w:tcW w:w="1487" w:type="dxa"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8D7AEB">
              <w:t xml:space="preserve">Izmaiņas, salīdzinot ar kārtējo </w:t>
            </w:r>
            <w:r w:rsidR="00931439" w:rsidRPr="008D7AEB">
              <w:t>2016</w:t>
            </w:r>
            <w:r w:rsidRPr="008D7AEB">
              <w:t>.</w:t>
            </w:r>
          </w:p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t>gadu</w:t>
            </w:r>
          </w:p>
        </w:tc>
        <w:tc>
          <w:tcPr>
            <w:tcW w:w="1407" w:type="dxa"/>
            <w:vAlign w:val="center"/>
          </w:tcPr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8D7AEB">
              <w:t xml:space="preserve">Izmaiņas, salīdzinot ar kārtējo </w:t>
            </w:r>
            <w:r w:rsidR="00931439" w:rsidRPr="008D7AEB">
              <w:t>2016</w:t>
            </w:r>
            <w:r w:rsidRPr="008D7AEB">
              <w:t>.</w:t>
            </w:r>
          </w:p>
          <w:p w:rsidR="0050041B" w:rsidRPr="008D7AEB" w:rsidRDefault="0050041B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D7AEB">
              <w:t>gadu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55A4">
              <w:rPr>
                <w:bCs/>
              </w:rPr>
              <w:t>1</w:t>
            </w:r>
          </w:p>
        </w:tc>
        <w:tc>
          <w:tcPr>
            <w:tcW w:w="1394" w:type="dxa"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55A4"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55A4">
              <w:rPr>
                <w:bCs/>
              </w:rPr>
              <w:t>3</w:t>
            </w:r>
          </w:p>
        </w:tc>
        <w:tc>
          <w:tcPr>
            <w:tcW w:w="1487" w:type="dxa"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55A4">
              <w:rPr>
                <w:bCs/>
              </w:rPr>
              <w:t>4</w:t>
            </w:r>
          </w:p>
        </w:tc>
        <w:tc>
          <w:tcPr>
            <w:tcW w:w="1487" w:type="dxa"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55A4">
              <w:rPr>
                <w:bCs/>
              </w:rPr>
              <w:t>5</w:t>
            </w:r>
          </w:p>
        </w:tc>
        <w:tc>
          <w:tcPr>
            <w:tcW w:w="1407" w:type="dxa"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55A4">
              <w:rPr>
                <w:bCs/>
              </w:rPr>
              <w:t>6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B255A4">
              <w:t>1. Budžeta ieņēmumi: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255A4">
              <w:t>0</w:t>
            </w:r>
          </w:p>
        </w:tc>
      </w:tr>
      <w:tr w:rsidR="0050041B" w:rsidRPr="00DC55AD" w:rsidTr="00AF5EAE">
        <w:trPr>
          <w:trHeight w:val="1422"/>
          <w:jc w:val="center"/>
        </w:trPr>
        <w:tc>
          <w:tcPr>
            <w:tcW w:w="1877" w:type="dxa"/>
          </w:tcPr>
          <w:p w:rsidR="0050041B" w:rsidRPr="00B255A4" w:rsidRDefault="0050041B" w:rsidP="00CF4BA9">
            <w:pPr>
              <w:pStyle w:val="naisf"/>
              <w:spacing w:before="0" w:after="0"/>
              <w:ind w:firstLine="0"/>
              <w:jc w:val="left"/>
            </w:pPr>
            <w:r w:rsidRPr="00B255A4">
              <w:t>1.1. valsts pamatbudžets, tai skaitā ieņēmumi no maksas pakalpojumiem un citi pašu ieņēmumi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B255A4">
              <w:t>1.2. valsts speciālais budžets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B255A4">
              <w:t>1.3. pašvaldību budžets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lastRenderedPageBreak/>
              <w:t>2. Budžeta izdevumi: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2E6DE5" w:rsidP="00B255A4">
            <w:pPr>
              <w:pStyle w:val="naisf"/>
              <w:spacing w:before="0" w:after="0"/>
              <w:ind w:firstLine="0"/>
              <w:jc w:val="center"/>
            </w:pPr>
            <w:r>
              <w:t>4 000 000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trHeight w:val="467"/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2.1. valsts pamatbudžets</w:t>
            </w:r>
          </w:p>
        </w:tc>
        <w:tc>
          <w:tcPr>
            <w:tcW w:w="1394" w:type="dxa"/>
          </w:tcPr>
          <w:p w:rsidR="0050041B" w:rsidRPr="00B255A4" w:rsidRDefault="0050041B" w:rsidP="009A28E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2E6DE5" w:rsidP="00B255A4">
            <w:pPr>
              <w:pStyle w:val="naisf"/>
              <w:spacing w:before="0" w:after="0"/>
              <w:ind w:firstLine="0"/>
              <w:jc w:val="center"/>
            </w:pPr>
            <w:r>
              <w:t>4 000 000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2.2. valsts speciālais budžets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 xml:space="preserve">2.3. pašvaldību budžets 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3. Finansiālā ietekme: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481EF2" w:rsidP="00B255A4">
            <w:pPr>
              <w:pStyle w:val="naisf"/>
              <w:spacing w:before="0" w:after="0"/>
              <w:ind w:firstLine="0"/>
              <w:jc w:val="center"/>
            </w:pPr>
            <w:r>
              <w:t>-4 000 000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3.1. valsts pamatbudžets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481EF2" w:rsidP="00B255A4">
            <w:pPr>
              <w:pStyle w:val="naisf"/>
              <w:spacing w:before="0" w:after="0"/>
              <w:ind w:firstLine="0"/>
              <w:jc w:val="center"/>
            </w:pPr>
            <w:r>
              <w:t>-4 000 000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3.2. speciālais budžets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 xml:space="preserve">3.3. pašvaldību budžets </w:t>
            </w:r>
          </w:p>
        </w:tc>
        <w:tc>
          <w:tcPr>
            <w:tcW w:w="1394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Merge w:val="restart"/>
          </w:tcPr>
          <w:p w:rsidR="0050041B" w:rsidRPr="00B255A4" w:rsidRDefault="0050041B" w:rsidP="00CF4BA9">
            <w:r w:rsidRPr="00B255A4">
              <w:t>4. Finanšu līdzekļi papildu izdevumu finansēšanai (kompensējošu izdevumu samazinājumu norāda ar "+" zīmi)</w:t>
            </w:r>
          </w:p>
        </w:tc>
        <w:tc>
          <w:tcPr>
            <w:tcW w:w="1394" w:type="dxa"/>
            <w:vMerge w:val="restart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X</w:t>
            </w:r>
          </w:p>
        </w:tc>
        <w:tc>
          <w:tcPr>
            <w:tcW w:w="1487" w:type="dxa"/>
            <w:vMerge w:val="restart"/>
          </w:tcPr>
          <w:p w:rsidR="0050041B" w:rsidRPr="003A0751" w:rsidRDefault="00481EF2" w:rsidP="00B255A4">
            <w:pPr>
              <w:pStyle w:val="naisf"/>
              <w:spacing w:before="0" w:after="0"/>
              <w:ind w:firstLine="0"/>
              <w:jc w:val="center"/>
              <w:rPr>
                <w:highlight w:val="yellow"/>
              </w:rPr>
            </w:pPr>
            <w:r>
              <w:t>4 000 000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Merge/>
          </w:tcPr>
          <w:p w:rsidR="0050041B" w:rsidRPr="00B255A4" w:rsidRDefault="0050041B" w:rsidP="00CF4BA9"/>
        </w:tc>
        <w:tc>
          <w:tcPr>
            <w:tcW w:w="1394" w:type="dxa"/>
            <w:vMerge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  <w:vMerge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  <w:vMerge/>
          </w:tcPr>
          <w:p w:rsidR="0050041B" w:rsidRPr="00B255A4" w:rsidRDefault="0050041B" w:rsidP="00CF4BA9"/>
        </w:tc>
        <w:tc>
          <w:tcPr>
            <w:tcW w:w="1394" w:type="dxa"/>
            <w:vMerge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  <w:vMerge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5. Precizēta finansiālā ietekme:</w:t>
            </w:r>
          </w:p>
        </w:tc>
        <w:tc>
          <w:tcPr>
            <w:tcW w:w="1394" w:type="dxa"/>
            <w:vMerge w:val="restart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X</w:t>
            </w:r>
          </w:p>
        </w:tc>
        <w:tc>
          <w:tcPr>
            <w:tcW w:w="1487" w:type="dxa"/>
          </w:tcPr>
          <w:p w:rsidR="0050041B" w:rsidRPr="00B255A4" w:rsidRDefault="00B255A4" w:rsidP="00B255A4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5.1. valsts pamatbudžets</w:t>
            </w:r>
          </w:p>
        </w:tc>
        <w:tc>
          <w:tcPr>
            <w:tcW w:w="1394" w:type="dxa"/>
            <w:vMerge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B255A4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>5.2. speciālais budžets</w:t>
            </w:r>
          </w:p>
        </w:tc>
        <w:tc>
          <w:tcPr>
            <w:tcW w:w="1394" w:type="dxa"/>
            <w:vMerge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B255A4" w:rsidRDefault="0050041B" w:rsidP="00CF4BA9">
            <w:r w:rsidRPr="00B255A4">
              <w:t xml:space="preserve">5.3. pašvaldību budžets </w:t>
            </w:r>
          </w:p>
        </w:tc>
        <w:tc>
          <w:tcPr>
            <w:tcW w:w="1394" w:type="dxa"/>
            <w:vMerge/>
            <w:vAlign w:val="center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8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  <w:tc>
          <w:tcPr>
            <w:tcW w:w="1407" w:type="dxa"/>
          </w:tcPr>
          <w:p w:rsidR="0050041B" w:rsidRPr="00B255A4" w:rsidRDefault="0050041B" w:rsidP="00DA3291">
            <w:pPr>
              <w:pStyle w:val="naisf"/>
              <w:spacing w:before="0" w:after="0"/>
              <w:ind w:firstLine="0"/>
              <w:jc w:val="center"/>
            </w:pPr>
            <w:r w:rsidRPr="00B255A4">
              <w:t>0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931439" w:rsidRPr="008D7AEB" w:rsidRDefault="0050041B" w:rsidP="00931439">
            <w:r w:rsidRPr="008D7AEB">
              <w:t>6. Detalizēts ieņēmumu un izdevu</w:t>
            </w:r>
          </w:p>
          <w:p w:rsidR="0050041B" w:rsidRPr="008D7AEB" w:rsidRDefault="0050041B" w:rsidP="00931439">
            <w:proofErr w:type="spellStart"/>
            <w:r w:rsidRPr="008D7AEB">
              <w:t>mu</w:t>
            </w:r>
            <w:proofErr w:type="spellEnd"/>
            <w:r w:rsidRPr="008D7AEB">
              <w:t xml:space="preserve"> aprēķins (ja nepieciešams, detalizētu ieņēmumu un izdevumu aprēķinu var pievienot anotācijas pielikumā):</w:t>
            </w:r>
          </w:p>
        </w:tc>
        <w:tc>
          <w:tcPr>
            <w:tcW w:w="7262" w:type="dxa"/>
            <w:gridSpan w:val="5"/>
            <w:vMerge w:val="restart"/>
          </w:tcPr>
          <w:p w:rsidR="0050041B" w:rsidRPr="00DC55AD" w:rsidRDefault="008F282F" w:rsidP="00481EF2">
            <w:pPr>
              <w:jc w:val="both"/>
              <w:rPr>
                <w:color w:val="2A2A2A"/>
                <w:highlight w:val="yellow"/>
              </w:rPr>
            </w:pPr>
            <w:r w:rsidRPr="006118F3">
              <w:rPr>
                <w:rFonts w:eastAsia="Times New Roman"/>
              </w:rPr>
              <w:t xml:space="preserve">Rīkojuma projekts paredz no valsts budžeta programmas 02.00.00 „Līdzekļi neparedzētiem gadījumiem” piešķirt Iekšlietu ministrijai </w:t>
            </w:r>
            <w:r w:rsidR="00481EF2">
              <w:rPr>
                <w:rFonts w:eastAsia="Times New Roman"/>
              </w:rPr>
              <w:t>(</w:t>
            </w:r>
            <w:r w:rsidR="00481EF2" w:rsidRPr="00481EF2">
              <w:rPr>
                <w:rFonts w:eastAsia="Times New Roman"/>
              </w:rPr>
              <w:t>Valsts ugunsdzēsības un glābšanas dienestam</w:t>
            </w:r>
            <w:r w:rsidR="00481EF2">
              <w:rPr>
                <w:rFonts w:eastAsia="Times New Roman"/>
              </w:rPr>
              <w:t>)</w:t>
            </w:r>
            <w:r w:rsidR="00481EF2" w:rsidRPr="00481EF2">
              <w:rPr>
                <w:rFonts w:eastAsia="Times New Roman"/>
              </w:rPr>
              <w:t xml:space="preserve"> finansējumu </w:t>
            </w:r>
            <w:proofErr w:type="gramStart"/>
            <w:r w:rsidR="00481EF2" w:rsidRPr="00481EF2">
              <w:rPr>
                <w:rFonts w:eastAsia="Times New Roman"/>
              </w:rPr>
              <w:t>2016.gadā</w:t>
            </w:r>
            <w:proofErr w:type="gramEnd"/>
            <w:r w:rsidR="00481EF2" w:rsidRPr="00481EF2">
              <w:rPr>
                <w:rFonts w:eastAsia="Times New Roman"/>
              </w:rPr>
              <w:t>, nepārsniedzot  4 000 000</w:t>
            </w:r>
            <w:r w:rsidR="00481EF2">
              <w:rPr>
                <w:rFonts w:eastAsia="Times New Roman"/>
                <w:b/>
              </w:rPr>
              <w:t xml:space="preserve"> </w:t>
            </w:r>
            <w:proofErr w:type="spellStart"/>
            <w:r w:rsidRPr="006118F3">
              <w:rPr>
                <w:rFonts w:eastAsia="Times New Roman"/>
                <w:i/>
              </w:rPr>
              <w:t>euro</w:t>
            </w:r>
            <w:proofErr w:type="spellEnd"/>
            <w:r w:rsidR="0015648D">
              <w:rPr>
                <w:rFonts w:eastAsia="Times New Roman"/>
              </w:rPr>
              <w:t xml:space="preserve"> </w:t>
            </w:r>
            <w:r w:rsidRPr="0015648D">
              <w:t xml:space="preserve">(EKK </w:t>
            </w:r>
            <w:r w:rsidR="0015648D" w:rsidRPr="0015648D">
              <w:t>6510</w:t>
            </w:r>
            <w:r w:rsidRPr="0015648D">
              <w:t xml:space="preserve"> “</w:t>
            </w:r>
            <w:r w:rsidR="0015648D" w:rsidRPr="0015648D">
              <w:t>Kompensācijas, kuras izmaksā personām, pamatojoties uz Latvijas tiesu nolēmumiem</w:t>
            </w:r>
            <w:r w:rsidR="003A0751">
              <w:t>”)</w:t>
            </w:r>
            <w:r w:rsidR="00481EF2">
              <w:t>.</w:t>
            </w: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8D7AEB" w:rsidRDefault="0050041B" w:rsidP="00CF4BA9">
            <w:r w:rsidRPr="008D7AEB">
              <w:t>6.1. detalizēts ieņēmumu aprēķins</w:t>
            </w:r>
          </w:p>
        </w:tc>
        <w:tc>
          <w:tcPr>
            <w:tcW w:w="7262" w:type="dxa"/>
            <w:gridSpan w:val="5"/>
            <w:vMerge/>
          </w:tcPr>
          <w:p w:rsidR="0050041B" w:rsidRPr="00DC55AD" w:rsidRDefault="0050041B" w:rsidP="00DA3291">
            <w:pPr>
              <w:pStyle w:val="naisf"/>
              <w:spacing w:before="0" w:after="0"/>
              <w:ind w:firstLine="0"/>
              <w:rPr>
                <w:b/>
                <w:i/>
                <w:highlight w:val="yellow"/>
              </w:rPr>
            </w:pP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8D7AEB" w:rsidRDefault="0050041B" w:rsidP="00CF4BA9">
            <w:r w:rsidRPr="008D7AEB">
              <w:lastRenderedPageBreak/>
              <w:t>6.2. detalizēts izdevumu aprēķins</w:t>
            </w:r>
          </w:p>
        </w:tc>
        <w:tc>
          <w:tcPr>
            <w:tcW w:w="7262" w:type="dxa"/>
            <w:gridSpan w:val="5"/>
            <w:vMerge/>
          </w:tcPr>
          <w:p w:rsidR="0050041B" w:rsidRPr="00DC55AD" w:rsidRDefault="0050041B" w:rsidP="00DA3291">
            <w:pPr>
              <w:pStyle w:val="naisf"/>
              <w:spacing w:before="0" w:after="0"/>
              <w:ind w:firstLine="0"/>
              <w:rPr>
                <w:b/>
                <w:i/>
                <w:highlight w:val="yellow"/>
              </w:rPr>
            </w:pPr>
          </w:p>
        </w:tc>
      </w:tr>
      <w:tr w:rsidR="0050041B" w:rsidRPr="00DC55AD" w:rsidTr="00AF5EAE">
        <w:trPr>
          <w:jc w:val="center"/>
        </w:trPr>
        <w:tc>
          <w:tcPr>
            <w:tcW w:w="1877" w:type="dxa"/>
          </w:tcPr>
          <w:p w:rsidR="0050041B" w:rsidRPr="008D7AEB" w:rsidRDefault="0050041B" w:rsidP="00CF4BA9">
            <w:r w:rsidRPr="008D7AEB">
              <w:t>7. Cita informācija</w:t>
            </w:r>
          </w:p>
        </w:tc>
        <w:tc>
          <w:tcPr>
            <w:tcW w:w="7262" w:type="dxa"/>
            <w:gridSpan w:val="5"/>
          </w:tcPr>
          <w:p w:rsidR="0092116D" w:rsidRPr="00DC55AD" w:rsidRDefault="00876627" w:rsidP="009A28E1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highlight w:val="yellow"/>
              </w:rPr>
            </w:pPr>
            <w:r>
              <w:t>Nav</w:t>
            </w:r>
            <w:r w:rsidR="0050041B" w:rsidRPr="0015648D">
              <w:t>.</w:t>
            </w:r>
          </w:p>
        </w:tc>
      </w:tr>
    </w:tbl>
    <w:p w:rsidR="0050041B" w:rsidRPr="00DC55AD" w:rsidRDefault="0050041B" w:rsidP="001244A7">
      <w:pPr>
        <w:pStyle w:val="naisf"/>
        <w:spacing w:before="0" w:after="0"/>
        <w:ind w:firstLine="0"/>
        <w:rPr>
          <w:highlight w:val="yellow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518"/>
        <w:gridCol w:w="4191"/>
      </w:tblGrid>
      <w:tr w:rsidR="0050041B" w:rsidRPr="00DC55AD" w:rsidTr="00E938B9">
        <w:trPr>
          <w:jc w:val="center"/>
        </w:trPr>
        <w:tc>
          <w:tcPr>
            <w:tcW w:w="9199" w:type="dxa"/>
            <w:gridSpan w:val="3"/>
          </w:tcPr>
          <w:p w:rsidR="0050041B" w:rsidRPr="00DC55AD" w:rsidRDefault="0050041B" w:rsidP="003637A7">
            <w:pPr>
              <w:pStyle w:val="naisnod"/>
              <w:spacing w:before="0" w:after="0"/>
              <w:rPr>
                <w:highlight w:val="yellow"/>
              </w:rPr>
            </w:pPr>
            <w:r w:rsidRPr="008D7AEB">
              <w:t>VII. Tiesību akta projekta izpildes nodrošināšana un tās ietekme uz institūcijām</w:t>
            </w:r>
          </w:p>
        </w:tc>
      </w:tr>
      <w:tr w:rsidR="0050041B" w:rsidRPr="00DC55AD" w:rsidTr="00AF5EAE">
        <w:trPr>
          <w:trHeight w:val="427"/>
          <w:jc w:val="center"/>
        </w:trPr>
        <w:tc>
          <w:tcPr>
            <w:tcW w:w="490" w:type="dxa"/>
          </w:tcPr>
          <w:p w:rsidR="0050041B" w:rsidRPr="008D7AEB" w:rsidRDefault="0050041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D7AEB">
              <w:rPr>
                <w:b w:val="0"/>
              </w:rPr>
              <w:t>1.</w:t>
            </w:r>
          </w:p>
        </w:tc>
        <w:tc>
          <w:tcPr>
            <w:tcW w:w="4518" w:type="dxa"/>
          </w:tcPr>
          <w:p w:rsidR="0050041B" w:rsidRPr="008D7AEB" w:rsidRDefault="0050041B" w:rsidP="003637A7">
            <w:pPr>
              <w:pStyle w:val="naisf"/>
              <w:spacing w:before="0" w:after="0"/>
              <w:ind w:firstLine="0"/>
              <w:jc w:val="left"/>
            </w:pPr>
            <w:r w:rsidRPr="008D7AEB">
              <w:t xml:space="preserve">Projekta izpildē iesaistītās institūcijas </w:t>
            </w:r>
          </w:p>
        </w:tc>
        <w:tc>
          <w:tcPr>
            <w:tcW w:w="4191" w:type="dxa"/>
          </w:tcPr>
          <w:p w:rsidR="0050041B" w:rsidRPr="00481EF2" w:rsidRDefault="00FC092C" w:rsidP="00481EF2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481EF2">
              <w:rPr>
                <w:b w:val="0"/>
              </w:rPr>
              <w:t xml:space="preserve">Valsts ugunsdzēsības un glābšanas </w:t>
            </w:r>
            <w:r w:rsidR="003A0751" w:rsidRPr="00481EF2">
              <w:rPr>
                <w:b w:val="0"/>
              </w:rPr>
              <w:t>dienests.</w:t>
            </w:r>
          </w:p>
        </w:tc>
      </w:tr>
      <w:tr w:rsidR="0050041B" w:rsidRPr="00DC55AD" w:rsidTr="00AF5EAE">
        <w:trPr>
          <w:trHeight w:val="528"/>
          <w:jc w:val="center"/>
        </w:trPr>
        <w:tc>
          <w:tcPr>
            <w:tcW w:w="490" w:type="dxa"/>
          </w:tcPr>
          <w:p w:rsidR="0050041B" w:rsidRPr="008D7AEB" w:rsidRDefault="0050041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D7AEB">
              <w:rPr>
                <w:b w:val="0"/>
              </w:rPr>
              <w:t>2.</w:t>
            </w:r>
          </w:p>
        </w:tc>
        <w:tc>
          <w:tcPr>
            <w:tcW w:w="4518" w:type="dxa"/>
          </w:tcPr>
          <w:p w:rsidR="0050041B" w:rsidRPr="00FC092C" w:rsidRDefault="0050041B" w:rsidP="003637A7">
            <w:pPr>
              <w:pStyle w:val="naisf"/>
              <w:spacing w:before="0" w:after="0"/>
              <w:ind w:firstLine="0"/>
              <w:jc w:val="left"/>
            </w:pPr>
            <w:r w:rsidRPr="00FC092C">
              <w:t xml:space="preserve">Projekta izpildes ietekme uz pārvaldes funkcijām </w:t>
            </w:r>
            <w:r w:rsidR="00557AFB" w:rsidRPr="00FC092C">
              <w:t>un institucionālo struktūru. Jaunu institūciju izveide, esošu institūciju likvidācija vai reorganizācija, to ietekme uz institūcijas cilvēkresursiem</w:t>
            </w:r>
          </w:p>
        </w:tc>
        <w:tc>
          <w:tcPr>
            <w:tcW w:w="4191" w:type="dxa"/>
          </w:tcPr>
          <w:p w:rsidR="00557AFB" w:rsidRPr="00FC092C" w:rsidRDefault="00557AFB" w:rsidP="003637A7">
            <w:pPr>
              <w:pStyle w:val="BodyTextIndent2"/>
              <w:spacing w:after="0" w:line="240" w:lineRule="auto"/>
              <w:ind w:left="0"/>
              <w:jc w:val="both"/>
            </w:pPr>
            <w:r w:rsidRPr="00FC092C">
              <w:t>Rīkojuma projekta izpilde neietekmē iesaistīto institūciju funkcijas un uzdevumus.</w:t>
            </w:r>
          </w:p>
          <w:p w:rsidR="0050041B" w:rsidRDefault="00D71F56" w:rsidP="003637A7">
            <w:pPr>
              <w:pStyle w:val="BodyTextIndent2"/>
              <w:spacing w:after="0" w:line="240" w:lineRule="auto"/>
              <w:ind w:left="0"/>
              <w:jc w:val="both"/>
            </w:pPr>
            <w:r w:rsidRPr="00FC092C">
              <w:t>Rīkojuma projekta izpilde neietekmē valsts pārvaldes institucionālo sistēmu</w:t>
            </w:r>
            <w:r w:rsidR="0050041B" w:rsidRPr="00FC092C">
              <w:t>.</w:t>
            </w:r>
          </w:p>
          <w:p w:rsidR="00876627" w:rsidRPr="00FC092C" w:rsidRDefault="00876627" w:rsidP="00481EF2">
            <w:pPr>
              <w:pStyle w:val="BodyTextIndent2"/>
              <w:spacing w:after="0" w:line="240" w:lineRule="auto"/>
              <w:ind w:left="0"/>
              <w:jc w:val="both"/>
              <w:rPr>
                <w:b/>
              </w:rPr>
            </w:pPr>
            <w:r>
              <w:t xml:space="preserve">Paredzama paaugstināta darba intensitāte darba samaksas pārrēķina sagatavošanā iesaistītajiem cilvēkresursiem (grāmatvedības personālam). </w:t>
            </w:r>
          </w:p>
        </w:tc>
      </w:tr>
      <w:tr w:rsidR="0050041B" w:rsidRPr="00DC55AD" w:rsidTr="003637A7">
        <w:trPr>
          <w:trHeight w:val="251"/>
          <w:jc w:val="center"/>
        </w:trPr>
        <w:tc>
          <w:tcPr>
            <w:tcW w:w="490" w:type="dxa"/>
          </w:tcPr>
          <w:p w:rsidR="0050041B" w:rsidRPr="008D7AEB" w:rsidRDefault="00D71F56" w:rsidP="003637A7">
            <w:pPr>
              <w:pStyle w:val="naiskr"/>
              <w:spacing w:before="0" w:after="0"/>
            </w:pPr>
            <w:r w:rsidRPr="008D7AEB">
              <w:t>3</w:t>
            </w:r>
            <w:r w:rsidR="0050041B" w:rsidRPr="008D7AEB">
              <w:t>.</w:t>
            </w:r>
          </w:p>
        </w:tc>
        <w:tc>
          <w:tcPr>
            <w:tcW w:w="4518" w:type="dxa"/>
          </w:tcPr>
          <w:p w:rsidR="0050041B" w:rsidRPr="00FC092C" w:rsidRDefault="0050041B" w:rsidP="003637A7">
            <w:pPr>
              <w:pStyle w:val="naiskr"/>
              <w:spacing w:before="0" w:after="0"/>
            </w:pPr>
            <w:r w:rsidRPr="00FC092C">
              <w:t>Cita informācija</w:t>
            </w:r>
          </w:p>
        </w:tc>
        <w:tc>
          <w:tcPr>
            <w:tcW w:w="4191" w:type="dxa"/>
          </w:tcPr>
          <w:p w:rsidR="0050041B" w:rsidRPr="00FC092C" w:rsidRDefault="0050041B" w:rsidP="003637A7">
            <w:pPr>
              <w:pStyle w:val="naiskr"/>
              <w:spacing w:before="0" w:after="0"/>
            </w:pPr>
            <w:r w:rsidRPr="00FC092C">
              <w:t>Nav</w:t>
            </w:r>
            <w:r w:rsidR="00D71F56" w:rsidRPr="00FC092C">
              <w:t>.</w:t>
            </w:r>
          </w:p>
        </w:tc>
      </w:tr>
    </w:tbl>
    <w:p w:rsidR="0050041B" w:rsidRPr="00DC55AD" w:rsidRDefault="0050041B" w:rsidP="00587C74">
      <w:pPr>
        <w:pStyle w:val="BodyText2"/>
        <w:spacing w:after="0" w:line="240" w:lineRule="auto"/>
        <w:jc w:val="both"/>
        <w:rPr>
          <w:sz w:val="26"/>
          <w:szCs w:val="26"/>
          <w:highlight w:val="yellow"/>
        </w:rPr>
      </w:pPr>
    </w:p>
    <w:p w:rsidR="00821F84" w:rsidRPr="006118F3" w:rsidRDefault="00821F84" w:rsidP="00821F84">
      <w:pPr>
        <w:jc w:val="both"/>
        <w:rPr>
          <w:rFonts w:eastAsia="Times New Roman"/>
          <w:sz w:val="28"/>
          <w:szCs w:val="28"/>
        </w:rPr>
      </w:pPr>
      <w:r w:rsidRPr="006118F3">
        <w:rPr>
          <w:rFonts w:eastAsia="Times New Roman"/>
          <w:sz w:val="28"/>
          <w:szCs w:val="28"/>
        </w:rPr>
        <w:t>Anotācijas II, IV, V un VI sadaļa – projekts šīs jomas neskar.</w:t>
      </w:r>
    </w:p>
    <w:p w:rsidR="0050041B" w:rsidRDefault="0050041B" w:rsidP="00760003">
      <w:pPr>
        <w:pStyle w:val="naisf"/>
        <w:spacing w:before="0" w:after="0"/>
        <w:ind w:firstLine="0"/>
        <w:rPr>
          <w:highlight w:val="yellow"/>
        </w:rPr>
      </w:pPr>
    </w:p>
    <w:p w:rsidR="0016188D" w:rsidRPr="00DC55AD" w:rsidRDefault="0016188D" w:rsidP="00760003">
      <w:pPr>
        <w:pStyle w:val="naisf"/>
        <w:spacing w:before="0" w:after="0"/>
        <w:ind w:firstLine="0"/>
        <w:rPr>
          <w:highlight w:val="yellow"/>
        </w:rPr>
      </w:pPr>
    </w:p>
    <w:p w:rsidR="0016188D" w:rsidRDefault="0016188D" w:rsidP="0016188D">
      <w:pPr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Rihards Kozlovskis</w:t>
      </w:r>
    </w:p>
    <w:p w:rsidR="0016188D" w:rsidRDefault="0016188D" w:rsidP="0016188D">
      <w:pPr>
        <w:tabs>
          <w:tab w:val="left" w:pos="1277"/>
        </w:tabs>
        <w:rPr>
          <w:rFonts w:eastAsia="Times New Roman"/>
        </w:rPr>
      </w:pPr>
      <w:r>
        <w:rPr>
          <w:rFonts w:eastAsia="Times New Roman"/>
        </w:rPr>
        <w:tab/>
      </w:r>
    </w:p>
    <w:p w:rsidR="0016188D" w:rsidRDefault="0016188D" w:rsidP="0016188D">
      <w:pPr>
        <w:tabs>
          <w:tab w:val="left" w:pos="751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Vīza:</w:t>
      </w:r>
    </w:p>
    <w:p w:rsidR="0016188D" w:rsidRDefault="0016188D" w:rsidP="0016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Ilze Pētersone–Godmane</w:t>
      </w:r>
    </w:p>
    <w:p w:rsidR="0050041B" w:rsidRDefault="00D71F56" w:rsidP="00D96FCD">
      <w:pPr>
        <w:rPr>
          <w:sz w:val="26"/>
          <w:szCs w:val="26"/>
          <w:highlight w:val="yellow"/>
        </w:rPr>
      </w:pPr>
      <w:r w:rsidRPr="00DC55AD">
        <w:rPr>
          <w:sz w:val="26"/>
          <w:szCs w:val="26"/>
          <w:highlight w:val="yellow"/>
        </w:rPr>
        <w:t xml:space="preserve"> </w:t>
      </w: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B91D18" w:rsidRDefault="00B91D18" w:rsidP="00D96FCD">
      <w:pPr>
        <w:rPr>
          <w:sz w:val="26"/>
          <w:szCs w:val="26"/>
          <w:highlight w:val="yellow"/>
        </w:rPr>
      </w:pPr>
    </w:p>
    <w:p w:rsidR="00876627" w:rsidRDefault="00876627" w:rsidP="005D6B8A">
      <w:pPr>
        <w:rPr>
          <w:color w:val="000000"/>
          <w:sz w:val="20"/>
          <w:szCs w:val="20"/>
        </w:rPr>
      </w:pPr>
    </w:p>
    <w:p w:rsidR="00876627" w:rsidRDefault="00876627" w:rsidP="005D6B8A">
      <w:pPr>
        <w:rPr>
          <w:color w:val="000000"/>
          <w:sz w:val="20"/>
          <w:szCs w:val="20"/>
        </w:rPr>
      </w:pPr>
    </w:p>
    <w:p w:rsidR="00876627" w:rsidRDefault="00876627" w:rsidP="005D6B8A">
      <w:pPr>
        <w:rPr>
          <w:color w:val="000000"/>
          <w:sz w:val="20"/>
          <w:szCs w:val="20"/>
        </w:rPr>
      </w:pPr>
    </w:p>
    <w:p w:rsidR="00876627" w:rsidRDefault="00876627" w:rsidP="005D6B8A">
      <w:pPr>
        <w:rPr>
          <w:color w:val="000000"/>
          <w:sz w:val="20"/>
          <w:szCs w:val="20"/>
        </w:rPr>
      </w:pPr>
    </w:p>
    <w:p w:rsidR="00876627" w:rsidRDefault="00876627" w:rsidP="005D6B8A">
      <w:pPr>
        <w:rPr>
          <w:color w:val="000000"/>
          <w:sz w:val="20"/>
          <w:szCs w:val="20"/>
        </w:rPr>
      </w:pPr>
    </w:p>
    <w:p w:rsidR="00876627" w:rsidRDefault="00876627" w:rsidP="005D6B8A">
      <w:pPr>
        <w:rPr>
          <w:color w:val="000000"/>
          <w:sz w:val="20"/>
          <w:szCs w:val="20"/>
        </w:rPr>
      </w:pPr>
    </w:p>
    <w:p w:rsidR="008D7AEB" w:rsidRPr="00876627" w:rsidRDefault="008D7AEB" w:rsidP="005D6B8A">
      <w:pPr>
        <w:rPr>
          <w:color w:val="000000"/>
          <w:sz w:val="20"/>
          <w:szCs w:val="20"/>
        </w:rPr>
      </w:pPr>
      <w:r w:rsidRPr="00876627">
        <w:rPr>
          <w:color w:val="000000"/>
          <w:sz w:val="20"/>
          <w:szCs w:val="20"/>
        </w:rPr>
        <w:fldChar w:fldCharType="begin"/>
      </w:r>
      <w:r w:rsidRPr="00876627">
        <w:rPr>
          <w:color w:val="000000"/>
          <w:sz w:val="20"/>
          <w:szCs w:val="20"/>
        </w:rPr>
        <w:instrText xml:space="preserve"> DATE  \@ "dd.MM.yyyy. H:mm"  \* MERGEFORMAT </w:instrText>
      </w:r>
      <w:r w:rsidRPr="00876627">
        <w:rPr>
          <w:color w:val="000000"/>
          <w:sz w:val="20"/>
          <w:szCs w:val="20"/>
        </w:rPr>
        <w:fldChar w:fldCharType="separate"/>
      </w:r>
      <w:r w:rsidR="004469FD">
        <w:rPr>
          <w:noProof/>
          <w:color w:val="000000"/>
          <w:sz w:val="20"/>
          <w:szCs w:val="20"/>
        </w:rPr>
        <w:t>29.11.2016. 8:06</w:t>
      </w:r>
      <w:r w:rsidRPr="00876627">
        <w:rPr>
          <w:color w:val="000000"/>
          <w:sz w:val="20"/>
          <w:szCs w:val="20"/>
        </w:rPr>
        <w:fldChar w:fldCharType="end"/>
      </w:r>
    </w:p>
    <w:p w:rsidR="008D7AEB" w:rsidRPr="00876627" w:rsidRDefault="008D7AEB" w:rsidP="005D6B8A">
      <w:pPr>
        <w:rPr>
          <w:color w:val="000000"/>
          <w:sz w:val="20"/>
          <w:szCs w:val="20"/>
        </w:rPr>
      </w:pPr>
      <w:r w:rsidRPr="00876627">
        <w:rPr>
          <w:color w:val="000000"/>
          <w:sz w:val="20"/>
          <w:szCs w:val="20"/>
        </w:rPr>
        <w:fldChar w:fldCharType="begin"/>
      </w:r>
      <w:r w:rsidRPr="00876627">
        <w:rPr>
          <w:color w:val="000000"/>
          <w:sz w:val="20"/>
          <w:szCs w:val="20"/>
        </w:rPr>
        <w:instrText xml:space="preserve"> NUMWORDS   \* MERGEFORMAT </w:instrText>
      </w:r>
      <w:r w:rsidRPr="00876627">
        <w:rPr>
          <w:color w:val="000000"/>
          <w:sz w:val="20"/>
          <w:szCs w:val="20"/>
        </w:rPr>
        <w:fldChar w:fldCharType="separate"/>
      </w:r>
      <w:r w:rsidR="004469FD">
        <w:rPr>
          <w:noProof/>
          <w:color w:val="000000"/>
          <w:sz w:val="20"/>
          <w:szCs w:val="20"/>
        </w:rPr>
        <w:t>812</w:t>
      </w:r>
      <w:r w:rsidRPr="00876627">
        <w:rPr>
          <w:color w:val="000000"/>
          <w:sz w:val="20"/>
          <w:szCs w:val="20"/>
        </w:rPr>
        <w:fldChar w:fldCharType="end"/>
      </w:r>
      <w:bookmarkStart w:id="4" w:name="_GoBack"/>
      <w:bookmarkEnd w:id="4"/>
    </w:p>
    <w:p w:rsidR="00876627" w:rsidRPr="00876627" w:rsidRDefault="00876627" w:rsidP="005D6B8A">
      <w:pPr>
        <w:rPr>
          <w:color w:val="000000"/>
          <w:sz w:val="20"/>
          <w:szCs w:val="20"/>
        </w:rPr>
      </w:pPr>
      <w:r w:rsidRPr="00876627">
        <w:rPr>
          <w:color w:val="000000"/>
          <w:sz w:val="20"/>
          <w:szCs w:val="20"/>
        </w:rPr>
        <w:t>A.Strode, 67219602</w:t>
      </w:r>
    </w:p>
    <w:p w:rsidR="00876627" w:rsidRPr="00876627" w:rsidRDefault="00AF69CF" w:rsidP="005D6B8A">
      <w:pPr>
        <w:rPr>
          <w:color w:val="000000"/>
          <w:sz w:val="20"/>
          <w:szCs w:val="20"/>
        </w:rPr>
      </w:pPr>
      <w:hyperlink r:id="rId7" w:history="1">
        <w:r w:rsidR="00876627" w:rsidRPr="00876627">
          <w:rPr>
            <w:rStyle w:val="Hyperlink"/>
            <w:sz w:val="20"/>
            <w:szCs w:val="20"/>
          </w:rPr>
          <w:t>alda.strode@iem.gov.lv</w:t>
        </w:r>
      </w:hyperlink>
      <w:r w:rsidR="00876627" w:rsidRPr="00876627">
        <w:rPr>
          <w:color w:val="000000"/>
          <w:sz w:val="20"/>
          <w:szCs w:val="20"/>
        </w:rPr>
        <w:t xml:space="preserve"> </w:t>
      </w:r>
    </w:p>
    <w:sectPr w:rsidR="00876627" w:rsidRPr="00876627" w:rsidSect="00E938B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CF" w:rsidRDefault="00AF69CF" w:rsidP="00123E9B">
      <w:r>
        <w:separator/>
      </w:r>
    </w:p>
  </w:endnote>
  <w:endnote w:type="continuationSeparator" w:id="0">
    <w:p w:rsidR="00AF69CF" w:rsidRDefault="00AF69CF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1B" w:rsidRPr="00DC55AD" w:rsidRDefault="00DC55AD" w:rsidP="00DC55AD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469FD">
      <w:rPr>
        <w:noProof/>
        <w:sz w:val="20"/>
        <w:szCs w:val="20"/>
      </w:rPr>
      <w:t>IEMAnot_291116_LNG.docx</w:t>
    </w:r>
    <w:r>
      <w:rPr>
        <w:sz w:val="20"/>
        <w:szCs w:val="20"/>
      </w:rPr>
      <w:fldChar w:fldCharType="end"/>
    </w:r>
    <w:r w:rsidR="0050041B" w:rsidRPr="00D618ED">
      <w:rPr>
        <w:sz w:val="20"/>
        <w:szCs w:val="20"/>
      </w:rPr>
      <w:t xml:space="preserve">; Ministru kabineta rīkojuma projekta </w:t>
    </w:r>
    <w:r>
      <w:rPr>
        <w:sz w:val="20"/>
        <w:szCs w:val="20"/>
      </w:rPr>
      <w:t>“</w:t>
    </w:r>
    <w:r w:rsidR="0050041B" w:rsidRPr="00D618ED">
      <w:rPr>
        <w:sz w:val="20"/>
        <w:szCs w:val="20"/>
      </w:rPr>
      <w:t xml:space="preserve">Par finanšu līdzekļu piešķiršanu no valsts budžeta programmas </w:t>
    </w:r>
    <w:r>
      <w:rPr>
        <w:sz w:val="20"/>
        <w:szCs w:val="20"/>
      </w:rPr>
      <w:t>“</w:t>
    </w:r>
    <w:r w:rsidR="0050041B" w:rsidRPr="00D618ED">
      <w:rPr>
        <w:sz w:val="20"/>
        <w:szCs w:val="20"/>
      </w:rPr>
      <w:t>Līdzekļi neparedzētiem gadījumiem</w:t>
    </w:r>
    <w:r>
      <w:rPr>
        <w:sz w:val="20"/>
        <w:szCs w:val="20"/>
      </w:rPr>
      <w:t>””</w:t>
    </w:r>
    <w:r w:rsidR="0050041B" w:rsidRPr="00D618ED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50041B" w:rsidRPr="00D618ED">
        <w:rPr>
          <w:sz w:val="20"/>
          <w:szCs w:val="20"/>
        </w:rPr>
        <w:t>ziņojums</w:t>
      </w:r>
    </w:smartTag>
    <w:r w:rsidR="0050041B" w:rsidRPr="00D618ED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24" w:rsidRPr="00DC55AD" w:rsidRDefault="00992524" w:rsidP="00992524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469FD">
      <w:rPr>
        <w:noProof/>
        <w:sz w:val="20"/>
        <w:szCs w:val="20"/>
      </w:rPr>
      <w:t>IEMAnot_291116_LNG.docx</w:t>
    </w:r>
    <w:r>
      <w:rPr>
        <w:sz w:val="20"/>
        <w:szCs w:val="20"/>
      </w:rPr>
      <w:fldChar w:fldCharType="end"/>
    </w:r>
    <w:r w:rsidRPr="00D618ED">
      <w:rPr>
        <w:sz w:val="20"/>
        <w:szCs w:val="20"/>
      </w:rPr>
      <w:t xml:space="preserve">; Ministru kabineta rīkojuma projekta </w:t>
    </w:r>
    <w:r>
      <w:rPr>
        <w:sz w:val="20"/>
        <w:szCs w:val="20"/>
      </w:rPr>
      <w:t>“</w:t>
    </w:r>
    <w:r w:rsidRPr="00D618ED">
      <w:rPr>
        <w:sz w:val="20"/>
        <w:szCs w:val="20"/>
      </w:rPr>
      <w:t xml:space="preserve">Par finanšu līdzekļu piešķiršanu no valsts budžeta programmas </w:t>
    </w:r>
    <w:r>
      <w:rPr>
        <w:sz w:val="20"/>
        <w:szCs w:val="20"/>
      </w:rPr>
      <w:t>“</w:t>
    </w:r>
    <w:r w:rsidRPr="00D618ED">
      <w:rPr>
        <w:sz w:val="20"/>
        <w:szCs w:val="20"/>
      </w:rPr>
      <w:t>Līdzekļi neparedzētiem gadījumiem</w:t>
    </w:r>
    <w:r>
      <w:rPr>
        <w:sz w:val="20"/>
        <w:szCs w:val="20"/>
      </w:rPr>
      <w:t>””</w:t>
    </w:r>
    <w:r w:rsidRPr="00D618ED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D618ED">
        <w:rPr>
          <w:sz w:val="20"/>
          <w:szCs w:val="20"/>
        </w:rPr>
        <w:t>ziņojums</w:t>
      </w:r>
    </w:smartTag>
    <w:r w:rsidRPr="00D618ED">
      <w:rPr>
        <w:sz w:val="20"/>
        <w:szCs w:val="20"/>
      </w:rPr>
      <w:t xml:space="preserve"> (anotācija)</w:t>
    </w:r>
  </w:p>
  <w:p w:rsidR="00992524" w:rsidRPr="00DC55AD" w:rsidRDefault="00992524" w:rsidP="00DC55A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CF" w:rsidRDefault="00AF69CF" w:rsidP="00123E9B">
      <w:r>
        <w:separator/>
      </w:r>
    </w:p>
  </w:footnote>
  <w:footnote w:type="continuationSeparator" w:id="0">
    <w:p w:rsidR="00AF69CF" w:rsidRDefault="00AF69CF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1B" w:rsidRDefault="002E7C5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9FD">
      <w:rPr>
        <w:noProof/>
      </w:rPr>
      <w:t>4</w:t>
    </w:r>
    <w:r>
      <w:rPr>
        <w:noProof/>
      </w:rPr>
      <w:fldChar w:fldCharType="end"/>
    </w:r>
  </w:p>
  <w:p w:rsidR="0050041B" w:rsidRDefault="0050041B">
    <w:pPr>
      <w:pStyle w:val="Header"/>
      <w:jc w:val="center"/>
    </w:pPr>
  </w:p>
  <w:p w:rsidR="0050041B" w:rsidRDefault="005004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E7B"/>
    <w:multiLevelType w:val="hybridMultilevel"/>
    <w:tmpl w:val="7DDA912A"/>
    <w:lvl w:ilvl="0" w:tplc="3B4897A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32A34826"/>
    <w:multiLevelType w:val="hybridMultilevel"/>
    <w:tmpl w:val="2330351A"/>
    <w:lvl w:ilvl="0" w:tplc="3A703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3" w15:restartNumberingAfterBreak="0">
    <w:nsid w:val="3FC94567"/>
    <w:multiLevelType w:val="hybridMultilevel"/>
    <w:tmpl w:val="137851DA"/>
    <w:lvl w:ilvl="0" w:tplc="8E0285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7B0043"/>
    <w:multiLevelType w:val="hybridMultilevel"/>
    <w:tmpl w:val="7DDA912A"/>
    <w:lvl w:ilvl="0" w:tplc="3B4897A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DEA"/>
    <w:rsid w:val="00003ECC"/>
    <w:rsid w:val="0000524B"/>
    <w:rsid w:val="00005499"/>
    <w:rsid w:val="00010590"/>
    <w:rsid w:val="00012EAE"/>
    <w:rsid w:val="00015833"/>
    <w:rsid w:val="00020CBF"/>
    <w:rsid w:val="0002374A"/>
    <w:rsid w:val="00033013"/>
    <w:rsid w:val="0003640B"/>
    <w:rsid w:val="00037B73"/>
    <w:rsid w:val="0004297E"/>
    <w:rsid w:val="00043F62"/>
    <w:rsid w:val="000463C5"/>
    <w:rsid w:val="000463EE"/>
    <w:rsid w:val="00046CDE"/>
    <w:rsid w:val="00047FE8"/>
    <w:rsid w:val="000550AE"/>
    <w:rsid w:val="00061F2A"/>
    <w:rsid w:val="00062FE3"/>
    <w:rsid w:val="000643E9"/>
    <w:rsid w:val="0006651A"/>
    <w:rsid w:val="00067874"/>
    <w:rsid w:val="00072B98"/>
    <w:rsid w:val="00074B8C"/>
    <w:rsid w:val="000849C2"/>
    <w:rsid w:val="00087559"/>
    <w:rsid w:val="00092F8C"/>
    <w:rsid w:val="000934D5"/>
    <w:rsid w:val="000A43FD"/>
    <w:rsid w:val="000A4403"/>
    <w:rsid w:val="000B0E68"/>
    <w:rsid w:val="000B3B3C"/>
    <w:rsid w:val="000B5244"/>
    <w:rsid w:val="000B5269"/>
    <w:rsid w:val="000C0BAF"/>
    <w:rsid w:val="000E3B94"/>
    <w:rsid w:val="000E3EAE"/>
    <w:rsid w:val="000E5FDF"/>
    <w:rsid w:val="000E6393"/>
    <w:rsid w:val="00113501"/>
    <w:rsid w:val="00116669"/>
    <w:rsid w:val="001237B4"/>
    <w:rsid w:val="00123E9B"/>
    <w:rsid w:val="001244A7"/>
    <w:rsid w:val="001266F4"/>
    <w:rsid w:val="0012791B"/>
    <w:rsid w:val="0012793C"/>
    <w:rsid w:val="00131A15"/>
    <w:rsid w:val="00132D10"/>
    <w:rsid w:val="001413A9"/>
    <w:rsid w:val="00147D9A"/>
    <w:rsid w:val="001546F5"/>
    <w:rsid w:val="0015648D"/>
    <w:rsid w:val="0016188D"/>
    <w:rsid w:val="00170645"/>
    <w:rsid w:val="001720A2"/>
    <w:rsid w:val="00175A7C"/>
    <w:rsid w:val="00181D00"/>
    <w:rsid w:val="001824F8"/>
    <w:rsid w:val="00182861"/>
    <w:rsid w:val="0018329D"/>
    <w:rsid w:val="001862C5"/>
    <w:rsid w:val="00186804"/>
    <w:rsid w:val="00186DF5"/>
    <w:rsid w:val="001904B3"/>
    <w:rsid w:val="00194A0F"/>
    <w:rsid w:val="00195B8B"/>
    <w:rsid w:val="001A5275"/>
    <w:rsid w:val="001A6E9C"/>
    <w:rsid w:val="001B08CD"/>
    <w:rsid w:val="001B32BB"/>
    <w:rsid w:val="001C15CD"/>
    <w:rsid w:val="001C60B1"/>
    <w:rsid w:val="001D65E2"/>
    <w:rsid w:val="001D7C74"/>
    <w:rsid w:val="001E0DBE"/>
    <w:rsid w:val="001E707B"/>
    <w:rsid w:val="002005CA"/>
    <w:rsid w:val="0020083C"/>
    <w:rsid w:val="002054CB"/>
    <w:rsid w:val="0020671F"/>
    <w:rsid w:val="002143D3"/>
    <w:rsid w:val="0021458D"/>
    <w:rsid w:val="00216784"/>
    <w:rsid w:val="0022444A"/>
    <w:rsid w:val="00255ECC"/>
    <w:rsid w:val="002637C0"/>
    <w:rsid w:val="00264277"/>
    <w:rsid w:val="00270E39"/>
    <w:rsid w:val="00272248"/>
    <w:rsid w:val="00284DB0"/>
    <w:rsid w:val="0028791A"/>
    <w:rsid w:val="0029434D"/>
    <w:rsid w:val="00295345"/>
    <w:rsid w:val="002A0C94"/>
    <w:rsid w:val="002B47A4"/>
    <w:rsid w:val="002B4A64"/>
    <w:rsid w:val="002B54F6"/>
    <w:rsid w:val="002B6EAA"/>
    <w:rsid w:val="002C3A99"/>
    <w:rsid w:val="002D400C"/>
    <w:rsid w:val="002D50C7"/>
    <w:rsid w:val="002D72DE"/>
    <w:rsid w:val="002E011D"/>
    <w:rsid w:val="002E0592"/>
    <w:rsid w:val="002E22C2"/>
    <w:rsid w:val="002E6DE5"/>
    <w:rsid w:val="002E7C5C"/>
    <w:rsid w:val="0030111D"/>
    <w:rsid w:val="0030752F"/>
    <w:rsid w:val="003110C0"/>
    <w:rsid w:val="00311B41"/>
    <w:rsid w:val="003135BA"/>
    <w:rsid w:val="00320B78"/>
    <w:rsid w:val="0032217C"/>
    <w:rsid w:val="00326649"/>
    <w:rsid w:val="00326FFD"/>
    <w:rsid w:val="00357A2C"/>
    <w:rsid w:val="003609C7"/>
    <w:rsid w:val="00361355"/>
    <w:rsid w:val="003637A7"/>
    <w:rsid w:val="00367457"/>
    <w:rsid w:val="003859C0"/>
    <w:rsid w:val="003906FF"/>
    <w:rsid w:val="003A0751"/>
    <w:rsid w:val="003A193D"/>
    <w:rsid w:val="003A53CA"/>
    <w:rsid w:val="003A6F5B"/>
    <w:rsid w:val="003B213A"/>
    <w:rsid w:val="003B465C"/>
    <w:rsid w:val="003C7B61"/>
    <w:rsid w:val="003E7BA3"/>
    <w:rsid w:val="003F43C8"/>
    <w:rsid w:val="003F52B5"/>
    <w:rsid w:val="003F6B90"/>
    <w:rsid w:val="003F786B"/>
    <w:rsid w:val="00411CF0"/>
    <w:rsid w:val="00434ABC"/>
    <w:rsid w:val="00436DBB"/>
    <w:rsid w:val="00441B1D"/>
    <w:rsid w:val="004469FD"/>
    <w:rsid w:val="00453435"/>
    <w:rsid w:val="004560F5"/>
    <w:rsid w:val="00466270"/>
    <w:rsid w:val="00466615"/>
    <w:rsid w:val="00476508"/>
    <w:rsid w:val="004804CE"/>
    <w:rsid w:val="00481EF2"/>
    <w:rsid w:val="004940B7"/>
    <w:rsid w:val="0049750E"/>
    <w:rsid w:val="004B4FD7"/>
    <w:rsid w:val="004B617C"/>
    <w:rsid w:val="004C728B"/>
    <w:rsid w:val="004E09E3"/>
    <w:rsid w:val="004E5556"/>
    <w:rsid w:val="004E5F79"/>
    <w:rsid w:val="004E7946"/>
    <w:rsid w:val="004F1142"/>
    <w:rsid w:val="0050041B"/>
    <w:rsid w:val="00505EA1"/>
    <w:rsid w:val="00507926"/>
    <w:rsid w:val="0054282E"/>
    <w:rsid w:val="00544E69"/>
    <w:rsid w:val="00550475"/>
    <w:rsid w:val="00557AFB"/>
    <w:rsid w:val="00562C13"/>
    <w:rsid w:val="00565777"/>
    <w:rsid w:val="00572783"/>
    <w:rsid w:val="005806A8"/>
    <w:rsid w:val="00585B7B"/>
    <w:rsid w:val="00587C74"/>
    <w:rsid w:val="00590DD0"/>
    <w:rsid w:val="0059354C"/>
    <w:rsid w:val="005A02DC"/>
    <w:rsid w:val="005A6518"/>
    <w:rsid w:val="005A7608"/>
    <w:rsid w:val="005B0542"/>
    <w:rsid w:val="005C1641"/>
    <w:rsid w:val="005C278A"/>
    <w:rsid w:val="005C603C"/>
    <w:rsid w:val="005D0834"/>
    <w:rsid w:val="005D1FD0"/>
    <w:rsid w:val="005D4A0C"/>
    <w:rsid w:val="005D6B8A"/>
    <w:rsid w:val="005D7C0E"/>
    <w:rsid w:val="005E3BA9"/>
    <w:rsid w:val="005F50D9"/>
    <w:rsid w:val="00601A60"/>
    <w:rsid w:val="00615FD8"/>
    <w:rsid w:val="00616477"/>
    <w:rsid w:val="0062334B"/>
    <w:rsid w:val="00625572"/>
    <w:rsid w:val="006307C1"/>
    <w:rsid w:val="006337E8"/>
    <w:rsid w:val="00634A70"/>
    <w:rsid w:val="00654274"/>
    <w:rsid w:val="0065692E"/>
    <w:rsid w:val="0066269C"/>
    <w:rsid w:val="0067139C"/>
    <w:rsid w:val="00672B93"/>
    <w:rsid w:val="00675C2D"/>
    <w:rsid w:val="00676573"/>
    <w:rsid w:val="00677842"/>
    <w:rsid w:val="006806DE"/>
    <w:rsid w:val="00684A2E"/>
    <w:rsid w:val="00685380"/>
    <w:rsid w:val="00685F11"/>
    <w:rsid w:val="00691229"/>
    <w:rsid w:val="00693E2C"/>
    <w:rsid w:val="006A20B2"/>
    <w:rsid w:val="006A223A"/>
    <w:rsid w:val="006A26DA"/>
    <w:rsid w:val="006A5B29"/>
    <w:rsid w:val="006A7A10"/>
    <w:rsid w:val="006B0228"/>
    <w:rsid w:val="006B0264"/>
    <w:rsid w:val="006B1961"/>
    <w:rsid w:val="006B232C"/>
    <w:rsid w:val="006B4C5A"/>
    <w:rsid w:val="006B7F4D"/>
    <w:rsid w:val="006C17FA"/>
    <w:rsid w:val="006D512D"/>
    <w:rsid w:val="006D5A81"/>
    <w:rsid w:val="006D6987"/>
    <w:rsid w:val="006D6BB4"/>
    <w:rsid w:val="006D759A"/>
    <w:rsid w:val="006E6160"/>
    <w:rsid w:val="006E69BE"/>
    <w:rsid w:val="006E707D"/>
    <w:rsid w:val="006E768C"/>
    <w:rsid w:val="006F3DD2"/>
    <w:rsid w:val="00701770"/>
    <w:rsid w:val="00706C44"/>
    <w:rsid w:val="00714715"/>
    <w:rsid w:val="007213F1"/>
    <w:rsid w:val="00721DCE"/>
    <w:rsid w:val="0072336C"/>
    <w:rsid w:val="00734AD8"/>
    <w:rsid w:val="007358B5"/>
    <w:rsid w:val="0075045D"/>
    <w:rsid w:val="00760003"/>
    <w:rsid w:val="00775647"/>
    <w:rsid w:val="00776EE1"/>
    <w:rsid w:val="00782A74"/>
    <w:rsid w:val="0078305D"/>
    <w:rsid w:val="0079317A"/>
    <w:rsid w:val="007A7E67"/>
    <w:rsid w:val="007B1069"/>
    <w:rsid w:val="007C0AE1"/>
    <w:rsid w:val="007C0F2C"/>
    <w:rsid w:val="007C1B3B"/>
    <w:rsid w:val="007C231C"/>
    <w:rsid w:val="007C39CD"/>
    <w:rsid w:val="007C5877"/>
    <w:rsid w:val="007C61BE"/>
    <w:rsid w:val="007C7B04"/>
    <w:rsid w:val="007D3018"/>
    <w:rsid w:val="007D5F4E"/>
    <w:rsid w:val="007E3D8E"/>
    <w:rsid w:val="007F1F1C"/>
    <w:rsid w:val="00804B8C"/>
    <w:rsid w:val="00812F9B"/>
    <w:rsid w:val="00821F84"/>
    <w:rsid w:val="0082231A"/>
    <w:rsid w:val="00830859"/>
    <w:rsid w:val="00831A72"/>
    <w:rsid w:val="00833D7A"/>
    <w:rsid w:val="0084066D"/>
    <w:rsid w:val="00842544"/>
    <w:rsid w:val="00844660"/>
    <w:rsid w:val="0085017D"/>
    <w:rsid w:val="008531A5"/>
    <w:rsid w:val="00853AEA"/>
    <w:rsid w:val="008555C3"/>
    <w:rsid w:val="00860244"/>
    <w:rsid w:val="008741C1"/>
    <w:rsid w:val="00874BA2"/>
    <w:rsid w:val="00876627"/>
    <w:rsid w:val="00891896"/>
    <w:rsid w:val="00892CEB"/>
    <w:rsid w:val="00892DC2"/>
    <w:rsid w:val="008940C1"/>
    <w:rsid w:val="008A13D1"/>
    <w:rsid w:val="008A60A4"/>
    <w:rsid w:val="008A742C"/>
    <w:rsid w:val="008B1ED9"/>
    <w:rsid w:val="008B21BB"/>
    <w:rsid w:val="008B53EA"/>
    <w:rsid w:val="008B5D8D"/>
    <w:rsid w:val="008B5F7C"/>
    <w:rsid w:val="008C28CD"/>
    <w:rsid w:val="008C2A23"/>
    <w:rsid w:val="008C584D"/>
    <w:rsid w:val="008D28DE"/>
    <w:rsid w:val="008D7AEB"/>
    <w:rsid w:val="008D7D52"/>
    <w:rsid w:val="008E5530"/>
    <w:rsid w:val="008E5C3F"/>
    <w:rsid w:val="008F0A4F"/>
    <w:rsid w:val="008F245F"/>
    <w:rsid w:val="008F282F"/>
    <w:rsid w:val="008F3420"/>
    <w:rsid w:val="00901B63"/>
    <w:rsid w:val="00903F17"/>
    <w:rsid w:val="00907E6F"/>
    <w:rsid w:val="00910FB5"/>
    <w:rsid w:val="009122A7"/>
    <w:rsid w:val="00913388"/>
    <w:rsid w:val="00917CC0"/>
    <w:rsid w:val="00920AFE"/>
    <w:rsid w:val="0092116D"/>
    <w:rsid w:val="00924B75"/>
    <w:rsid w:val="009254BE"/>
    <w:rsid w:val="009258B9"/>
    <w:rsid w:val="00931439"/>
    <w:rsid w:val="009343C2"/>
    <w:rsid w:val="0093475E"/>
    <w:rsid w:val="00934BFC"/>
    <w:rsid w:val="00934D38"/>
    <w:rsid w:val="00936C20"/>
    <w:rsid w:val="00936D6C"/>
    <w:rsid w:val="00942F42"/>
    <w:rsid w:val="00943700"/>
    <w:rsid w:val="00944333"/>
    <w:rsid w:val="00944C83"/>
    <w:rsid w:val="00947B39"/>
    <w:rsid w:val="00951D4C"/>
    <w:rsid w:val="009547CC"/>
    <w:rsid w:val="00957114"/>
    <w:rsid w:val="00957469"/>
    <w:rsid w:val="009575C4"/>
    <w:rsid w:val="009651B0"/>
    <w:rsid w:val="00971BF0"/>
    <w:rsid w:val="00972885"/>
    <w:rsid w:val="00984604"/>
    <w:rsid w:val="00992524"/>
    <w:rsid w:val="00995D97"/>
    <w:rsid w:val="009A28E1"/>
    <w:rsid w:val="009B7D10"/>
    <w:rsid w:val="009D3CF6"/>
    <w:rsid w:val="009E4529"/>
    <w:rsid w:val="009F1F89"/>
    <w:rsid w:val="009F38CD"/>
    <w:rsid w:val="009F41FE"/>
    <w:rsid w:val="009F5B27"/>
    <w:rsid w:val="00A04237"/>
    <w:rsid w:val="00A1535C"/>
    <w:rsid w:val="00A208FB"/>
    <w:rsid w:val="00A3032A"/>
    <w:rsid w:val="00A3516D"/>
    <w:rsid w:val="00A41AFD"/>
    <w:rsid w:val="00A54ECB"/>
    <w:rsid w:val="00A739AB"/>
    <w:rsid w:val="00A819E9"/>
    <w:rsid w:val="00A9377C"/>
    <w:rsid w:val="00A9391C"/>
    <w:rsid w:val="00AA0527"/>
    <w:rsid w:val="00AB5241"/>
    <w:rsid w:val="00AC0D88"/>
    <w:rsid w:val="00AD1E01"/>
    <w:rsid w:val="00AD5981"/>
    <w:rsid w:val="00AE38F5"/>
    <w:rsid w:val="00AE5461"/>
    <w:rsid w:val="00AF07DF"/>
    <w:rsid w:val="00AF5EAE"/>
    <w:rsid w:val="00AF69CF"/>
    <w:rsid w:val="00B03742"/>
    <w:rsid w:val="00B10B0B"/>
    <w:rsid w:val="00B13720"/>
    <w:rsid w:val="00B15262"/>
    <w:rsid w:val="00B17430"/>
    <w:rsid w:val="00B17549"/>
    <w:rsid w:val="00B255A4"/>
    <w:rsid w:val="00B336D8"/>
    <w:rsid w:val="00B411EC"/>
    <w:rsid w:val="00B42A40"/>
    <w:rsid w:val="00B56449"/>
    <w:rsid w:val="00B64CA1"/>
    <w:rsid w:val="00B73495"/>
    <w:rsid w:val="00B73E1E"/>
    <w:rsid w:val="00B80F22"/>
    <w:rsid w:val="00B91D18"/>
    <w:rsid w:val="00B97591"/>
    <w:rsid w:val="00BA2560"/>
    <w:rsid w:val="00BA57F2"/>
    <w:rsid w:val="00BA71DA"/>
    <w:rsid w:val="00BB302C"/>
    <w:rsid w:val="00BB61E2"/>
    <w:rsid w:val="00BC3708"/>
    <w:rsid w:val="00BF0C10"/>
    <w:rsid w:val="00BF4049"/>
    <w:rsid w:val="00BF7C57"/>
    <w:rsid w:val="00C10141"/>
    <w:rsid w:val="00C225B0"/>
    <w:rsid w:val="00C31C0D"/>
    <w:rsid w:val="00C44832"/>
    <w:rsid w:val="00C45F14"/>
    <w:rsid w:val="00C47C33"/>
    <w:rsid w:val="00C54FEB"/>
    <w:rsid w:val="00C55762"/>
    <w:rsid w:val="00C624D8"/>
    <w:rsid w:val="00C76681"/>
    <w:rsid w:val="00C7786E"/>
    <w:rsid w:val="00C80A73"/>
    <w:rsid w:val="00C92FD7"/>
    <w:rsid w:val="00C94CAC"/>
    <w:rsid w:val="00C9721C"/>
    <w:rsid w:val="00CA6985"/>
    <w:rsid w:val="00CA7E7C"/>
    <w:rsid w:val="00CB483C"/>
    <w:rsid w:val="00CB7A72"/>
    <w:rsid w:val="00CC63A3"/>
    <w:rsid w:val="00CC6B8A"/>
    <w:rsid w:val="00CD22CE"/>
    <w:rsid w:val="00CD484C"/>
    <w:rsid w:val="00CD7C93"/>
    <w:rsid w:val="00CE1539"/>
    <w:rsid w:val="00CE1A38"/>
    <w:rsid w:val="00CE2B81"/>
    <w:rsid w:val="00CF4589"/>
    <w:rsid w:val="00CF465D"/>
    <w:rsid w:val="00CF4BA9"/>
    <w:rsid w:val="00CF6CCE"/>
    <w:rsid w:val="00CF797F"/>
    <w:rsid w:val="00D17A1A"/>
    <w:rsid w:val="00D2330F"/>
    <w:rsid w:val="00D323CD"/>
    <w:rsid w:val="00D33A20"/>
    <w:rsid w:val="00D34CD2"/>
    <w:rsid w:val="00D505DE"/>
    <w:rsid w:val="00D51348"/>
    <w:rsid w:val="00D51380"/>
    <w:rsid w:val="00D618ED"/>
    <w:rsid w:val="00D71F56"/>
    <w:rsid w:val="00D75260"/>
    <w:rsid w:val="00D80756"/>
    <w:rsid w:val="00D82AE2"/>
    <w:rsid w:val="00D96381"/>
    <w:rsid w:val="00D96FCD"/>
    <w:rsid w:val="00DA30DA"/>
    <w:rsid w:val="00DA3291"/>
    <w:rsid w:val="00DA452C"/>
    <w:rsid w:val="00DB6BB3"/>
    <w:rsid w:val="00DC11F3"/>
    <w:rsid w:val="00DC4DFE"/>
    <w:rsid w:val="00DC55AD"/>
    <w:rsid w:val="00DC5E40"/>
    <w:rsid w:val="00DC7BFF"/>
    <w:rsid w:val="00DF44D5"/>
    <w:rsid w:val="00DF6C37"/>
    <w:rsid w:val="00E01C03"/>
    <w:rsid w:val="00E1182B"/>
    <w:rsid w:val="00E15E97"/>
    <w:rsid w:val="00E167E0"/>
    <w:rsid w:val="00E16A35"/>
    <w:rsid w:val="00E21B4B"/>
    <w:rsid w:val="00E406D6"/>
    <w:rsid w:val="00E41CFE"/>
    <w:rsid w:val="00E443D0"/>
    <w:rsid w:val="00E608C5"/>
    <w:rsid w:val="00E64BB6"/>
    <w:rsid w:val="00E91DF4"/>
    <w:rsid w:val="00E938B9"/>
    <w:rsid w:val="00EA0274"/>
    <w:rsid w:val="00EA1C00"/>
    <w:rsid w:val="00EB1688"/>
    <w:rsid w:val="00EB7D72"/>
    <w:rsid w:val="00EC0598"/>
    <w:rsid w:val="00EC6941"/>
    <w:rsid w:val="00EC7BBC"/>
    <w:rsid w:val="00ED356F"/>
    <w:rsid w:val="00ED4E70"/>
    <w:rsid w:val="00ED6681"/>
    <w:rsid w:val="00EE230D"/>
    <w:rsid w:val="00EE30B6"/>
    <w:rsid w:val="00EE676B"/>
    <w:rsid w:val="00EE7D3E"/>
    <w:rsid w:val="00F00788"/>
    <w:rsid w:val="00F01660"/>
    <w:rsid w:val="00F1205C"/>
    <w:rsid w:val="00F220E7"/>
    <w:rsid w:val="00F25559"/>
    <w:rsid w:val="00F42C04"/>
    <w:rsid w:val="00F43365"/>
    <w:rsid w:val="00F43A06"/>
    <w:rsid w:val="00F535A5"/>
    <w:rsid w:val="00F63024"/>
    <w:rsid w:val="00F71637"/>
    <w:rsid w:val="00F863E3"/>
    <w:rsid w:val="00FC092C"/>
    <w:rsid w:val="00FC0FB1"/>
    <w:rsid w:val="00FC6855"/>
    <w:rsid w:val="00FD4747"/>
    <w:rsid w:val="00FD7331"/>
    <w:rsid w:val="00FE3392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C3A1BBC9-8C55-4D01-B6B8-6A5BEEB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D96FCD"/>
    <w:pPr>
      <w:spacing w:before="75" w:after="75"/>
    </w:pPr>
  </w:style>
  <w:style w:type="table" w:styleId="TableGrid">
    <w:name w:val="Table Grid"/>
    <w:basedOn w:val="TableNormal"/>
    <w:uiPriority w:val="99"/>
    <w:rsid w:val="00D96FC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4466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3A193D"/>
    <w:rPr>
      <w:rFonts w:cs="Times New Roman"/>
      <w:b/>
      <w:bCs/>
    </w:rPr>
  </w:style>
  <w:style w:type="character" w:customStyle="1" w:styleId="std1">
    <w:name w:val="std1"/>
    <w:basedOn w:val="DefaultParagraphFont"/>
    <w:uiPriority w:val="99"/>
    <w:rsid w:val="003A193D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7C7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4">
    <w:name w:val="H4"/>
    <w:uiPriority w:val="99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50792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7926"/>
    <w:rPr>
      <w:rFonts w:ascii="Consolas" w:hAnsi="Consolas" w:cs="Times New Roman"/>
      <w:sz w:val="21"/>
      <w:szCs w:val="21"/>
      <w:lang w:eastAsia="en-US"/>
    </w:rPr>
  </w:style>
  <w:style w:type="character" w:styleId="PageNumber">
    <w:name w:val="page number"/>
    <w:basedOn w:val="DefaultParagraphFont"/>
    <w:uiPriority w:val="99"/>
    <w:rsid w:val="001E0DBE"/>
    <w:rPr>
      <w:rFonts w:cs="Times New Roman"/>
    </w:rPr>
  </w:style>
  <w:style w:type="paragraph" w:styleId="NormalWeb">
    <w:name w:val="Normal (Web)"/>
    <w:basedOn w:val="Normal"/>
    <w:uiPriority w:val="99"/>
    <w:rsid w:val="00A41AFD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618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18E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1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18E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61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3291"/>
    <w:pPr>
      <w:ind w:left="720"/>
      <w:contextualSpacing/>
      <w:jc w:val="both"/>
    </w:pPr>
    <w:rPr>
      <w:rFonts w:eastAsia="Times New Roman"/>
      <w:szCs w:val="20"/>
      <w:lang w:eastAsia="en-US"/>
    </w:rPr>
  </w:style>
  <w:style w:type="paragraph" w:styleId="NoSpacing">
    <w:name w:val="No Spacing"/>
    <w:uiPriority w:val="1"/>
    <w:qFormat/>
    <w:rsid w:val="00D71F56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58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8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847</Words>
  <Characters>5637</Characters>
  <Application>Microsoft Office Word</Application>
  <DocSecurity>0</DocSecurity>
  <Lines>433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Ieslodzījuma vietu pārvalde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Sākotnējās ietekmes novērtējuma ziņojums (anotācija)</dc:subject>
  <dc:creator>Kristina Boločko</dc:creator>
  <cp:keywords/>
  <dc:description>kristina.bolocko@ievp.gov.lv, 67290283</dc:description>
  <cp:lastModifiedBy>Santa Frolova</cp:lastModifiedBy>
  <cp:revision>17</cp:revision>
  <cp:lastPrinted>2016-10-18T11:41:00Z</cp:lastPrinted>
  <dcterms:created xsi:type="dcterms:W3CDTF">2016-11-25T10:27:00Z</dcterms:created>
  <dcterms:modified xsi:type="dcterms:W3CDTF">2016-11-29T06:06:00Z</dcterms:modified>
</cp:coreProperties>
</file>