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92F0" w14:textId="00804F0F" w:rsidR="000B7289" w:rsidRPr="009748D1" w:rsidRDefault="000B7289" w:rsidP="00243A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8D1">
        <w:rPr>
          <w:rFonts w:ascii="Times New Roman" w:hAnsi="Times New Roman" w:cs="Times New Roman"/>
          <w:b/>
          <w:sz w:val="28"/>
          <w:szCs w:val="28"/>
        </w:rPr>
        <w:t xml:space="preserve">Ministru kabineta noteikumu projekta </w:t>
      </w:r>
      <w:r w:rsidR="008A12C0" w:rsidRPr="009748D1">
        <w:rPr>
          <w:rFonts w:ascii="Times New Roman" w:hAnsi="Times New Roman" w:cs="Times New Roman"/>
          <w:b/>
          <w:sz w:val="28"/>
          <w:szCs w:val="28"/>
        </w:rPr>
        <w:t>“</w:t>
      </w:r>
      <w:r w:rsidR="0049217A" w:rsidRPr="009748D1">
        <w:rPr>
          <w:rFonts w:ascii="Times New Roman" w:hAnsi="Times New Roman" w:cs="Times New Roman"/>
          <w:b/>
          <w:sz w:val="28"/>
          <w:szCs w:val="28"/>
        </w:rPr>
        <w:t>Grozījum</w:t>
      </w:r>
      <w:r w:rsidR="009242EA">
        <w:rPr>
          <w:rFonts w:ascii="Times New Roman" w:hAnsi="Times New Roman" w:cs="Times New Roman"/>
          <w:b/>
          <w:sz w:val="28"/>
          <w:szCs w:val="28"/>
        </w:rPr>
        <w:t>i</w:t>
      </w:r>
      <w:r w:rsidR="0049217A" w:rsidRPr="0097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2083" w:rsidRPr="009748D1">
        <w:rPr>
          <w:rFonts w:ascii="Times New Roman" w:hAnsi="Times New Roman" w:cs="Times New Roman"/>
          <w:b/>
          <w:sz w:val="28"/>
          <w:szCs w:val="28"/>
        </w:rPr>
        <w:t>Ministru kabineta 2014.gada 17.jūnija noteikumos Nr.324</w:t>
      </w:r>
      <w:r w:rsidR="008A12C0" w:rsidRPr="009748D1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8A12C0" w:rsidRPr="009748D1">
        <w:rPr>
          <w:rFonts w:ascii="Times New Roman" w:hAnsi="Times New Roman" w:cs="Times New Roman"/>
          <w:b/>
          <w:bCs/>
          <w:sz w:val="28"/>
          <w:szCs w:val="28"/>
        </w:rPr>
        <w:t>Eiropas Ekonomikas zonas finanšu instrumenta un Norvēģijas finanšu instrumenta 2009.–2014.gada perioda programmas "Pētniecība un stipendijas" aktivitātes "</w:t>
      </w:r>
      <w:r w:rsidR="000B2083" w:rsidRPr="009748D1">
        <w:rPr>
          <w:rFonts w:ascii="Times New Roman" w:hAnsi="Times New Roman" w:cs="Times New Roman"/>
          <w:b/>
          <w:bCs/>
          <w:sz w:val="28"/>
          <w:szCs w:val="28"/>
        </w:rPr>
        <w:t>Pētniecība</w:t>
      </w:r>
      <w:r w:rsidR="008A12C0" w:rsidRPr="009748D1">
        <w:rPr>
          <w:rFonts w:ascii="Times New Roman" w:hAnsi="Times New Roman" w:cs="Times New Roman"/>
          <w:b/>
          <w:bCs/>
          <w:sz w:val="28"/>
          <w:szCs w:val="28"/>
        </w:rPr>
        <w:t>" projektu iesniegumu atklāta konkursa nolikums””</w:t>
      </w:r>
      <w:r w:rsidR="008A12C0" w:rsidRPr="00974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8D1">
        <w:rPr>
          <w:rFonts w:ascii="Times New Roman" w:hAnsi="Times New Roman" w:cs="Times New Roman"/>
          <w:b/>
          <w:sz w:val="28"/>
          <w:szCs w:val="28"/>
        </w:rPr>
        <w:t>sākotnējās ietekmes novērtējuma ziņojums (anotācija)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6"/>
        <w:gridCol w:w="2606"/>
        <w:gridCol w:w="5769"/>
      </w:tblGrid>
      <w:tr w:rsidR="004F0273" w:rsidRPr="009748D1" w14:paraId="3CC02D03" w14:textId="77777777" w:rsidTr="00494641">
        <w:trPr>
          <w:trHeight w:val="405"/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DAF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4F0273" w:rsidRPr="009748D1" w14:paraId="725DF230" w14:textId="77777777" w:rsidTr="00494641">
        <w:trPr>
          <w:trHeight w:val="405"/>
          <w:tblCellSpacing w:w="15" w:type="dxa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8BAF25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CAFD3B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Pamatojums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616B4B" w14:textId="38505EA0" w:rsidR="008028E9" w:rsidRPr="009748D1" w:rsidRDefault="008028E9" w:rsidP="00924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Ministru kabineta noteikumu projekts </w:t>
            </w:r>
            <w:r w:rsidR="008A12C0" w:rsidRPr="009748D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92E2F" w:rsidRPr="009748D1">
              <w:rPr>
                <w:rFonts w:ascii="Times New Roman" w:hAnsi="Times New Roman" w:cs="Times New Roman"/>
                <w:sz w:val="28"/>
                <w:szCs w:val="28"/>
              </w:rPr>
              <w:t>Grozījum</w:t>
            </w:r>
            <w:r w:rsidR="009242E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9217A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083" w:rsidRPr="009748D1">
              <w:rPr>
                <w:rFonts w:ascii="Times New Roman" w:hAnsi="Times New Roman" w:cs="Times New Roman"/>
                <w:sz w:val="28"/>
                <w:szCs w:val="28"/>
              </w:rPr>
              <w:t>Ministru kabineta 2014.gada 17.jūnija noteikumos Nr.324</w:t>
            </w:r>
            <w:r w:rsidR="008A12C0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“Eiropas Ekonomikas zonas finanšu instrumenta un Norvēģijas finanšu instrumenta 2009.–2014.gada perioda programmas "Pētniecība un stipendijas" aktivitātes "</w:t>
            </w:r>
            <w:r w:rsidR="002D2F51" w:rsidRPr="009748D1">
              <w:rPr>
                <w:rFonts w:ascii="Times New Roman" w:hAnsi="Times New Roman" w:cs="Times New Roman"/>
                <w:sz w:val="28"/>
                <w:szCs w:val="28"/>
              </w:rPr>
              <w:t>Pētniecība</w:t>
            </w:r>
            <w:r w:rsidR="008A12C0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" projektu iesniegumu atklāta konkursa nolikums”” </w:t>
            </w:r>
            <w:r w:rsidR="00BD7CBE" w:rsidRPr="009748D1">
              <w:rPr>
                <w:rFonts w:ascii="Times New Roman" w:hAnsi="Times New Roman" w:cs="Times New Roman"/>
                <w:sz w:val="28"/>
                <w:szCs w:val="28"/>
              </w:rPr>
              <w:t>(turpmāk – noteikumu projekts) ir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izstrādāts saskaņā ar Eiropas Ekonomikas zonas finanšu instrumenta un Norvēģijas finanšu instrumenta 2009.-2014.gada perioda vadības likuma </w:t>
            </w:r>
            <w:r w:rsidR="008A12C0" w:rsidRPr="009748D1">
              <w:rPr>
                <w:rFonts w:ascii="Times New Roman" w:hAnsi="Times New Roman" w:cs="Times New Roman"/>
                <w:sz w:val="28"/>
                <w:szCs w:val="28"/>
              </w:rPr>
              <w:t>15.panta</w:t>
            </w:r>
            <w:r w:rsidR="006611EC">
              <w:rPr>
                <w:rFonts w:ascii="Times New Roman" w:hAnsi="Times New Roman" w:cs="Times New Roman"/>
                <w:sz w:val="28"/>
                <w:szCs w:val="28"/>
              </w:rPr>
              <w:t xml:space="preserve"> 5. un</w:t>
            </w:r>
            <w:r w:rsidR="008A12C0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  <w:r w:rsidR="00074E06" w:rsidRPr="009748D1">
              <w:rPr>
                <w:rFonts w:ascii="Times New Roman" w:hAnsi="Times New Roman" w:cs="Times New Roman"/>
                <w:sz w:val="28"/>
                <w:szCs w:val="28"/>
              </w:rPr>
              <w:t>punktu.</w:t>
            </w:r>
          </w:p>
        </w:tc>
      </w:tr>
      <w:tr w:rsidR="004F0273" w:rsidRPr="009748D1" w14:paraId="397F236B" w14:textId="77777777" w:rsidTr="00494641">
        <w:trPr>
          <w:trHeight w:val="465"/>
          <w:tblCellSpacing w:w="15" w:type="dxa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0264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7FFC" w14:textId="77777777" w:rsidR="00CE1691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2AEBAF3B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EAE2541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D7F8A4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6A971A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338D06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B5EB15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085E8B" w14:textId="77777777" w:rsidR="00CE1691" w:rsidRPr="009748D1" w:rsidRDefault="00CE1691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1FD324" w14:textId="77777777" w:rsidR="008028E9" w:rsidRPr="009748D1" w:rsidRDefault="008028E9" w:rsidP="00243AC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A24" w14:textId="69EDCD93" w:rsidR="006611EC" w:rsidRDefault="00525535" w:rsidP="00661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Ministru kabineta 2014.gada 17.jūnija noteikumi</w:t>
            </w:r>
            <w:r w:rsidR="009F70E8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Nr.324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„Eiropas Ekonomikas zonas finanšu instrumenta un Norvēģijas finanšu instrumenta 2009.–2014. gada perioda programmas „Pētniecība un stipendijas”</w:t>
            </w:r>
            <w:r w:rsidR="00D6345D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aktivitātes “Pētniecība”</w:t>
            </w:r>
            <w:r w:rsidR="00D6345D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projektu iesniegumu atklāta konkursa nolikums</w:t>
            </w:r>
            <w:r w:rsidR="009242EA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nosaka</w:t>
            </w:r>
            <w:r w:rsidR="00D6345D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Eiropas Ekonomikas zonas finanšu instrumenta un Norvēģijas finanšu instrumenta 2009.–2014. gada perioda programmas „Pētniecība un stipendijas” (turpmāk</w:t>
            </w:r>
            <w:r w:rsidR="009F70E8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6345D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programma) aktivitātes “Pētniecība” (turpmāk </w:t>
            </w:r>
            <w:r w:rsidR="009F70E8" w:rsidRPr="009748D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6345D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aktivitāte) </w:t>
            </w:r>
            <w:r w:rsidR="00AD7C24" w:rsidRPr="009748D1">
              <w:rPr>
                <w:rFonts w:ascii="Times New Roman" w:hAnsi="Times New Roman" w:cs="Times New Roman"/>
                <w:sz w:val="28"/>
                <w:szCs w:val="28"/>
              </w:rPr>
              <w:t>īstenošan</w:t>
            </w:r>
            <w:r w:rsidR="00531388" w:rsidRPr="009748D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AD7C24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s kārtību, </w:t>
            </w:r>
            <w:r w:rsidR="00531388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programmas aktivitātes </w:t>
            </w:r>
            <w:r w:rsidR="00AD7C24" w:rsidRPr="009748D1">
              <w:rPr>
                <w:rFonts w:ascii="Times New Roman" w:hAnsi="Times New Roman" w:cs="Times New Roman"/>
                <w:sz w:val="28"/>
                <w:szCs w:val="28"/>
              </w:rPr>
              <w:t>projektu iesniegumu atklāta konkursa norises kārtību, ietverot vērtēšanas kritērijus un prasības projekta iesnieguma iesniedzējam, kā arī kārtību, kādā piešķir programmas divpusējā sadarbības fonda finansējumu programmas</w:t>
            </w:r>
            <w:r w:rsidR="009A6544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aktivitātes līdzfinansējuma saņēmējiem.</w:t>
            </w:r>
          </w:p>
          <w:p w14:paraId="4B2E216B" w14:textId="4CD0E4C8" w:rsidR="009D17DA" w:rsidRDefault="009D17DA" w:rsidP="00924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Noteikumu projekta 1.punkts </w:t>
            </w:r>
            <w:r w:rsidR="00C87AFB">
              <w:rPr>
                <w:rFonts w:ascii="Times New Roman" w:hAnsi="Times New Roman" w:cs="Times New Roman"/>
                <w:sz w:val="28"/>
                <w:szCs w:val="28"/>
              </w:rPr>
              <w:t xml:space="preserve">papildina noteikumu izdošanas </w:t>
            </w:r>
            <w:r w:rsidR="00AF6F1D">
              <w:rPr>
                <w:rFonts w:ascii="Times New Roman" w:hAnsi="Times New Roman" w:cs="Times New Roman"/>
                <w:sz w:val="28"/>
                <w:szCs w:val="28"/>
              </w:rPr>
              <w:t>tiesisko regul</w:t>
            </w:r>
            <w:r w:rsidR="00102B77">
              <w:rPr>
                <w:rFonts w:ascii="Times New Roman" w:hAnsi="Times New Roman" w:cs="Times New Roman"/>
                <w:sz w:val="28"/>
                <w:szCs w:val="28"/>
              </w:rPr>
              <w:t xml:space="preserve">ējumu, bet </w:t>
            </w:r>
            <w:r w:rsidR="00AF6F1D">
              <w:rPr>
                <w:rFonts w:ascii="Times New Roman" w:hAnsi="Times New Roman" w:cs="Times New Roman"/>
                <w:sz w:val="28"/>
                <w:szCs w:val="24"/>
              </w:rPr>
              <w:t>2.punkts papildina noteikumu vispārīgos nosacījumus, precizējot regulējumu par divpusējo sadarbību.</w:t>
            </w:r>
          </w:p>
          <w:p w14:paraId="1E5F0B8E" w14:textId="77777777" w:rsidR="00EF5443" w:rsidRPr="00004DEA" w:rsidRDefault="00EB4508" w:rsidP="00EF54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5A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Noteikumu </w:t>
            </w:r>
            <w:r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projekta </w:t>
            </w:r>
            <w:r w:rsidR="00EF5443" w:rsidRPr="00004DEA">
              <w:rPr>
                <w:rFonts w:ascii="Times New Roman" w:hAnsi="Times New Roman" w:cs="Times New Roman"/>
                <w:sz w:val="28"/>
                <w:szCs w:val="24"/>
              </w:rPr>
              <w:t>3.punkts  precizē  atbalstāmās, t.i., ar saimniecisko darbību nesaistītas pētniecības organizācijas  pamatdarbības,</w:t>
            </w:r>
            <w:r w:rsidR="008128F3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ņemot vērā Eiropas Komisijas paziņojuma “Nostādnes par valsts atbalstu pētniecībai, izstrādei un inovācijai” (2014/C 198/01)</w:t>
            </w:r>
            <w:r w:rsidR="008128F3" w:rsidRPr="00004DEA"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  <w:t xml:space="preserve"> 19.punktā noteikto. </w:t>
            </w:r>
            <w:r w:rsidR="00B76E49" w:rsidRPr="00004DEA"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  <w:t xml:space="preserve">Tā kā aktivitātes ietvaros atbalstu sniedz projektiem, kuros tiek veiktas </w:t>
            </w:r>
            <w:r w:rsidR="008E1B50" w:rsidRPr="00004DEA">
              <w:rPr>
                <w:rFonts w:ascii="Times New Roman" w:hAnsi="Times New Roman" w:cs="Times New Roman"/>
                <w:sz w:val="28"/>
                <w:szCs w:val="24"/>
              </w:rPr>
              <w:t>ar saimniecisko darbību nesaistītas darbības</w:t>
            </w:r>
            <w:r w:rsidR="00B76E49" w:rsidRPr="00004DEA"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  <w:t xml:space="preserve">, </w:t>
            </w:r>
            <w:r w:rsidR="00B76E49" w:rsidRPr="00004DEA">
              <w:rPr>
                <w:rFonts w:ascii="Times New Roman" w:hAnsi="Times New Roman" w:cs="Times New Roman"/>
                <w:sz w:val="28"/>
                <w:szCs w:val="24"/>
              </w:rPr>
              <w:t>grozījumi</w:t>
            </w:r>
            <w:r w:rsidR="007C38D7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nepieciešami,</w:t>
            </w:r>
            <w:r w:rsidR="00B76E49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lai novērstu risku, ka projekta rezultātu izmantošana saimnieciskajā darbībā veido peļņu,</w:t>
            </w:r>
            <w:r w:rsidR="007C38D7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jo monitoringa vizītēs konstatēti saimnieciska rakstura darījumi</w:t>
            </w:r>
            <w:r w:rsidR="00B76E49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vienā no projektiem. </w:t>
            </w:r>
            <w:r w:rsidR="00996873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Noteikumu projekta </w:t>
            </w:r>
            <w:r w:rsidR="00EF5443" w:rsidRPr="00004DEA">
              <w:rPr>
                <w:rFonts w:ascii="Times New Roman" w:hAnsi="Times New Roman" w:cs="Times New Roman"/>
                <w:sz w:val="28"/>
                <w:szCs w:val="24"/>
              </w:rPr>
              <w:t>4.punktā minēti nosacījumi, kas jāizpilda, ja tiek gūta peļņa ar saimniecisko darbību nesaistītajos projektos.</w:t>
            </w:r>
          </w:p>
          <w:p w14:paraId="00CEF06E" w14:textId="26FBA113" w:rsidR="00DC2FA5" w:rsidRPr="00F6725A" w:rsidRDefault="006611EC" w:rsidP="00924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DEA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E6146D" w:rsidRPr="00004DEA">
              <w:rPr>
                <w:rFonts w:ascii="Times New Roman" w:hAnsi="Times New Roman" w:cs="Times New Roman"/>
                <w:sz w:val="28"/>
                <w:szCs w:val="28"/>
              </w:rPr>
              <w:t>rogrammas divpusējās sadarbības fonda līdzekļi paredzēti divpusējās sadarbības atbalsta pasākumu finansēšanai projektu īstenošanas laikā</w:t>
            </w:r>
            <w:r w:rsidR="00102B77" w:rsidRPr="00004D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5F" w:rsidRPr="00004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5F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Divpusējās sadarbības fonda mērķis ir atbalstīt labas prakses piemēru un zināšanu apmaiņu, kā arī veicināt sadarbības veidošanu starp finansējuma saņēmēju un citu finanšu instrumenta saņēmējvalstu, kā arī </w:t>
            </w:r>
            <w:proofErr w:type="spellStart"/>
            <w:r w:rsidR="00CE075F" w:rsidRPr="00004DEA">
              <w:rPr>
                <w:rFonts w:ascii="Times New Roman" w:hAnsi="Times New Roman" w:cs="Times New Roman"/>
                <w:sz w:val="28"/>
                <w:szCs w:val="24"/>
              </w:rPr>
              <w:t>donorvalstu</w:t>
            </w:r>
            <w:proofErr w:type="spellEnd"/>
            <w:r w:rsidR="00CE075F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pētniecības </w:t>
            </w:r>
            <w:r w:rsidR="004A78AC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un starptautiskām </w:t>
            </w:r>
            <w:r w:rsidR="00CE075F" w:rsidRPr="00004DEA">
              <w:rPr>
                <w:rFonts w:ascii="Times New Roman" w:hAnsi="Times New Roman" w:cs="Times New Roman"/>
                <w:sz w:val="28"/>
                <w:szCs w:val="24"/>
              </w:rPr>
              <w:t>organizācijām.</w:t>
            </w:r>
            <w:r w:rsidR="00102B77" w:rsidRPr="00004DEA">
              <w:rPr>
                <w:rFonts w:ascii="Times New Roman" w:hAnsi="Times New Roman" w:cs="Times New Roman"/>
                <w:sz w:val="28"/>
                <w:szCs w:val="28"/>
              </w:rPr>
              <w:t xml:space="preserve"> E</w:t>
            </w:r>
            <w:r w:rsidR="009242EA" w:rsidRPr="00004DEA">
              <w:rPr>
                <w:rFonts w:ascii="Times New Roman" w:hAnsi="Times New Roman" w:cs="Times New Roman"/>
                <w:sz w:val="28"/>
                <w:szCs w:val="28"/>
              </w:rPr>
              <w:t>sošajā redakcijā līdzfinansējuma saņēmēji šos līdzekļus var saņemt tikai vienu reizi</w:t>
            </w:r>
            <w:r w:rsidR="00102B77" w:rsidRPr="00004DEA">
              <w:rPr>
                <w:rFonts w:ascii="Times New Roman" w:hAnsi="Times New Roman" w:cs="Times New Roman"/>
                <w:sz w:val="28"/>
                <w:szCs w:val="28"/>
              </w:rPr>
              <w:t xml:space="preserve"> projekta īstenošanas laikā</w:t>
            </w:r>
            <w:r w:rsidR="0044391E" w:rsidRPr="00004D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6D87" w:rsidRPr="00004DEA">
              <w:rPr>
                <w:rFonts w:ascii="Times New Roman" w:hAnsi="Times New Roman" w:cs="Times New Roman"/>
                <w:sz w:val="28"/>
                <w:szCs w:val="28"/>
              </w:rPr>
              <w:t xml:space="preserve">Ņemot vērā </w:t>
            </w:r>
            <w:r w:rsidR="00B06D87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2016.gada 14.septembrī saņemto Finanšu instrumenta biroja lēmumu par programmas aktivitātes “Stipendijas” ietvaros neapgūto līdzekļu pārdali uz divpusējās sadarbības fondu, par kopējo summu 74 526 </w:t>
            </w:r>
            <w:proofErr w:type="spellStart"/>
            <w:r w:rsidR="00B06D87" w:rsidRPr="00004DEA">
              <w:rPr>
                <w:rFonts w:ascii="Times New Roman" w:hAnsi="Times New Roman" w:cs="Times New Roman"/>
                <w:i/>
                <w:sz w:val="28"/>
                <w:szCs w:val="24"/>
              </w:rPr>
              <w:t>euro</w:t>
            </w:r>
            <w:proofErr w:type="spellEnd"/>
            <w:r w:rsidR="00B06D87" w:rsidRPr="00004DE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9242EA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no kuriem aktivitātei tiek novirzīti papildus 23 736 </w:t>
            </w:r>
            <w:proofErr w:type="spellStart"/>
            <w:r w:rsidR="009242EA" w:rsidRPr="00004DEA">
              <w:rPr>
                <w:rFonts w:ascii="Times New Roman" w:hAnsi="Times New Roman" w:cs="Times New Roman"/>
                <w:i/>
                <w:sz w:val="28"/>
                <w:szCs w:val="24"/>
              </w:rPr>
              <w:t>euro</w:t>
            </w:r>
            <w:proofErr w:type="spellEnd"/>
            <w:r w:rsidR="009242EA" w:rsidRPr="00004DEA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06D87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noteikumu projekt</w:t>
            </w:r>
            <w:r w:rsidR="00102B77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a </w:t>
            </w:r>
            <w:r w:rsidR="00996873" w:rsidRPr="00004DE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224C79" w:rsidRPr="00004DEA">
              <w:rPr>
                <w:rFonts w:ascii="Times New Roman" w:hAnsi="Times New Roman" w:cs="Times New Roman"/>
                <w:sz w:val="28"/>
                <w:szCs w:val="24"/>
              </w:rPr>
              <w:t>.punkts</w:t>
            </w:r>
            <w:r w:rsidR="00B06D87" w:rsidRPr="00004DE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119BC" w:rsidRPr="00004DEA">
              <w:rPr>
                <w:rFonts w:ascii="Times New Roman" w:hAnsi="Times New Roman" w:cs="Times New Roman"/>
                <w:sz w:val="28"/>
                <w:szCs w:val="24"/>
              </w:rPr>
              <w:t>izsaka jaunā redakcijā programmas divpusējās sadarbības fonda piešķiršanas nosacījumu</w:t>
            </w:r>
            <w:r w:rsidR="009119BC" w:rsidRPr="00F6725A">
              <w:rPr>
                <w:rFonts w:ascii="Times New Roman" w:hAnsi="Times New Roman" w:cs="Times New Roman"/>
                <w:sz w:val="28"/>
                <w:szCs w:val="24"/>
              </w:rPr>
              <w:t xml:space="preserve"> kārtību.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B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Tas 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dod iespēju līdzfinansējuma saņēmējiem </w:t>
            </w:r>
            <w:r w:rsidR="009242EA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vairāk kā vienu reizi 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>saņemt finansējumu divpusējās sadarbības veidošanai</w:t>
            </w:r>
            <w:r w:rsidR="00224C79" w:rsidRPr="00F6725A">
              <w:rPr>
                <w:rFonts w:ascii="Times New Roman" w:hAnsi="Times New Roman" w:cs="Times New Roman"/>
                <w:sz w:val="28"/>
                <w:szCs w:val="28"/>
              </w:rPr>
              <w:t>, t.sk.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arī pēc projekt</w:t>
            </w:r>
            <w:r w:rsidR="00224C79" w:rsidRPr="00F6725A">
              <w:rPr>
                <w:rFonts w:ascii="Times New Roman" w:hAnsi="Times New Roman" w:cs="Times New Roman"/>
                <w:sz w:val="28"/>
                <w:szCs w:val="28"/>
              </w:rPr>
              <w:t>a īstenošanas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beigām</w:t>
            </w:r>
            <w:r w:rsidR="00224C79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325C" w:rsidRPr="00F6725A">
              <w:rPr>
                <w:rFonts w:ascii="Times New Roman" w:hAnsi="Times New Roman" w:cs="Times New Roman"/>
                <w:sz w:val="28"/>
                <w:szCs w:val="28"/>
              </w:rPr>
              <w:t>Valsts izglītības attīstības aģentūra</w:t>
            </w:r>
            <w:r w:rsidR="00DC2FA5" w:rsidRPr="00F672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325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vērtē</w:t>
            </w:r>
            <w:r w:rsidR="00DC2FA5" w:rsidRPr="00F6725A">
              <w:rPr>
                <w:rFonts w:ascii="Times New Roman" w:hAnsi="Times New Roman" w:cs="Times New Roman"/>
                <w:sz w:val="28"/>
                <w:szCs w:val="28"/>
              </w:rPr>
              <w:t>jot</w:t>
            </w:r>
            <w:r w:rsidR="004F325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saņemto</w:t>
            </w:r>
            <w:r w:rsidR="00DC2FA5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pieteikumu atbilstību programmai, vadīsies pēc</w:t>
            </w:r>
            <w:r w:rsidR="004F325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C2FA5" w:rsidRPr="00F6725A">
              <w:rPr>
                <w:rFonts w:ascii="Times New Roman" w:hAnsi="Times New Roman" w:cs="Times New Roman"/>
                <w:sz w:val="28"/>
                <w:szCs w:val="28"/>
              </w:rPr>
              <w:t>donorvalstu</w:t>
            </w:r>
            <w:proofErr w:type="spellEnd"/>
            <w:r w:rsidR="00DC2FA5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vadlīnijā </w:t>
            </w:r>
            <w:r w:rsidR="00DC2FA5" w:rsidRPr="00F67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“Par Bilaterālo attiecību stiprināšanu” noteiktā</w:t>
            </w:r>
            <w:r w:rsidR="00114E03" w:rsidRPr="00F6725A">
              <w:rPr>
                <w:rFonts w:ascii="Times New Roman" w:hAnsi="Times New Roman" w:cs="Times New Roman"/>
                <w:sz w:val="28"/>
                <w:szCs w:val="28"/>
              </w:rPr>
              <w:t>, kā arī ievērojot noteikumos “Par Norvēģijas finanšu instrumenta ieviešanu 2009.-2014.gadā” minēto</w:t>
            </w:r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>, kā arī vērtēs tā atbilstību programmas līgumam un projekta iesniegumam</w:t>
            </w:r>
            <w:r w:rsidR="00114E03" w:rsidRPr="00F6725A">
              <w:rPr>
                <w:rFonts w:ascii="Times New Roman" w:hAnsi="Times New Roman" w:cs="Times New Roman"/>
                <w:sz w:val="28"/>
                <w:szCs w:val="28"/>
              </w:rPr>
              <w:t>. Pieprasītā finansējuma apmērs tiks vērtēts, pamatojoties uz</w:t>
            </w:r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Ministru kabineta 2010.gada 12.oktobra noteikumu Nr.969 “Kārtība, kādā tiek atlīdzināmi ar komandējumiem saistītie izdevumi” normām, projektu iesniegumos norādītajām algas likmēm, kā arī </w:t>
            </w:r>
            <w:proofErr w:type="spellStart"/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>donorvalstu</w:t>
            </w:r>
            <w:proofErr w:type="spellEnd"/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noteikumos minētajām maksimāli pieļaujamajām komandējumu un algas likmju normām </w:t>
            </w:r>
            <w:proofErr w:type="spellStart"/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>donorvalstu</w:t>
            </w:r>
            <w:proofErr w:type="spellEnd"/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partneru pārstāvjiem.</w:t>
            </w:r>
            <w:r w:rsidR="00114E03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45C717" w14:textId="1E2FA6E6" w:rsidR="002F3359" w:rsidRPr="00F6725A" w:rsidRDefault="00224C79" w:rsidP="00924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5A">
              <w:rPr>
                <w:rFonts w:ascii="Times New Roman" w:hAnsi="Times New Roman" w:cs="Times New Roman"/>
                <w:sz w:val="28"/>
                <w:szCs w:val="28"/>
              </w:rPr>
              <w:t>Divpusējās sadarbības pasākumus būs iespēja īstenot līdz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2017.gada 31.oktobri</w:t>
            </w:r>
            <w:r w:rsidRPr="00F6725A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9242EA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. Šāds termiņš noteikts, lai </w:t>
            </w:r>
            <w:r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gada nogalē </w:t>
            </w:r>
            <w:r w:rsidR="00102B7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programmas </w:t>
            </w:r>
            <w:proofErr w:type="spellStart"/>
            <w:r w:rsidR="00102B77" w:rsidRPr="00F6725A">
              <w:rPr>
                <w:rFonts w:ascii="Times New Roman" w:hAnsi="Times New Roman" w:cs="Times New Roman"/>
                <w:sz w:val="28"/>
                <w:szCs w:val="28"/>
              </w:rPr>
              <w:t>apsaimniekotājam</w:t>
            </w:r>
            <w:proofErr w:type="spellEnd"/>
            <w:r w:rsidR="00102B7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nepārklātos </w:t>
            </w:r>
            <w:r w:rsidR="004A78AC" w:rsidRPr="00F6725A">
              <w:rPr>
                <w:rFonts w:ascii="Times New Roman" w:hAnsi="Times New Roman" w:cs="Times New Roman"/>
                <w:sz w:val="28"/>
                <w:szCs w:val="28"/>
              </w:rPr>
              <w:t>izskatāmo</w:t>
            </w:r>
            <w:r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 un gatavojamo pārskatu un atskaišu termiņi, </w:t>
            </w:r>
            <w:r w:rsidR="009242EA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ņemot vērā, ka </w:t>
            </w:r>
            <w:r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programmas </w:t>
            </w:r>
            <w:r w:rsidR="009242EA" w:rsidRPr="00F6725A">
              <w:rPr>
                <w:rFonts w:ascii="Times New Roman" w:hAnsi="Times New Roman" w:cs="Times New Roman"/>
                <w:sz w:val="28"/>
                <w:szCs w:val="28"/>
              </w:rPr>
              <w:t>beigu termiņš ir 2017.gada 31.decembris</w:t>
            </w:r>
            <w:r w:rsidR="00B06D87" w:rsidRPr="00F672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AD787BC" w14:textId="223F01FD" w:rsidR="00987915" w:rsidRPr="009748D1" w:rsidRDefault="00987915" w:rsidP="00BA67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Noteikumu projekta </w:t>
            </w:r>
            <w:r w:rsidR="00BA6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.punkts paredz papildināt noteikumus ar jaunu pielikumu, t.i., </w:t>
            </w:r>
            <w:r w:rsidR="00B92809">
              <w:rPr>
                <w:rFonts w:ascii="Times New Roman" w:hAnsi="Times New Roman" w:cs="Times New Roman"/>
                <w:sz w:val="28"/>
                <w:szCs w:val="28"/>
              </w:rPr>
              <w:t xml:space="preserve">ar </w:t>
            </w:r>
            <w:r w:rsidR="00B92809">
              <w:rPr>
                <w:rFonts w:ascii="Times New Roman" w:hAnsi="Times New Roman" w:cs="Times New Roman"/>
                <w:sz w:val="28"/>
                <w:szCs w:val="24"/>
              </w:rPr>
              <w:t>atskaites formu par šo līdzekļu izmantošanu.</w:t>
            </w:r>
          </w:p>
        </w:tc>
      </w:tr>
      <w:tr w:rsidR="004F0273" w:rsidRPr="009748D1" w14:paraId="036FF784" w14:textId="77777777" w:rsidTr="00C30058">
        <w:trPr>
          <w:trHeight w:val="465"/>
          <w:tblCellSpacing w:w="15" w:type="dxa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E9DE8" w14:textId="1B7FBB4A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7CA58C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izstrādē</w:t>
            </w:r>
            <w:r w:rsidR="00BD7CBE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iesaistītās institūcijas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E7C4A7" w14:textId="5B9CE549" w:rsidR="008028E9" w:rsidRPr="009748D1" w:rsidRDefault="00BD7CBE" w:rsidP="005B6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Noteikumu projektu ir izstrādājusi Izglītības un zinātnes ministrija sadarbībā ar </w:t>
            </w:r>
            <w:r w:rsidR="00E85295" w:rsidRPr="009748D1">
              <w:rPr>
                <w:rFonts w:ascii="Times New Roman" w:hAnsi="Times New Roman" w:cs="Times New Roman"/>
                <w:sz w:val="28"/>
                <w:szCs w:val="28"/>
              </w:rPr>
              <w:t>aģentūru.</w:t>
            </w:r>
          </w:p>
        </w:tc>
      </w:tr>
      <w:tr w:rsidR="004F0273" w:rsidRPr="009748D1" w14:paraId="033586C6" w14:textId="77777777" w:rsidTr="00C30058">
        <w:trPr>
          <w:tblCellSpacing w:w="15" w:type="dxa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722F2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848D41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2BF3D1" w14:textId="77777777" w:rsidR="008028E9" w:rsidRPr="009748D1" w:rsidRDefault="00BD7CBE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3780187F" w14:textId="77777777" w:rsidR="008028E9" w:rsidRPr="009748D1" w:rsidRDefault="008028E9" w:rsidP="00243AC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3"/>
        <w:gridCol w:w="2532"/>
        <w:gridCol w:w="5846"/>
      </w:tblGrid>
      <w:tr w:rsidR="004F0273" w:rsidRPr="009748D1" w14:paraId="4E6F94F0" w14:textId="77777777" w:rsidTr="00C30058">
        <w:trPr>
          <w:trHeight w:val="555"/>
          <w:tblCellSpacing w:w="15" w:type="dxa"/>
        </w:trPr>
        <w:tc>
          <w:tcPr>
            <w:tcW w:w="4967" w:type="pct"/>
            <w:gridSpan w:val="3"/>
            <w:vAlign w:val="center"/>
            <w:hideMark/>
          </w:tcPr>
          <w:p w14:paraId="48388D51" w14:textId="77777777" w:rsidR="002D2F51" w:rsidRPr="009748D1" w:rsidRDefault="002D2F51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922A5A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4F0273" w:rsidRPr="009748D1" w14:paraId="7F4693D5" w14:textId="77777777" w:rsidTr="00C30058">
        <w:trPr>
          <w:trHeight w:val="465"/>
          <w:tblCellSpacing w:w="15" w:type="dxa"/>
        </w:trPr>
        <w:tc>
          <w:tcPr>
            <w:tcW w:w="354" w:type="pct"/>
            <w:shd w:val="clear" w:color="auto" w:fill="auto"/>
            <w:hideMark/>
          </w:tcPr>
          <w:p w14:paraId="29B197A7" w14:textId="77777777" w:rsidR="008028E9" w:rsidRPr="009748D1" w:rsidRDefault="008028E9" w:rsidP="002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0" w:type="pct"/>
            <w:shd w:val="clear" w:color="auto" w:fill="auto"/>
            <w:hideMark/>
          </w:tcPr>
          <w:p w14:paraId="1D139AB1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Sabiedrības </w:t>
            </w:r>
            <w:proofErr w:type="spellStart"/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mērķgrupas</w:t>
            </w:r>
            <w:proofErr w:type="spellEnd"/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3191" w:type="pct"/>
            <w:shd w:val="clear" w:color="auto" w:fill="auto"/>
            <w:hideMark/>
          </w:tcPr>
          <w:p w14:paraId="1422348C" w14:textId="5383248F" w:rsidR="008028E9" w:rsidRPr="009748D1" w:rsidRDefault="00B11A4E" w:rsidP="00243AC6">
            <w:pPr>
              <w:pStyle w:val="NormalWeb"/>
              <w:jc w:val="both"/>
              <w:rPr>
                <w:iCs/>
                <w:sz w:val="28"/>
                <w:szCs w:val="28"/>
              </w:rPr>
            </w:pPr>
            <w:r w:rsidRPr="009748D1">
              <w:rPr>
                <w:iCs/>
                <w:sz w:val="28"/>
                <w:szCs w:val="28"/>
              </w:rPr>
              <w:t xml:space="preserve">Latvijas un Norvēģijas valsts un privātajās zinātniskajās institūcijās strādājošie zinātnieki un pētnieki. </w:t>
            </w:r>
          </w:p>
        </w:tc>
      </w:tr>
      <w:tr w:rsidR="004F0273" w:rsidRPr="009748D1" w14:paraId="00327129" w14:textId="77777777" w:rsidTr="00C30058">
        <w:trPr>
          <w:trHeight w:val="510"/>
          <w:tblCellSpacing w:w="15" w:type="dxa"/>
        </w:trPr>
        <w:tc>
          <w:tcPr>
            <w:tcW w:w="354" w:type="pct"/>
            <w:shd w:val="clear" w:color="auto" w:fill="FFFFFF" w:themeFill="background1"/>
            <w:hideMark/>
          </w:tcPr>
          <w:p w14:paraId="51A23C54" w14:textId="77777777" w:rsidR="008028E9" w:rsidRPr="009748D1" w:rsidRDefault="008028E9" w:rsidP="002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0" w:type="pct"/>
            <w:shd w:val="clear" w:color="auto" w:fill="FFFFFF" w:themeFill="background1"/>
            <w:hideMark/>
          </w:tcPr>
          <w:p w14:paraId="57F1365C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191" w:type="pct"/>
            <w:shd w:val="clear" w:color="auto" w:fill="FFFFFF" w:themeFill="background1"/>
            <w:hideMark/>
          </w:tcPr>
          <w:p w14:paraId="633D4D2C" w14:textId="77777777" w:rsidR="00B11A4E" w:rsidRPr="009748D1" w:rsidRDefault="00B11A4E" w:rsidP="00243AC6">
            <w:pPr>
              <w:pStyle w:val="naiskr"/>
              <w:spacing w:before="0" w:after="0"/>
              <w:ind w:right="114"/>
              <w:jc w:val="both"/>
              <w:rPr>
                <w:sz w:val="28"/>
                <w:szCs w:val="28"/>
              </w:rPr>
            </w:pPr>
            <w:r w:rsidRPr="009748D1">
              <w:rPr>
                <w:sz w:val="28"/>
                <w:szCs w:val="28"/>
              </w:rPr>
              <w:t xml:space="preserve">Noteikumu projektā paredzētais tiesiskais regulējums palīdzēs sasniegt Latvijas Nacionālajā attīstības plānā 2014.-2020.gadam rādītāju „Ieguldījumi pētniecībā un attīstībā % no IKP”. </w:t>
            </w:r>
          </w:p>
          <w:p w14:paraId="54B00812" w14:textId="41C68AE5" w:rsidR="000803A1" w:rsidRPr="009748D1" w:rsidRDefault="00B11A4E" w:rsidP="0024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Noteikumu projektā nav paredzētas izmaiņas zinātnisko institūciju un tajās strādājošo zinātnieku un pētnieku tiesībās un pienākumos, kā arī programmas finansējuma saņemšanai veicamajās darbībās.</w:t>
            </w:r>
          </w:p>
        </w:tc>
      </w:tr>
      <w:tr w:rsidR="004F0273" w:rsidRPr="009748D1" w14:paraId="601BFCB4" w14:textId="77777777" w:rsidTr="00C30058">
        <w:trPr>
          <w:trHeight w:val="510"/>
          <w:tblCellSpacing w:w="15" w:type="dxa"/>
        </w:trPr>
        <w:tc>
          <w:tcPr>
            <w:tcW w:w="354" w:type="pct"/>
            <w:hideMark/>
          </w:tcPr>
          <w:p w14:paraId="2A2BE479" w14:textId="77777777" w:rsidR="008028E9" w:rsidRPr="009748D1" w:rsidRDefault="008028E9" w:rsidP="002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90" w:type="pct"/>
            <w:hideMark/>
          </w:tcPr>
          <w:p w14:paraId="70E8C0BC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191" w:type="pct"/>
            <w:hideMark/>
          </w:tcPr>
          <w:p w14:paraId="2C36DF2A" w14:textId="77777777" w:rsidR="000803A1" w:rsidRPr="009748D1" w:rsidRDefault="000803A1" w:rsidP="00243AC6">
            <w:pPr>
              <w:pStyle w:val="naiskr"/>
              <w:spacing w:before="0" w:after="0"/>
              <w:ind w:right="81"/>
              <w:rPr>
                <w:sz w:val="28"/>
                <w:szCs w:val="28"/>
              </w:rPr>
            </w:pPr>
            <w:r w:rsidRPr="009748D1">
              <w:rPr>
                <w:sz w:val="28"/>
                <w:szCs w:val="28"/>
              </w:rPr>
              <w:t>Noteikumu projekts šo jomu neskar.</w:t>
            </w:r>
          </w:p>
          <w:p w14:paraId="501C1344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28E9" w:rsidRPr="009748D1" w14:paraId="2FD0C829" w14:textId="77777777" w:rsidTr="00C30058">
        <w:trPr>
          <w:trHeight w:val="345"/>
          <w:tblCellSpacing w:w="15" w:type="dxa"/>
        </w:trPr>
        <w:tc>
          <w:tcPr>
            <w:tcW w:w="354" w:type="pct"/>
            <w:hideMark/>
          </w:tcPr>
          <w:p w14:paraId="2CBA7FE6" w14:textId="77777777" w:rsidR="008028E9" w:rsidRPr="009748D1" w:rsidRDefault="008028E9" w:rsidP="0024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90" w:type="pct"/>
            <w:hideMark/>
          </w:tcPr>
          <w:p w14:paraId="09C973B9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3191" w:type="pct"/>
            <w:hideMark/>
          </w:tcPr>
          <w:p w14:paraId="10693988" w14:textId="77777777" w:rsidR="008028E9" w:rsidRPr="009748D1" w:rsidRDefault="000803A1" w:rsidP="00243A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14:paraId="779B97BF" w14:textId="77777777" w:rsidR="008028E9" w:rsidRPr="009748D1" w:rsidRDefault="008028E9" w:rsidP="00243AC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178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7"/>
        <w:gridCol w:w="1341"/>
        <w:gridCol w:w="1341"/>
        <w:gridCol w:w="43"/>
        <w:gridCol w:w="1165"/>
        <w:gridCol w:w="40"/>
        <w:gridCol w:w="1169"/>
        <w:gridCol w:w="2418"/>
      </w:tblGrid>
      <w:tr w:rsidR="004F0273" w:rsidRPr="009748D1" w14:paraId="14648881" w14:textId="77777777" w:rsidTr="00C30058">
        <w:trPr>
          <w:trHeight w:val="360"/>
          <w:tblCellSpacing w:w="15" w:type="dxa"/>
          <w:jc w:val="center"/>
        </w:trPr>
        <w:tc>
          <w:tcPr>
            <w:tcW w:w="496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65D6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4F0273" w:rsidRPr="009748D1" w14:paraId="26398066" w14:textId="77777777" w:rsidTr="00C30058">
        <w:trPr>
          <w:tblCellSpacing w:w="15" w:type="dxa"/>
          <w:jc w:val="center"/>
        </w:trPr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7475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Rādītāji</w:t>
            </w:r>
          </w:p>
        </w:tc>
        <w:tc>
          <w:tcPr>
            <w:tcW w:w="1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A429" w14:textId="5F6668EB" w:rsidR="008028E9" w:rsidRPr="009748D1" w:rsidRDefault="00856BE0" w:rsidP="00DE1AE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A974AB"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028E9"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gads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BC3E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Turpmākie trīs gadi (</w:t>
            </w:r>
            <w:proofErr w:type="spellStart"/>
            <w:r w:rsidRPr="009748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euro</w:t>
            </w:r>
            <w:proofErr w:type="spellEnd"/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F0273" w:rsidRPr="009748D1" w14:paraId="3ACA755D" w14:textId="77777777" w:rsidTr="00C30058">
        <w:trPr>
          <w:tblCellSpacing w:w="15" w:type="dxa"/>
          <w:jc w:val="center"/>
        </w:trPr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95DC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D35E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8AB4" w14:textId="37D66313" w:rsidR="008028E9" w:rsidRPr="009748D1" w:rsidRDefault="00856BE0" w:rsidP="00DE1AE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CECA" w14:textId="3F7FF206" w:rsidR="008028E9" w:rsidRPr="009748D1" w:rsidRDefault="00856BE0" w:rsidP="00DE1AE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00C72" w14:textId="583858A9" w:rsidR="008028E9" w:rsidRPr="009748D1" w:rsidRDefault="00856BE0" w:rsidP="00DE1AE8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4F0273" w:rsidRPr="009748D1" w14:paraId="66BFC7AD" w14:textId="77777777" w:rsidTr="00C30058">
        <w:trPr>
          <w:tblCellSpacing w:w="15" w:type="dxa"/>
          <w:jc w:val="center"/>
        </w:trPr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45AF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F655" w14:textId="77777777" w:rsidR="008028E9" w:rsidRPr="009748D1" w:rsidRDefault="008028E9" w:rsidP="001E0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F7B7" w14:textId="77777777" w:rsidR="008028E9" w:rsidRPr="009748D1" w:rsidRDefault="008028E9" w:rsidP="001E0C2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izmaiņas kārtējā gadā,</w:t>
            </w:r>
            <w:r w:rsidR="00716136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salīdzinot ar valsts budžetu kārtējam gadam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0358" w14:textId="297AED97" w:rsidR="008028E9" w:rsidRPr="009748D1" w:rsidRDefault="008028E9" w:rsidP="001E0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izmaiņas, salīdzinot ar kārtējo (</w:t>
            </w:r>
            <w:r w:rsidR="00856BE0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) gadu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4F7" w14:textId="5CA49360" w:rsidR="008028E9" w:rsidRPr="009748D1" w:rsidRDefault="008028E9" w:rsidP="001E0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izmaiņas, salīdzinot ar kārtējo (</w:t>
            </w:r>
            <w:r w:rsidR="00856BE0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) gadu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4B4E" w14:textId="6B0C65A2" w:rsidR="008028E9" w:rsidRPr="009748D1" w:rsidRDefault="008028E9" w:rsidP="001E0C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izmaiņas, salīdzinot ar kārtējo (</w:t>
            </w:r>
            <w:r w:rsidR="00716136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) gadu</w:t>
            </w:r>
          </w:p>
        </w:tc>
      </w:tr>
      <w:tr w:rsidR="004F0273" w:rsidRPr="009748D1" w14:paraId="65070EA2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179B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464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0D6C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D40F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F0589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43A8D" w14:textId="77777777" w:rsidR="008028E9" w:rsidRPr="009748D1" w:rsidRDefault="008028E9" w:rsidP="00243AC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0273" w:rsidRPr="009748D1" w14:paraId="1421AF62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4DC4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 Budžeta ieņēmumi: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4E23" w14:textId="6A035095" w:rsidR="008028E9" w:rsidRPr="009748D1" w:rsidRDefault="001E0C2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912C" w14:textId="672B0BD2" w:rsidR="008028E9" w:rsidRPr="009748D1" w:rsidRDefault="00D13067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1396" w14:textId="77777777" w:rsidR="008028E9" w:rsidRPr="009748D1" w:rsidRDefault="00D0373D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29B8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7BF1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4F0595C0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0C7B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1.1. valsts pamatbudžets, tai skaitā</w:t>
            </w:r>
            <w:r w:rsidR="00716136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ieņēmumi no maksas pakalpojumiem un citi pašu ieņēmumi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A845" w14:textId="134A8B7A" w:rsidR="008028E9" w:rsidRPr="009748D1" w:rsidRDefault="001E0C2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33F5" w14:textId="0BD4CA11" w:rsidR="008028E9" w:rsidRPr="009748D1" w:rsidRDefault="00D13067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367E" w14:textId="77777777" w:rsidR="008028E9" w:rsidRPr="009748D1" w:rsidRDefault="00D0373D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3640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EAC0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43254684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3F6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1.2. valsts speciālais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8CB4" w14:textId="23D1B81B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DB84" w14:textId="3F90AE5D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0FD2" w14:textId="2C7DF55C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E653" w14:textId="773AA083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D273" w14:textId="1F2CB67B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47FF7E21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0D66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1.3. pašvaldību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B48E" w14:textId="11614DF3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95C2" w14:textId="5CF81EC5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1C13" w14:textId="35C14DF3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F49F" w14:textId="53D829B6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4AEF" w14:textId="26C4FB11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4B6E2245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8085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Budžeta izdevumi: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4190" w14:textId="3273CEBE" w:rsidR="008028E9" w:rsidRPr="009748D1" w:rsidRDefault="001E0C2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0395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55E8" w14:textId="77777777" w:rsidR="008028E9" w:rsidRPr="009748D1" w:rsidRDefault="00D0373D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528A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46E3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3B2E8FF2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868F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2.1. valsts pamatbudžets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F74" w14:textId="0CFBEFD9" w:rsidR="008028E9" w:rsidRPr="009748D1" w:rsidRDefault="001E0C2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E75F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660" w14:textId="77777777" w:rsidR="008028E9" w:rsidRPr="009748D1" w:rsidRDefault="00D0373D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42B4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C537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4D889229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FCE7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2.2. valsts speciālais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D00E" w14:textId="6DE08DBF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9463" w14:textId="5AAAB8AB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51A3" w14:textId="627B61B1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B27C" w14:textId="325FC0E2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CF179" w14:textId="1E776210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1101C988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1B9E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2.3. pašvaldību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560" w14:textId="64F9CFFC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0ED" w14:textId="5EACDE05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3A5F" w14:textId="28CE601A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152C" w14:textId="104989B5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F779" w14:textId="7034AA6F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643CFB59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2174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3. Finansiālā ietekme: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17B7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8046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F180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56D7B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C113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44C0BB64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7281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3.1. valsts pamatbudžets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C8B4A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7A36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4BC6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2D2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CE9A" w14:textId="77777777" w:rsidR="008028E9" w:rsidRPr="009748D1" w:rsidRDefault="00C04DA3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38CF9C82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1D62D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3.2. speciālais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56EF" w14:textId="2F7B61AE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FFD1" w14:textId="2B5F25B5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CB78" w14:textId="7C364DE4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8C92" w14:textId="4A572C6C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6594" w14:textId="0D500A2C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1C47CF91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0B79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3.3. pašvaldību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ECDD" w14:textId="52A2F2C7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8DD7" w14:textId="5048B05B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2362" w14:textId="0FA27AC3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3BDF" w14:textId="674C4D4D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BF9E" w14:textId="753E613B" w:rsidR="008028E9" w:rsidRPr="009748D1" w:rsidRDefault="00AC6B28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5ED2BEC9" w14:textId="77777777" w:rsidTr="00C30058">
        <w:trPr>
          <w:trHeight w:val="1274"/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5E0" w14:textId="77777777" w:rsidR="00716136" w:rsidRPr="009748D1" w:rsidRDefault="0071613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4. Finanšu līdzekļi papildu izdevumu finansēšanai (kompensējošu izdevumu samazinājumu norāda ar "+" zīmi)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3EB1" w14:textId="77777777" w:rsidR="00716136" w:rsidRPr="009748D1" w:rsidRDefault="00716136" w:rsidP="001E0C2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E9B" w14:textId="77777777" w:rsidR="00716136" w:rsidRPr="009748D1" w:rsidRDefault="0071613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9624" w14:textId="77777777" w:rsidR="00716136" w:rsidRPr="009748D1" w:rsidRDefault="0071613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0C8" w14:textId="77777777" w:rsidR="00716136" w:rsidRPr="009748D1" w:rsidRDefault="0071613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4138" w14:textId="77777777" w:rsidR="00716136" w:rsidRPr="009748D1" w:rsidRDefault="00716136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273" w:rsidRPr="009748D1" w14:paraId="03CCE3B0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FCC3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5. Precizēta finansiālā</w:t>
            </w:r>
            <w:r w:rsidR="00716136"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ietekme: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AA38" w14:textId="77777777" w:rsidR="008028E9" w:rsidRPr="009748D1" w:rsidRDefault="008028E9" w:rsidP="001E0C26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F6F7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4CA7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843A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6B94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273" w:rsidRPr="009748D1" w14:paraId="16059546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7F06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5.1. valsts pamatbudžets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E9D6" w14:textId="4D0AA0A1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CB8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20D9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1526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75C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273" w:rsidRPr="009748D1" w14:paraId="1B50EEC7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5187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5.2. speciālais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A399" w14:textId="2BC118AE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2A7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640F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9A05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9459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273" w:rsidRPr="009748D1" w14:paraId="1AAD0DB9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16F9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5.3. pašvaldību budžets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EF74C" w14:textId="29DC9D09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D1DD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CC80D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807A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A3CE" w14:textId="77777777" w:rsidR="008028E9" w:rsidRPr="009748D1" w:rsidRDefault="008028E9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0273" w:rsidRPr="009748D1" w14:paraId="1465C681" w14:textId="77777777" w:rsidTr="00C30058">
        <w:trPr>
          <w:trHeight w:val="2733"/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43DA8" w14:textId="77777777" w:rsidR="00755DD2" w:rsidRPr="009748D1" w:rsidRDefault="00755DD2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EE52DC" w14:textId="3589ED47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DB370" w14:textId="07609177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9B0A5" w14:textId="1EB93F73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A856E" w14:textId="43C3E19D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D9E7B" w14:textId="4CB31EC6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6ECFBFF1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30B" w14:textId="77777777" w:rsidR="00755DD2" w:rsidRPr="009748D1" w:rsidRDefault="00755DD2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6.1. detalizēts ieņēmumu aprēķins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84BEF8" w14:textId="0EB06A80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EFEFE" w14:textId="20F25870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93A61" w14:textId="0C379369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687E" w14:textId="4B1EEB00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67AA" w14:textId="7C2A4041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0273" w:rsidRPr="009748D1" w14:paraId="21662FA6" w14:textId="77777777" w:rsidTr="00C30058">
        <w:trPr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2ED" w14:textId="77777777" w:rsidR="00755DD2" w:rsidRPr="009748D1" w:rsidRDefault="00755DD2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6.2. detalizēts izdevumu aprēķins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C29A09" w14:textId="7BEFF4F9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C203D" w14:textId="3F95DBEF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D9D41" w14:textId="732333D1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678F6" w14:textId="2887CA85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B77F7" w14:textId="7C7111E0" w:rsidR="00755DD2" w:rsidRPr="009748D1" w:rsidRDefault="009C1000" w:rsidP="001E0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5DD2" w:rsidRPr="009748D1" w14:paraId="7D54398A" w14:textId="77777777" w:rsidTr="00C30058">
        <w:trPr>
          <w:trHeight w:val="555"/>
          <w:tblCellSpacing w:w="15" w:type="dxa"/>
          <w:jc w:val="center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EC2E0" w14:textId="77777777" w:rsidR="008028E9" w:rsidRPr="009748D1" w:rsidRDefault="008028E9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7. Cita informācija</w:t>
            </w:r>
          </w:p>
        </w:tc>
        <w:tc>
          <w:tcPr>
            <w:tcW w:w="39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B018" w14:textId="3231F8E6" w:rsidR="004C459B" w:rsidRPr="009748D1" w:rsidRDefault="004C459B" w:rsidP="00243AC6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9748D1">
              <w:rPr>
                <w:sz w:val="28"/>
                <w:szCs w:val="28"/>
              </w:rPr>
              <w:t>Programmas kopējais finansējums ir 6 122</w:t>
            </w:r>
            <w:r w:rsidR="000A33F1" w:rsidRPr="009748D1">
              <w:rPr>
                <w:sz w:val="28"/>
                <w:szCs w:val="28"/>
              </w:rPr>
              <w:t> </w:t>
            </w:r>
            <w:r w:rsidRPr="009748D1">
              <w:rPr>
                <w:sz w:val="28"/>
                <w:szCs w:val="28"/>
              </w:rPr>
              <w:t>500</w:t>
            </w:r>
            <w:r w:rsidR="000A33F1" w:rsidRPr="009748D1">
              <w:rPr>
                <w:sz w:val="28"/>
                <w:szCs w:val="28"/>
              </w:rPr>
              <w:t xml:space="preserve"> </w:t>
            </w:r>
            <w:proofErr w:type="spellStart"/>
            <w:r w:rsidR="000A33F1" w:rsidRPr="009748D1">
              <w:rPr>
                <w:i/>
                <w:sz w:val="28"/>
                <w:szCs w:val="28"/>
              </w:rPr>
              <w:t>euro</w:t>
            </w:r>
            <w:proofErr w:type="spellEnd"/>
            <w:r w:rsidRPr="009748D1">
              <w:rPr>
                <w:sz w:val="28"/>
                <w:szCs w:val="28"/>
              </w:rPr>
              <w:t>, no kuriem 10% ir Latvijas valsts budžeta finansējums (612</w:t>
            </w:r>
            <w:r w:rsidR="000A33F1" w:rsidRPr="009748D1">
              <w:rPr>
                <w:sz w:val="28"/>
                <w:szCs w:val="28"/>
              </w:rPr>
              <w:t> </w:t>
            </w:r>
            <w:r w:rsidRPr="009748D1">
              <w:rPr>
                <w:sz w:val="28"/>
                <w:szCs w:val="28"/>
              </w:rPr>
              <w:t>250</w:t>
            </w:r>
            <w:r w:rsidR="000A33F1" w:rsidRPr="009748D1">
              <w:rPr>
                <w:sz w:val="28"/>
                <w:szCs w:val="28"/>
              </w:rPr>
              <w:t xml:space="preserve"> </w:t>
            </w:r>
            <w:proofErr w:type="spellStart"/>
            <w:r w:rsidR="000A33F1" w:rsidRPr="009748D1">
              <w:rPr>
                <w:i/>
                <w:sz w:val="28"/>
                <w:szCs w:val="28"/>
              </w:rPr>
              <w:t>euro</w:t>
            </w:r>
            <w:proofErr w:type="spellEnd"/>
            <w:r w:rsidRPr="009748D1">
              <w:rPr>
                <w:sz w:val="28"/>
                <w:szCs w:val="28"/>
              </w:rPr>
              <w:t>) un 90% (5 510</w:t>
            </w:r>
            <w:r w:rsidR="000A33F1" w:rsidRPr="009748D1">
              <w:rPr>
                <w:sz w:val="28"/>
                <w:szCs w:val="28"/>
              </w:rPr>
              <w:t> </w:t>
            </w:r>
            <w:r w:rsidRPr="009748D1">
              <w:rPr>
                <w:sz w:val="28"/>
                <w:szCs w:val="28"/>
              </w:rPr>
              <w:t>250</w:t>
            </w:r>
            <w:r w:rsidR="000A33F1" w:rsidRPr="009748D1">
              <w:rPr>
                <w:sz w:val="28"/>
                <w:szCs w:val="28"/>
              </w:rPr>
              <w:t xml:space="preserve"> </w:t>
            </w:r>
            <w:proofErr w:type="spellStart"/>
            <w:r w:rsidR="000A33F1" w:rsidRPr="009748D1">
              <w:rPr>
                <w:i/>
                <w:sz w:val="28"/>
                <w:szCs w:val="28"/>
              </w:rPr>
              <w:t>euro</w:t>
            </w:r>
            <w:proofErr w:type="spellEnd"/>
            <w:r w:rsidRPr="009748D1">
              <w:rPr>
                <w:sz w:val="28"/>
                <w:szCs w:val="28"/>
              </w:rPr>
              <w:t xml:space="preserve">) ir </w:t>
            </w:r>
            <w:proofErr w:type="spellStart"/>
            <w:r w:rsidRPr="009748D1">
              <w:rPr>
                <w:sz w:val="28"/>
                <w:szCs w:val="28"/>
              </w:rPr>
              <w:t>donorvalstu</w:t>
            </w:r>
            <w:proofErr w:type="spellEnd"/>
            <w:r w:rsidRPr="009748D1">
              <w:rPr>
                <w:sz w:val="28"/>
                <w:szCs w:val="28"/>
              </w:rPr>
              <w:t xml:space="preserve"> finansējums, tai skaitā Norvēģijas finanšu instrumenta finansējums ir 4 992</w:t>
            </w:r>
            <w:r w:rsidR="000A33F1" w:rsidRPr="009748D1">
              <w:rPr>
                <w:sz w:val="28"/>
                <w:szCs w:val="28"/>
              </w:rPr>
              <w:t> </w:t>
            </w:r>
            <w:r w:rsidRPr="009748D1">
              <w:rPr>
                <w:sz w:val="28"/>
                <w:szCs w:val="28"/>
              </w:rPr>
              <w:t>000</w:t>
            </w:r>
            <w:r w:rsidR="000A33F1" w:rsidRPr="009748D1">
              <w:rPr>
                <w:sz w:val="28"/>
                <w:szCs w:val="28"/>
              </w:rPr>
              <w:t xml:space="preserve"> </w:t>
            </w:r>
            <w:proofErr w:type="spellStart"/>
            <w:r w:rsidR="000A33F1" w:rsidRPr="009748D1">
              <w:rPr>
                <w:i/>
                <w:sz w:val="28"/>
                <w:szCs w:val="28"/>
              </w:rPr>
              <w:t>euro</w:t>
            </w:r>
            <w:proofErr w:type="spellEnd"/>
            <w:r w:rsidRPr="009748D1">
              <w:rPr>
                <w:sz w:val="28"/>
                <w:szCs w:val="28"/>
              </w:rPr>
              <w:t xml:space="preserve"> un Eiropas Ekonomikas zonas finanšu instrumenta finansējums ir 518</w:t>
            </w:r>
            <w:r w:rsidR="000A33F1" w:rsidRPr="009748D1">
              <w:rPr>
                <w:sz w:val="28"/>
                <w:szCs w:val="28"/>
              </w:rPr>
              <w:t> </w:t>
            </w:r>
            <w:r w:rsidRPr="009748D1">
              <w:rPr>
                <w:sz w:val="28"/>
                <w:szCs w:val="28"/>
              </w:rPr>
              <w:t>250</w:t>
            </w:r>
            <w:r w:rsidR="000A33F1" w:rsidRPr="009748D1">
              <w:rPr>
                <w:sz w:val="28"/>
                <w:szCs w:val="28"/>
              </w:rPr>
              <w:t xml:space="preserve"> </w:t>
            </w:r>
            <w:proofErr w:type="spellStart"/>
            <w:r w:rsidR="000A33F1" w:rsidRPr="009748D1">
              <w:rPr>
                <w:i/>
                <w:sz w:val="28"/>
                <w:szCs w:val="28"/>
              </w:rPr>
              <w:t>euro</w:t>
            </w:r>
            <w:proofErr w:type="spellEnd"/>
            <w:r w:rsidRPr="009748D1">
              <w:rPr>
                <w:sz w:val="28"/>
                <w:szCs w:val="28"/>
              </w:rPr>
              <w:t>. No tā programmas pētniecības aktivitātei paredzēts finansējums 4 435</w:t>
            </w:r>
            <w:r w:rsidR="000A33F1" w:rsidRPr="009748D1">
              <w:rPr>
                <w:sz w:val="28"/>
                <w:szCs w:val="28"/>
              </w:rPr>
              <w:t> </w:t>
            </w:r>
            <w:r w:rsidRPr="009748D1">
              <w:rPr>
                <w:sz w:val="28"/>
                <w:szCs w:val="28"/>
              </w:rPr>
              <w:t>556</w:t>
            </w:r>
            <w:r w:rsidR="000A33F1" w:rsidRPr="009748D1">
              <w:rPr>
                <w:sz w:val="28"/>
                <w:szCs w:val="28"/>
              </w:rPr>
              <w:t xml:space="preserve"> </w:t>
            </w:r>
            <w:proofErr w:type="spellStart"/>
            <w:r w:rsidR="000A33F1" w:rsidRPr="009748D1">
              <w:rPr>
                <w:i/>
                <w:sz w:val="28"/>
                <w:szCs w:val="28"/>
              </w:rPr>
              <w:t>euro</w:t>
            </w:r>
            <w:proofErr w:type="spellEnd"/>
            <w:r w:rsidRPr="009748D1">
              <w:rPr>
                <w:sz w:val="28"/>
                <w:szCs w:val="28"/>
              </w:rPr>
              <w:t xml:space="preserve"> apmērā.</w:t>
            </w:r>
          </w:p>
          <w:p w14:paraId="03154057" w14:textId="3DD859C5" w:rsidR="00C87CBC" w:rsidRPr="009748D1" w:rsidRDefault="004C459B" w:rsidP="00243A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Programmas pētniecības aktivitātes īstenošana</w:t>
            </w:r>
            <w:r w:rsidR="00C87CBC" w:rsidRPr="009748D1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E1AE8" w:rsidRPr="00974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7CBC" w:rsidRPr="009748D1">
              <w:rPr>
                <w:rFonts w:ascii="Times New Roman" w:hAnsi="Times New Roman" w:cs="Times New Roman"/>
                <w:sz w:val="28"/>
                <w:szCs w:val="28"/>
              </w:rPr>
              <w:t>gadā nepieciešamais finansējums ir iekļauts</w:t>
            </w:r>
            <w:r w:rsidR="00C800C2" w:rsidRPr="009748D1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>,</w:t>
            </w:r>
            <w:r w:rsidR="00A85E51" w:rsidRPr="009748D1">
              <w:rPr>
                <w:rFonts w:ascii="Times New Roman" w:hAnsi="Times New Roman"/>
                <w:b/>
                <w:sz w:val="28"/>
                <w:szCs w:val="28"/>
                <w:lang w:eastAsia="lv-LV"/>
              </w:rPr>
              <w:t xml:space="preserve"> </w:t>
            </w:r>
            <w:r w:rsidR="00C800C2" w:rsidRPr="009748D1">
              <w:rPr>
                <w:rFonts w:ascii="Times New Roman" w:hAnsi="Times New Roman"/>
                <w:sz w:val="28"/>
                <w:szCs w:val="28"/>
                <w:lang w:eastAsia="lv-LV"/>
              </w:rPr>
              <w:t>Izglītības un zinātnes ministrijas budžeta   apakšprogrammā 71</w:t>
            </w:r>
            <w:r w:rsidR="00C800C2" w:rsidRPr="009748D1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.06.00 ,,Eiropas Ekonomikas zonas un Norvēģijas finanšu instrumentu finansētās programmas īstenošana”</w:t>
            </w:r>
            <w:r w:rsidR="00C87CBC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600" w:rsidRPr="009748D1">
              <w:rPr>
                <w:rFonts w:ascii="Times New Roman" w:hAnsi="Times New Roman" w:cs="Times New Roman"/>
                <w:sz w:val="28"/>
                <w:szCs w:val="28"/>
              </w:rPr>
              <w:t>- kopējais programmas finansējums ir</w:t>
            </w:r>
            <w:r w:rsidR="008E4DA5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AE8" w:rsidRPr="009748D1">
              <w:rPr>
                <w:rFonts w:ascii="Times New Roman" w:hAnsi="Times New Roman" w:cs="Times New Roman"/>
                <w:sz w:val="28"/>
                <w:szCs w:val="28"/>
              </w:rPr>
              <w:t>2 137 797</w:t>
            </w:r>
            <w:r w:rsidR="008E4DA5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DA5" w:rsidRPr="009748D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0F5600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, no kuriem pētniecības aktivitātes īstenošanai </w:t>
            </w:r>
            <w:r w:rsidR="00593512" w:rsidRPr="009748D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AE8" w:rsidRPr="009748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3512" w:rsidRPr="009748D1">
              <w:rPr>
                <w:rFonts w:ascii="Times New Roman" w:hAnsi="Times New Roman" w:cs="Times New Roman"/>
                <w:sz w:val="28"/>
                <w:szCs w:val="28"/>
              </w:rPr>
              <w:t>.gadā plānoti 1 774 22</w:t>
            </w:r>
            <w:r w:rsidR="003E45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3512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3512" w:rsidRPr="009748D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C87CBC" w:rsidRPr="009748D1">
              <w:rPr>
                <w:rFonts w:ascii="Times New Roman" w:hAnsi="Times New Roman" w:cs="Times New Roman"/>
                <w:sz w:val="28"/>
                <w:szCs w:val="28"/>
              </w:rPr>
              <w:t>, savukārt 201</w:t>
            </w:r>
            <w:r w:rsidR="007577A2" w:rsidRPr="009748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7CBC" w:rsidRPr="009748D1">
              <w:rPr>
                <w:rFonts w:ascii="Times New Roman" w:hAnsi="Times New Roman" w:cs="Times New Roman"/>
                <w:sz w:val="28"/>
                <w:szCs w:val="28"/>
              </w:rPr>
              <w:t>.gadā nepieciešamais</w:t>
            </w: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finansējums ir iekļauts</w:t>
            </w:r>
            <w:r w:rsidR="000F5600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0C2" w:rsidRPr="009748D1">
              <w:rPr>
                <w:rFonts w:ascii="Times New Roman" w:hAnsi="Times New Roman"/>
                <w:color w:val="000000"/>
                <w:sz w:val="28"/>
                <w:szCs w:val="28"/>
                <w:lang w:eastAsia="lv-LV"/>
              </w:rPr>
              <w:t>likumā ,,Par vidēja termiņa budžeta ietvaru 2016., 2017. un 2018.gadam”</w:t>
            </w:r>
            <w:r w:rsidR="000F5600" w:rsidRPr="009748D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C87CBC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2017.gadā </w:t>
            </w:r>
            <w:r w:rsidR="000F5600" w:rsidRPr="009748D1">
              <w:rPr>
                <w:rFonts w:ascii="Times New Roman" w:hAnsi="Times New Roman" w:cs="Times New Roman"/>
                <w:sz w:val="28"/>
                <w:szCs w:val="28"/>
              </w:rPr>
              <w:t>kopējais programmas finansējums ir</w:t>
            </w:r>
            <w:r w:rsidR="008E4DA5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791 993 </w:t>
            </w:r>
            <w:proofErr w:type="spellStart"/>
            <w:r w:rsidR="008E4DA5" w:rsidRPr="009748D1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proofErr w:type="spellEnd"/>
            <w:r w:rsidR="007577A2" w:rsidRPr="009748D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60003C" w:rsidRPr="009748D1">
              <w:rPr>
                <w:rFonts w:ascii="Times New Roman" w:hAnsi="Times New Roman" w:cs="Times New Roman"/>
                <w:sz w:val="28"/>
                <w:szCs w:val="28"/>
              </w:rPr>
              <w:t xml:space="preserve"> 2017.gadā pētniecības aktivitātes projektiem finansējums tiks nodrošināts piešķirto valsts budžeta līdzekļu ietvaros atbilstoši projektos plānotajām naudas plūsmām. </w:t>
            </w:r>
          </w:p>
          <w:p w14:paraId="508444E7" w14:textId="4BB0335F" w:rsidR="00C87CBC" w:rsidRPr="009748D1" w:rsidRDefault="00C800C2" w:rsidP="00C800C2">
            <w:pPr>
              <w:pStyle w:val="naisf"/>
              <w:spacing w:before="0" w:after="0"/>
              <w:ind w:firstLine="0"/>
              <w:rPr>
                <w:b/>
                <w:sz w:val="28"/>
                <w:szCs w:val="28"/>
              </w:rPr>
            </w:pPr>
            <w:r w:rsidRPr="009748D1">
              <w:rPr>
                <w:color w:val="000000"/>
                <w:sz w:val="28"/>
                <w:szCs w:val="28"/>
              </w:rPr>
              <w:t xml:space="preserve">Noteikumu projekts tiks īstenots Izglītības un zinātnes ministrijas budžeta apakšprogrammā 71.06.00 ,,Eiropas Ekonomikas zonas </w:t>
            </w:r>
            <w:r w:rsidRPr="009748D1">
              <w:rPr>
                <w:color w:val="000000"/>
                <w:sz w:val="28"/>
                <w:szCs w:val="28"/>
              </w:rPr>
              <w:lastRenderedPageBreak/>
              <w:t>un Norvēģijas finanšu instrumentu finansētās programmas īstenošana” piešķirto valsts budžeta līdzekļu ietvaros.</w:t>
            </w:r>
          </w:p>
        </w:tc>
      </w:tr>
    </w:tbl>
    <w:p w14:paraId="23306B5B" w14:textId="1A0A2227" w:rsidR="008028E9" w:rsidRPr="009748D1" w:rsidRDefault="008028E9" w:rsidP="00243AC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5191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"/>
        <w:gridCol w:w="488"/>
        <w:gridCol w:w="1152"/>
        <w:gridCol w:w="1445"/>
        <w:gridCol w:w="906"/>
        <w:gridCol w:w="4737"/>
      </w:tblGrid>
      <w:tr w:rsidR="004A5830" w:rsidRPr="009748D1" w14:paraId="6E688781" w14:textId="77777777" w:rsidTr="00C30058">
        <w:trPr>
          <w:trHeight w:val="375"/>
          <w:tblCellSpacing w:w="15" w:type="dxa"/>
          <w:jc w:val="center"/>
        </w:trPr>
        <w:tc>
          <w:tcPr>
            <w:tcW w:w="9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7961" w14:textId="5F9C54DF" w:rsidR="004A5830" w:rsidRPr="009748D1" w:rsidRDefault="004A5830" w:rsidP="004A5830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FC04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V. Tiesību akta projekta ietekme uz spēkā esošo tiesību normu sistēmu</w:t>
            </w:r>
          </w:p>
        </w:tc>
      </w:tr>
      <w:tr w:rsidR="004A5830" w:rsidRPr="009748D1" w14:paraId="55D04D71" w14:textId="77777777" w:rsidTr="00C30058">
        <w:trPr>
          <w:trHeight w:val="460"/>
          <w:tblCellSpacing w:w="15" w:type="dxa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32F8" w14:textId="0B70E0FB" w:rsidR="004A5830" w:rsidRPr="009748D1" w:rsidRDefault="004A5830" w:rsidP="004A5830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2637" w14:textId="31C4E7D9" w:rsidR="004A5830" w:rsidRPr="009748D1" w:rsidRDefault="004A5830" w:rsidP="004A5830">
            <w:pPr>
              <w:spacing w:before="100" w:beforeAutospacing="1" w:after="100" w:afterAutospacing="1" w:line="240" w:lineRule="auto"/>
              <w:ind w:left="42"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5713" w14:textId="68201DEA" w:rsidR="00A46029" w:rsidRPr="009748D1" w:rsidRDefault="009119BC" w:rsidP="005A48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Noteikumu projekts ir saistīts ar g</w:t>
            </w:r>
            <w:r w:rsidR="004A5830" w:rsidRPr="00FA0485">
              <w:rPr>
                <w:rFonts w:ascii="Times New Roman" w:eastAsia="Times New Roman" w:hAnsi="Times New Roman" w:cs="Times New Roman"/>
                <w:sz w:val="28"/>
                <w:szCs w:val="28"/>
              </w:rPr>
              <w:t>rozījum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iem</w:t>
            </w:r>
            <w:r w:rsidR="004A5830" w:rsidRPr="00FA0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w:t>
            </w:r>
            <w:r w:rsidR="00A46029">
              <w:rPr>
                <w:rFonts w:ascii="Times New Roman" w:eastAsia="Times New Roman" w:hAnsi="Times New Roman" w:cs="Times New Roman"/>
                <w:sz w:val="28"/>
                <w:szCs w:val="28"/>
              </w:rPr>
              <w:t>, kura 7.1.2. apakšpunktā ir noteikts finansējuma apmēr</w:t>
            </w:r>
            <w:r w:rsidR="005A4871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A460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divpusējās sadarbības pasākumiem</w:t>
            </w:r>
            <w:r w:rsidR="005A48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Grozījumi nepieciešami, jo tiek palielināts finansējums, pamatojoties uz </w:t>
            </w:r>
            <w:r w:rsidR="00A46029">
              <w:rPr>
                <w:rFonts w:ascii="Times New Roman" w:eastAsia="Times New Roman" w:hAnsi="Times New Roman" w:cs="Times New Roman"/>
                <w:sz w:val="28"/>
                <w:szCs w:val="28"/>
              </w:rPr>
              <w:t>2014.gada 19.oktobra grozījumiem programmas LV05 “Pētniecība un Stipendijas” īstenošanas līgumā</w:t>
            </w:r>
            <w:r w:rsidR="005A487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5830" w:rsidRPr="009748D1" w14:paraId="1F8A4040" w14:textId="77777777" w:rsidTr="00C30058">
        <w:trPr>
          <w:trHeight w:val="460"/>
          <w:tblCellSpacing w:w="15" w:type="dxa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F972" w14:textId="0473BB3A" w:rsidR="004A5830" w:rsidRPr="009748D1" w:rsidRDefault="004A5830" w:rsidP="004A5830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D5D" w14:textId="48541A26" w:rsidR="004A5830" w:rsidRPr="009748D1" w:rsidRDefault="004A5830" w:rsidP="004A5830">
            <w:pPr>
              <w:spacing w:before="100" w:beforeAutospacing="1" w:after="100" w:afterAutospacing="1" w:line="240" w:lineRule="auto"/>
              <w:ind w:left="42"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Atbildīgā institūcija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D5FD" w14:textId="2D9A9145" w:rsidR="004A5830" w:rsidRPr="009748D1" w:rsidRDefault="004A5830" w:rsidP="004A58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Izglītības un zinātnes ministrija</w:t>
            </w:r>
          </w:p>
        </w:tc>
      </w:tr>
      <w:tr w:rsidR="004A5830" w:rsidRPr="009748D1" w14:paraId="589EF57F" w14:textId="77777777" w:rsidTr="00C30058">
        <w:trPr>
          <w:trHeight w:val="460"/>
          <w:tblCellSpacing w:w="15" w:type="dxa"/>
          <w:jc w:val="center"/>
        </w:trPr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BADE" w14:textId="66E262D4" w:rsidR="004A5830" w:rsidRPr="009748D1" w:rsidRDefault="004A5830" w:rsidP="004A5830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91A" w14:textId="79BE491A" w:rsidR="004A5830" w:rsidRPr="009748D1" w:rsidRDefault="004A5830" w:rsidP="004A5830">
            <w:pPr>
              <w:spacing w:before="100" w:beforeAutospacing="1" w:after="100" w:afterAutospacing="1" w:line="240" w:lineRule="auto"/>
              <w:ind w:left="42" w:firstLine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C040F">
              <w:rPr>
                <w:rFonts w:ascii="Times New Roman" w:eastAsia="Times New Roman" w:hAnsi="Times New Roman" w:cs="Times New Roman"/>
                <w:sz w:val="28"/>
                <w:szCs w:val="28"/>
              </w:rPr>
              <w:t>Cita informācija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9BF6" w14:textId="1DC3D48B" w:rsidR="004A5830" w:rsidRPr="009748D1" w:rsidRDefault="004A5830" w:rsidP="004A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4641" w:rsidRPr="00AA304F" w14:paraId="2E694FF9" w14:textId="77777777" w:rsidTr="00C30058">
        <w:tblPrEx>
          <w:tblCellSpacing w:w="0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864" w14:textId="77777777" w:rsidR="00494641" w:rsidRPr="00AA304F" w:rsidRDefault="00494641" w:rsidP="0019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04F">
              <w:rPr>
                <w:rFonts w:ascii="Times New Roman" w:hAnsi="Times New Roman"/>
                <w:b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494641" w:rsidRPr="00AA304F" w14:paraId="63678319" w14:textId="77777777" w:rsidTr="00C30058">
        <w:tblPrEx>
          <w:tblCellSpacing w:w="0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D6A" w14:textId="77777777" w:rsidR="00494641" w:rsidRPr="00AA304F" w:rsidRDefault="00494641" w:rsidP="0019551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A304F">
              <w:rPr>
                <w:rFonts w:ascii="Times New Roman" w:hAnsi="Times New Roman"/>
                <w:sz w:val="28"/>
                <w:szCs w:val="28"/>
              </w:rPr>
              <w:t>Saistības pret Eiropas Savienību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8BA" w14:textId="59BF81C2" w:rsidR="00494641" w:rsidRPr="00004DEA" w:rsidRDefault="00114BF6" w:rsidP="0019551E">
            <w:pPr>
              <w:pStyle w:val="Default"/>
              <w:ind w:left="57"/>
              <w:jc w:val="both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</w:pPr>
            <w:r w:rsidRPr="00004DEA">
              <w:rPr>
                <w:rFonts w:ascii="Times New Roman" w:hAnsi="Times New Roman"/>
                <w:sz w:val="28"/>
                <w:szCs w:val="28"/>
              </w:rPr>
              <w:t>Noteikumu projekts šo jomu neskar.</w:t>
            </w:r>
          </w:p>
        </w:tc>
      </w:tr>
      <w:tr w:rsidR="00494641" w:rsidRPr="00E91CF4" w14:paraId="006843ED" w14:textId="77777777" w:rsidTr="00C30058">
        <w:tblPrEx>
          <w:tblCellSpacing w:w="0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385" w14:textId="77777777" w:rsidR="00494641" w:rsidRPr="00AA304F" w:rsidRDefault="00494641" w:rsidP="0019551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A304F">
              <w:rPr>
                <w:rFonts w:ascii="Times New Roman" w:hAnsi="Times New Roman"/>
                <w:sz w:val="28"/>
                <w:szCs w:val="28"/>
              </w:rPr>
              <w:t>Citas starptautiskās saistības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3C33" w14:textId="77777777" w:rsidR="00494641" w:rsidRPr="00004DEA" w:rsidRDefault="00494641" w:rsidP="0019551E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DEA">
              <w:rPr>
                <w:rFonts w:ascii="Times New Roman" w:hAnsi="Times New Roman"/>
                <w:sz w:val="28"/>
                <w:szCs w:val="28"/>
              </w:rPr>
              <w:t>Noteikumu projekts šo jomu neskar.</w:t>
            </w:r>
          </w:p>
        </w:tc>
      </w:tr>
      <w:tr w:rsidR="00494641" w:rsidRPr="00AA304F" w14:paraId="6A273C62" w14:textId="77777777" w:rsidTr="00C30058">
        <w:tblPrEx>
          <w:tblCellSpacing w:w="0" w:type="nil"/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94F1" w14:textId="77777777" w:rsidR="00494641" w:rsidRPr="00AA304F" w:rsidRDefault="00494641" w:rsidP="0019551E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A304F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C415" w14:textId="10B76411" w:rsidR="00494641" w:rsidRPr="00004DEA" w:rsidRDefault="008E1B50" w:rsidP="00BD7777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</w:pPr>
            <w:r w:rsidRPr="00004DEA"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  <w:t xml:space="preserve">Noteikumu projekta </w:t>
            </w:r>
            <w:r w:rsidRPr="00004DE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D7777" w:rsidRPr="00004DEA">
              <w:rPr>
                <w:rFonts w:ascii="Times New Roman" w:hAnsi="Times New Roman"/>
                <w:sz w:val="28"/>
                <w:szCs w:val="28"/>
              </w:rPr>
              <w:t xml:space="preserve">punkts </w:t>
            </w:r>
            <w:r w:rsidR="00AB0195" w:rsidRPr="00004DEA">
              <w:rPr>
                <w:rFonts w:ascii="Times New Roman" w:hAnsi="Times New Roman"/>
                <w:sz w:val="28"/>
                <w:szCs w:val="28"/>
              </w:rPr>
              <w:t xml:space="preserve">un 4.punkts </w:t>
            </w:r>
            <w:r w:rsidRPr="00004DEA">
              <w:rPr>
                <w:rFonts w:ascii="Times New Roman" w:hAnsi="Times New Roman"/>
                <w:sz w:val="28"/>
                <w:szCs w:val="28"/>
              </w:rPr>
              <w:t xml:space="preserve">izstrādāts, ņemot vērā </w:t>
            </w:r>
            <w:r w:rsidRPr="00004DEA">
              <w:rPr>
                <w:rFonts w:ascii="Times New Roman" w:hAnsi="Times New Roman" w:cs="Times New Roman"/>
                <w:bCs/>
                <w:noProof/>
                <w:snapToGrid w:val="0"/>
                <w:sz w:val="28"/>
                <w:szCs w:val="28"/>
              </w:rPr>
              <w:t xml:space="preserve">Eiropas Komisijas paziņojums “Nostādnes par valsts atbalstu pētniecībai, izstrādei un inovācijai” (2014/C 198/01) </w:t>
            </w:r>
            <w:r w:rsidRPr="00004DEA">
              <w:rPr>
                <w:rFonts w:ascii="Times New Roman" w:hAnsi="Times New Roman"/>
                <w:sz w:val="28"/>
                <w:szCs w:val="28"/>
              </w:rPr>
              <w:t>19.punktu</w:t>
            </w:r>
            <w:r w:rsidR="00114BF6" w:rsidRPr="00004D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327B" w:rsidRPr="00004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5830" w:rsidRPr="009748D1" w14:paraId="12C70B71" w14:textId="77777777" w:rsidTr="00C30058">
        <w:trPr>
          <w:trHeight w:val="375"/>
          <w:tblCellSpacing w:w="15" w:type="dxa"/>
          <w:jc w:val="center"/>
        </w:trPr>
        <w:tc>
          <w:tcPr>
            <w:tcW w:w="9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33E3B" w14:textId="77777777" w:rsidR="004A5830" w:rsidRPr="009748D1" w:rsidRDefault="004A5830" w:rsidP="004A5830">
            <w:pPr>
              <w:spacing w:before="100" w:beforeAutospacing="1" w:after="100" w:afterAutospacing="1" w:line="240" w:lineRule="auto"/>
              <w:ind w:firstLine="2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4A5830" w:rsidRPr="009748D1" w14:paraId="126971FD" w14:textId="77777777" w:rsidTr="00C30058">
        <w:trPr>
          <w:trHeight w:val="420"/>
          <w:tblCellSpacing w:w="15" w:type="dxa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B5C1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A6CC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B95A" w14:textId="24245E9E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Aģentūra un Izglītības un zinātnes ministrija, kas pilda programmas apsaimniekotāja funkcijas.</w:t>
            </w:r>
          </w:p>
        </w:tc>
      </w:tr>
      <w:tr w:rsidR="004A5830" w:rsidRPr="009748D1" w14:paraId="360A049A" w14:textId="77777777" w:rsidTr="00C30058">
        <w:trPr>
          <w:trHeight w:val="450"/>
          <w:tblCellSpacing w:w="15" w:type="dxa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A48A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33BA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Projekta izpildes ietekme uz pārvaldes funkcijām un institucionālo struktūru.</w:t>
            </w:r>
          </w:p>
          <w:p w14:paraId="30842822" w14:textId="77777777" w:rsidR="004A5830" w:rsidRPr="009748D1" w:rsidRDefault="004A5830" w:rsidP="004A5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77B7" w14:textId="77777777" w:rsidR="004A5830" w:rsidRPr="009748D1" w:rsidRDefault="004A5830" w:rsidP="004A58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Netiek paplašinātas vai sašaurinātas esošo institūciju funkcijas.</w:t>
            </w:r>
          </w:p>
          <w:p w14:paraId="66480CEA" w14:textId="77777777" w:rsidR="004A5830" w:rsidRPr="009748D1" w:rsidRDefault="004A5830" w:rsidP="004A5830">
            <w:pPr>
              <w:pStyle w:val="naisnod"/>
              <w:spacing w:before="0" w:after="0"/>
              <w:ind w:right="57"/>
              <w:jc w:val="both"/>
              <w:rPr>
                <w:rFonts w:eastAsiaTheme="minorEastAsia"/>
                <w:b w:val="0"/>
                <w:bCs w:val="0"/>
                <w:sz w:val="28"/>
                <w:szCs w:val="28"/>
                <w:lang w:eastAsia="zh-CN"/>
              </w:rPr>
            </w:pPr>
          </w:p>
          <w:p w14:paraId="0CCFD839" w14:textId="77777777" w:rsidR="004A5830" w:rsidRPr="009748D1" w:rsidRDefault="004A5830" w:rsidP="004A5830">
            <w:pPr>
              <w:pStyle w:val="naisnod"/>
              <w:spacing w:before="0" w:after="0"/>
              <w:ind w:right="57"/>
              <w:jc w:val="both"/>
              <w:rPr>
                <w:b w:val="0"/>
                <w:sz w:val="28"/>
                <w:szCs w:val="28"/>
              </w:rPr>
            </w:pPr>
          </w:p>
          <w:p w14:paraId="28468FDE" w14:textId="75244DF6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48D1">
              <w:rPr>
                <w:rFonts w:ascii="Times New Roman" w:hAnsi="Times New Roman" w:cs="Times New Roman"/>
                <w:sz w:val="28"/>
                <w:szCs w:val="28"/>
              </w:rPr>
              <w:t>Programmas īstenošanu nodrošinās jau esošās institūcijas un jaunas netiks veidotas, tāpat programmas īstenošana tiks nodrošināta institūciju esošo cilvēkresursu ietvaros.</w:t>
            </w:r>
          </w:p>
        </w:tc>
      </w:tr>
      <w:tr w:rsidR="004A5830" w:rsidRPr="009748D1" w14:paraId="7DA52D47" w14:textId="77777777" w:rsidTr="00C30058">
        <w:trPr>
          <w:trHeight w:val="390"/>
          <w:tblCellSpacing w:w="15" w:type="dxa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054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6BD4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582A" w14:textId="77777777" w:rsidR="004A5830" w:rsidRPr="009748D1" w:rsidRDefault="004A5830" w:rsidP="004A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748D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</w:p>
        </w:tc>
      </w:tr>
    </w:tbl>
    <w:p w14:paraId="44C6FDD2" w14:textId="77777777" w:rsidR="00A974AB" w:rsidRPr="009748D1" w:rsidRDefault="00A974AB" w:rsidP="00243AC6">
      <w:pPr>
        <w:tabs>
          <w:tab w:val="righ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104330A" w14:textId="4BE12F2F" w:rsidR="00715C97" w:rsidRPr="009748D1" w:rsidRDefault="00536DD5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Anotācijas VI sadaļa – noteikumu projekts šīs jomas</w:t>
      </w:r>
      <w:r w:rsidR="00D43F28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neskar.</w:t>
      </w:r>
      <w:r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</w:p>
    <w:p w14:paraId="4E622D6C" w14:textId="77777777" w:rsidR="00F80735" w:rsidRPr="009748D1" w:rsidRDefault="00F80735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527C4E0C" w14:textId="5A2E9F20" w:rsidR="00DB0A2A" w:rsidRPr="009748D1" w:rsidRDefault="00DB0A2A" w:rsidP="00DB0A2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Izglīt</w:t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ības un zinātnes ministr</w:t>
      </w:r>
      <w:r w:rsidR="007577A2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</w:t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r w:rsidR="00542445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ab/>
      </w:r>
      <w:proofErr w:type="spellStart"/>
      <w:r w:rsidR="007577A2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K.Šadurskis</w:t>
      </w:r>
      <w:proofErr w:type="spellEnd"/>
    </w:p>
    <w:p w14:paraId="05CAF11D" w14:textId="77777777" w:rsidR="00DB0A2A" w:rsidRPr="009748D1" w:rsidRDefault="00DB0A2A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6BE001A" w14:textId="77777777" w:rsidR="00DB0A2A" w:rsidRPr="009748D1" w:rsidRDefault="00DB0A2A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2D755559" w14:textId="77777777" w:rsidR="0084732B" w:rsidRPr="009748D1" w:rsidRDefault="00DD33CB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Vizē</w:t>
      </w:r>
      <w:r w:rsidR="0084732B" w:rsidRPr="009748D1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:</w:t>
      </w:r>
    </w:p>
    <w:p w14:paraId="59AE2C9F" w14:textId="5E9E6133" w:rsidR="004C459B" w:rsidRPr="009748D1" w:rsidRDefault="004C459B" w:rsidP="00243AC6">
      <w:pPr>
        <w:pStyle w:val="CommentText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748D1">
        <w:rPr>
          <w:rFonts w:ascii="Times New Roman" w:hAnsi="Times New Roman" w:cs="Times New Roman"/>
          <w:sz w:val="28"/>
          <w:szCs w:val="28"/>
        </w:rPr>
        <w:t>Valsts sekretār</w:t>
      </w:r>
      <w:r w:rsidR="008E4DA5" w:rsidRPr="009748D1">
        <w:rPr>
          <w:rFonts w:ascii="Times New Roman" w:hAnsi="Times New Roman" w:cs="Times New Roman"/>
          <w:sz w:val="28"/>
          <w:szCs w:val="28"/>
        </w:rPr>
        <w:t>e</w:t>
      </w:r>
      <w:r w:rsidRPr="009748D1">
        <w:rPr>
          <w:rFonts w:ascii="Times New Roman" w:hAnsi="Times New Roman" w:cs="Times New Roman"/>
          <w:sz w:val="28"/>
          <w:szCs w:val="28"/>
        </w:rPr>
        <w:t xml:space="preserve"> </w:t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r w:rsidR="008E4DA5" w:rsidRPr="009748D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E4DA5" w:rsidRPr="009748D1">
        <w:rPr>
          <w:rFonts w:ascii="Times New Roman" w:hAnsi="Times New Roman" w:cs="Times New Roman"/>
          <w:sz w:val="28"/>
          <w:szCs w:val="28"/>
        </w:rPr>
        <w:t>L.Lejiņa</w:t>
      </w:r>
      <w:proofErr w:type="spellEnd"/>
    </w:p>
    <w:p w14:paraId="5991CFFE" w14:textId="77777777" w:rsidR="005434C4" w:rsidRPr="009748D1" w:rsidRDefault="005434C4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9E51984" w14:textId="77777777" w:rsidR="005434C4" w:rsidRDefault="005434C4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ADBFF16" w14:textId="77777777" w:rsidR="004A5830" w:rsidRDefault="004A5830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4D5F21F" w14:textId="77777777" w:rsidR="004A5830" w:rsidRDefault="004A5830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EB63DF1" w14:textId="77777777" w:rsidR="004A5830" w:rsidRDefault="004A5830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6073269B" w14:textId="77777777" w:rsidR="004A5830" w:rsidRPr="009748D1" w:rsidRDefault="004A5830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510B969" w14:textId="77777777" w:rsidR="005434C4" w:rsidRPr="008D1C00" w:rsidRDefault="005434C4" w:rsidP="00243AC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</w:pPr>
    </w:p>
    <w:p w14:paraId="0957FFCB" w14:textId="1B7C5BA1" w:rsidR="0084732B" w:rsidRPr="008D1C00" w:rsidRDefault="00726194" w:rsidP="00243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lv-LV"/>
        </w:rPr>
        <w:t>29.11.2016. 16:35</w:t>
      </w:r>
    </w:p>
    <w:p w14:paraId="65FA0874" w14:textId="25F76513" w:rsidR="00A974AB" w:rsidRDefault="00A177C3" w:rsidP="00243A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1355</w:t>
      </w:r>
    </w:p>
    <w:p w14:paraId="7056868A" w14:textId="4FD14085" w:rsidR="00542445" w:rsidRPr="008D1C00" w:rsidRDefault="007577A2" w:rsidP="005424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8D1C00">
        <w:rPr>
          <w:rFonts w:ascii="Times New Roman" w:hAnsi="Times New Roman" w:cs="Times New Roman"/>
          <w:sz w:val="20"/>
          <w:szCs w:val="20"/>
        </w:rPr>
        <w:t>A.Andžāne</w:t>
      </w:r>
      <w:proofErr w:type="spellEnd"/>
    </w:p>
    <w:p w14:paraId="432B58FE" w14:textId="31FF78BF" w:rsidR="00542445" w:rsidRPr="008D1C00" w:rsidRDefault="00542445" w:rsidP="00243A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1C00">
        <w:rPr>
          <w:rFonts w:ascii="Times New Roman" w:hAnsi="Times New Roman" w:cs="Times New Roman"/>
          <w:sz w:val="20"/>
          <w:szCs w:val="20"/>
        </w:rPr>
        <w:t>67047</w:t>
      </w:r>
      <w:r w:rsidR="007577A2" w:rsidRPr="008D1C00">
        <w:rPr>
          <w:rFonts w:ascii="Times New Roman" w:hAnsi="Times New Roman" w:cs="Times New Roman"/>
          <w:sz w:val="20"/>
          <w:szCs w:val="20"/>
        </w:rPr>
        <w:t>979</w:t>
      </w:r>
      <w:r w:rsidRPr="008D1C00">
        <w:rPr>
          <w:rFonts w:ascii="Times New Roman" w:hAnsi="Times New Roman" w:cs="Times New Roman"/>
          <w:sz w:val="20"/>
          <w:szCs w:val="20"/>
        </w:rPr>
        <w:t>,</w:t>
      </w:r>
      <w:r w:rsidR="007577A2" w:rsidRPr="008D1C00">
        <w:rPr>
          <w:rFonts w:ascii="Times New Roman" w:hAnsi="Times New Roman" w:cs="Times New Roman"/>
          <w:sz w:val="20"/>
          <w:szCs w:val="20"/>
        </w:rPr>
        <w:t xml:space="preserve"> agnese.andzane@</w:t>
      </w:r>
      <w:r w:rsidR="00AD751C">
        <w:rPr>
          <w:rFonts w:ascii="Times New Roman" w:hAnsi="Times New Roman" w:cs="Times New Roman"/>
          <w:sz w:val="20"/>
          <w:szCs w:val="20"/>
        </w:rPr>
        <w:t>izm.gov.lv</w:t>
      </w:r>
    </w:p>
    <w:sectPr w:rsidR="00542445" w:rsidRPr="008D1C00" w:rsidSect="00E21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D806C" w14:textId="77777777" w:rsidR="0085261A" w:rsidRDefault="0085261A" w:rsidP="00E210A9">
      <w:pPr>
        <w:spacing w:after="0" w:line="240" w:lineRule="auto"/>
      </w:pPr>
      <w:r>
        <w:separator/>
      </w:r>
    </w:p>
  </w:endnote>
  <w:endnote w:type="continuationSeparator" w:id="0">
    <w:p w14:paraId="4D4A453B" w14:textId="77777777" w:rsidR="0085261A" w:rsidRDefault="0085261A" w:rsidP="00E2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977C5" w14:textId="057E2B70" w:rsidR="004253F3" w:rsidRPr="00417C04" w:rsidRDefault="00BA52A9" w:rsidP="00DF25D5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4F0273">
      <w:rPr>
        <w:rFonts w:ascii="Times New Roman" w:hAnsi="Times New Roman" w:cs="Times New Roman"/>
        <w:sz w:val="20"/>
        <w:szCs w:val="20"/>
      </w:rPr>
      <w:t>IZMAnot_</w:t>
    </w:r>
    <w:r w:rsidR="009A02A9">
      <w:rPr>
        <w:rFonts w:ascii="Times New Roman" w:hAnsi="Times New Roman" w:cs="Times New Roman"/>
        <w:sz w:val="20"/>
        <w:szCs w:val="20"/>
      </w:rPr>
      <w:t>2</w:t>
    </w:r>
    <w:r w:rsidR="008E1B50">
      <w:rPr>
        <w:rFonts w:ascii="Times New Roman" w:hAnsi="Times New Roman" w:cs="Times New Roman"/>
        <w:sz w:val="20"/>
        <w:szCs w:val="20"/>
      </w:rPr>
      <w:t>9</w:t>
    </w:r>
    <w:r w:rsidR="009119BC">
      <w:rPr>
        <w:rFonts w:ascii="Times New Roman" w:hAnsi="Times New Roman" w:cs="Times New Roman"/>
        <w:sz w:val="20"/>
        <w:szCs w:val="20"/>
      </w:rPr>
      <w:t>11</w:t>
    </w:r>
    <w:r w:rsidR="00DE1AE8">
      <w:rPr>
        <w:rFonts w:ascii="Times New Roman" w:hAnsi="Times New Roman" w:cs="Times New Roman"/>
        <w:sz w:val="20"/>
        <w:szCs w:val="20"/>
      </w:rPr>
      <w:t>16</w:t>
    </w:r>
    <w:r w:rsidR="00F80735" w:rsidRPr="004F0273">
      <w:rPr>
        <w:rFonts w:ascii="Times New Roman" w:hAnsi="Times New Roman" w:cs="Times New Roman"/>
        <w:sz w:val="20"/>
        <w:szCs w:val="20"/>
      </w:rPr>
      <w:t>_</w:t>
    </w:r>
    <w:r w:rsidR="00B17861">
      <w:rPr>
        <w:rFonts w:ascii="Times New Roman" w:hAnsi="Times New Roman" w:cs="Times New Roman"/>
        <w:sz w:val="20"/>
        <w:szCs w:val="20"/>
      </w:rPr>
      <w:t>g</w:t>
    </w:r>
    <w:r w:rsidR="00F80735" w:rsidRPr="004F0273">
      <w:rPr>
        <w:rFonts w:ascii="Times New Roman" w:hAnsi="Times New Roman" w:cs="Times New Roman"/>
        <w:sz w:val="20"/>
        <w:szCs w:val="20"/>
      </w:rPr>
      <w:t>roz324; Ministru kabineta noteikumu projekta “Grozījum</w:t>
    </w:r>
    <w:r w:rsidR="00A07216">
      <w:rPr>
        <w:rFonts w:ascii="Times New Roman" w:hAnsi="Times New Roman" w:cs="Times New Roman"/>
        <w:sz w:val="20"/>
        <w:szCs w:val="20"/>
      </w:rPr>
      <w:t>i</w:t>
    </w:r>
    <w:r w:rsidR="00F80735" w:rsidRPr="004F0273">
      <w:rPr>
        <w:rFonts w:ascii="Times New Roman" w:hAnsi="Times New Roman" w:cs="Times New Roman"/>
        <w:sz w:val="20"/>
        <w:szCs w:val="20"/>
      </w:rPr>
      <w:t xml:space="preserve"> Ministru kabineta 2014.gada 17.jūnija noteikumos Nr.324 “</w:t>
    </w:r>
    <w:r w:rsidR="00F80735" w:rsidRPr="004F0273">
      <w:rPr>
        <w:rFonts w:ascii="Times New Roman" w:hAnsi="Times New Roman" w:cs="Times New Roman"/>
        <w:bCs/>
        <w:sz w:val="20"/>
        <w:szCs w:val="20"/>
      </w:rPr>
      <w:t>Eiropas Ekonomikas zonas finanšu instrumenta un Norvēģijas finanšu instrumenta 2009.–2014.gada perioda programmas "Pētniecība un stipendijas" aktivitātes "Pētniecība" projektu iesniegumu atklāta konkursa nolikums””</w:t>
    </w:r>
    <w:r w:rsidR="00F80735" w:rsidRPr="004F0273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613C" w14:textId="0587F9A5" w:rsidR="004253F3" w:rsidRPr="004F0273" w:rsidRDefault="004253F3" w:rsidP="00C50BE6">
    <w:pPr>
      <w:spacing w:line="240" w:lineRule="auto"/>
      <w:jc w:val="both"/>
      <w:rPr>
        <w:rFonts w:ascii="Times New Roman" w:hAnsi="Times New Roman" w:cs="Times New Roman"/>
        <w:sz w:val="20"/>
        <w:szCs w:val="20"/>
      </w:rPr>
    </w:pPr>
    <w:r w:rsidRPr="004F0273">
      <w:rPr>
        <w:rFonts w:ascii="Times New Roman" w:hAnsi="Times New Roman" w:cs="Times New Roman"/>
        <w:sz w:val="20"/>
        <w:szCs w:val="20"/>
      </w:rPr>
      <w:t>IZMAnot_</w:t>
    </w:r>
    <w:r w:rsidR="00A75540">
      <w:rPr>
        <w:rFonts w:ascii="Times New Roman" w:hAnsi="Times New Roman" w:cs="Times New Roman"/>
        <w:sz w:val="20"/>
        <w:szCs w:val="20"/>
      </w:rPr>
      <w:t>2</w:t>
    </w:r>
    <w:r w:rsidR="008E1B50">
      <w:rPr>
        <w:rFonts w:ascii="Times New Roman" w:hAnsi="Times New Roman" w:cs="Times New Roman"/>
        <w:sz w:val="20"/>
        <w:szCs w:val="20"/>
      </w:rPr>
      <w:t>9</w:t>
    </w:r>
    <w:r w:rsidR="009A02A9">
      <w:rPr>
        <w:rFonts w:ascii="Times New Roman" w:hAnsi="Times New Roman" w:cs="Times New Roman"/>
        <w:sz w:val="20"/>
        <w:szCs w:val="20"/>
      </w:rPr>
      <w:t>11</w:t>
    </w:r>
    <w:r w:rsidR="00E01113">
      <w:rPr>
        <w:rFonts w:ascii="Times New Roman" w:hAnsi="Times New Roman" w:cs="Times New Roman"/>
        <w:sz w:val="20"/>
        <w:szCs w:val="20"/>
      </w:rPr>
      <w:t>16</w:t>
    </w:r>
    <w:r w:rsidR="00B17861">
      <w:rPr>
        <w:rFonts w:ascii="Times New Roman" w:hAnsi="Times New Roman" w:cs="Times New Roman"/>
        <w:sz w:val="20"/>
        <w:szCs w:val="20"/>
      </w:rPr>
      <w:t>_g</w:t>
    </w:r>
    <w:r w:rsidR="00C50BE6" w:rsidRPr="004F0273">
      <w:rPr>
        <w:rFonts w:ascii="Times New Roman" w:hAnsi="Times New Roman" w:cs="Times New Roman"/>
        <w:sz w:val="20"/>
        <w:szCs w:val="20"/>
      </w:rPr>
      <w:t>roz</w:t>
    </w:r>
    <w:r w:rsidR="001D71F3" w:rsidRPr="004F0273">
      <w:rPr>
        <w:rFonts w:ascii="Times New Roman" w:hAnsi="Times New Roman" w:cs="Times New Roman"/>
        <w:sz w:val="20"/>
        <w:szCs w:val="20"/>
      </w:rPr>
      <w:t>324</w:t>
    </w:r>
    <w:r w:rsidRPr="004F0273">
      <w:rPr>
        <w:rFonts w:ascii="Times New Roman" w:hAnsi="Times New Roman" w:cs="Times New Roman"/>
        <w:sz w:val="20"/>
        <w:szCs w:val="20"/>
      </w:rPr>
      <w:t xml:space="preserve">; </w:t>
    </w:r>
    <w:r w:rsidR="00C50BE6" w:rsidRPr="004F0273">
      <w:rPr>
        <w:rFonts w:ascii="Times New Roman" w:hAnsi="Times New Roman" w:cs="Times New Roman"/>
        <w:sz w:val="20"/>
        <w:szCs w:val="20"/>
      </w:rPr>
      <w:t>Ministru kabineta noteikumu projekta “</w:t>
    </w:r>
    <w:r w:rsidR="002C0F7A" w:rsidRPr="004F0273">
      <w:rPr>
        <w:rFonts w:ascii="Times New Roman" w:hAnsi="Times New Roman" w:cs="Times New Roman"/>
        <w:sz w:val="20"/>
        <w:szCs w:val="20"/>
      </w:rPr>
      <w:t>Grozījum</w:t>
    </w:r>
    <w:r w:rsidR="00A07216">
      <w:rPr>
        <w:rFonts w:ascii="Times New Roman" w:hAnsi="Times New Roman" w:cs="Times New Roman"/>
        <w:sz w:val="20"/>
        <w:szCs w:val="20"/>
      </w:rPr>
      <w:t>i</w:t>
    </w:r>
    <w:r w:rsidR="002C0F7A" w:rsidRPr="004F0273">
      <w:rPr>
        <w:rFonts w:ascii="Times New Roman" w:hAnsi="Times New Roman" w:cs="Times New Roman"/>
        <w:sz w:val="20"/>
        <w:szCs w:val="20"/>
      </w:rPr>
      <w:t xml:space="preserve"> Ministru kabineta 2014.gada 17.jūnija noteikumos Nr.324 “</w:t>
    </w:r>
    <w:r w:rsidR="002C0F7A" w:rsidRPr="004F0273">
      <w:rPr>
        <w:rFonts w:ascii="Times New Roman" w:hAnsi="Times New Roman" w:cs="Times New Roman"/>
        <w:bCs/>
        <w:sz w:val="20"/>
        <w:szCs w:val="20"/>
      </w:rPr>
      <w:t>Eiropas Ekonomikas zonas finanšu instrumenta un Norvēģijas finanšu instrumenta 2009.–2014.gada perioda programmas "Pētniecība un stipendijas" aktivitātes "Pētniecība" projektu iesniegumu atklāta konkursa nolikums”</w:t>
    </w:r>
    <w:r w:rsidR="00C50BE6" w:rsidRPr="004F0273">
      <w:rPr>
        <w:rFonts w:ascii="Times New Roman" w:hAnsi="Times New Roman" w:cs="Times New Roman"/>
        <w:bCs/>
        <w:sz w:val="20"/>
        <w:szCs w:val="20"/>
      </w:rPr>
      <w:t>”</w:t>
    </w:r>
    <w:r w:rsidR="00C50BE6" w:rsidRPr="004F0273">
      <w:rPr>
        <w:rFonts w:ascii="Times New Roman" w:hAnsi="Times New Roman" w:cs="Times New Roman"/>
        <w:sz w:val="20"/>
        <w:szCs w:val="20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C5E9B" w14:textId="77777777" w:rsidR="0085261A" w:rsidRDefault="0085261A" w:rsidP="00E210A9">
      <w:pPr>
        <w:spacing w:after="0" w:line="240" w:lineRule="auto"/>
      </w:pPr>
      <w:r>
        <w:separator/>
      </w:r>
    </w:p>
  </w:footnote>
  <w:footnote w:type="continuationSeparator" w:id="0">
    <w:p w14:paraId="2FA885CA" w14:textId="77777777" w:rsidR="0085261A" w:rsidRDefault="0085261A" w:rsidP="00E2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2273"/>
      <w:docPartObj>
        <w:docPartGallery w:val="Page Numbers (Top of Page)"/>
        <w:docPartUnique/>
      </w:docPartObj>
    </w:sdtPr>
    <w:sdtEndPr/>
    <w:sdtContent>
      <w:p w14:paraId="2920ED5F" w14:textId="77777777" w:rsidR="004253F3" w:rsidRDefault="002F0290">
        <w:pPr>
          <w:pStyle w:val="Header"/>
          <w:jc w:val="center"/>
        </w:pPr>
        <w:r w:rsidRPr="00E210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253F3" w:rsidRPr="00E210A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10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77C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210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F3F1D71" w14:textId="77777777" w:rsidR="004253F3" w:rsidRDefault="004253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7CA1" w14:textId="77777777" w:rsidR="004253F3" w:rsidRDefault="004253F3">
    <w:pPr>
      <w:pStyle w:val="Header"/>
      <w:jc w:val="center"/>
    </w:pPr>
  </w:p>
  <w:p w14:paraId="2C080E45" w14:textId="77777777" w:rsidR="004253F3" w:rsidRDefault="004253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A46E5"/>
    <w:multiLevelType w:val="hybridMultilevel"/>
    <w:tmpl w:val="BE22935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0AA3"/>
    <w:multiLevelType w:val="hybridMultilevel"/>
    <w:tmpl w:val="B268E8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155A2"/>
    <w:multiLevelType w:val="hybridMultilevel"/>
    <w:tmpl w:val="77BAA9D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2675"/>
    <w:multiLevelType w:val="hybridMultilevel"/>
    <w:tmpl w:val="60CAB38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A576A"/>
    <w:multiLevelType w:val="hybridMultilevel"/>
    <w:tmpl w:val="70EEF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E0C88"/>
    <w:multiLevelType w:val="hybridMultilevel"/>
    <w:tmpl w:val="5DF86FAA"/>
    <w:lvl w:ilvl="0" w:tplc="E3C6C9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66A8"/>
    <w:multiLevelType w:val="hybridMultilevel"/>
    <w:tmpl w:val="259415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9"/>
    <w:rsid w:val="00003F93"/>
    <w:rsid w:val="00004DEA"/>
    <w:rsid w:val="0000798D"/>
    <w:rsid w:val="00010442"/>
    <w:rsid w:val="00011730"/>
    <w:rsid w:val="00014451"/>
    <w:rsid w:val="00014DA6"/>
    <w:rsid w:val="00027FBF"/>
    <w:rsid w:val="000310EC"/>
    <w:rsid w:val="00032545"/>
    <w:rsid w:val="00037868"/>
    <w:rsid w:val="00041EB2"/>
    <w:rsid w:val="00052DFE"/>
    <w:rsid w:val="00055134"/>
    <w:rsid w:val="00057961"/>
    <w:rsid w:val="00061B25"/>
    <w:rsid w:val="000631DD"/>
    <w:rsid w:val="00064CCE"/>
    <w:rsid w:val="00074E06"/>
    <w:rsid w:val="000803A1"/>
    <w:rsid w:val="000905C8"/>
    <w:rsid w:val="00093660"/>
    <w:rsid w:val="000A1AC6"/>
    <w:rsid w:val="000A2602"/>
    <w:rsid w:val="000A33F1"/>
    <w:rsid w:val="000A4AB8"/>
    <w:rsid w:val="000A5B78"/>
    <w:rsid w:val="000B0FB3"/>
    <w:rsid w:val="000B1233"/>
    <w:rsid w:val="000B1633"/>
    <w:rsid w:val="000B2083"/>
    <w:rsid w:val="000B6B80"/>
    <w:rsid w:val="000B7289"/>
    <w:rsid w:val="000B7BD8"/>
    <w:rsid w:val="000B7D91"/>
    <w:rsid w:val="000C0CEB"/>
    <w:rsid w:val="000C2055"/>
    <w:rsid w:val="000C6F48"/>
    <w:rsid w:val="000D19A2"/>
    <w:rsid w:val="000D596D"/>
    <w:rsid w:val="000E0C2B"/>
    <w:rsid w:val="000E2F51"/>
    <w:rsid w:val="000E3635"/>
    <w:rsid w:val="000E4FCB"/>
    <w:rsid w:val="000E770F"/>
    <w:rsid w:val="000F10AA"/>
    <w:rsid w:val="000F12C2"/>
    <w:rsid w:val="000F154C"/>
    <w:rsid w:val="000F5600"/>
    <w:rsid w:val="00102B77"/>
    <w:rsid w:val="001034CE"/>
    <w:rsid w:val="001059D4"/>
    <w:rsid w:val="00106603"/>
    <w:rsid w:val="00110B47"/>
    <w:rsid w:val="00114BF6"/>
    <w:rsid w:val="00114E03"/>
    <w:rsid w:val="00122D85"/>
    <w:rsid w:val="00126B0E"/>
    <w:rsid w:val="00126C45"/>
    <w:rsid w:val="00135651"/>
    <w:rsid w:val="001402C4"/>
    <w:rsid w:val="00143F6C"/>
    <w:rsid w:val="0014639B"/>
    <w:rsid w:val="0014721A"/>
    <w:rsid w:val="00151EF4"/>
    <w:rsid w:val="00161546"/>
    <w:rsid w:val="00162122"/>
    <w:rsid w:val="00163612"/>
    <w:rsid w:val="00165ED9"/>
    <w:rsid w:val="00176269"/>
    <w:rsid w:val="00180AA2"/>
    <w:rsid w:val="001813B8"/>
    <w:rsid w:val="00182001"/>
    <w:rsid w:val="00187A49"/>
    <w:rsid w:val="0019028C"/>
    <w:rsid w:val="00193B4C"/>
    <w:rsid w:val="001A59E8"/>
    <w:rsid w:val="001C59EA"/>
    <w:rsid w:val="001D5600"/>
    <w:rsid w:val="001D71F3"/>
    <w:rsid w:val="001E0C26"/>
    <w:rsid w:val="001E2D70"/>
    <w:rsid w:val="001E57A1"/>
    <w:rsid w:val="001F1726"/>
    <w:rsid w:val="001F3390"/>
    <w:rsid w:val="0020384F"/>
    <w:rsid w:val="002054F8"/>
    <w:rsid w:val="00206E54"/>
    <w:rsid w:val="00210AA3"/>
    <w:rsid w:val="002137A2"/>
    <w:rsid w:val="002142B5"/>
    <w:rsid w:val="002168EB"/>
    <w:rsid w:val="0022118C"/>
    <w:rsid w:val="00221BCA"/>
    <w:rsid w:val="00224C79"/>
    <w:rsid w:val="00226F4B"/>
    <w:rsid w:val="0023068C"/>
    <w:rsid w:val="00230EFC"/>
    <w:rsid w:val="002318DB"/>
    <w:rsid w:val="00243357"/>
    <w:rsid w:val="00243AC6"/>
    <w:rsid w:val="00243E29"/>
    <w:rsid w:val="00245201"/>
    <w:rsid w:val="00250637"/>
    <w:rsid w:val="00251574"/>
    <w:rsid w:val="00252644"/>
    <w:rsid w:val="002542D4"/>
    <w:rsid w:val="002555E4"/>
    <w:rsid w:val="0025582C"/>
    <w:rsid w:val="0026270B"/>
    <w:rsid w:val="00262830"/>
    <w:rsid w:val="0026295A"/>
    <w:rsid w:val="00263F57"/>
    <w:rsid w:val="00264FA2"/>
    <w:rsid w:val="002679E1"/>
    <w:rsid w:val="00270052"/>
    <w:rsid w:val="002748F0"/>
    <w:rsid w:val="0027774C"/>
    <w:rsid w:val="00277779"/>
    <w:rsid w:val="00280508"/>
    <w:rsid w:val="00281748"/>
    <w:rsid w:val="002876E2"/>
    <w:rsid w:val="00290769"/>
    <w:rsid w:val="002938E4"/>
    <w:rsid w:val="0029461F"/>
    <w:rsid w:val="00294E9B"/>
    <w:rsid w:val="002970DE"/>
    <w:rsid w:val="002A023E"/>
    <w:rsid w:val="002A327B"/>
    <w:rsid w:val="002A4E2B"/>
    <w:rsid w:val="002A5DDF"/>
    <w:rsid w:val="002A661B"/>
    <w:rsid w:val="002B37C7"/>
    <w:rsid w:val="002B46D5"/>
    <w:rsid w:val="002B49B7"/>
    <w:rsid w:val="002C0F7A"/>
    <w:rsid w:val="002C1A20"/>
    <w:rsid w:val="002C2BC1"/>
    <w:rsid w:val="002C75A2"/>
    <w:rsid w:val="002C7845"/>
    <w:rsid w:val="002D0625"/>
    <w:rsid w:val="002D2F51"/>
    <w:rsid w:val="002D5230"/>
    <w:rsid w:val="002D67FB"/>
    <w:rsid w:val="002D691C"/>
    <w:rsid w:val="002D788C"/>
    <w:rsid w:val="002E18F2"/>
    <w:rsid w:val="002F0290"/>
    <w:rsid w:val="002F1C36"/>
    <w:rsid w:val="002F3359"/>
    <w:rsid w:val="002F3532"/>
    <w:rsid w:val="00301B06"/>
    <w:rsid w:val="00303813"/>
    <w:rsid w:val="00303CA8"/>
    <w:rsid w:val="00304684"/>
    <w:rsid w:val="00307798"/>
    <w:rsid w:val="0031533B"/>
    <w:rsid w:val="00316DF7"/>
    <w:rsid w:val="00320B62"/>
    <w:rsid w:val="00327FFB"/>
    <w:rsid w:val="0033107E"/>
    <w:rsid w:val="00334AD8"/>
    <w:rsid w:val="00335DFE"/>
    <w:rsid w:val="00344F95"/>
    <w:rsid w:val="003536F5"/>
    <w:rsid w:val="0035551C"/>
    <w:rsid w:val="00360307"/>
    <w:rsid w:val="00361B87"/>
    <w:rsid w:val="00365266"/>
    <w:rsid w:val="00371ECE"/>
    <w:rsid w:val="00376F12"/>
    <w:rsid w:val="0038041A"/>
    <w:rsid w:val="00385DA9"/>
    <w:rsid w:val="0038706E"/>
    <w:rsid w:val="00390432"/>
    <w:rsid w:val="003A3233"/>
    <w:rsid w:val="003A367F"/>
    <w:rsid w:val="003A6034"/>
    <w:rsid w:val="003A6202"/>
    <w:rsid w:val="003B246C"/>
    <w:rsid w:val="003B5151"/>
    <w:rsid w:val="003B56CC"/>
    <w:rsid w:val="003B65BB"/>
    <w:rsid w:val="003C07BF"/>
    <w:rsid w:val="003C1B1F"/>
    <w:rsid w:val="003C2AC7"/>
    <w:rsid w:val="003C3FC5"/>
    <w:rsid w:val="003D0B3D"/>
    <w:rsid w:val="003D3A14"/>
    <w:rsid w:val="003D4A2B"/>
    <w:rsid w:val="003E2EF8"/>
    <w:rsid w:val="003E4327"/>
    <w:rsid w:val="003E45FB"/>
    <w:rsid w:val="003E74F1"/>
    <w:rsid w:val="003F31B6"/>
    <w:rsid w:val="003F548C"/>
    <w:rsid w:val="003F5602"/>
    <w:rsid w:val="0040192A"/>
    <w:rsid w:val="00401F8D"/>
    <w:rsid w:val="00407358"/>
    <w:rsid w:val="004112F6"/>
    <w:rsid w:val="0041205D"/>
    <w:rsid w:val="0041243C"/>
    <w:rsid w:val="0041248F"/>
    <w:rsid w:val="00416F27"/>
    <w:rsid w:val="00417C04"/>
    <w:rsid w:val="00417E2B"/>
    <w:rsid w:val="004232D7"/>
    <w:rsid w:val="0042492F"/>
    <w:rsid w:val="004253F3"/>
    <w:rsid w:val="00425E43"/>
    <w:rsid w:val="00430506"/>
    <w:rsid w:val="00432E9B"/>
    <w:rsid w:val="00432EB4"/>
    <w:rsid w:val="00436D10"/>
    <w:rsid w:val="00436E22"/>
    <w:rsid w:val="0044391E"/>
    <w:rsid w:val="0044585E"/>
    <w:rsid w:val="0044728D"/>
    <w:rsid w:val="00456EC4"/>
    <w:rsid w:val="00460376"/>
    <w:rsid w:val="00460B62"/>
    <w:rsid w:val="00463DD9"/>
    <w:rsid w:val="00466CBF"/>
    <w:rsid w:val="00470278"/>
    <w:rsid w:val="00480742"/>
    <w:rsid w:val="00482AD3"/>
    <w:rsid w:val="00482C4F"/>
    <w:rsid w:val="004850F5"/>
    <w:rsid w:val="0049217A"/>
    <w:rsid w:val="00494641"/>
    <w:rsid w:val="00497CE3"/>
    <w:rsid w:val="004A2449"/>
    <w:rsid w:val="004A510B"/>
    <w:rsid w:val="004A5830"/>
    <w:rsid w:val="004A6501"/>
    <w:rsid w:val="004A78AC"/>
    <w:rsid w:val="004B51B2"/>
    <w:rsid w:val="004B5DA4"/>
    <w:rsid w:val="004C2027"/>
    <w:rsid w:val="004C459B"/>
    <w:rsid w:val="004D0C4C"/>
    <w:rsid w:val="004D11DF"/>
    <w:rsid w:val="004E1C92"/>
    <w:rsid w:val="004E3FBD"/>
    <w:rsid w:val="004F0273"/>
    <w:rsid w:val="004F325C"/>
    <w:rsid w:val="004F32C6"/>
    <w:rsid w:val="004F75CF"/>
    <w:rsid w:val="00500AD0"/>
    <w:rsid w:val="0050112B"/>
    <w:rsid w:val="0050332F"/>
    <w:rsid w:val="00520E5D"/>
    <w:rsid w:val="0052344D"/>
    <w:rsid w:val="00525535"/>
    <w:rsid w:val="00526BB3"/>
    <w:rsid w:val="00531388"/>
    <w:rsid w:val="00536DD5"/>
    <w:rsid w:val="00542445"/>
    <w:rsid w:val="0054277A"/>
    <w:rsid w:val="005434C4"/>
    <w:rsid w:val="005472E6"/>
    <w:rsid w:val="00550D98"/>
    <w:rsid w:val="00551FCA"/>
    <w:rsid w:val="00555190"/>
    <w:rsid w:val="00560339"/>
    <w:rsid w:val="00560870"/>
    <w:rsid w:val="005642DA"/>
    <w:rsid w:val="00576C33"/>
    <w:rsid w:val="00577D9D"/>
    <w:rsid w:val="00580CFC"/>
    <w:rsid w:val="00587676"/>
    <w:rsid w:val="00587DE2"/>
    <w:rsid w:val="0059209A"/>
    <w:rsid w:val="00593512"/>
    <w:rsid w:val="0059399E"/>
    <w:rsid w:val="00594113"/>
    <w:rsid w:val="005A4380"/>
    <w:rsid w:val="005A4871"/>
    <w:rsid w:val="005A4AF4"/>
    <w:rsid w:val="005B4BA2"/>
    <w:rsid w:val="005B67CB"/>
    <w:rsid w:val="005B70C4"/>
    <w:rsid w:val="005C6C54"/>
    <w:rsid w:val="005C7481"/>
    <w:rsid w:val="005C7BF5"/>
    <w:rsid w:val="005D271E"/>
    <w:rsid w:val="005D4951"/>
    <w:rsid w:val="005D522F"/>
    <w:rsid w:val="005D5677"/>
    <w:rsid w:val="005D5FFF"/>
    <w:rsid w:val="005D6019"/>
    <w:rsid w:val="005E43F0"/>
    <w:rsid w:val="005E576F"/>
    <w:rsid w:val="005F3839"/>
    <w:rsid w:val="0060003C"/>
    <w:rsid w:val="00600F73"/>
    <w:rsid w:val="006016E4"/>
    <w:rsid w:val="00601C25"/>
    <w:rsid w:val="006052B0"/>
    <w:rsid w:val="006052E7"/>
    <w:rsid w:val="00612BFB"/>
    <w:rsid w:val="00613700"/>
    <w:rsid w:val="00622D2B"/>
    <w:rsid w:val="00624706"/>
    <w:rsid w:val="0062485D"/>
    <w:rsid w:val="006330B9"/>
    <w:rsid w:val="0063637A"/>
    <w:rsid w:val="00644B0C"/>
    <w:rsid w:val="00646098"/>
    <w:rsid w:val="00652C53"/>
    <w:rsid w:val="0065785D"/>
    <w:rsid w:val="006611EC"/>
    <w:rsid w:val="00662A2F"/>
    <w:rsid w:val="00665761"/>
    <w:rsid w:val="006666B1"/>
    <w:rsid w:val="00666FD5"/>
    <w:rsid w:val="006678DE"/>
    <w:rsid w:val="00671596"/>
    <w:rsid w:val="00674992"/>
    <w:rsid w:val="00675F13"/>
    <w:rsid w:val="0068380A"/>
    <w:rsid w:val="00683E1F"/>
    <w:rsid w:val="00685670"/>
    <w:rsid w:val="00685806"/>
    <w:rsid w:val="00685D12"/>
    <w:rsid w:val="00686944"/>
    <w:rsid w:val="00691225"/>
    <w:rsid w:val="006942EB"/>
    <w:rsid w:val="00696A55"/>
    <w:rsid w:val="006A30F7"/>
    <w:rsid w:val="006A6828"/>
    <w:rsid w:val="006A7389"/>
    <w:rsid w:val="006C6338"/>
    <w:rsid w:val="006C77F1"/>
    <w:rsid w:val="006C7F63"/>
    <w:rsid w:val="006D2CDD"/>
    <w:rsid w:val="006E343D"/>
    <w:rsid w:val="006E4BF2"/>
    <w:rsid w:val="006E6A1A"/>
    <w:rsid w:val="006F086C"/>
    <w:rsid w:val="006F0C2D"/>
    <w:rsid w:val="006F2137"/>
    <w:rsid w:val="006F357D"/>
    <w:rsid w:val="007000F9"/>
    <w:rsid w:val="0070148D"/>
    <w:rsid w:val="0070159B"/>
    <w:rsid w:val="00704206"/>
    <w:rsid w:val="00710B9A"/>
    <w:rsid w:val="00710CB5"/>
    <w:rsid w:val="00712FDA"/>
    <w:rsid w:val="00715C97"/>
    <w:rsid w:val="00716136"/>
    <w:rsid w:val="00720457"/>
    <w:rsid w:val="00724F84"/>
    <w:rsid w:val="00726194"/>
    <w:rsid w:val="00730009"/>
    <w:rsid w:val="00736101"/>
    <w:rsid w:val="00736E40"/>
    <w:rsid w:val="00746376"/>
    <w:rsid w:val="00750323"/>
    <w:rsid w:val="007552DF"/>
    <w:rsid w:val="00755DD2"/>
    <w:rsid w:val="007577A2"/>
    <w:rsid w:val="0076060B"/>
    <w:rsid w:val="0076107A"/>
    <w:rsid w:val="0076327F"/>
    <w:rsid w:val="00763E7E"/>
    <w:rsid w:val="00766BC4"/>
    <w:rsid w:val="00767738"/>
    <w:rsid w:val="00767B3A"/>
    <w:rsid w:val="00771FA1"/>
    <w:rsid w:val="007867F2"/>
    <w:rsid w:val="00792782"/>
    <w:rsid w:val="00795DEE"/>
    <w:rsid w:val="007A18F5"/>
    <w:rsid w:val="007A4205"/>
    <w:rsid w:val="007A52E4"/>
    <w:rsid w:val="007A5B10"/>
    <w:rsid w:val="007B7B1F"/>
    <w:rsid w:val="007C1871"/>
    <w:rsid w:val="007C38D7"/>
    <w:rsid w:val="007C4CEA"/>
    <w:rsid w:val="007D1A3C"/>
    <w:rsid w:val="007D7E77"/>
    <w:rsid w:val="007E5250"/>
    <w:rsid w:val="007E71DA"/>
    <w:rsid w:val="007F0E27"/>
    <w:rsid w:val="007F4790"/>
    <w:rsid w:val="007F57BE"/>
    <w:rsid w:val="007F5E87"/>
    <w:rsid w:val="007F764B"/>
    <w:rsid w:val="00800301"/>
    <w:rsid w:val="008019B3"/>
    <w:rsid w:val="008028E9"/>
    <w:rsid w:val="00804E04"/>
    <w:rsid w:val="00805617"/>
    <w:rsid w:val="00806221"/>
    <w:rsid w:val="0080753B"/>
    <w:rsid w:val="00807722"/>
    <w:rsid w:val="00811796"/>
    <w:rsid w:val="008119E8"/>
    <w:rsid w:val="008128F3"/>
    <w:rsid w:val="008141A3"/>
    <w:rsid w:val="00814B23"/>
    <w:rsid w:val="00816F37"/>
    <w:rsid w:val="00821ACC"/>
    <w:rsid w:val="0082421E"/>
    <w:rsid w:val="00824260"/>
    <w:rsid w:val="008260DB"/>
    <w:rsid w:val="0082665B"/>
    <w:rsid w:val="00827255"/>
    <w:rsid w:val="00827B1B"/>
    <w:rsid w:val="008306C6"/>
    <w:rsid w:val="008343E8"/>
    <w:rsid w:val="00835887"/>
    <w:rsid w:val="00836D9C"/>
    <w:rsid w:val="00840776"/>
    <w:rsid w:val="008442F8"/>
    <w:rsid w:val="0084732B"/>
    <w:rsid w:val="0085261A"/>
    <w:rsid w:val="00854C3E"/>
    <w:rsid w:val="00856BE0"/>
    <w:rsid w:val="008632FD"/>
    <w:rsid w:val="00866D43"/>
    <w:rsid w:val="00871687"/>
    <w:rsid w:val="0087661C"/>
    <w:rsid w:val="00882872"/>
    <w:rsid w:val="00883974"/>
    <w:rsid w:val="008873D0"/>
    <w:rsid w:val="00890993"/>
    <w:rsid w:val="0089799B"/>
    <w:rsid w:val="008A04EC"/>
    <w:rsid w:val="008A12C0"/>
    <w:rsid w:val="008A58E8"/>
    <w:rsid w:val="008B1DED"/>
    <w:rsid w:val="008B2342"/>
    <w:rsid w:val="008B55D5"/>
    <w:rsid w:val="008B6086"/>
    <w:rsid w:val="008C6010"/>
    <w:rsid w:val="008C6FDE"/>
    <w:rsid w:val="008D1C00"/>
    <w:rsid w:val="008D3EFD"/>
    <w:rsid w:val="008D5CDC"/>
    <w:rsid w:val="008D68DC"/>
    <w:rsid w:val="008E0E86"/>
    <w:rsid w:val="008E17CE"/>
    <w:rsid w:val="008E1B50"/>
    <w:rsid w:val="008E4DA5"/>
    <w:rsid w:val="008E5AE7"/>
    <w:rsid w:val="008F01A0"/>
    <w:rsid w:val="008F20D3"/>
    <w:rsid w:val="008F322E"/>
    <w:rsid w:val="008F7B41"/>
    <w:rsid w:val="009004FB"/>
    <w:rsid w:val="00900787"/>
    <w:rsid w:val="009113B0"/>
    <w:rsid w:val="00911656"/>
    <w:rsid w:val="009119BC"/>
    <w:rsid w:val="00914882"/>
    <w:rsid w:val="00915FA4"/>
    <w:rsid w:val="009164EB"/>
    <w:rsid w:val="00917F2A"/>
    <w:rsid w:val="00921CCA"/>
    <w:rsid w:val="009242EA"/>
    <w:rsid w:val="0094248A"/>
    <w:rsid w:val="0094458B"/>
    <w:rsid w:val="009473AE"/>
    <w:rsid w:val="009534B4"/>
    <w:rsid w:val="009546B4"/>
    <w:rsid w:val="00954C04"/>
    <w:rsid w:val="00955DE2"/>
    <w:rsid w:val="009664B5"/>
    <w:rsid w:val="009704F9"/>
    <w:rsid w:val="009705F4"/>
    <w:rsid w:val="009748D1"/>
    <w:rsid w:val="009768EE"/>
    <w:rsid w:val="00981096"/>
    <w:rsid w:val="00981702"/>
    <w:rsid w:val="00984278"/>
    <w:rsid w:val="00987915"/>
    <w:rsid w:val="00996020"/>
    <w:rsid w:val="00996873"/>
    <w:rsid w:val="009A02A9"/>
    <w:rsid w:val="009A3227"/>
    <w:rsid w:val="009A3631"/>
    <w:rsid w:val="009A6544"/>
    <w:rsid w:val="009A778A"/>
    <w:rsid w:val="009B20A8"/>
    <w:rsid w:val="009C1000"/>
    <w:rsid w:val="009D17DA"/>
    <w:rsid w:val="009E12DC"/>
    <w:rsid w:val="009E334C"/>
    <w:rsid w:val="009F024C"/>
    <w:rsid w:val="009F5427"/>
    <w:rsid w:val="009F70E8"/>
    <w:rsid w:val="00A01821"/>
    <w:rsid w:val="00A07216"/>
    <w:rsid w:val="00A079D2"/>
    <w:rsid w:val="00A12F5D"/>
    <w:rsid w:val="00A132B3"/>
    <w:rsid w:val="00A162B9"/>
    <w:rsid w:val="00A177C3"/>
    <w:rsid w:val="00A23EE6"/>
    <w:rsid w:val="00A325A8"/>
    <w:rsid w:val="00A34A0B"/>
    <w:rsid w:val="00A37FED"/>
    <w:rsid w:val="00A44222"/>
    <w:rsid w:val="00A46029"/>
    <w:rsid w:val="00A471C3"/>
    <w:rsid w:val="00A610B1"/>
    <w:rsid w:val="00A6663B"/>
    <w:rsid w:val="00A67048"/>
    <w:rsid w:val="00A73927"/>
    <w:rsid w:val="00A74E6D"/>
    <w:rsid w:val="00A75540"/>
    <w:rsid w:val="00A7645A"/>
    <w:rsid w:val="00A77919"/>
    <w:rsid w:val="00A85718"/>
    <w:rsid w:val="00A85E51"/>
    <w:rsid w:val="00A87ACD"/>
    <w:rsid w:val="00A974AB"/>
    <w:rsid w:val="00AB0195"/>
    <w:rsid w:val="00AB27F7"/>
    <w:rsid w:val="00AB51E3"/>
    <w:rsid w:val="00AB5C59"/>
    <w:rsid w:val="00AC6678"/>
    <w:rsid w:val="00AC6B28"/>
    <w:rsid w:val="00AC7553"/>
    <w:rsid w:val="00AD751C"/>
    <w:rsid w:val="00AD7C24"/>
    <w:rsid w:val="00AE129E"/>
    <w:rsid w:val="00AE30FA"/>
    <w:rsid w:val="00AE54FA"/>
    <w:rsid w:val="00AF1144"/>
    <w:rsid w:val="00AF3C72"/>
    <w:rsid w:val="00AF4431"/>
    <w:rsid w:val="00AF508D"/>
    <w:rsid w:val="00AF6F1D"/>
    <w:rsid w:val="00AF71FE"/>
    <w:rsid w:val="00B00140"/>
    <w:rsid w:val="00B01825"/>
    <w:rsid w:val="00B05255"/>
    <w:rsid w:val="00B06D87"/>
    <w:rsid w:val="00B109BE"/>
    <w:rsid w:val="00B11A4E"/>
    <w:rsid w:val="00B15A3C"/>
    <w:rsid w:val="00B15C8C"/>
    <w:rsid w:val="00B17861"/>
    <w:rsid w:val="00B21298"/>
    <w:rsid w:val="00B23A0B"/>
    <w:rsid w:val="00B240C3"/>
    <w:rsid w:val="00B26C51"/>
    <w:rsid w:val="00B40642"/>
    <w:rsid w:val="00B43FC2"/>
    <w:rsid w:val="00B44679"/>
    <w:rsid w:val="00B461FF"/>
    <w:rsid w:val="00B507A8"/>
    <w:rsid w:val="00B538CD"/>
    <w:rsid w:val="00B56ABF"/>
    <w:rsid w:val="00B66E6D"/>
    <w:rsid w:val="00B76E49"/>
    <w:rsid w:val="00B903DA"/>
    <w:rsid w:val="00B906BE"/>
    <w:rsid w:val="00B92809"/>
    <w:rsid w:val="00B95B03"/>
    <w:rsid w:val="00BA2421"/>
    <w:rsid w:val="00BA52A9"/>
    <w:rsid w:val="00BA67B9"/>
    <w:rsid w:val="00BA73CD"/>
    <w:rsid w:val="00BB425D"/>
    <w:rsid w:val="00BC13A1"/>
    <w:rsid w:val="00BC1497"/>
    <w:rsid w:val="00BC380C"/>
    <w:rsid w:val="00BC5953"/>
    <w:rsid w:val="00BD14E5"/>
    <w:rsid w:val="00BD1B60"/>
    <w:rsid w:val="00BD7777"/>
    <w:rsid w:val="00BD7CBE"/>
    <w:rsid w:val="00BE0925"/>
    <w:rsid w:val="00BE26CF"/>
    <w:rsid w:val="00BE6A8C"/>
    <w:rsid w:val="00BF1753"/>
    <w:rsid w:val="00BF1D4D"/>
    <w:rsid w:val="00BF3A7B"/>
    <w:rsid w:val="00BF60E0"/>
    <w:rsid w:val="00C01000"/>
    <w:rsid w:val="00C0129A"/>
    <w:rsid w:val="00C01A95"/>
    <w:rsid w:val="00C04DA3"/>
    <w:rsid w:val="00C11461"/>
    <w:rsid w:val="00C13846"/>
    <w:rsid w:val="00C22248"/>
    <w:rsid w:val="00C22DE7"/>
    <w:rsid w:val="00C23387"/>
    <w:rsid w:val="00C24731"/>
    <w:rsid w:val="00C260FC"/>
    <w:rsid w:val="00C30058"/>
    <w:rsid w:val="00C33B4F"/>
    <w:rsid w:val="00C44570"/>
    <w:rsid w:val="00C50BE6"/>
    <w:rsid w:val="00C51628"/>
    <w:rsid w:val="00C63589"/>
    <w:rsid w:val="00C64D3D"/>
    <w:rsid w:val="00C72651"/>
    <w:rsid w:val="00C72814"/>
    <w:rsid w:val="00C7546D"/>
    <w:rsid w:val="00C800C2"/>
    <w:rsid w:val="00C8305B"/>
    <w:rsid w:val="00C867A1"/>
    <w:rsid w:val="00C86FE0"/>
    <w:rsid w:val="00C87AFB"/>
    <w:rsid w:val="00C87CBC"/>
    <w:rsid w:val="00C92E2F"/>
    <w:rsid w:val="00C95615"/>
    <w:rsid w:val="00C9620B"/>
    <w:rsid w:val="00CA157B"/>
    <w:rsid w:val="00CA39D4"/>
    <w:rsid w:val="00CA6B30"/>
    <w:rsid w:val="00CA74C1"/>
    <w:rsid w:val="00CA7716"/>
    <w:rsid w:val="00CB45DB"/>
    <w:rsid w:val="00CB613C"/>
    <w:rsid w:val="00CB64A2"/>
    <w:rsid w:val="00CC235F"/>
    <w:rsid w:val="00CE075F"/>
    <w:rsid w:val="00CE1691"/>
    <w:rsid w:val="00CE50B5"/>
    <w:rsid w:val="00CF1509"/>
    <w:rsid w:val="00CF18DC"/>
    <w:rsid w:val="00CF5D01"/>
    <w:rsid w:val="00CF7CF9"/>
    <w:rsid w:val="00D0373D"/>
    <w:rsid w:val="00D046CD"/>
    <w:rsid w:val="00D10D35"/>
    <w:rsid w:val="00D1224B"/>
    <w:rsid w:val="00D13067"/>
    <w:rsid w:val="00D152FC"/>
    <w:rsid w:val="00D15E99"/>
    <w:rsid w:val="00D302BC"/>
    <w:rsid w:val="00D35F41"/>
    <w:rsid w:val="00D43F28"/>
    <w:rsid w:val="00D525F0"/>
    <w:rsid w:val="00D52C43"/>
    <w:rsid w:val="00D6345D"/>
    <w:rsid w:val="00D71D14"/>
    <w:rsid w:val="00D74001"/>
    <w:rsid w:val="00D74C2B"/>
    <w:rsid w:val="00D76DB8"/>
    <w:rsid w:val="00D8483C"/>
    <w:rsid w:val="00D94DB0"/>
    <w:rsid w:val="00DA048E"/>
    <w:rsid w:val="00DA3616"/>
    <w:rsid w:val="00DA4A7D"/>
    <w:rsid w:val="00DA53F1"/>
    <w:rsid w:val="00DB0A2A"/>
    <w:rsid w:val="00DB5512"/>
    <w:rsid w:val="00DB7BC3"/>
    <w:rsid w:val="00DC0B68"/>
    <w:rsid w:val="00DC2FA5"/>
    <w:rsid w:val="00DC4E82"/>
    <w:rsid w:val="00DC6683"/>
    <w:rsid w:val="00DD04C9"/>
    <w:rsid w:val="00DD33CB"/>
    <w:rsid w:val="00DD6142"/>
    <w:rsid w:val="00DD70D4"/>
    <w:rsid w:val="00DE1AE8"/>
    <w:rsid w:val="00DE361D"/>
    <w:rsid w:val="00DE4CC1"/>
    <w:rsid w:val="00DE58D5"/>
    <w:rsid w:val="00DF25D5"/>
    <w:rsid w:val="00DF349A"/>
    <w:rsid w:val="00DF5417"/>
    <w:rsid w:val="00DF5C78"/>
    <w:rsid w:val="00DF5D1C"/>
    <w:rsid w:val="00E01113"/>
    <w:rsid w:val="00E03EA5"/>
    <w:rsid w:val="00E06343"/>
    <w:rsid w:val="00E06827"/>
    <w:rsid w:val="00E06A2F"/>
    <w:rsid w:val="00E210A9"/>
    <w:rsid w:val="00E23048"/>
    <w:rsid w:val="00E3179D"/>
    <w:rsid w:val="00E3741E"/>
    <w:rsid w:val="00E40A2C"/>
    <w:rsid w:val="00E47581"/>
    <w:rsid w:val="00E5220A"/>
    <w:rsid w:val="00E52FC8"/>
    <w:rsid w:val="00E548EC"/>
    <w:rsid w:val="00E56656"/>
    <w:rsid w:val="00E6146D"/>
    <w:rsid w:val="00E670A1"/>
    <w:rsid w:val="00E71787"/>
    <w:rsid w:val="00E80E4F"/>
    <w:rsid w:val="00E85295"/>
    <w:rsid w:val="00E908F0"/>
    <w:rsid w:val="00E92DB6"/>
    <w:rsid w:val="00E977F6"/>
    <w:rsid w:val="00EA066F"/>
    <w:rsid w:val="00EA5CBF"/>
    <w:rsid w:val="00EA76C0"/>
    <w:rsid w:val="00EB0ED6"/>
    <w:rsid w:val="00EB4508"/>
    <w:rsid w:val="00EB5404"/>
    <w:rsid w:val="00EB5F71"/>
    <w:rsid w:val="00EC0DED"/>
    <w:rsid w:val="00EC14DA"/>
    <w:rsid w:val="00ED4D4D"/>
    <w:rsid w:val="00ED5FCF"/>
    <w:rsid w:val="00EE4BFA"/>
    <w:rsid w:val="00EE76AF"/>
    <w:rsid w:val="00EF5443"/>
    <w:rsid w:val="00EF57FF"/>
    <w:rsid w:val="00EF5C8F"/>
    <w:rsid w:val="00EF64A6"/>
    <w:rsid w:val="00F0228A"/>
    <w:rsid w:val="00F0280F"/>
    <w:rsid w:val="00F066EF"/>
    <w:rsid w:val="00F17E29"/>
    <w:rsid w:val="00F20643"/>
    <w:rsid w:val="00F2425B"/>
    <w:rsid w:val="00F256C7"/>
    <w:rsid w:val="00F2696B"/>
    <w:rsid w:val="00F411FA"/>
    <w:rsid w:val="00F45437"/>
    <w:rsid w:val="00F50E4C"/>
    <w:rsid w:val="00F51818"/>
    <w:rsid w:val="00F64311"/>
    <w:rsid w:val="00F66DF6"/>
    <w:rsid w:val="00F6725A"/>
    <w:rsid w:val="00F7183E"/>
    <w:rsid w:val="00F73B42"/>
    <w:rsid w:val="00F75643"/>
    <w:rsid w:val="00F76411"/>
    <w:rsid w:val="00F76BA2"/>
    <w:rsid w:val="00F80735"/>
    <w:rsid w:val="00F84A1B"/>
    <w:rsid w:val="00F903B5"/>
    <w:rsid w:val="00F920B1"/>
    <w:rsid w:val="00F9684B"/>
    <w:rsid w:val="00F96F43"/>
    <w:rsid w:val="00F97E65"/>
    <w:rsid w:val="00FA08EF"/>
    <w:rsid w:val="00FA1674"/>
    <w:rsid w:val="00FA19F2"/>
    <w:rsid w:val="00FA5490"/>
    <w:rsid w:val="00FA7C7D"/>
    <w:rsid w:val="00FB188B"/>
    <w:rsid w:val="00FC026E"/>
    <w:rsid w:val="00FC4105"/>
    <w:rsid w:val="00FC5D3D"/>
    <w:rsid w:val="00FC5EDC"/>
    <w:rsid w:val="00FE7809"/>
    <w:rsid w:val="00FF319F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56B1"/>
  <w15:docId w15:val="{2F588132-7B9C-497D-804A-6130C9E5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8028E9"/>
    <w:pPr>
      <w:spacing w:before="35" w:after="0" w:line="360" w:lineRule="auto"/>
      <w:ind w:firstLine="230"/>
    </w:pPr>
    <w:rPr>
      <w:rFonts w:ascii="Times New Roman" w:eastAsia="Times New Roman" w:hAnsi="Times New Roman" w:cs="Times New Roman"/>
      <w:i/>
      <w:iCs/>
      <w:color w:val="414142"/>
      <w:sz w:val="15"/>
      <w:szCs w:val="15"/>
    </w:rPr>
  </w:style>
  <w:style w:type="paragraph" w:styleId="NormalWeb">
    <w:name w:val="Normal (Web)"/>
    <w:basedOn w:val="Normal"/>
    <w:uiPriority w:val="99"/>
    <w:unhideWhenUsed/>
    <w:rsid w:val="00BD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0803A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A974AB"/>
    <w:pPr>
      <w:spacing w:after="0" w:line="360" w:lineRule="auto"/>
      <w:ind w:firstLine="250"/>
    </w:pPr>
    <w:rPr>
      <w:rFonts w:ascii="Times New Roman" w:eastAsia="Times New Roman" w:hAnsi="Times New Roman" w:cs="Times New Roman"/>
      <w:color w:val="414142"/>
      <w:sz w:val="16"/>
      <w:szCs w:val="16"/>
    </w:rPr>
  </w:style>
  <w:style w:type="character" w:styleId="Hyperlink">
    <w:name w:val="Hyperlink"/>
    <w:rsid w:val="00A974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E06"/>
    <w:pPr>
      <w:ind w:left="720"/>
      <w:contextualSpacing/>
    </w:pPr>
  </w:style>
  <w:style w:type="paragraph" w:customStyle="1" w:styleId="tvhtml1">
    <w:name w:val="tv_html1"/>
    <w:basedOn w:val="Normal"/>
    <w:rsid w:val="002D788C"/>
    <w:pPr>
      <w:spacing w:before="100" w:beforeAutospacing="1" w:after="0" w:line="360" w:lineRule="auto"/>
    </w:pPr>
    <w:rPr>
      <w:rFonts w:ascii="Verdana" w:eastAsia="Times New Roman" w:hAnsi="Verdana" w:cs="Times New Roman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A9"/>
  </w:style>
  <w:style w:type="paragraph" w:styleId="Footer">
    <w:name w:val="footer"/>
    <w:basedOn w:val="Normal"/>
    <w:link w:val="FooterChar"/>
    <w:uiPriority w:val="99"/>
    <w:unhideWhenUsed/>
    <w:rsid w:val="00E21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A9"/>
  </w:style>
  <w:style w:type="character" w:styleId="CommentReference">
    <w:name w:val="annotation reference"/>
    <w:basedOn w:val="DefaultParagraphFont"/>
    <w:uiPriority w:val="99"/>
    <w:semiHidden/>
    <w:unhideWhenUsed/>
    <w:rsid w:val="007606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6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60B"/>
    <w:rPr>
      <w:rFonts w:ascii="Segoe UI" w:hAnsi="Segoe UI" w:cs="Segoe UI"/>
      <w:sz w:val="18"/>
      <w:szCs w:val="18"/>
    </w:rPr>
  </w:style>
  <w:style w:type="paragraph" w:customStyle="1" w:styleId="tv20787921">
    <w:name w:val="tv207_87_921"/>
    <w:basedOn w:val="Normal"/>
    <w:rsid w:val="00E71787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64609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8041A"/>
    <w:rPr>
      <w:b/>
      <w:bCs/>
    </w:rPr>
  </w:style>
  <w:style w:type="paragraph" w:customStyle="1" w:styleId="naisnod">
    <w:name w:val="naisnod"/>
    <w:basedOn w:val="Normal"/>
    <w:rsid w:val="004C459B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5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5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589"/>
    <w:rPr>
      <w:vertAlign w:val="superscript"/>
    </w:rPr>
  </w:style>
  <w:style w:type="character" w:customStyle="1" w:styleId="apple-converted-space">
    <w:name w:val="apple-converted-space"/>
    <w:rsid w:val="00027FBF"/>
  </w:style>
  <w:style w:type="paragraph" w:customStyle="1" w:styleId="tv2132">
    <w:name w:val="tv2132"/>
    <w:basedOn w:val="Normal"/>
    <w:rsid w:val="0038706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zh-TW"/>
    </w:rPr>
  </w:style>
  <w:style w:type="character" w:customStyle="1" w:styleId="st">
    <w:name w:val="st"/>
    <w:rsid w:val="00494641"/>
  </w:style>
  <w:style w:type="paragraph" w:customStyle="1" w:styleId="Default">
    <w:name w:val="Default"/>
    <w:rsid w:val="00494641"/>
    <w:pPr>
      <w:autoSpaceDE w:val="0"/>
      <w:autoSpaceDN w:val="0"/>
      <w:adjustRightInd w:val="0"/>
      <w:spacing w:after="0" w:line="240" w:lineRule="auto"/>
    </w:pPr>
    <w:rPr>
      <w:rFonts w:ascii="EUAlbertina" w:eastAsiaTheme="minorHAnsi" w:hAnsi="EUAlbertina" w:cs="EUAlbertina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9464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29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56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23322">
                              <w:marLeft w:val="115"/>
                              <w:marRight w:val="115"/>
                              <w:marTop w:val="480"/>
                              <w:marBottom w:val="0"/>
                              <w:divBdr>
                                <w:top w:val="single" w:sz="4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9017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14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92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9D95F-84C8-4466-881E-5FF76215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7010</Words>
  <Characters>3997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2013.gada 22.oktobra noteikumos Nr.1174 „Eiropas Ekonomikas zonas finanšu instrumenta un Norvēģijas finanšu instrumenta 2009.-2014.gada perioda programmas „Pētniecība un stipendijas” īsteno</vt:lpstr>
    </vt:vector>
  </TitlesOfParts>
  <Company>IZM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nolikums”” sākotnējās ietekmes novērtējuma ziņojums (anotācija)</dc:title>
  <dc:creator>igabrisa</dc:creator>
  <cp:keywords>Anotācija</cp:keywords>
  <dc:description>dace.belajeva@izm.gov.lv, 67047968</dc:description>
  <cp:lastModifiedBy>Agnese Andžāne</cp:lastModifiedBy>
  <cp:revision>49</cp:revision>
  <cp:lastPrinted>2015-10-08T13:21:00Z</cp:lastPrinted>
  <dcterms:created xsi:type="dcterms:W3CDTF">2016-03-03T08:59:00Z</dcterms:created>
  <dcterms:modified xsi:type="dcterms:W3CDTF">2016-12-06T11:39:00Z</dcterms:modified>
</cp:coreProperties>
</file>