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FA" w:rsidRPr="00303FB9" w:rsidRDefault="000710FA" w:rsidP="00071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303FB9">
        <w:rPr>
          <w:rFonts w:ascii="Times New Roman" w:hAnsi="Times New Roman"/>
          <w:b/>
          <w:bCs/>
          <w:sz w:val="28"/>
          <w:szCs w:val="28"/>
          <w:lang w:val="lv-LV"/>
        </w:rPr>
        <w:t>Likumprojekta</w:t>
      </w:r>
      <w:r w:rsidR="0059526A">
        <w:rPr>
          <w:rFonts w:ascii="Times New Roman" w:hAnsi="Times New Roman"/>
          <w:b/>
          <w:bCs/>
          <w:sz w:val="28"/>
          <w:szCs w:val="28"/>
          <w:lang w:val="lv-LV"/>
        </w:rPr>
        <w:t xml:space="preserve"> „Grozījum</w:t>
      </w:r>
      <w:r w:rsidR="008E3367">
        <w:rPr>
          <w:rFonts w:ascii="Times New Roman" w:hAnsi="Times New Roman"/>
          <w:b/>
          <w:bCs/>
          <w:sz w:val="28"/>
          <w:szCs w:val="28"/>
          <w:lang w:val="lv-LV"/>
        </w:rPr>
        <w:t>i</w:t>
      </w:r>
      <w:r w:rsidRPr="00303FB9">
        <w:rPr>
          <w:rFonts w:ascii="Times New Roman" w:hAnsi="Times New Roman"/>
          <w:b/>
          <w:bCs/>
          <w:sz w:val="28"/>
          <w:szCs w:val="28"/>
          <w:lang w:val="lv-LV"/>
        </w:rPr>
        <w:t xml:space="preserve"> Ugunsdrošības un ugunsdzēsības likumā</w:t>
      </w:r>
      <w:r w:rsidR="00C4715D" w:rsidRPr="00303FB9">
        <w:rPr>
          <w:rFonts w:ascii="Times New Roman" w:hAnsi="Times New Roman"/>
          <w:b/>
          <w:bCs/>
          <w:sz w:val="28"/>
          <w:szCs w:val="28"/>
          <w:lang w:val="lv-LV"/>
        </w:rPr>
        <w:t xml:space="preserve">” </w:t>
      </w:r>
    </w:p>
    <w:p w:rsidR="00C4715D" w:rsidRPr="00303FB9" w:rsidRDefault="00C4715D" w:rsidP="00DA5EB0">
      <w:pPr>
        <w:pStyle w:val="Kjene"/>
        <w:tabs>
          <w:tab w:val="clear" w:pos="4320"/>
          <w:tab w:val="clear" w:pos="864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303FB9">
        <w:rPr>
          <w:rFonts w:ascii="Times New Roman" w:hAnsi="Times New Roman"/>
          <w:b/>
          <w:bCs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303FB9">
          <w:rPr>
            <w:rFonts w:ascii="Times New Roman" w:hAnsi="Times New Roman"/>
            <w:b/>
            <w:bCs/>
            <w:sz w:val="28"/>
            <w:szCs w:val="28"/>
            <w:lang w:val="lv-LV"/>
          </w:rPr>
          <w:t>ziņojums</w:t>
        </w:r>
      </w:smartTag>
      <w:r w:rsidRPr="00303FB9">
        <w:rPr>
          <w:rFonts w:ascii="Times New Roman" w:hAnsi="Times New Roman"/>
          <w:b/>
          <w:bCs/>
          <w:sz w:val="28"/>
          <w:szCs w:val="28"/>
          <w:lang w:val="lv-LV"/>
        </w:rPr>
        <w:t xml:space="preserve"> (anotācija)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2891"/>
        <w:gridCol w:w="5511"/>
      </w:tblGrid>
      <w:tr w:rsidR="00C4715D" w:rsidRPr="00D17F2E" w:rsidTr="00C4715D">
        <w:trPr>
          <w:jc w:val="center"/>
        </w:trPr>
        <w:tc>
          <w:tcPr>
            <w:tcW w:w="9322" w:type="dxa"/>
            <w:gridSpan w:val="3"/>
          </w:tcPr>
          <w:p w:rsidR="00C4715D" w:rsidRPr="005A3BDE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A3B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I. Tiesību akta projekta izstrādes nepieciešamība</w:t>
            </w:r>
          </w:p>
        </w:tc>
      </w:tr>
      <w:tr w:rsidR="0080326B" w:rsidRPr="001549A9" w:rsidTr="00C4715D">
        <w:trPr>
          <w:jc w:val="center"/>
        </w:trPr>
        <w:tc>
          <w:tcPr>
            <w:tcW w:w="675" w:type="dxa"/>
          </w:tcPr>
          <w:p w:rsidR="00C4715D" w:rsidRPr="00303FB9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77" w:type="dxa"/>
          </w:tcPr>
          <w:p w:rsidR="00C4715D" w:rsidRPr="00303FB9" w:rsidRDefault="00C4715D" w:rsidP="00C4715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5670" w:type="dxa"/>
          </w:tcPr>
          <w:p w:rsidR="001F745E" w:rsidRPr="001F745E" w:rsidRDefault="00010263" w:rsidP="00CD6B08">
            <w:pPr>
              <w:ind w:firstLine="3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263">
              <w:rPr>
                <w:rFonts w:ascii="Times New Roman" w:hAnsi="Times New Roman"/>
                <w:sz w:val="24"/>
                <w:szCs w:val="24"/>
                <w:lang w:val="lv-LV"/>
              </w:rPr>
              <w:t>Likumprojekts „</w:t>
            </w:r>
            <w:r w:rsidR="0059526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Grozījum</w:t>
            </w:r>
            <w:r w:rsidR="00742E40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</w:t>
            </w:r>
            <w:r w:rsidRPr="00010263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Ugunsdrošības un ugunsdzēsības likumā</w:t>
            </w:r>
            <w:r w:rsidRPr="00010263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(turpmāk – likumprojekts) ir izstrādāts </w:t>
            </w:r>
            <w:r w:rsidR="005A3BDE">
              <w:rPr>
                <w:rFonts w:ascii="Times New Roman" w:hAnsi="Times New Roman"/>
                <w:sz w:val="24"/>
                <w:szCs w:val="24"/>
                <w:lang w:val="lv-LV"/>
              </w:rPr>
              <w:t>saskaņā ar Ministru kabineta 2014.</w:t>
            </w:r>
            <w:r w:rsidR="006862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gada 22.aprīļa </w:t>
            </w:r>
            <w:r w:rsidR="001F745E" w:rsidRPr="001F745E">
              <w:rPr>
                <w:rFonts w:ascii="Times New Roman" w:hAnsi="Times New Roman"/>
                <w:sz w:val="24"/>
                <w:szCs w:val="24"/>
                <w:lang w:val="lv-LV"/>
              </w:rPr>
              <w:t>sēdē nolemto (</w:t>
            </w:r>
            <w:r w:rsidR="006862B5" w:rsidRPr="001F745E">
              <w:rPr>
                <w:rFonts w:ascii="Times New Roman" w:hAnsi="Times New Roman"/>
                <w:sz w:val="24"/>
                <w:szCs w:val="24"/>
                <w:lang w:val="lv-LV"/>
              </w:rPr>
              <w:t>pr</w:t>
            </w:r>
            <w:r w:rsidR="001F745E" w:rsidRPr="001F745E">
              <w:rPr>
                <w:rFonts w:ascii="Times New Roman" w:hAnsi="Times New Roman"/>
                <w:sz w:val="24"/>
                <w:szCs w:val="24"/>
                <w:lang w:val="lv-LV"/>
              </w:rPr>
              <w:t>ot.</w:t>
            </w:r>
            <w:r w:rsidR="005A3BDE" w:rsidRPr="001F745E">
              <w:rPr>
                <w:rFonts w:ascii="Times New Roman" w:hAnsi="Times New Roman"/>
                <w:sz w:val="24"/>
                <w:szCs w:val="24"/>
                <w:lang w:val="lv-LV"/>
              </w:rPr>
              <w:t>Nr.24, 26</w:t>
            </w:r>
            <w:r w:rsidR="00FB3937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5A3BDE" w:rsidRPr="001F745E">
              <w:rPr>
                <w:rFonts w:ascii="Times New Roman" w:hAnsi="Times New Roman"/>
                <w:sz w:val="24"/>
                <w:szCs w:val="24"/>
                <w:lang w:val="lv-LV"/>
              </w:rPr>
              <w:t>§</w:t>
            </w:r>
            <w:r w:rsidR="001F745E" w:rsidRPr="001F745E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5A3B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</w:t>
            </w:r>
            <w:r w:rsidR="006862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nozaru administratīvo pārkāpumu kodifikācijas </w:t>
            </w:r>
            <w:r w:rsidR="001F745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sistēmas </w:t>
            </w:r>
            <w:r w:rsidR="006862B5">
              <w:rPr>
                <w:rFonts w:ascii="Times New Roman" w:hAnsi="Times New Roman"/>
                <w:sz w:val="24"/>
                <w:szCs w:val="24"/>
                <w:lang w:val="lv-LV"/>
              </w:rPr>
              <w:t>ieviešanu.</w:t>
            </w:r>
          </w:p>
        </w:tc>
      </w:tr>
      <w:tr w:rsidR="0080326B" w:rsidRPr="001549A9" w:rsidTr="00C4715D">
        <w:trPr>
          <w:jc w:val="center"/>
        </w:trPr>
        <w:tc>
          <w:tcPr>
            <w:tcW w:w="675" w:type="dxa"/>
          </w:tcPr>
          <w:p w:rsidR="00C4715D" w:rsidRPr="00303FB9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77" w:type="dxa"/>
          </w:tcPr>
          <w:p w:rsidR="00C4715D" w:rsidRPr="00303FB9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670" w:type="dxa"/>
          </w:tcPr>
          <w:p w:rsidR="00A52182" w:rsidRDefault="00A52182" w:rsidP="00682F57">
            <w:pPr>
              <w:pStyle w:val="tv2131"/>
              <w:spacing w:line="240" w:lineRule="auto"/>
              <w:ind w:firstLine="32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862B5">
              <w:rPr>
                <w:rFonts w:eastAsia="Calibri"/>
                <w:color w:val="auto"/>
                <w:sz w:val="24"/>
                <w:szCs w:val="24"/>
                <w:lang w:eastAsia="en-US"/>
              </w:rPr>
              <w:t>Latvijas Administratīvo pārkāpumu kodeksa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(turpmāk – LAPK) 179.pants nosaka atbildību par ugunsdrošības prasību pārkāpumiem</w:t>
            </w:r>
            <w:r w:rsidR="001902EB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3077C" w:rsidRPr="00AF01DE" w:rsidRDefault="00AF01DE" w:rsidP="00AF01DE">
            <w:pPr>
              <w:pStyle w:val="tv2131"/>
              <w:spacing w:line="240" w:lineRule="auto"/>
              <w:ind w:firstLine="329"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902EB">
              <w:rPr>
                <w:bCs/>
                <w:color w:val="auto"/>
                <w:sz w:val="24"/>
                <w:szCs w:val="24"/>
              </w:rPr>
              <w:t>L</w:t>
            </w:r>
            <w:r>
              <w:rPr>
                <w:bCs/>
                <w:color w:val="auto"/>
                <w:sz w:val="24"/>
                <w:szCs w:val="24"/>
              </w:rPr>
              <w:t>ikumprojekt</w:t>
            </w:r>
            <w:r w:rsidR="001902EB">
              <w:rPr>
                <w:bCs/>
                <w:color w:val="auto"/>
                <w:sz w:val="24"/>
                <w:szCs w:val="24"/>
              </w:rPr>
              <w:t>a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03FB9">
              <w:rPr>
                <w:bCs/>
                <w:color w:val="auto"/>
                <w:sz w:val="24"/>
                <w:szCs w:val="24"/>
              </w:rPr>
              <w:t>„Administratīvo pārkāpumu procesa likums”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AF01DE">
              <w:rPr>
                <w:bCs/>
                <w:color w:val="auto"/>
                <w:sz w:val="24"/>
                <w:szCs w:val="24"/>
              </w:rPr>
              <w:t>(</w:t>
            </w:r>
            <w:r w:rsidR="00C87EA5">
              <w:rPr>
                <w:bCs/>
                <w:color w:val="auto"/>
                <w:sz w:val="24"/>
                <w:szCs w:val="24"/>
              </w:rPr>
              <w:t xml:space="preserve">reģ.Nr.16/Lp12) </w:t>
            </w:r>
            <w:r w:rsidR="00F81E35" w:rsidRPr="00F81E35">
              <w:rPr>
                <w:color w:val="auto"/>
                <w:sz w:val="24"/>
                <w:szCs w:val="24"/>
              </w:rPr>
              <w:t>mērķi</w:t>
            </w:r>
            <w:r w:rsidR="001902EB">
              <w:rPr>
                <w:color w:val="auto"/>
                <w:sz w:val="24"/>
                <w:szCs w:val="24"/>
              </w:rPr>
              <w:t>s ir</w:t>
            </w:r>
            <w:r w:rsidR="00F81E35" w:rsidRPr="00F81E35">
              <w:rPr>
                <w:color w:val="auto"/>
                <w:sz w:val="24"/>
                <w:szCs w:val="24"/>
              </w:rPr>
              <w:t xml:space="preserve"> </w:t>
            </w:r>
            <w:r w:rsidR="0023077C" w:rsidRPr="00F81E35">
              <w:rPr>
                <w:rFonts w:eastAsia="Calibri"/>
                <w:color w:val="auto"/>
                <w:sz w:val="24"/>
                <w:szCs w:val="24"/>
                <w:lang w:eastAsia="en-US"/>
              </w:rPr>
              <w:t>ieviest mūsdienu tiesiskajiem standartiem atbilstošu no procesuālā viedokļa vienkāršu un ātru administratīvo pārkāpumu procesu, kas nodrošinātu cilvēktiesību ievērošanu, procesuālo taisnīgumu un soda neizbēgamību.</w:t>
            </w:r>
          </w:p>
          <w:p w:rsidR="001F745E" w:rsidRPr="003742A9" w:rsidRDefault="00FF768A" w:rsidP="00CD6B08">
            <w:pPr>
              <w:pStyle w:val="tv2131"/>
              <w:spacing w:line="240" w:lineRule="auto"/>
              <w:ind w:firstLine="32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N</w:t>
            </w:r>
            <w:r w:rsidRPr="006862B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ormas, kas </w:t>
            </w:r>
            <w:r w:rsidR="00AF01D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šobrīd </w:t>
            </w:r>
            <w:r w:rsidRPr="006862B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nosaka atbildību un soda apmēru par </w:t>
            </w:r>
            <w:r w:rsidRPr="001F745E">
              <w:rPr>
                <w:rFonts w:eastAsia="Calibri"/>
                <w:color w:val="auto"/>
                <w:sz w:val="24"/>
                <w:szCs w:val="24"/>
                <w:lang w:eastAsia="en-US"/>
              </w:rPr>
              <w:t>administratīvajiem pārkāpumiem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p</w:t>
            </w:r>
            <w:r w:rsidR="00760E63" w:rsidRPr="006862B5">
              <w:rPr>
                <w:rFonts w:eastAsia="Calibri"/>
                <w:color w:val="auto"/>
                <w:sz w:val="24"/>
                <w:szCs w:val="24"/>
                <w:lang w:eastAsia="en-US"/>
              </w:rPr>
              <w:t>ēc Administratīvo pārkāpum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u procesa likuma spēkā stāšanās, </w:t>
            </w:r>
            <w:r w:rsidR="00760E63" w:rsidRPr="001F745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tiks kodificētas un </w:t>
            </w:r>
            <w:r w:rsidR="00760E63" w:rsidRPr="00FF768A">
              <w:rPr>
                <w:rFonts w:eastAsia="Calibri"/>
                <w:color w:val="auto"/>
                <w:sz w:val="24"/>
                <w:szCs w:val="24"/>
                <w:lang w:eastAsia="en-US"/>
              </w:rPr>
              <w:t>iekļautas attiecīgajos speciālajos nozaru normatīvajos aktos.</w:t>
            </w:r>
            <w:r w:rsidR="001F745E" w:rsidRPr="00FF768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F768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Lai ieviestu </w:t>
            </w:r>
            <w:r w:rsidRPr="00FF768A">
              <w:rPr>
                <w:color w:val="auto"/>
                <w:sz w:val="24"/>
                <w:szCs w:val="24"/>
              </w:rPr>
              <w:t>nozaru administratīvo pārkāpumu kodifikācijas sistēmu</w:t>
            </w:r>
            <w:r w:rsidRPr="00FF768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1F745E" w:rsidRPr="00FF768A">
              <w:rPr>
                <w:rFonts w:eastAsia="Calibri"/>
                <w:color w:val="auto"/>
                <w:sz w:val="24"/>
                <w:szCs w:val="24"/>
                <w:lang w:eastAsia="en-US"/>
              </w:rPr>
              <w:t>ir nep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ieciešams grozīt speciālo nozares</w:t>
            </w:r>
            <w:r w:rsidR="001F745E" w:rsidRPr="00FF768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normatīvo aktu un papildināt Ugunsdrošības un ugunsdzēsības likumu</w:t>
            </w:r>
            <w:r w:rsidR="004B66A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B66A2" w:rsidRPr="003742A9">
              <w:rPr>
                <w:rFonts w:eastAsia="Calibri"/>
                <w:color w:val="auto"/>
                <w:sz w:val="24"/>
                <w:szCs w:val="24"/>
                <w:lang w:eastAsia="en-US"/>
              </w:rPr>
              <w:t>(turpmāk – likums)</w:t>
            </w:r>
            <w:r w:rsidR="001F745E" w:rsidRPr="003742A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ar minētajām normām</w:t>
            </w:r>
            <w:r w:rsidRPr="003742A9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7D768E" w:rsidRDefault="006862B5" w:rsidP="00EE3139">
            <w:pPr>
              <w:pStyle w:val="tv2131"/>
              <w:spacing w:line="240" w:lineRule="auto"/>
              <w:ind w:firstLine="329"/>
              <w:jc w:val="both"/>
              <w:rPr>
                <w:color w:val="auto"/>
                <w:sz w:val="24"/>
                <w:szCs w:val="24"/>
              </w:rPr>
            </w:pPr>
            <w:r w:rsidRPr="003742A9">
              <w:rPr>
                <w:color w:val="auto"/>
                <w:sz w:val="24"/>
                <w:szCs w:val="24"/>
              </w:rPr>
              <w:t xml:space="preserve">Likumprojekts  paredz papildināt </w:t>
            </w:r>
            <w:r w:rsidR="004B66A2" w:rsidRPr="003742A9">
              <w:rPr>
                <w:color w:val="auto"/>
                <w:sz w:val="24"/>
                <w:szCs w:val="24"/>
              </w:rPr>
              <w:t>l</w:t>
            </w:r>
            <w:r w:rsidRPr="003742A9">
              <w:rPr>
                <w:color w:val="auto"/>
                <w:sz w:val="24"/>
                <w:szCs w:val="24"/>
              </w:rPr>
              <w:t>ikumu</w:t>
            </w:r>
            <w:r w:rsidRPr="0065035F">
              <w:rPr>
                <w:color w:val="auto"/>
                <w:sz w:val="24"/>
                <w:szCs w:val="24"/>
              </w:rPr>
              <w:t xml:space="preserve"> ar IV nodaļu par administratīvo atbildību uguns</w:t>
            </w:r>
            <w:r w:rsidR="00B8789A">
              <w:rPr>
                <w:color w:val="auto"/>
                <w:sz w:val="24"/>
                <w:szCs w:val="24"/>
              </w:rPr>
              <w:t>drošības jomā un kompetenci sodu</w:t>
            </w:r>
            <w:r w:rsidR="000C10EA">
              <w:rPr>
                <w:color w:val="auto"/>
                <w:sz w:val="24"/>
                <w:szCs w:val="24"/>
              </w:rPr>
              <w:t xml:space="preserve"> piemērošanā</w:t>
            </w:r>
            <w:r w:rsidR="0038064D">
              <w:rPr>
                <w:color w:val="auto"/>
                <w:sz w:val="24"/>
                <w:szCs w:val="24"/>
              </w:rPr>
              <w:t xml:space="preserve">, kā arī papildināt likuma pārejas noteikumus ar 8.punktu, paredzot, ka </w:t>
            </w:r>
            <w:r w:rsidR="00734B0A">
              <w:rPr>
                <w:color w:val="auto"/>
                <w:sz w:val="24"/>
                <w:szCs w:val="24"/>
              </w:rPr>
              <w:t xml:space="preserve"> </w:t>
            </w:r>
            <w:r w:rsidR="0038064D">
              <w:rPr>
                <w:color w:val="auto"/>
                <w:sz w:val="24"/>
                <w:szCs w:val="24"/>
              </w:rPr>
              <w:t xml:space="preserve">likuma </w:t>
            </w:r>
            <w:r w:rsidR="00310329">
              <w:rPr>
                <w:color w:val="auto"/>
                <w:sz w:val="24"/>
                <w:szCs w:val="24"/>
              </w:rPr>
              <w:t xml:space="preserve">IV </w:t>
            </w:r>
            <w:r w:rsidR="00365E5D">
              <w:rPr>
                <w:color w:val="auto"/>
                <w:sz w:val="24"/>
                <w:szCs w:val="24"/>
              </w:rPr>
              <w:t xml:space="preserve">nodaļa </w:t>
            </w:r>
            <w:r w:rsidR="0038064D">
              <w:rPr>
                <w:color w:val="auto"/>
                <w:sz w:val="24"/>
                <w:szCs w:val="24"/>
              </w:rPr>
              <w:t>stāsies spēkā vienlaikus ar Administratīvo pārkāpumu procesa likum</w:t>
            </w:r>
            <w:r w:rsidR="001549A9">
              <w:rPr>
                <w:color w:val="auto"/>
                <w:sz w:val="24"/>
                <w:szCs w:val="24"/>
              </w:rPr>
              <w:t>u</w:t>
            </w:r>
            <w:r w:rsidR="00B17F8C">
              <w:rPr>
                <w:color w:val="auto"/>
                <w:sz w:val="24"/>
                <w:szCs w:val="24"/>
              </w:rPr>
              <w:t>.</w:t>
            </w:r>
          </w:p>
          <w:p w:rsidR="00844D38" w:rsidRDefault="005272A3" w:rsidP="005272A3">
            <w:pPr>
              <w:pStyle w:val="tv2131"/>
              <w:spacing w:line="240" w:lineRule="auto"/>
              <w:ind w:firstLine="32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Nozaru administratīvo pārkāpumu kodifikācij</w:t>
            </w:r>
            <w:r w:rsidR="00E32AA8">
              <w:rPr>
                <w:color w:val="auto"/>
                <w:sz w:val="24"/>
                <w:szCs w:val="24"/>
              </w:rPr>
              <w:t xml:space="preserve">as sistēmas ieviešanas ietvaros, </w:t>
            </w:r>
            <w:r>
              <w:rPr>
                <w:color w:val="auto"/>
                <w:sz w:val="24"/>
                <w:szCs w:val="24"/>
              </w:rPr>
              <w:t>ir veikta administrat</w:t>
            </w:r>
            <w:r w:rsidR="00DE054B">
              <w:rPr>
                <w:color w:val="auto"/>
                <w:sz w:val="24"/>
                <w:szCs w:val="24"/>
              </w:rPr>
              <w:t>īvo pārkāpumu sastāvu caurskatīšana</w:t>
            </w:r>
            <w:r w:rsidR="00844D38">
              <w:rPr>
                <w:color w:val="auto"/>
                <w:sz w:val="24"/>
                <w:szCs w:val="24"/>
              </w:rPr>
              <w:t>. Šobrīd LAPK 179.pants paredz četrus dažādus ad</w:t>
            </w:r>
            <w:r w:rsidR="00BF4831">
              <w:rPr>
                <w:color w:val="auto"/>
                <w:sz w:val="24"/>
                <w:szCs w:val="24"/>
              </w:rPr>
              <w:t xml:space="preserve">ministratīvā pārkāpumu sastāvus, par kuriem ir paredzēta administratīvā atbildība, </w:t>
            </w:r>
            <w:r w:rsidR="00844D38" w:rsidRPr="003742A9">
              <w:rPr>
                <w:color w:val="auto"/>
                <w:sz w:val="24"/>
                <w:szCs w:val="24"/>
              </w:rPr>
              <w:t>toties l</w:t>
            </w:r>
            <w:r w:rsidR="00557770" w:rsidRPr="003742A9">
              <w:rPr>
                <w:color w:val="auto"/>
                <w:sz w:val="24"/>
                <w:szCs w:val="24"/>
              </w:rPr>
              <w:t>ikum</w:t>
            </w:r>
            <w:r w:rsidR="004B66A2" w:rsidRPr="003742A9">
              <w:rPr>
                <w:color w:val="auto"/>
                <w:sz w:val="24"/>
                <w:szCs w:val="24"/>
              </w:rPr>
              <w:t>a</w:t>
            </w:r>
            <w:r w:rsidR="00557770" w:rsidRPr="003742A9">
              <w:rPr>
                <w:color w:val="auto"/>
                <w:sz w:val="24"/>
                <w:szCs w:val="24"/>
              </w:rPr>
              <w:t xml:space="preserve"> 55.pantā ir </w:t>
            </w:r>
            <w:r w:rsidR="00844D38" w:rsidRPr="003742A9">
              <w:rPr>
                <w:color w:val="auto"/>
                <w:sz w:val="24"/>
                <w:szCs w:val="24"/>
              </w:rPr>
              <w:t>paredz</w:t>
            </w:r>
            <w:r w:rsidR="00557770" w:rsidRPr="003742A9">
              <w:rPr>
                <w:color w:val="auto"/>
                <w:sz w:val="24"/>
                <w:szCs w:val="24"/>
              </w:rPr>
              <w:t>ēts, ka</w:t>
            </w:r>
            <w:r w:rsidR="00844D38" w:rsidRPr="003742A9">
              <w:rPr>
                <w:color w:val="auto"/>
                <w:sz w:val="24"/>
                <w:szCs w:val="24"/>
              </w:rPr>
              <w:t xml:space="preserve"> </w:t>
            </w:r>
            <w:r w:rsidR="00557770" w:rsidRPr="003742A9">
              <w:rPr>
                <w:color w:val="auto"/>
                <w:sz w:val="24"/>
                <w:szCs w:val="24"/>
              </w:rPr>
              <w:t xml:space="preserve">pie </w:t>
            </w:r>
            <w:r w:rsidR="00844D38" w:rsidRPr="003742A9">
              <w:rPr>
                <w:color w:val="auto"/>
                <w:sz w:val="24"/>
                <w:szCs w:val="24"/>
              </w:rPr>
              <w:t>adm</w:t>
            </w:r>
            <w:r w:rsidR="00557770" w:rsidRPr="003742A9">
              <w:rPr>
                <w:color w:val="auto"/>
                <w:sz w:val="24"/>
                <w:szCs w:val="24"/>
              </w:rPr>
              <w:t>inistratīvās atbildības ugunsdrošības jomā var</w:t>
            </w:r>
            <w:r w:rsidR="00773278" w:rsidRPr="003742A9">
              <w:rPr>
                <w:color w:val="auto"/>
                <w:sz w:val="24"/>
                <w:szCs w:val="24"/>
              </w:rPr>
              <w:t>ēs</w:t>
            </w:r>
            <w:r w:rsidR="00557770" w:rsidRPr="003742A9">
              <w:rPr>
                <w:color w:val="auto"/>
                <w:sz w:val="24"/>
                <w:szCs w:val="24"/>
              </w:rPr>
              <w:t xml:space="preserve"> saukt pēc </w:t>
            </w:r>
            <w:r w:rsidR="00817FFE" w:rsidRPr="003742A9">
              <w:rPr>
                <w:color w:val="auto"/>
                <w:sz w:val="24"/>
                <w:szCs w:val="24"/>
              </w:rPr>
              <w:t>trijiem</w:t>
            </w:r>
            <w:r w:rsidR="00557770">
              <w:rPr>
                <w:color w:val="auto"/>
                <w:sz w:val="24"/>
                <w:szCs w:val="24"/>
              </w:rPr>
              <w:t xml:space="preserve"> administratīvā pārkāpumu sastāviem.</w:t>
            </w:r>
          </w:p>
          <w:p w:rsidR="00D87D0E" w:rsidRPr="00D87D0E" w:rsidRDefault="004B66A2" w:rsidP="00D87D0E">
            <w:pPr>
              <w:pStyle w:val="tv2131"/>
              <w:spacing w:line="240" w:lineRule="auto"/>
              <w:ind w:firstLine="329"/>
              <w:jc w:val="both"/>
              <w:rPr>
                <w:color w:val="auto"/>
                <w:sz w:val="24"/>
                <w:szCs w:val="24"/>
              </w:rPr>
            </w:pPr>
            <w:r w:rsidRPr="003742A9">
              <w:rPr>
                <w:color w:val="auto"/>
                <w:sz w:val="24"/>
                <w:szCs w:val="24"/>
              </w:rPr>
              <w:t>Likuma</w:t>
            </w:r>
            <w:r w:rsidR="00817FFE" w:rsidRPr="003742A9">
              <w:rPr>
                <w:color w:val="auto"/>
                <w:sz w:val="24"/>
                <w:szCs w:val="24"/>
              </w:rPr>
              <w:t xml:space="preserve"> 55.pantā</w:t>
            </w:r>
            <w:r w:rsidR="00557770" w:rsidRPr="003742A9">
              <w:rPr>
                <w:color w:val="auto"/>
                <w:sz w:val="24"/>
                <w:szCs w:val="24"/>
              </w:rPr>
              <w:t xml:space="preserve"> </w:t>
            </w:r>
            <w:r w:rsidR="00817FFE" w:rsidRPr="003742A9">
              <w:rPr>
                <w:color w:val="auto"/>
                <w:sz w:val="24"/>
                <w:szCs w:val="24"/>
              </w:rPr>
              <w:t>ir</w:t>
            </w:r>
            <w:r w:rsidR="00557770" w:rsidRPr="003742A9">
              <w:rPr>
                <w:color w:val="auto"/>
                <w:sz w:val="24"/>
                <w:szCs w:val="24"/>
              </w:rPr>
              <w:t xml:space="preserve"> </w:t>
            </w:r>
            <w:r w:rsidR="00022B87" w:rsidRPr="003742A9">
              <w:rPr>
                <w:color w:val="auto"/>
                <w:sz w:val="24"/>
                <w:szCs w:val="24"/>
              </w:rPr>
              <w:t>paredzēta administratīvā atbildība ugunsdrošības</w:t>
            </w:r>
            <w:r w:rsidR="00817FFE" w:rsidRPr="003742A9">
              <w:rPr>
                <w:color w:val="auto"/>
                <w:sz w:val="24"/>
                <w:szCs w:val="24"/>
              </w:rPr>
              <w:t xml:space="preserve"> jomā</w:t>
            </w:r>
            <w:r w:rsidR="00A4017C" w:rsidRPr="003742A9">
              <w:rPr>
                <w:color w:val="auto"/>
                <w:sz w:val="24"/>
                <w:szCs w:val="24"/>
              </w:rPr>
              <w:t xml:space="preserve">. Administratīvā pārkāpuma </w:t>
            </w:r>
            <w:r w:rsidR="00817FFE" w:rsidRPr="003742A9">
              <w:rPr>
                <w:color w:val="auto"/>
                <w:sz w:val="24"/>
                <w:szCs w:val="24"/>
              </w:rPr>
              <w:t xml:space="preserve">procesu </w:t>
            </w:r>
            <w:r w:rsidR="00870DB9" w:rsidRPr="003742A9">
              <w:rPr>
                <w:color w:val="auto"/>
                <w:sz w:val="24"/>
                <w:szCs w:val="24"/>
              </w:rPr>
              <w:t>par šā</w:t>
            </w:r>
            <w:r w:rsidR="00A4017C" w:rsidRPr="003742A9">
              <w:rPr>
                <w:color w:val="auto"/>
                <w:sz w:val="24"/>
                <w:szCs w:val="24"/>
              </w:rPr>
              <w:t xml:space="preserve"> likum</w:t>
            </w:r>
            <w:r w:rsidRPr="003742A9">
              <w:rPr>
                <w:color w:val="auto"/>
                <w:sz w:val="24"/>
                <w:szCs w:val="24"/>
              </w:rPr>
              <w:t>a</w:t>
            </w:r>
            <w:r w:rsidR="00870DB9" w:rsidRPr="003742A9">
              <w:rPr>
                <w:color w:val="auto"/>
                <w:sz w:val="24"/>
                <w:szCs w:val="24"/>
              </w:rPr>
              <w:t xml:space="preserve"> 55.panta pirmajā</w:t>
            </w:r>
            <w:r w:rsidR="00A4017C" w:rsidRPr="003742A9">
              <w:rPr>
                <w:color w:val="auto"/>
                <w:sz w:val="24"/>
                <w:szCs w:val="24"/>
              </w:rPr>
              <w:t xml:space="preserve"> </w:t>
            </w:r>
            <w:r w:rsidR="00870DB9" w:rsidRPr="003742A9">
              <w:rPr>
                <w:color w:val="auto"/>
                <w:sz w:val="24"/>
                <w:szCs w:val="24"/>
              </w:rPr>
              <w:t>daļā norādīto administratīvo pārkāpumu</w:t>
            </w:r>
            <w:r w:rsidR="000C10EA" w:rsidRPr="003742A9">
              <w:rPr>
                <w:color w:val="auto"/>
                <w:sz w:val="24"/>
                <w:szCs w:val="24"/>
              </w:rPr>
              <w:t xml:space="preserve"> </w:t>
            </w:r>
            <w:r w:rsidR="001549A9">
              <w:rPr>
                <w:color w:val="auto"/>
                <w:sz w:val="24"/>
                <w:szCs w:val="24"/>
              </w:rPr>
              <w:t xml:space="preserve">Valsts ugunsdzēsības un glābšanas dienesta (turpmāk – </w:t>
            </w:r>
            <w:r w:rsidR="000C10EA" w:rsidRPr="003742A9">
              <w:rPr>
                <w:color w:val="auto"/>
                <w:sz w:val="24"/>
                <w:szCs w:val="24"/>
              </w:rPr>
              <w:t>VUGD</w:t>
            </w:r>
            <w:r w:rsidR="001549A9">
              <w:rPr>
                <w:color w:val="auto"/>
                <w:sz w:val="24"/>
                <w:szCs w:val="24"/>
              </w:rPr>
              <w:t>)</w:t>
            </w:r>
            <w:r w:rsidR="000C10EA" w:rsidRPr="003742A9">
              <w:rPr>
                <w:color w:val="auto"/>
                <w:sz w:val="24"/>
                <w:szCs w:val="24"/>
              </w:rPr>
              <w:t xml:space="preserve"> amatpersona </w:t>
            </w:r>
            <w:r w:rsidR="00817FFE" w:rsidRPr="003742A9">
              <w:rPr>
                <w:color w:val="auto"/>
                <w:sz w:val="24"/>
                <w:szCs w:val="24"/>
              </w:rPr>
              <w:t>veic</w:t>
            </w:r>
            <w:r w:rsidR="000C10EA" w:rsidRPr="003742A9">
              <w:rPr>
                <w:color w:val="auto"/>
                <w:sz w:val="24"/>
                <w:szCs w:val="24"/>
              </w:rPr>
              <w:t xml:space="preserve"> </w:t>
            </w:r>
            <w:r w:rsidR="00DB2B1B" w:rsidRPr="003742A9">
              <w:rPr>
                <w:color w:val="auto"/>
                <w:sz w:val="24"/>
                <w:szCs w:val="24"/>
              </w:rPr>
              <w:t>gadījumā, kad</w:t>
            </w:r>
            <w:r w:rsidR="00870DB9" w:rsidRPr="003742A9">
              <w:rPr>
                <w:color w:val="auto"/>
                <w:sz w:val="24"/>
                <w:szCs w:val="24"/>
              </w:rPr>
              <w:t xml:space="preserve"> </w:t>
            </w:r>
            <w:r w:rsidR="00870DB9" w:rsidRPr="00D87D0E">
              <w:rPr>
                <w:color w:val="auto"/>
                <w:sz w:val="24"/>
                <w:szCs w:val="24"/>
              </w:rPr>
              <w:t>konstatē,</w:t>
            </w:r>
            <w:r w:rsidR="00496033" w:rsidRPr="00D87D0E">
              <w:rPr>
                <w:color w:val="auto"/>
                <w:sz w:val="24"/>
                <w:szCs w:val="24"/>
              </w:rPr>
              <w:t xml:space="preserve"> </w:t>
            </w:r>
            <w:r w:rsidR="00870DB9" w:rsidRPr="00D87D0E">
              <w:rPr>
                <w:color w:val="auto"/>
                <w:sz w:val="24"/>
                <w:szCs w:val="24"/>
              </w:rPr>
              <w:t xml:space="preserve">ka </w:t>
            </w:r>
            <w:r w:rsidR="00553CB0" w:rsidRPr="00D87D0E">
              <w:rPr>
                <w:color w:val="auto"/>
                <w:sz w:val="24"/>
                <w:szCs w:val="24"/>
              </w:rPr>
              <w:t>persona</w:t>
            </w:r>
            <w:r w:rsidR="00211B96" w:rsidRPr="00D87D0E">
              <w:rPr>
                <w:color w:val="auto"/>
                <w:sz w:val="24"/>
                <w:szCs w:val="24"/>
              </w:rPr>
              <w:t xml:space="preserve"> </w:t>
            </w:r>
            <w:r w:rsidR="00496033" w:rsidRPr="00D87D0E">
              <w:rPr>
                <w:color w:val="auto"/>
                <w:sz w:val="24"/>
                <w:szCs w:val="24"/>
              </w:rPr>
              <w:t xml:space="preserve">neievēro </w:t>
            </w:r>
            <w:r w:rsidR="00BC5B62" w:rsidRPr="00D87D0E">
              <w:rPr>
                <w:color w:val="auto"/>
                <w:sz w:val="24"/>
                <w:szCs w:val="24"/>
              </w:rPr>
              <w:t xml:space="preserve">tādas </w:t>
            </w:r>
            <w:r w:rsidR="00496033" w:rsidRPr="00D87D0E">
              <w:rPr>
                <w:color w:val="auto"/>
                <w:sz w:val="24"/>
                <w:szCs w:val="24"/>
              </w:rPr>
              <w:t>ugunsdrošības prasības</w:t>
            </w:r>
            <w:r w:rsidR="00BC5B62" w:rsidRPr="00D87D0E">
              <w:rPr>
                <w:color w:val="auto"/>
                <w:sz w:val="24"/>
                <w:szCs w:val="24"/>
              </w:rPr>
              <w:t xml:space="preserve">, </w:t>
            </w:r>
            <w:r w:rsidR="0080326B" w:rsidRPr="00D87D0E">
              <w:rPr>
                <w:color w:val="auto"/>
                <w:sz w:val="24"/>
                <w:szCs w:val="24"/>
              </w:rPr>
              <w:t xml:space="preserve">kuru </w:t>
            </w:r>
            <w:r w:rsidR="0080326B" w:rsidRPr="00D87D0E">
              <w:rPr>
                <w:color w:val="auto"/>
                <w:sz w:val="24"/>
                <w:szCs w:val="24"/>
              </w:rPr>
              <w:lastRenderedPageBreak/>
              <w:t>nenodrošināšana</w:t>
            </w:r>
            <w:r w:rsidR="00BC5B62" w:rsidRPr="00D87D0E">
              <w:rPr>
                <w:color w:val="auto"/>
                <w:sz w:val="24"/>
                <w:szCs w:val="24"/>
              </w:rPr>
              <w:t xml:space="preserve"> ietekmē, </w:t>
            </w:r>
            <w:r w:rsidR="00BC5B62" w:rsidRPr="00525F30">
              <w:rPr>
                <w:color w:val="auto"/>
                <w:sz w:val="24"/>
                <w:szCs w:val="24"/>
              </w:rPr>
              <w:t xml:space="preserve">piemēram, </w:t>
            </w:r>
            <w:r w:rsidR="00364BBB" w:rsidRPr="00525F30">
              <w:rPr>
                <w:color w:val="auto"/>
                <w:sz w:val="24"/>
                <w:szCs w:val="24"/>
              </w:rPr>
              <w:t>apkures iekārtu un ierīču drošību, elektrodrošību, cilvēku evakuācijas drošību, ugunsbīstamo darbu veikšanas drošumu, ugunsdzēsības ūdensapgādes un ugunsaizsardzības sistēmu darbspēju, būvdarbu veik</w:t>
            </w:r>
            <w:r w:rsidR="00D87D0E" w:rsidRPr="00525F30">
              <w:rPr>
                <w:color w:val="auto"/>
                <w:sz w:val="24"/>
                <w:szCs w:val="24"/>
              </w:rPr>
              <w:t>šanas drošību vai</w:t>
            </w:r>
            <w:r w:rsidR="00D87D0E" w:rsidRPr="00D87D0E">
              <w:rPr>
                <w:color w:val="auto"/>
                <w:sz w:val="24"/>
                <w:szCs w:val="24"/>
              </w:rPr>
              <w:t xml:space="preserve"> rada apstākļus ugunsgrēka bīstamo faktoru izplatībai ugunsgrēka gadījumā un tml.</w:t>
            </w:r>
          </w:p>
          <w:p w:rsidR="00496033" w:rsidRPr="00BF4D51" w:rsidRDefault="0080326B" w:rsidP="00BF4D51">
            <w:pPr>
              <w:pStyle w:val="tv2131"/>
              <w:spacing w:line="240" w:lineRule="auto"/>
              <w:ind w:firstLine="329"/>
              <w:jc w:val="both"/>
              <w:rPr>
                <w:color w:val="auto"/>
                <w:sz w:val="24"/>
                <w:szCs w:val="24"/>
              </w:rPr>
            </w:pPr>
            <w:r w:rsidRPr="00D87D0E">
              <w:rPr>
                <w:color w:val="auto"/>
                <w:sz w:val="24"/>
                <w:szCs w:val="24"/>
              </w:rPr>
              <w:t xml:space="preserve">Administratīvā pārkāpuma procesu par šā likuma 55.panta pirmajā daļā norādīto administratīvo pārkāpumu VUGD amatpersona neveic, ja konstatē </w:t>
            </w:r>
            <w:r w:rsidR="00496033" w:rsidRPr="00D87D0E">
              <w:rPr>
                <w:color w:val="auto"/>
                <w:sz w:val="24"/>
                <w:szCs w:val="24"/>
              </w:rPr>
              <w:t>formāla rakstura ugunsdroš</w:t>
            </w:r>
            <w:r w:rsidR="00D87D0E">
              <w:rPr>
                <w:color w:val="auto"/>
                <w:sz w:val="24"/>
                <w:szCs w:val="24"/>
              </w:rPr>
              <w:t>ības prasību pārkāpumus</w:t>
            </w:r>
            <w:r w:rsidR="00496033" w:rsidRPr="00D87D0E">
              <w:rPr>
                <w:color w:val="auto"/>
                <w:sz w:val="24"/>
                <w:szCs w:val="24"/>
              </w:rPr>
              <w:t xml:space="preserve">, piemēram, </w:t>
            </w:r>
            <w:r w:rsidR="00750117" w:rsidRPr="00D87D0E">
              <w:rPr>
                <w:color w:val="auto"/>
                <w:sz w:val="24"/>
                <w:szCs w:val="24"/>
              </w:rPr>
              <w:t xml:space="preserve">Ugunsdzēsības aparātu uzskaites žurnālā nav </w:t>
            </w:r>
            <w:r w:rsidR="00E20AB2" w:rsidRPr="00D87D0E">
              <w:rPr>
                <w:color w:val="auto"/>
                <w:sz w:val="24"/>
                <w:szCs w:val="24"/>
              </w:rPr>
              <w:t xml:space="preserve">norādīts </w:t>
            </w:r>
            <w:r w:rsidR="00750117" w:rsidRPr="00D87D0E">
              <w:rPr>
                <w:color w:val="auto"/>
                <w:sz w:val="24"/>
                <w:szCs w:val="24"/>
              </w:rPr>
              <w:t>ugunsdzēsības aparātu nākošās pārbaud</w:t>
            </w:r>
            <w:r w:rsidR="00E20AB2" w:rsidRPr="00D87D0E">
              <w:rPr>
                <w:color w:val="auto"/>
                <w:sz w:val="24"/>
                <w:szCs w:val="24"/>
              </w:rPr>
              <w:t>es datums (to var pārbaudīt uz ugunsdzēsības aparāta korpusa esošās uzlīmes</w:t>
            </w:r>
            <w:r w:rsidR="00BF4D51" w:rsidRPr="00D87D0E">
              <w:rPr>
                <w:color w:val="auto"/>
                <w:sz w:val="24"/>
                <w:szCs w:val="24"/>
              </w:rPr>
              <w:t xml:space="preserve"> </w:t>
            </w:r>
            <w:r w:rsidR="00BF4D51">
              <w:rPr>
                <w:color w:val="auto"/>
                <w:sz w:val="24"/>
                <w:szCs w:val="24"/>
              </w:rPr>
              <w:t>par tehnisko pārbaudi</w:t>
            </w:r>
            <w:r w:rsidR="00E20AB2" w:rsidRPr="00D87D0E">
              <w:rPr>
                <w:color w:val="auto"/>
                <w:sz w:val="24"/>
                <w:szCs w:val="24"/>
              </w:rPr>
              <w:t>)</w:t>
            </w:r>
            <w:r w:rsidR="00750117" w:rsidRPr="00D87D0E">
              <w:rPr>
                <w:color w:val="auto"/>
                <w:sz w:val="24"/>
                <w:szCs w:val="24"/>
              </w:rPr>
              <w:t xml:space="preserve">, Iekšējā ugunsdzēsības ūdensvada ugunsdzēsības krānu pārbaudes žurnālā nav </w:t>
            </w:r>
            <w:r w:rsidR="005417B0" w:rsidRPr="00D87D0E">
              <w:rPr>
                <w:color w:val="auto"/>
                <w:sz w:val="24"/>
                <w:szCs w:val="24"/>
              </w:rPr>
              <w:t>norādīta informācija par ugunsdzēsības kr</w:t>
            </w:r>
            <w:r w:rsidR="003A35FE" w:rsidRPr="00D87D0E">
              <w:rPr>
                <w:color w:val="auto"/>
                <w:sz w:val="24"/>
                <w:szCs w:val="24"/>
              </w:rPr>
              <w:t>ānu</w:t>
            </w:r>
            <w:r w:rsidR="005417B0" w:rsidRPr="00D87D0E">
              <w:rPr>
                <w:color w:val="auto"/>
                <w:sz w:val="24"/>
                <w:szCs w:val="24"/>
              </w:rPr>
              <w:t xml:space="preserve"> darba stāvokli</w:t>
            </w:r>
            <w:r w:rsidR="00E20AB2" w:rsidRPr="00D87D0E">
              <w:rPr>
                <w:color w:val="auto"/>
                <w:sz w:val="24"/>
                <w:szCs w:val="24"/>
              </w:rPr>
              <w:t xml:space="preserve"> (to var pārbaudīt, veicot ugunsdzēsības kr</w:t>
            </w:r>
            <w:r w:rsidR="003A35FE" w:rsidRPr="00D87D0E">
              <w:rPr>
                <w:color w:val="auto"/>
                <w:sz w:val="24"/>
                <w:szCs w:val="24"/>
              </w:rPr>
              <w:t>ānu darbspējas pārbaudi)</w:t>
            </w:r>
            <w:r w:rsidR="005417B0" w:rsidRPr="00D87D0E">
              <w:rPr>
                <w:color w:val="auto"/>
                <w:sz w:val="24"/>
                <w:szCs w:val="24"/>
              </w:rPr>
              <w:t xml:space="preserve"> vai Ugunsaizsardzības sistēmas tehniskās apkopes un  remontdarbu uzskaites žurnālā nav reģistrētas tehnisk</w:t>
            </w:r>
            <w:r w:rsidR="003A35FE" w:rsidRPr="00D87D0E">
              <w:rPr>
                <w:color w:val="auto"/>
                <w:sz w:val="24"/>
                <w:szCs w:val="24"/>
              </w:rPr>
              <w:t>ās apkopes un remontdarbi (par ugunsaizsardzības sist</w:t>
            </w:r>
            <w:r w:rsidRPr="00D87D0E">
              <w:rPr>
                <w:color w:val="auto"/>
                <w:sz w:val="24"/>
                <w:szCs w:val="24"/>
              </w:rPr>
              <w:t xml:space="preserve">ēmas </w:t>
            </w:r>
            <w:r w:rsidR="003A35FE" w:rsidRPr="00D87D0E">
              <w:rPr>
                <w:color w:val="auto"/>
                <w:sz w:val="24"/>
                <w:szCs w:val="24"/>
              </w:rPr>
              <w:t xml:space="preserve">tehnisko stāvokli var pārliecināties, veicot tās darbspējas pārbaudi) </w:t>
            </w:r>
            <w:r w:rsidRPr="00D87D0E">
              <w:rPr>
                <w:color w:val="auto"/>
                <w:sz w:val="24"/>
                <w:szCs w:val="24"/>
              </w:rPr>
              <w:t xml:space="preserve">un </w:t>
            </w:r>
            <w:r w:rsidR="00D87D0E">
              <w:rPr>
                <w:color w:val="auto"/>
                <w:sz w:val="24"/>
                <w:szCs w:val="24"/>
              </w:rPr>
              <w:t xml:space="preserve">tml. </w:t>
            </w:r>
            <w:r w:rsidR="005417B0" w:rsidRPr="00525F30">
              <w:rPr>
                <w:color w:val="auto"/>
                <w:sz w:val="24"/>
                <w:szCs w:val="24"/>
              </w:rPr>
              <w:t>Formāla rakstura ugunsdrošības prasību pārkāpumus amatpersona norāda administratīvajā akt</w:t>
            </w:r>
            <w:r w:rsidRPr="00525F30">
              <w:rPr>
                <w:color w:val="auto"/>
                <w:sz w:val="24"/>
                <w:szCs w:val="24"/>
              </w:rPr>
              <w:t>ā un nosaka to novēršanas</w:t>
            </w:r>
            <w:r w:rsidRPr="00D87D0E">
              <w:rPr>
                <w:color w:val="auto"/>
                <w:sz w:val="24"/>
                <w:szCs w:val="24"/>
              </w:rPr>
              <w:t xml:space="preserve"> termiņu.</w:t>
            </w:r>
            <w:r w:rsidR="00E702DA">
              <w:rPr>
                <w:color w:val="auto"/>
                <w:sz w:val="24"/>
                <w:szCs w:val="24"/>
              </w:rPr>
              <w:t xml:space="preserve"> </w:t>
            </w:r>
            <w:r w:rsidR="00734B0A">
              <w:rPr>
                <w:color w:val="auto"/>
                <w:sz w:val="24"/>
                <w:szCs w:val="24"/>
              </w:rPr>
              <w:t>Šāda a</w:t>
            </w:r>
            <w:r w:rsidR="00E702DA">
              <w:rPr>
                <w:color w:val="auto"/>
                <w:sz w:val="24"/>
                <w:szCs w:val="24"/>
              </w:rPr>
              <w:t>dministratīv</w:t>
            </w:r>
            <w:r w:rsidR="00734B0A">
              <w:rPr>
                <w:color w:val="auto"/>
                <w:sz w:val="24"/>
                <w:szCs w:val="24"/>
              </w:rPr>
              <w:t>ā akta izpilde tiks</w:t>
            </w:r>
            <w:r w:rsidR="00E702DA">
              <w:rPr>
                <w:color w:val="auto"/>
                <w:sz w:val="24"/>
                <w:szCs w:val="24"/>
              </w:rPr>
              <w:t xml:space="preserve"> nodrošināta Administratīvā procesa likum</w:t>
            </w:r>
            <w:r w:rsidR="001549A9">
              <w:rPr>
                <w:color w:val="auto"/>
                <w:sz w:val="24"/>
                <w:szCs w:val="24"/>
              </w:rPr>
              <w:t>ā</w:t>
            </w:r>
            <w:r w:rsidR="00E702DA">
              <w:rPr>
                <w:color w:val="auto"/>
                <w:sz w:val="24"/>
                <w:szCs w:val="24"/>
              </w:rPr>
              <w:t xml:space="preserve"> noteiktajā kārtībā, tai skaitā, ja nepieciešam</w:t>
            </w:r>
            <w:r w:rsidR="001549A9">
              <w:rPr>
                <w:color w:val="auto"/>
                <w:sz w:val="24"/>
                <w:szCs w:val="24"/>
              </w:rPr>
              <w:t>a</w:t>
            </w:r>
            <w:r w:rsidR="00E702DA">
              <w:rPr>
                <w:color w:val="auto"/>
                <w:sz w:val="24"/>
                <w:szCs w:val="24"/>
              </w:rPr>
              <w:t xml:space="preserve"> – </w:t>
            </w:r>
            <w:r w:rsidR="002C6A4B">
              <w:rPr>
                <w:color w:val="auto"/>
                <w:sz w:val="24"/>
                <w:szCs w:val="24"/>
              </w:rPr>
              <w:t xml:space="preserve">īstenojama </w:t>
            </w:r>
            <w:r w:rsidR="001549A9">
              <w:rPr>
                <w:color w:val="auto"/>
                <w:sz w:val="24"/>
                <w:szCs w:val="24"/>
              </w:rPr>
              <w:t xml:space="preserve">administratīvā akta </w:t>
            </w:r>
            <w:r w:rsidR="00E702DA">
              <w:rPr>
                <w:color w:val="auto"/>
                <w:sz w:val="24"/>
                <w:szCs w:val="24"/>
              </w:rPr>
              <w:t>piespiedu izpilde</w:t>
            </w:r>
            <w:r w:rsidR="004C1370">
              <w:rPr>
                <w:color w:val="auto"/>
                <w:sz w:val="24"/>
                <w:szCs w:val="24"/>
              </w:rPr>
              <w:t>.</w:t>
            </w:r>
          </w:p>
          <w:p w:rsidR="00EC1F0C" w:rsidRPr="00E37299" w:rsidRDefault="00870DB9" w:rsidP="008045E3">
            <w:pPr>
              <w:pStyle w:val="tv2131"/>
              <w:spacing w:line="240" w:lineRule="auto"/>
              <w:ind w:firstLine="329"/>
              <w:jc w:val="both"/>
              <w:rPr>
                <w:color w:val="auto"/>
                <w:sz w:val="24"/>
                <w:szCs w:val="24"/>
              </w:rPr>
            </w:pPr>
            <w:r w:rsidRPr="00E37299">
              <w:rPr>
                <w:color w:val="auto"/>
                <w:sz w:val="24"/>
                <w:szCs w:val="24"/>
              </w:rPr>
              <w:t>Toties l</w:t>
            </w:r>
            <w:r w:rsidR="00817FFE" w:rsidRPr="00E37299">
              <w:rPr>
                <w:color w:val="auto"/>
                <w:sz w:val="24"/>
                <w:szCs w:val="24"/>
              </w:rPr>
              <w:t>ikuma 55.panta otrajā daļā</w:t>
            </w:r>
            <w:r w:rsidRPr="00E37299">
              <w:rPr>
                <w:color w:val="auto"/>
                <w:sz w:val="24"/>
                <w:szCs w:val="24"/>
              </w:rPr>
              <w:t xml:space="preserve"> ir paredzēta administratīvā atbildība par </w:t>
            </w:r>
            <w:r w:rsidR="0032404E" w:rsidRPr="00E37299">
              <w:rPr>
                <w:color w:val="auto"/>
                <w:sz w:val="24"/>
                <w:szCs w:val="24"/>
              </w:rPr>
              <w:t xml:space="preserve">normatīvajos aktos noteikto ugunsdrošības </w:t>
            </w:r>
            <w:r w:rsidRPr="00E37299">
              <w:rPr>
                <w:color w:val="auto"/>
                <w:sz w:val="24"/>
                <w:szCs w:val="24"/>
              </w:rPr>
              <w:t>pr</w:t>
            </w:r>
            <w:r w:rsidR="0032404E" w:rsidRPr="00E37299">
              <w:rPr>
                <w:color w:val="auto"/>
                <w:sz w:val="24"/>
                <w:szCs w:val="24"/>
              </w:rPr>
              <w:t>asību neievērošanu, kas izpaudusies kā bezdarbība, kuras rezultātā izcēlies ugunsgrēks</w:t>
            </w:r>
            <w:r w:rsidR="00EC1F0C" w:rsidRPr="00E37299">
              <w:rPr>
                <w:color w:val="auto"/>
                <w:sz w:val="24"/>
                <w:szCs w:val="24"/>
              </w:rPr>
              <w:t>. Administratīvā pārkāpuma procesu par minēto administratīvo pārkāpumu VUGD amatpersona veic gadījumā, kad konstatē, ka ugunsdrošības prasību pārkāpuma rezultātā ir izcēlies ugunsgrēks.</w:t>
            </w:r>
          </w:p>
          <w:p w:rsidR="00682F57" w:rsidRPr="00682F57" w:rsidRDefault="004B66A2" w:rsidP="005272A3">
            <w:pPr>
              <w:pStyle w:val="tv2131"/>
              <w:spacing w:line="240" w:lineRule="auto"/>
              <w:ind w:firstLine="329"/>
              <w:jc w:val="both"/>
              <w:rPr>
                <w:color w:val="auto"/>
                <w:sz w:val="24"/>
                <w:szCs w:val="24"/>
              </w:rPr>
            </w:pPr>
            <w:r w:rsidRPr="003742A9">
              <w:rPr>
                <w:color w:val="auto"/>
                <w:sz w:val="24"/>
                <w:szCs w:val="24"/>
              </w:rPr>
              <w:t>Likuma</w:t>
            </w:r>
            <w:r w:rsidR="00682F57" w:rsidRPr="003742A9">
              <w:rPr>
                <w:color w:val="auto"/>
                <w:sz w:val="24"/>
                <w:szCs w:val="24"/>
              </w:rPr>
              <w:t xml:space="preserve"> 55.panta </w:t>
            </w:r>
            <w:r w:rsidRPr="003742A9">
              <w:rPr>
                <w:color w:val="auto"/>
                <w:sz w:val="24"/>
                <w:szCs w:val="24"/>
              </w:rPr>
              <w:t>trešajā</w:t>
            </w:r>
            <w:r w:rsidR="00682F57" w:rsidRPr="00682F57">
              <w:rPr>
                <w:color w:val="auto"/>
                <w:sz w:val="24"/>
                <w:szCs w:val="24"/>
              </w:rPr>
              <w:t xml:space="preserve"> daļā ir paredzēta administratīvā atbildība par kūlas dedzināšanu. Saskaņā ar </w:t>
            </w:r>
            <w:r w:rsidR="001549A9">
              <w:rPr>
                <w:color w:val="auto"/>
                <w:sz w:val="24"/>
                <w:szCs w:val="24"/>
              </w:rPr>
              <w:t>i</w:t>
            </w:r>
            <w:r w:rsidR="00682F57" w:rsidRPr="00682F57">
              <w:rPr>
                <w:bCs/>
                <w:color w:val="auto"/>
                <w:sz w:val="24"/>
                <w:szCs w:val="24"/>
              </w:rPr>
              <w:t>nformatīvā ziņojuma „Nozaru administratīvo pārkāpumu kodifikācijas ieviešanas sistēma” (</w:t>
            </w:r>
            <w:r w:rsidR="00682F57" w:rsidRPr="00682F57">
              <w:rPr>
                <w:color w:val="auto"/>
                <w:sz w:val="24"/>
                <w:szCs w:val="24"/>
              </w:rPr>
              <w:t xml:space="preserve">Ministru kabineta 2014.gada 22.aprīļa sēdes protokols Nr.24, 26.§) 1.pielikuma 299.punktu, kompetentā institūcija, kas izskata administratīvā pārkāpuma lietas un </w:t>
            </w:r>
            <w:r w:rsidR="00072E8A">
              <w:rPr>
                <w:color w:val="auto"/>
                <w:sz w:val="24"/>
                <w:szCs w:val="24"/>
              </w:rPr>
              <w:t>piemēro</w:t>
            </w:r>
            <w:r w:rsidR="00072E8A" w:rsidRPr="00682F57">
              <w:rPr>
                <w:color w:val="auto"/>
                <w:sz w:val="24"/>
                <w:szCs w:val="24"/>
              </w:rPr>
              <w:t xml:space="preserve"> </w:t>
            </w:r>
            <w:r w:rsidR="00682F57" w:rsidRPr="00682F57">
              <w:rPr>
                <w:color w:val="auto"/>
                <w:sz w:val="24"/>
                <w:szCs w:val="24"/>
              </w:rPr>
              <w:t>administratīvos sodus par kūlas dedzināšanu, ir pašvaldību administratīvās komisijas.</w:t>
            </w:r>
          </w:p>
          <w:p w:rsidR="00022B87" w:rsidRPr="004C1E1D" w:rsidRDefault="00682F57" w:rsidP="00DD6051">
            <w:pPr>
              <w:pStyle w:val="tv2131"/>
              <w:spacing w:line="240" w:lineRule="auto"/>
              <w:ind w:firstLine="32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Šobrīd </w:t>
            </w:r>
            <w:r w:rsidR="00A4017C" w:rsidRPr="00682F57">
              <w:rPr>
                <w:color w:val="auto"/>
                <w:sz w:val="24"/>
                <w:szCs w:val="24"/>
              </w:rPr>
              <w:t xml:space="preserve">LAPK 179.panta otrajā </w:t>
            </w:r>
            <w:r w:rsidR="00A91439" w:rsidRPr="00682F57">
              <w:rPr>
                <w:color w:val="auto"/>
                <w:sz w:val="24"/>
                <w:szCs w:val="24"/>
              </w:rPr>
              <w:t xml:space="preserve">un trešajā </w:t>
            </w:r>
            <w:r w:rsidR="00A4017C" w:rsidRPr="00682F57">
              <w:rPr>
                <w:color w:val="auto"/>
                <w:sz w:val="24"/>
                <w:szCs w:val="24"/>
              </w:rPr>
              <w:t xml:space="preserve">daļā </w:t>
            </w:r>
            <w:r w:rsidR="00A91439" w:rsidRPr="00682F57">
              <w:rPr>
                <w:color w:val="auto"/>
                <w:sz w:val="24"/>
                <w:szCs w:val="24"/>
              </w:rPr>
              <w:t xml:space="preserve">ir paredzēta administratīvā atbildība par </w:t>
            </w:r>
            <w:r w:rsidR="00A91439" w:rsidRPr="00682F57">
              <w:rPr>
                <w:rFonts w:eastAsiaTheme="minorHAnsi"/>
                <w:color w:val="auto"/>
                <w:sz w:val="24"/>
                <w:szCs w:val="24"/>
              </w:rPr>
              <w:t xml:space="preserve">atbilstības ugunsdrošības prasībām nenodrošināšanu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VUGD </w:t>
            </w:r>
            <w:r w:rsidR="00A91439" w:rsidRPr="00682F57">
              <w:rPr>
                <w:rFonts w:eastAsiaTheme="minorHAnsi"/>
                <w:color w:val="auto"/>
                <w:sz w:val="24"/>
                <w:szCs w:val="24"/>
              </w:rPr>
              <w:t>noteiktajā termiņā</w:t>
            </w:r>
            <w:r w:rsidRPr="00682F57">
              <w:rPr>
                <w:rFonts w:eastAsiaTheme="minorHAnsi"/>
                <w:color w:val="auto"/>
                <w:sz w:val="24"/>
                <w:szCs w:val="24"/>
              </w:rPr>
              <w:t>, un p</w:t>
            </w:r>
            <w:r w:rsidR="00A91439" w:rsidRPr="00682F57">
              <w:rPr>
                <w:rFonts w:eastAsiaTheme="minorHAnsi"/>
                <w:color w:val="auto"/>
                <w:sz w:val="24"/>
                <w:szCs w:val="24"/>
              </w:rPr>
              <w:t xml:space="preserve">ar </w:t>
            </w:r>
            <w:r>
              <w:rPr>
                <w:rFonts w:eastAsiaTheme="minorHAnsi"/>
                <w:color w:val="auto"/>
                <w:sz w:val="24"/>
                <w:szCs w:val="24"/>
              </w:rPr>
              <w:t>VUGD</w:t>
            </w:r>
            <w:r w:rsidR="00A91439" w:rsidRPr="00682F57">
              <w:rPr>
                <w:rFonts w:eastAsiaTheme="minorHAnsi"/>
                <w:color w:val="auto"/>
                <w:sz w:val="24"/>
                <w:szCs w:val="24"/>
              </w:rPr>
              <w:t xml:space="preserve"> amatpersonas lēmuma apturēt vai ierobežot būves, tās daļas vai</w:t>
            </w:r>
            <w:r w:rsidRPr="00682F57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A91439" w:rsidRPr="00682F57">
              <w:rPr>
                <w:rFonts w:eastAsiaTheme="minorHAnsi"/>
                <w:color w:val="auto"/>
                <w:sz w:val="24"/>
                <w:szCs w:val="24"/>
              </w:rPr>
              <w:lastRenderedPageBreak/>
              <w:t>iekārtas ekspluatā</w:t>
            </w:r>
            <w:r w:rsidRPr="00682F57">
              <w:rPr>
                <w:rFonts w:eastAsiaTheme="minorHAnsi"/>
                <w:color w:val="auto"/>
                <w:sz w:val="24"/>
                <w:szCs w:val="24"/>
              </w:rPr>
              <w:t xml:space="preserve">ciju, būvdarbus vai produkcijas </w:t>
            </w:r>
            <w:r w:rsidR="00A91439" w:rsidRPr="00682F57">
              <w:rPr>
                <w:rFonts w:eastAsiaTheme="minorHAnsi"/>
                <w:color w:val="auto"/>
                <w:sz w:val="24"/>
                <w:szCs w:val="24"/>
              </w:rPr>
              <w:t>laišanu tirgū nepildīšanu</w:t>
            </w:r>
            <w:r w:rsidRPr="00682F57">
              <w:rPr>
                <w:rFonts w:eastAsiaTheme="minorHAnsi"/>
                <w:color w:val="auto"/>
                <w:sz w:val="24"/>
                <w:szCs w:val="24"/>
              </w:rPr>
              <w:t>. Minētie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administratīvie pārkāpumi izpaužas kā VUGD izdoto administratīvo aktu neizpilde.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4B66A2" w:rsidRPr="003742A9">
              <w:rPr>
                <w:color w:val="auto"/>
                <w:sz w:val="24"/>
                <w:szCs w:val="24"/>
              </w:rPr>
              <w:t>Likuma</w:t>
            </w:r>
            <w:r w:rsidR="00A4017C">
              <w:rPr>
                <w:color w:val="auto"/>
                <w:sz w:val="24"/>
                <w:szCs w:val="24"/>
              </w:rPr>
              <w:t xml:space="preserve"> 55.pantā </w:t>
            </w:r>
            <w:r w:rsidR="007D768E">
              <w:rPr>
                <w:color w:val="auto"/>
                <w:sz w:val="24"/>
                <w:szCs w:val="24"/>
              </w:rPr>
              <w:t xml:space="preserve">netiek paredzēta administratīvā atbildība par </w:t>
            </w:r>
            <w:r>
              <w:rPr>
                <w:color w:val="auto"/>
                <w:sz w:val="24"/>
                <w:szCs w:val="24"/>
              </w:rPr>
              <w:t>VUGD</w:t>
            </w:r>
            <w:r w:rsidR="007D768E">
              <w:rPr>
                <w:color w:val="auto"/>
                <w:sz w:val="24"/>
                <w:szCs w:val="24"/>
              </w:rPr>
              <w:t xml:space="preserve"> izdoto admin</w:t>
            </w:r>
            <w:r>
              <w:rPr>
                <w:color w:val="auto"/>
                <w:sz w:val="24"/>
                <w:szCs w:val="24"/>
              </w:rPr>
              <w:t>istratīvo aktu nepildīšanu. VUGD</w:t>
            </w:r>
            <w:r w:rsidR="007D768E">
              <w:rPr>
                <w:color w:val="auto"/>
                <w:sz w:val="24"/>
                <w:szCs w:val="24"/>
              </w:rPr>
              <w:t xml:space="preserve"> </w:t>
            </w:r>
            <w:r w:rsidR="00022B87">
              <w:rPr>
                <w:color w:val="auto"/>
                <w:sz w:val="24"/>
                <w:szCs w:val="24"/>
              </w:rPr>
              <w:t>administratīvo aktu izpilde tiks</w:t>
            </w:r>
            <w:r w:rsidR="007D768E">
              <w:rPr>
                <w:color w:val="auto"/>
                <w:sz w:val="24"/>
                <w:szCs w:val="24"/>
              </w:rPr>
              <w:t xml:space="preserve"> nodrošināta administratīvā procesa ietvaros, proti, </w:t>
            </w:r>
            <w:r w:rsidR="000C10EA">
              <w:rPr>
                <w:color w:val="auto"/>
                <w:sz w:val="24"/>
                <w:szCs w:val="24"/>
              </w:rPr>
              <w:t xml:space="preserve">paredzot, ka </w:t>
            </w:r>
            <w:r w:rsidR="007D768E">
              <w:rPr>
                <w:color w:val="auto"/>
                <w:sz w:val="24"/>
                <w:szCs w:val="24"/>
              </w:rPr>
              <w:t xml:space="preserve">par administratīvā akta neizpildi adresātam </w:t>
            </w:r>
            <w:r w:rsidR="004B66A2">
              <w:rPr>
                <w:color w:val="auto"/>
                <w:sz w:val="24"/>
                <w:szCs w:val="24"/>
              </w:rPr>
              <w:t xml:space="preserve">var tikt </w:t>
            </w:r>
            <w:r w:rsidR="004B66A2" w:rsidRPr="003742A9">
              <w:rPr>
                <w:color w:val="auto"/>
                <w:sz w:val="24"/>
                <w:szCs w:val="24"/>
              </w:rPr>
              <w:t>piemēroti</w:t>
            </w:r>
            <w:r w:rsidR="00533FD3" w:rsidRPr="003742A9">
              <w:rPr>
                <w:color w:val="auto"/>
                <w:sz w:val="24"/>
                <w:szCs w:val="24"/>
              </w:rPr>
              <w:t xml:space="preserve"> </w:t>
            </w:r>
            <w:r w:rsidR="004B66A2" w:rsidRPr="003742A9">
              <w:rPr>
                <w:color w:val="auto"/>
                <w:sz w:val="24"/>
                <w:szCs w:val="24"/>
              </w:rPr>
              <w:t xml:space="preserve">administratīvā akta piespiedu izpildes līdzekļi </w:t>
            </w:r>
            <w:r w:rsidR="007D768E" w:rsidRPr="003742A9">
              <w:rPr>
                <w:color w:val="auto"/>
                <w:sz w:val="24"/>
                <w:szCs w:val="24"/>
              </w:rPr>
              <w:t>saskaņā ar A</w:t>
            </w:r>
            <w:r w:rsidR="004B66A2" w:rsidRPr="003742A9">
              <w:rPr>
                <w:color w:val="auto"/>
                <w:sz w:val="24"/>
                <w:szCs w:val="24"/>
              </w:rPr>
              <w:t>dministratīvā procesa likuma 368</w:t>
            </w:r>
            <w:r w:rsidR="007D768E" w:rsidRPr="003742A9">
              <w:rPr>
                <w:color w:val="auto"/>
                <w:sz w:val="24"/>
                <w:szCs w:val="24"/>
              </w:rPr>
              <w:t>.pantu.</w:t>
            </w:r>
          </w:p>
        </w:tc>
      </w:tr>
      <w:tr w:rsidR="0080326B" w:rsidRPr="00D17F2E" w:rsidTr="00C4715D">
        <w:trPr>
          <w:jc w:val="center"/>
        </w:trPr>
        <w:tc>
          <w:tcPr>
            <w:tcW w:w="675" w:type="dxa"/>
          </w:tcPr>
          <w:p w:rsidR="00C4715D" w:rsidRPr="00303FB9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977" w:type="dxa"/>
          </w:tcPr>
          <w:p w:rsidR="00C4715D" w:rsidRPr="00303FB9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Projekta izstrādē iesaistītās institūcijas</w:t>
            </w:r>
          </w:p>
        </w:tc>
        <w:tc>
          <w:tcPr>
            <w:tcW w:w="5670" w:type="dxa"/>
          </w:tcPr>
          <w:p w:rsidR="00C4715D" w:rsidRPr="00303FB9" w:rsidRDefault="006F10A8" w:rsidP="001549A9">
            <w:pPr>
              <w:tabs>
                <w:tab w:val="left" w:pos="299"/>
                <w:tab w:val="left" w:pos="455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Iekšlietu ministrija, V</w:t>
            </w:r>
            <w:r w:rsidR="001549A9">
              <w:rPr>
                <w:rFonts w:ascii="Times New Roman" w:hAnsi="Times New Roman"/>
                <w:sz w:val="24"/>
                <w:szCs w:val="24"/>
                <w:lang w:val="lv-LV"/>
              </w:rPr>
              <w:t>UGD</w:t>
            </w: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0326B" w:rsidRPr="00303FB9" w:rsidTr="00C4715D">
        <w:trPr>
          <w:jc w:val="center"/>
        </w:trPr>
        <w:tc>
          <w:tcPr>
            <w:tcW w:w="675" w:type="dxa"/>
          </w:tcPr>
          <w:p w:rsidR="00C4715D" w:rsidRPr="00303FB9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77" w:type="dxa"/>
          </w:tcPr>
          <w:p w:rsidR="00C4715D" w:rsidRPr="00303FB9" w:rsidRDefault="00C4715D" w:rsidP="00C4715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670" w:type="dxa"/>
          </w:tcPr>
          <w:p w:rsidR="00C4715D" w:rsidRPr="00043DAC" w:rsidRDefault="00043DAC" w:rsidP="00043DA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lv-LV"/>
              </w:rPr>
            </w:pPr>
            <w:r w:rsidRPr="00043DAC">
              <w:rPr>
                <w:rFonts w:ascii="Times New Roman" w:hAnsi="Times New Roman"/>
                <w:sz w:val="24"/>
                <w:szCs w:val="24"/>
                <w:lang w:val="lv-LV"/>
              </w:rPr>
              <w:t>Likumprojekts saskaņā ar Ministru kabineta 2014. gada 22. aprīļa sēdes protokola Nr. 24 26. § „I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nformatīvais ziņojums </w:t>
            </w:r>
            <w:r w:rsidRPr="00043DAC"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Nozaru administratīvo </w:t>
            </w:r>
            <w:r w:rsidRPr="00043DA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pārkāpumu kodifikācijas ieviešanas sistēma”” 2.2. apakšpunktā noteikto tika izskatīts un atbalstīts Tieslietu ministrijas izveidotajā Latvijas Administratīvo pārkāpumu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kodeksa pastāvīgās darba grupas </w:t>
            </w:r>
            <w:r w:rsidRPr="00043DAC">
              <w:rPr>
                <w:rFonts w:ascii="Times New Roman" w:hAnsi="Times New Roman"/>
                <w:sz w:val="24"/>
                <w:szCs w:val="24"/>
                <w:lang w:val="lv-LV"/>
              </w:rPr>
              <w:t>2016. gada 25. augusta sēdē.</w:t>
            </w:r>
          </w:p>
        </w:tc>
      </w:tr>
    </w:tbl>
    <w:p w:rsidR="00C4715D" w:rsidRPr="00B1247C" w:rsidRDefault="00C4715D" w:rsidP="00FF768A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2884"/>
        <w:gridCol w:w="5393"/>
      </w:tblGrid>
      <w:tr w:rsidR="00C4715D" w:rsidRPr="001549A9" w:rsidTr="00DA5EB0">
        <w:trPr>
          <w:jc w:val="center"/>
        </w:trPr>
        <w:tc>
          <w:tcPr>
            <w:tcW w:w="9464" w:type="dxa"/>
            <w:gridSpan w:val="3"/>
          </w:tcPr>
          <w:p w:rsidR="00C4715D" w:rsidRPr="005A3BDE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A3B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814D4A" w:rsidRPr="001549A9" w:rsidTr="00DA5EB0">
        <w:trPr>
          <w:jc w:val="center"/>
        </w:trPr>
        <w:tc>
          <w:tcPr>
            <w:tcW w:w="817" w:type="dxa"/>
          </w:tcPr>
          <w:p w:rsidR="00C4715D" w:rsidRPr="00303FB9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77" w:type="dxa"/>
          </w:tcPr>
          <w:p w:rsidR="00C4715D" w:rsidRPr="00303FB9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5670" w:type="dxa"/>
          </w:tcPr>
          <w:p w:rsidR="00F81E35" w:rsidRDefault="00C1393E" w:rsidP="00CD6B08">
            <w:pPr>
              <w:ind w:firstLine="22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1393E">
              <w:rPr>
                <w:rFonts w:ascii="Times New Roman" w:hAnsi="Times New Roman"/>
                <w:sz w:val="24"/>
                <w:szCs w:val="24"/>
                <w:lang w:val="lv-LV"/>
              </w:rPr>
              <w:t>Likumprojekta tiesiskais regulējums ietekmēs</w:t>
            </w:r>
            <w:r w:rsidR="00F81E3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020A5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visas </w:t>
            </w:r>
            <w:r w:rsidR="00F81E3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fiziskās un juridiskās personas, kurām ir jāievēro ugunsdrošības </w:t>
            </w:r>
            <w:r w:rsidR="00F81E35" w:rsidRPr="00F81E35">
              <w:rPr>
                <w:rFonts w:ascii="Times New Roman" w:hAnsi="Times New Roman"/>
                <w:sz w:val="24"/>
                <w:szCs w:val="24"/>
                <w:lang w:val="lv-LV"/>
              </w:rPr>
              <w:t>prasības, lai novērstu un sekmīgi dzēstu ugunsgr</w:t>
            </w:r>
            <w:r w:rsidR="00BF48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ēkus, kā arī mazinātu to </w:t>
            </w:r>
            <w:r w:rsidR="00BF4831" w:rsidRPr="006612F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sekas, kā arī </w:t>
            </w:r>
            <w:r w:rsidR="00682F57" w:rsidRPr="006612F5">
              <w:rPr>
                <w:rFonts w:ascii="Times New Roman" w:hAnsi="Times New Roman"/>
                <w:sz w:val="24"/>
                <w:szCs w:val="24"/>
                <w:lang w:val="lv-LV"/>
              </w:rPr>
              <w:t>VUGD</w:t>
            </w:r>
            <w:r w:rsidR="00BF4831" w:rsidRPr="006612F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amatpersonas ar speciālajām dienesta pakāp</w:t>
            </w:r>
            <w:r w:rsidR="001E2FF7" w:rsidRPr="006612F5">
              <w:rPr>
                <w:rFonts w:ascii="Times New Roman" w:hAnsi="Times New Roman"/>
                <w:sz w:val="24"/>
                <w:szCs w:val="24"/>
                <w:lang w:val="lv-LV"/>
              </w:rPr>
              <w:t>ēm, kas</w:t>
            </w:r>
            <w:r w:rsidR="00BF4831" w:rsidRPr="006612F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veic ugunsdrošības uzraudzību un tās ietvaros piemēro administrat</w:t>
            </w:r>
            <w:r w:rsidR="00A4017C" w:rsidRPr="006612F5">
              <w:rPr>
                <w:rFonts w:ascii="Times New Roman" w:hAnsi="Times New Roman"/>
                <w:sz w:val="24"/>
                <w:szCs w:val="24"/>
                <w:lang w:val="lv-LV"/>
              </w:rPr>
              <w:t>īvos sodus</w:t>
            </w:r>
            <w:r w:rsidR="00A91439" w:rsidRPr="006612F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251137" w:rsidRDefault="00682F57" w:rsidP="00CD6B08">
            <w:pPr>
              <w:ind w:firstLine="22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VUGD</w:t>
            </w:r>
            <w:r w:rsidR="0025113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amatpersonas ar speciālajām dienesta pakāpēm 2014.gadā veica 8003 ugunsdrošības pārbaudes, 2013.gadā – 8485 ugunsdrošības pārbaudes.</w:t>
            </w:r>
          </w:p>
          <w:p w:rsidR="00307D4D" w:rsidRPr="00F81E35" w:rsidRDefault="00307D4D" w:rsidP="00742E40">
            <w:pPr>
              <w:ind w:firstLine="22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Pēc </w:t>
            </w:r>
            <w:r w:rsidR="00FF768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LAPK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179.panta pirmās daļas 2014.gadā pie administratīvās atbildības sauktas </w:t>
            </w:r>
            <w:r w:rsidR="00FF768A">
              <w:rPr>
                <w:rFonts w:ascii="Times New Roman" w:hAnsi="Times New Roman"/>
                <w:sz w:val="24"/>
                <w:szCs w:val="24"/>
                <w:lang w:val="lv-LV"/>
              </w:rPr>
              <w:t>292 fiziskās</w:t>
            </w:r>
            <w:r w:rsidR="00361E6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F768A">
              <w:rPr>
                <w:rFonts w:ascii="Times New Roman" w:hAnsi="Times New Roman"/>
                <w:sz w:val="24"/>
                <w:szCs w:val="24"/>
                <w:lang w:val="lv-LV"/>
              </w:rPr>
              <w:t>un 92 juridiskās persona</w:t>
            </w:r>
            <w:r w:rsidR="00B3472C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361E6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="00B3472C">
              <w:rPr>
                <w:rFonts w:ascii="Times New Roman" w:hAnsi="Times New Roman"/>
                <w:sz w:val="24"/>
                <w:szCs w:val="24"/>
                <w:lang w:val="lv-LV"/>
              </w:rPr>
              <w:t>pēc 179.panta otrās daļas – astoņas</w:t>
            </w:r>
            <w:r w:rsidR="00FF768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fiziskās un 10 juridiskās personas.</w:t>
            </w:r>
          </w:p>
        </w:tc>
      </w:tr>
      <w:tr w:rsidR="00814D4A" w:rsidRPr="001549A9" w:rsidTr="00DA5EB0">
        <w:trPr>
          <w:jc w:val="center"/>
        </w:trPr>
        <w:tc>
          <w:tcPr>
            <w:tcW w:w="817" w:type="dxa"/>
          </w:tcPr>
          <w:p w:rsidR="00C4715D" w:rsidRPr="00303FB9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77" w:type="dxa"/>
          </w:tcPr>
          <w:p w:rsidR="00C4715D" w:rsidRPr="00303FB9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Tiesiskā regulējuma ietekme uz tautsaimniecību un administratīvo slogu</w:t>
            </w:r>
          </w:p>
        </w:tc>
        <w:tc>
          <w:tcPr>
            <w:tcW w:w="5670" w:type="dxa"/>
          </w:tcPr>
          <w:p w:rsidR="00392072" w:rsidRPr="00303FB9" w:rsidRDefault="00020A51" w:rsidP="00CD6B08">
            <w:pPr>
              <w:ind w:firstLine="22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Fiziskajām un juridiskajām personām </w:t>
            </w:r>
            <w:r w:rsidR="006F10A8" w:rsidRPr="00303FB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administratīvais slogs nemainās un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likum</w:t>
            </w:r>
            <w:r w:rsidR="006F10A8" w:rsidRPr="00303FB9">
              <w:rPr>
                <w:rFonts w:ascii="Times New Roman" w:hAnsi="Times New Roman"/>
                <w:sz w:val="24"/>
                <w:szCs w:val="24"/>
                <w:lang w:val="lv-LV"/>
              </w:rPr>
              <w:t>projekta tiesiskais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regulējums nemaina to tiesības, pienākumus un </w:t>
            </w:r>
            <w:r w:rsidR="006F10A8" w:rsidRPr="00303FB9">
              <w:rPr>
                <w:rFonts w:ascii="Times New Roman" w:hAnsi="Times New Roman"/>
                <w:sz w:val="24"/>
                <w:szCs w:val="24"/>
                <w:lang w:val="lv-LV"/>
              </w:rPr>
              <w:t>veicamās darbības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14D4A" w:rsidRPr="001549A9" w:rsidTr="00DA5EB0">
        <w:trPr>
          <w:jc w:val="center"/>
        </w:trPr>
        <w:tc>
          <w:tcPr>
            <w:tcW w:w="817" w:type="dxa"/>
          </w:tcPr>
          <w:p w:rsidR="00C4715D" w:rsidRPr="00303FB9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977" w:type="dxa"/>
          </w:tcPr>
          <w:p w:rsidR="00C4715D" w:rsidRPr="00A15D73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5D73">
              <w:rPr>
                <w:rFonts w:ascii="Times New Roman" w:hAnsi="Times New Roman"/>
                <w:sz w:val="24"/>
                <w:szCs w:val="24"/>
                <w:lang w:val="lv-LV"/>
              </w:rPr>
              <w:t>Administratīvo izmaksu monetārs novērtējums</w:t>
            </w:r>
          </w:p>
        </w:tc>
        <w:tc>
          <w:tcPr>
            <w:tcW w:w="5670" w:type="dxa"/>
          </w:tcPr>
          <w:p w:rsidR="00814D4A" w:rsidRPr="00A15D73" w:rsidRDefault="00814D4A" w:rsidP="00960BBB">
            <w:pPr>
              <w:ind w:firstLine="22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742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Administratīvās izmaksas </w:t>
            </w:r>
            <w:r w:rsidR="00682F57" w:rsidRPr="003742A9">
              <w:rPr>
                <w:rFonts w:ascii="Times New Roman" w:hAnsi="Times New Roman"/>
                <w:sz w:val="24"/>
                <w:szCs w:val="24"/>
                <w:lang w:val="lv-LV"/>
              </w:rPr>
              <w:t>VUGD</w:t>
            </w:r>
            <w:r w:rsidRPr="003742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kas veidojas, </w:t>
            </w:r>
            <w:r w:rsidR="0082009F" w:rsidRPr="003742A9">
              <w:rPr>
                <w:rFonts w:ascii="Times New Roman" w:hAnsi="Times New Roman"/>
                <w:sz w:val="24"/>
                <w:szCs w:val="24"/>
                <w:lang w:val="lv-LV"/>
              </w:rPr>
              <w:t>veicot administratīvā pārkāpuma procesu</w:t>
            </w:r>
            <w:r w:rsidR="00960BBB" w:rsidRPr="003742A9">
              <w:rPr>
                <w:rFonts w:ascii="Times New Roman" w:hAnsi="Times New Roman"/>
                <w:sz w:val="24"/>
                <w:szCs w:val="24"/>
                <w:lang w:val="lv-LV"/>
              </w:rPr>
              <w:t>s ugunsdrošības jomā</w:t>
            </w:r>
            <w:r w:rsidR="00187BEE" w:rsidRPr="003742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3742A9">
              <w:rPr>
                <w:rFonts w:ascii="Times New Roman" w:hAnsi="Times New Roman"/>
                <w:sz w:val="24"/>
                <w:szCs w:val="24"/>
                <w:lang w:val="lv-LV"/>
              </w:rPr>
              <w:t>ir</w:t>
            </w:r>
            <w:r w:rsidRPr="008200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331ECA" w:rsidRPr="008200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parādītas pielikumā. </w:t>
            </w:r>
          </w:p>
        </w:tc>
      </w:tr>
      <w:tr w:rsidR="00814D4A" w:rsidRPr="00303FB9" w:rsidTr="00DA5EB0">
        <w:trPr>
          <w:jc w:val="center"/>
        </w:trPr>
        <w:tc>
          <w:tcPr>
            <w:tcW w:w="817" w:type="dxa"/>
          </w:tcPr>
          <w:p w:rsidR="00C4715D" w:rsidRPr="00303FB9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77" w:type="dxa"/>
          </w:tcPr>
          <w:p w:rsidR="00C4715D" w:rsidRPr="00303FB9" w:rsidRDefault="00C4715D" w:rsidP="00C4715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670" w:type="dxa"/>
          </w:tcPr>
          <w:p w:rsidR="00C4715D" w:rsidRPr="00303FB9" w:rsidRDefault="00FF768A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  <w:r w:rsidR="00D5626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4F4B5E" w:rsidRPr="00B1247C" w:rsidRDefault="004F4B5E" w:rsidP="004F4B5E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4F4B5E" w:rsidRPr="001549A9" w:rsidTr="00611477">
        <w:trPr>
          <w:jc w:val="center"/>
        </w:trPr>
        <w:tc>
          <w:tcPr>
            <w:tcW w:w="9288" w:type="dxa"/>
          </w:tcPr>
          <w:p w:rsidR="004F4B5E" w:rsidRPr="005A3BDE" w:rsidRDefault="004F4B5E" w:rsidP="004F4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A3B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III. Tiesību akta projekta ietekme uz valsts un pašvaldību budžetiem</w:t>
            </w:r>
          </w:p>
        </w:tc>
      </w:tr>
      <w:tr w:rsidR="004F4B5E" w:rsidRPr="00303FB9" w:rsidTr="00611477">
        <w:trPr>
          <w:jc w:val="center"/>
        </w:trPr>
        <w:tc>
          <w:tcPr>
            <w:tcW w:w="9288" w:type="dxa"/>
          </w:tcPr>
          <w:p w:rsidR="004F4B5E" w:rsidRPr="002912FF" w:rsidRDefault="00FF768A" w:rsidP="00FF76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12FF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Likump</w:t>
            </w:r>
            <w:r w:rsidR="004F4B5E" w:rsidRPr="002912FF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rojekts šo jomu neskar</w:t>
            </w:r>
            <w:r w:rsidR="00D56264" w:rsidRPr="002912FF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.</w:t>
            </w:r>
          </w:p>
        </w:tc>
      </w:tr>
    </w:tbl>
    <w:p w:rsidR="004F4B5E" w:rsidRPr="00B1247C" w:rsidRDefault="004F4B5E" w:rsidP="004F4B5E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724F" w:rsidRPr="001549A9" w:rsidTr="00743E55">
        <w:tc>
          <w:tcPr>
            <w:tcW w:w="9067" w:type="dxa"/>
          </w:tcPr>
          <w:p w:rsidR="00C9724F" w:rsidRPr="00C9724F" w:rsidRDefault="00C9724F" w:rsidP="00C9724F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9724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IV. Tiesību akta projekta ietekme uz spēkā esošo tiesu normu sistēmu</w:t>
            </w:r>
          </w:p>
        </w:tc>
      </w:tr>
      <w:tr w:rsidR="00F03300" w:rsidRPr="00D17F2E" w:rsidTr="00743E55">
        <w:tc>
          <w:tcPr>
            <w:tcW w:w="9067" w:type="dxa"/>
          </w:tcPr>
          <w:p w:rsidR="00F03300" w:rsidRPr="00C9724F" w:rsidRDefault="00F03300" w:rsidP="00C972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12FF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Likumprojekts šo jomu neskar.</w:t>
            </w:r>
          </w:p>
        </w:tc>
      </w:tr>
    </w:tbl>
    <w:p w:rsidR="00C9724F" w:rsidRPr="00B1247C" w:rsidRDefault="00C9724F" w:rsidP="004F4B5E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4F4B5E" w:rsidRPr="00D17F2E" w:rsidTr="00786AF7">
        <w:trPr>
          <w:jc w:val="center"/>
        </w:trPr>
        <w:tc>
          <w:tcPr>
            <w:tcW w:w="9288" w:type="dxa"/>
          </w:tcPr>
          <w:p w:rsidR="004F4B5E" w:rsidRPr="005A3BDE" w:rsidRDefault="004F4B5E" w:rsidP="00786A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A3B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V.</w:t>
            </w:r>
            <w:r w:rsidR="005A3B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5A3BDE" w:rsidRPr="005A3B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Tiesību akta projekta atbilstība Latvijas Republikas starptautiskajām saistībām</w:t>
            </w:r>
          </w:p>
        </w:tc>
      </w:tr>
      <w:tr w:rsidR="004F4B5E" w:rsidRPr="00303FB9" w:rsidTr="00786AF7">
        <w:trPr>
          <w:jc w:val="center"/>
        </w:trPr>
        <w:tc>
          <w:tcPr>
            <w:tcW w:w="9288" w:type="dxa"/>
          </w:tcPr>
          <w:p w:rsidR="004F4B5E" w:rsidRPr="002912FF" w:rsidRDefault="00FF768A" w:rsidP="00786A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12FF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Likumprojekts šo jomu neskar</w:t>
            </w:r>
            <w:r w:rsidR="00D56264" w:rsidRPr="002912FF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.</w:t>
            </w:r>
          </w:p>
        </w:tc>
      </w:tr>
    </w:tbl>
    <w:p w:rsidR="004F4B5E" w:rsidRDefault="004F4B5E" w:rsidP="004F4B5E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4F4B5E" w:rsidRPr="001549A9" w:rsidTr="00786AF7">
        <w:trPr>
          <w:jc w:val="center"/>
        </w:trPr>
        <w:tc>
          <w:tcPr>
            <w:tcW w:w="9288" w:type="dxa"/>
          </w:tcPr>
          <w:p w:rsidR="004F4B5E" w:rsidRPr="005A3BDE" w:rsidRDefault="004F4B5E" w:rsidP="00786A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A3B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VI.</w:t>
            </w:r>
            <w:r w:rsidR="005A3B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5A3BDE" w:rsidRPr="005A3B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Sabiedrības līdzdalība un komunikācijas aktivitātes</w:t>
            </w:r>
          </w:p>
        </w:tc>
      </w:tr>
      <w:tr w:rsidR="004F4B5E" w:rsidRPr="00303FB9" w:rsidTr="00786AF7">
        <w:trPr>
          <w:jc w:val="center"/>
        </w:trPr>
        <w:tc>
          <w:tcPr>
            <w:tcW w:w="9288" w:type="dxa"/>
          </w:tcPr>
          <w:p w:rsidR="004F4B5E" w:rsidRPr="002912FF" w:rsidRDefault="00FF768A" w:rsidP="00786A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12FF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Likumprojekts šo jomu neskar</w:t>
            </w:r>
            <w:r w:rsidR="00D56264" w:rsidRPr="002912FF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.</w:t>
            </w:r>
          </w:p>
        </w:tc>
      </w:tr>
    </w:tbl>
    <w:p w:rsidR="004F4B5E" w:rsidRPr="00B1247C" w:rsidRDefault="004F4B5E" w:rsidP="004F4B5E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2890"/>
        <w:gridCol w:w="5385"/>
      </w:tblGrid>
      <w:tr w:rsidR="00DA5EB0" w:rsidRPr="001549A9" w:rsidTr="00DA5EB0">
        <w:trPr>
          <w:jc w:val="center"/>
        </w:trPr>
        <w:tc>
          <w:tcPr>
            <w:tcW w:w="9464" w:type="dxa"/>
            <w:gridSpan w:val="3"/>
          </w:tcPr>
          <w:p w:rsidR="00DA5EB0" w:rsidRPr="005A3BDE" w:rsidRDefault="00DA5EB0" w:rsidP="00DA5EB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A3B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VII. Tiesību akta projekta izpildes nodrošināšana un tās ietekme uz institūcijām</w:t>
            </w:r>
          </w:p>
        </w:tc>
      </w:tr>
      <w:tr w:rsidR="00DA5EB0" w:rsidRPr="00D17F2E" w:rsidTr="00DA5EB0">
        <w:trPr>
          <w:jc w:val="center"/>
        </w:trPr>
        <w:tc>
          <w:tcPr>
            <w:tcW w:w="817" w:type="dxa"/>
          </w:tcPr>
          <w:p w:rsidR="00DA5EB0" w:rsidRPr="00303FB9" w:rsidRDefault="00DA5EB0" w:rsidP="00DA5EB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77" w:type="dxa"/>
          </w:tcPr>
          <w:p w:rsidR="00DA5EB0" w:rsidRPr="00303FB9" w:rsidRDefault="00DA5EB0" w:rsidP="00DA5EB0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5670" w:type="dxa"/>
          </w:tcPr>
          <w:p w:rsidR="00DA5EB0" w:rsidRPr="00303FB9" w:rsidRDefault="00D3197C" w:rsidP="003A3B2F">
            <w:pPr>
              <w:tabs>
                <w:tab w:val="left" w:pos="488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3A3B2F">
              <w:rPr>
                <w:rFonts w:ascii="Times New Roman" w:hAnsi="Times New Roman"/>
                <w:sz w:val="24"/>
                <w:szCs w:val="24"/>
                <w:lang w:val="lv-LV"/>
              </w:rPr>
              <w:t>UGD</w:t>
            </w: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DA5EB0" w:rsidRPr="001549A9" w:rsidTr="00DA5EB0">
        <w:trPr>
          <w:jc w:val="center"/>
        </w:trPr>
        <w:tc>
          <w:tcPr>
            <w:tcW w:w="817" w:type="dxa"/>
          </w:tcPr>
          <w:p w:rsidR="00DA5EB0" w:rsidRPr="00303FB9" w:rsidRDefault="00DA5EB0" w:rsidP="00DA5EB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77" w:type="dxa"/>
          </w:tcPr>
          <w:p w:rsidR="00DA5EB0" w:rsidRPr="00303FB9" w:rsidRDefault="00DA5EB0" w:rsidP="00DA5EB0">
            <w:pPr>
              <w:pStyle w:val="naisf"/>
              <w:spacing w:before="0" w:beforeAutospacing="0" w:after="0" w:afterAutospacing="0"/>
              <w:ind w:right="57"/>
              <w:jc w:val="both"/>
            </w:pPr>
            <w:r w:rsidRPr="00303FB9">
              <w:t>Projekta izpildes ietekme uz pār</w:t>
            </w:r>
            <w:r w:rsidRPr="00303FB9">
              <w:softHyphen/>
              <w:t>valdes funkcijām un institucionālo struktūru.</w:t>
            </w:r>
          </w:p>
          <w:p w:rsidR="00DA5EB0" w:rsidRPr="00303FB9" w:rsidRDefault="00DA5EB0" w:rsidP="00DA5EB0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670" w:type="dxa"/>
          </w:tcPr>
          <w:p w:rsidR="006F10A8" w:rsidRPr="002912FF" w:rsidRDefault="00FF768A" w:rsidP="006F10A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2912FF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Likumprojekts šo jomu neskar</w:t>
            </w:r>
            <w:r w:rsidRPr="002912FF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  <w:p w:rsidR="006F10A8" w:rsidRPr="00303FB9" w:rsidRDefault="006F10A8" w:rsidP="006F10A8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  <w:p w:rsidR="00DA5EB0" w:rsidRPr="00303FB9" w:rsidRDefault="00DA5EB0" w:rsidP="00FF768A">
            <w:pPr>
              <w:tabs>
                <w:tab w:val="left" w:pos="463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5EB0" w:rsidRPr="00303FB9" w:rsidTr="00DA5EB0">
        <w:trPr>
          <w:jc w:val="center"/>
        </w:trPr>
        <w:tc>
          <w:tcPr>
            <w:tcW w:w="817" w:type="dxa"/>
          </w:tcPr>
          <w:p w:rsidR="00DA5EB0" w:rsidRPr="00303FB9" w:rsidRDefault="00DA5EB0" w:rsidP="00DA5EB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977" w:type="dxa"/>
          </w:tcPr>
          <w:p w:rsidR="00DA5EB0" w:rsidRPr="00303FB9" w:rsidRDefault="00DA5EB0" w:rsidP="00DA5EB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670" w:type="dxa"/>
          </w:tcPr>
          <w:p w:rsidR="00DA5EB0" w:rsidRPr="00303FB9" w:rsidRDefault="00DA5EB0" w:rsidP="00DA5EB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3FB9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  <w:r w:rsidR="00D5626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DA5EB0" w:rsidRDefault="00DA5EB0" w:rsidP="00B124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240DD" w:rsidRDefault="004240DD" w:rsidP="00B124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A5EB0" w:rsidRPr="00303FB9" w:rsidRDefault="00DA5EB0" w:rsidP="00DA5EB0">
      <w:pPr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  <w:r w:rsidRPr="00303FB9">
        <w:rPr>
          <w:rFonts w:ascii="Times New Roman" w:hAnsi="Times New Roman"/>
          <w:sz w:val="28"/>
          <w:szCs w:val="28"/>
          <w:lang w:val="lv-LV"/>
        </w:rPr>
        <w:t>Iekšlietu ministrs</w:t>
      </w:r>
      <w:r w:rsidRPr="00303FB9">
        <w:rPr>
          <w:rFonts w:ascii="Times New Roman" w:hAnsi="Times New Roman"/>
          <w:sz w:val="28"/>
          <w:szCs w:val="28"/>
          <w:lang w:val="lv-LV"/>
        </w:rPr>
        <w:tab/>
      </w:r>
      <w:r w:rsidRPr="00303FB9">
        <w:rPr>
          <w:rFonts w:ascii="Times New Roman" w:hAnsi="Times New Roman"/>
          <w:sz w:val="28"/>
          <w:szCs w:val="28"/>
          <w:lang w:val="lv-LV"/>
        </w:rPr>
        <w:tab/>
      </w:r>
      <w:r w:rsidRPr="00303FB9">
        <w:rPr>
          <w:rFonts w:ascii="Times New Roman" w:hAnsi="Times New Roman"/>
          <w:sz w:val="28"/>
          <w:szCs w:val="28"/>
          <w:lang w:val="lv-LV"/>
        </w:rPr>
        <w:tab/>
      </w:r>
      <w:r w:rsidRPr="00303FB9">
        <w:rPr>
          <w:rFonts w:ascii="Times New Roman" w:hAnsi="Times New Roman"/>
          <w:sz w:val="28"/>
          <w:szCs w:val="28"/>
          <w:lang w:val="lv-LV"/>
        </w:rPr>
        <w:tab/>
      </w:r>
      <w:r w:rsidRPr="00303FB9">
        <w:rPr>
          <w:rFonts w:ascii="Times New Roman" w:hAnsi="Times New Roman"/>
          <w:sz w:val="28"/>
          <w:szCs w:val="28"/>
          <w:lang w:val="lv-LV"/>
        </w:rPr>
        <w:tab/>
      </w:r>
      <w:r w:rsidRPr="00303FB9">
        <w:rPr>
          <w:rFonts w:ascii="Times New Roman" w:hAnsi="Times New Roman"/>
          <w:sz w:val="28"/>
          <w:szCs w:val="28"/>
          <w:lang w:val="lv-LV"/>
        </w:rPr>
        <w:tab/>
      </w:r>
      <w:r w:rsidRPr="00303FB9">
        <w:rPr>
          <w:rFonts w:ascii="Times New Roman" w:hAnsi="Times New Roman"/>
          <w:sz w:val="28"/>
          <w:szCs w:val="28"/>
          <w:lang w:val="lv-LV"/>
        </w:rPr>
        <w:tab/>
        <w:t>R.Kozlovskis</w:t>
      </w:r>
    </w:p>
    <w:p w:rsidR="00DA5EB0" w:rsidRPr="00303FB9" w:rsidRDefault="00DA5EB0" w:rsidP="00DA5EB0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8B42DA" w:rsidRDefault="00DA5EB0" w:rsidP="00DD6051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  <w:lang w:val="lv-LV"/>
        </w:rPr>
      </w:pPr>
      <w:r w:rsidRPr="00303FB9">
        <w:rPr>
          <w:rFonts w:ascii="Times New Roman" w:hAnsi="Times New Roman"/>
          <w:sz w:val="28"/>
          <w:szCs w:val="28"/>
          <w:lang w:val="lv-LV"/>
        </w:rPr>
        <w:t>Vīza: vals</w:t>
      </w:r>
      <w:r w:rsidR="00A60F25">
        <w:rPr>
          <w:rFonts w:ascii="Times New Roman" w:hAnsi="Times New Roman"/>
          <w:sz w:val="28"/>
          <w:szCs w:val="28"/>
          <w:lang w:val="lv-LV"/>
        </w:rPr>
        <w:t>ts sekretāre</w:t>
      </w:r>
      <w:r w:rsidR="00A60F25">
        <w:rPr>
          <w:rFonts w:ascii="Times New Roman" w:hAnsi="Times New Roman"/>
          <w:sz w:val="28"/>
          <w:szCs w:val="28"/>
          <w:lang w:val="lv-LV"/>
        </w:rPr>
        <w:tab/>
        <w:t>I.Pētersone-Godmane</w:t>
      </w:r>
    </w:p>
    <w:p w:rsidR="00FC4DEC" w:rsidRDefault="00FC4DEC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  <w:bookmarkStart w:id="0" w:name="_GoBack"/>
      <w:bookmarkEnd w:id="0"/>
    </w:p>
    <w:p w:rsidR="001A11BE" w:rsidRDefault="001A11BE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:rsidR="00DA5EB0" w:rsidRPr="002C6A4B" w:rsidRDefault="00DA5EB0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  <w:r w:rsidRPr="002C6A4B">
        <w:rPr>
          <w:sz w:val="20"/>
          <w:szCs w:val="20"/>
        </w:rPr>
        <w:fldChar w:fldCharType="begin"/>
      </w:r>
      <w:r w:rsidRPr="002C6A4B">
        <w:rPr>
          <w:sz w:val="20"/>
          <w:szCs w:val="20"/>
        </w:rPr>
        <w:instrText xml:space="preserve"> TIME \@ "dd.MM.yyyy H:mm" </w:instrText>
      </w:r>
      <w:r w:rsidRPr="002C6A4B">
        <w:rPr>
          <w:sz w:val="20"/>
          <w:szCs w:val="20"/>
        </w:rPr>
        <w:fldChar w:fldCharType="separate"/>
      </w:r>
      <w:r w:rsidR="00C7153D">
        <w:rPr>
          <w:noProof/>
          <w:sz w:val="20"/>
          <w:szCs w:val="20"/>
        </w:rPr>
        <w:t>20.10.2016 15:07</w:t>
      </w:r>
      <w:r w:rsidRPr="002C6A4B">
        <w:rPr>
          <w:sz w:val="20"/>
          <w:szCs w:val="20"/>
        </w:rPr>
        <w:fldChar w:fldCharType="end"/>
      </w:r>
      <w:r w:rsidRPr="002C6A4B">
        <w:rPr>
          <w:sz w:val="20"/>
          <w:szCs w:val="20"/>
        </w:rPr>
        <w:tab/>
      </w:r>
    </w:p>
    <w:p w:rsidR="00DA5EB0" w:rsidRPr="002C6A4B" w:rsidRDefault="002B24B8" w:rsidP="00DA5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2C6A4B">
        <w:rPr>
          <w:rFonts w:ascii="Times New Roman" w:hAnsi="Times New Roman"/>
          <w:sz w:val="20"/>
          <w:szCs w:val="20"/>
          <w:lang w:val="lv-LV"/>
        </w:rPr>
        <w:fldChar w:fldCharType="begin"/>
      </w:r>
      <w:r w:rsidRPr="002C6A4B">
        <w:rPr>
          <w:rFonts w:ascii="Times New Roman" w:hAnsi="Times New Roman"/>
          <w:sz w:val="20"/>
          <w:szCs w:val="20"/>
          <w:lang w:val="lv-LV"/>
        </w:rPr>
        <w:instrText xml:space="preserve"> NUMWORDS   \* MERGEFORMAT </w:instrText>
      </w:r>
      <w:r w:rsidRPr="002C6A4B">
        <w:rPr>
          <w:rFonts w:ascii="Times New Roman" w:hAnsi="Times New Roman"/>
          <w:sz w:val="20"/>
          <w:szCs w:val="20"/>
          <w:lang w:val="lv-LV"/>
        </w:rPr>
        <w:fldChar w:fldCharType="separate"/>
      </w:r>
      <w:r w:rsidR="00C7153D">
        <w:rPr>
          <w:rFonts w:ascii="Times New Roman" w:hAnsi="Times New Roman"/>
          <w:noProof/>
          <w:sz w:val="20"/>
          <w:szCs w:val="20"/>
          <w:lang w:val="lv-LV"/>
        </w:rPr>
        <w:t>958</w:t>
      </w:r>
      <w:r w:rsidRPr="002C6A4B">
        <w:rPr>
          <w:rFonts w:ascii="Times New Roman" w:hAnsi="Times New Roman"/>
          <w:noProof/>
          <w:sz w:val="20"/>
          <w:szCs w:val="20"/>
          <w:lang w:val="lv-LV"/>
        </w:rPr>
        <w:fldChar w:fldCharType="end"/>
      </w:r>
    </w:p>
    <w:p w:rsidR="00DA5EB0" w:rsidRPr="00303FB9" w:rsidRDefault="00DA5EB0" w:rsidP="00DA5EB0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proofErr w:type="spellStart"/>
      <w:r w:rsidRPr="00303FB9">
        <w:rPr>
          <w:rFonts w:ascii="Times New Roman" w:hAnsi="Times New Roman"/>
          <w:sz w:val="20"/>
          <w:szCs w:val="20"/>
          <w:lang w:val="lv-LV"/>
        </w:rPr>
        <w:t>G.Nikitina</w:t>
      </w:r>
      <w:proofErr w:type="spellEnd"/>
    </w:p>
    <w:p w:rsidR="002465F7" w:rsidRDefault="00DA5EB0" w:rsidP="00DA5EB0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03FB9">
        <w:rPr>
          <w:rFonts w:ascii="Times New Roman" w:hAnsi="Times New Roman"/>
          <w:sz w:val="20"/>
          <w:szCs w:val="20"/>
          <w:lang w:val="lv-LV"/>
        </w:rPr>
        <w:t xml:space="preserve">67075931, </w:t>
      </w:r>
      <w:r w:rsidR="00C6798F">
        <w:rPr>
          <w:rFonts w:ascii="Times New Roman" w:hAnsi="Times New Roman"/>
          <w:sz w:val="20"/>
          <w:szCs w:val="20"/>
          <w:lang w:val="lv-LV"/>
        </w:rPr>
        <w:t>gunita.nikitina@vugd.gov.lv</w:t>
      </w:r>
    </w:p>
    <w:p w:rsidR="002465F7" w:rsidRDefault="002465F7">
      <w:pPr>
        <w:rPr>
          <w:rFonts w:ascii="Times New Roman" w:hAnsi="Times New Roman"/>
          <w:sz w:val="20"/>
          <w:szCs w:val="20"/>
          <w:lang w:val="lv-LV"/>
        </w:rPr>
      </w:pPr>
    </w:p>
    <w:sectPr w:rsidR="002465F7" w:rsidSect="008E3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EB" w:rsidRDefault="002265EB" w:rsidP="00C4715D">
      <w:pPr>
        <w:spacing w:after="0" w:line="240" w:lineRule="auto"/>
      </w:pPr>
      <w:r>
        <w:separator/>
      </w:r>
    </w:p>
  </w:endnote>
  <w:endnote w:type="continuationSeparator" w:id="0">
    <w:p w:rsidR="002265EB" w:rsidRDefault="002265EB" w:rsidP="00C4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3C" w:rsidRDefault="0056493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5D" w:rsidRPr="00E0482C" w:rsidRDefault="00B23BA7" w:rsidP="00E0482C">
    <w:pPr>
      <w:spacing w:after="0" w:line="240" w:lineRule="auto"/>
      <w:jc w:val="both"/>
      <w:outlineLvl w:val="0"/>
      <w:rPr>
        <w:rFonts w:ascii="Times New Roman" w:hAnsi="Times New Roman"/>
        <w:bCs/>
        <w:sz w:val="20"/>
        <w:szCs w:val="20"/>
        <w:lang w:val="lv-LV"/>
      </w:rPr>
    </w:pPr>
    <w:r>
      <w:rPr>
        <w:rFonts w:ascii="Times New Roman" w:hAnsi="Times New Roman"/>
        <w:bCs/>
        <w:sz w:val="20"/>
        <w:szCs w:val="20"/>
        <w:lang w:val="lv-LV"/>
      </w:rPr>
      <w:t>IeMAnot</w:t>
    </w:r>
    <w:r w:rsidR="00336EBD">
      <w:rPr>
        <w:rFonts w:ascii="Times New Roman" w:hAnsi="Times New Roman"/>
        <w:bCs/>
        <w:sz w:val="20"/>
        <w:szCs w:val="20"/>
        <w:lang w:val="lv-LV"/>
      </w:rPr>
      <w:t>_</w:t>
    </w:r>
    <w:r w:rsidR="002C09C6">
      <w:rPr>
        <w:rFonts w:ascii="Times New Roman" w:hAnsi="Times New Roman"/>
        <w:bCs/>
        <w:sz w:val="20"/>
        <w:szCs w:val="20"/>
        <w:lang w:val="lv-LV"/>
      </w:rPr>
      <w:t>2010</w:t>
    </w:r>
    <w:r w:rsidR="007E19AD">
      <w:rPr>
        <w:rFonts w:ascii="Times New Roman" w:hAnsi="Times New Roman"/>
        <w:bCs/>
        <w:sz w:val="20"/>
        <w:szCs w:val="20"/>
        <w:lang w:val="lv-LV"/>
      </w:rPr>
      <w:t>2016</w:t>
    </w:r>
    <w:r w:rsidR="00E0482C" w:rsidRPr="00E0482C">
      <w:rPr>
        <w:rFonts w:ascii="Times New Roman" w:hAnsi="Times New Roman"/>
        <w:bCs/>
        <w:sz w:val="20"/>
        <w:szCs w:val="20"/>
        <w:lang w:val="lv-LV"/>
      </w:rPr>
      <w:t>_</w:t>
    </w:r>
    <w:r w:rsidR="00E0482C">
      <w:rPr>
        <w:rFonts w:ascii="Times New Roman" w:hAnsi="Times New Roman"/>
        <w:bCs/>
        <w:sz w:val="20"/>
        <w:szCs w:val="20"/>
        <w:lang w:val="lv-LV"/>
      </w:rPr>
      <w:t>groz_</w:t>
    </w:r>
    <w:r>
      <w:rPr>
        <w:rFonts w:ascii="Times New Roman" w:hAnsi="Times New Roman"/>
        <w:bCs/>
        <w:sz w:val="20"/>
        <w:szCs w:val="20"/>
        <w:lang w:val="lv-LV"/>
      </w:rPr>
      <w:t>UUL</w:t>
    </w:r>
    <w:r w:rsidR="00292256">
      <w:rPr>
        <w:rFonts w:ascii="Times New Roman" w:hAnsi="Times New Roman"/>
        <w:bCs/>
        <w:sz w:val="20"/>
        <w:szCs w:val="20"/>
        <w:lang w:val="lv-LV"/>
      </w:rPr>
      <w:t>.docx</w:t>
    </w:r>
    <w:r w:rsidR="00E0482C">
      <w:rPr>
        <w:rFonts w:ascii="Times New Roman" w:hAnsi="Times New Roman"/>
        <w:bCs/>
        <w:sz w:val="20"/>
        <w:szCs w:val="20"/>
        <w:lang w:val="lv-LV"/>
      </w:rPr>
      <w:t>;</w:t>
    </w:r>
    <w:r w:rsidR="006E2C07">
      <w:rPr>
        <w:rFonts w:ascii="Times New Roman" w:hAnsi="Times New Roman"/>
        <w:bCs/>
        <w:sz w:val="20"/>
        <w:szCs w:val="20"/>
        <w:lang w:val="lv-LV"/>
      </w:rPr>
      <w:t xml:space="preserve"> Likumprojekta „Grozījum</w:t>
    </w:r>
    <w:r w:rsidR="00395C4D">
      <w:rPr>
        <w:rFonts w:ascii="Times New Roman" w:hAnsi="Times New Roman"/>
        <w:bCs/>
        <w:sz w:val="20"/>
        <w:szCs w:val="20"/>
        <w:lang w:val="lv-LV"/>
      </w:rPr>
      <w:t>i</w:t>
    </w:r>
    <w:r w:rsidR="006E2C07">
      <w:rPr>
        <w:rFonts w:ascii="Times New Roman" w:hAnsi="Times New Roman"/>
        <w:bCs/>
        <w:sz w:val="20"/>
        <w:szCs w:val="20"/>
        <w:lang w:val="lv-LV"/>
      </w:rPr>
      <w:t xml:space="preserve"> </w:t>
    </w:r>
    <w:r w:rsidR="00E0482C" w:rsidRPr="00E0482C">
      <w:rPr>
        <w:rFonts w:ascii="Times New Roman" w:hAnsi="Times New Roman"/>
        <w:bCs/>
        <w:sz w:val="20"/>
        <w:szCs w:val="20"/>
        <w:lang w:val="lv-LV"/>
      </w:rPr>
      <w:t xml:space="preserve">Ugunsdrošības un ugunsdzēsības likumā”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E0482C" w:rsidRPr="00E0482C">
        <w:rPr>
          <w:rFonts w:ascii="Times New Roman" w:hAnsi="Times New Roman"/>
          <w:bCs/>
          <w:sz w:val="20"/>
          <w:szCs w:val="20"/>
          <w:lang w:val="lv-LV"/>
        </w:rPr>
        <w:t>ziņojums</w:t>
      </w:r>
      <w:r w:rsidR="00E0482C">
        <w:rPr>
          <w:rFonts w:ascii="Times New Roman" w:hAnsi="Times New Roman"/>
          <w:bCs/>
          <w:sz w:val="20"/>
          <w:szCs w:val="20"/>
          <w:lang w:val="lv-LV"/>
        </w:rPr>
        <w:t xml:space="preserve"> </w:t>
      </w:r>
    </w:smartTag>
    <w:r w:rsidR="00C4715D" w:rsidRPr="00E0482C">
      <w:rPr>
        <w:rFonts w:ascii="Times New Roman" w:hAnsi="Times New Roman"/>
        <w:bCs/>
        <w:sz w:val="20"/>
        <w:szCs w:val="20"/>
        <w:lang w:val="lv-LV"/>
      </w:rPr>
      <w:t>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2C" w:rsidRPr="00E0482C" w:rsidRDefault="00242D91" w:rsidP="00E0482C">
    <w:pPr>
      <w:spacing w:after="0" w:line="240" w:lineRule="auto"/>
      <w:jc w:val="both"/>
      <w:outlineLvl w:val="0"/>
      <w:rPr>
        <w:rFonts w:ascii="Times New Roman" w:hAnsi="Times New Roman"/>
        <w:bCs/>
        <w:sz w:val="20"/>
        <w:szCs w:val="20"/>
        <w:lang w:val="lv-LV"/>
      </w:rPr>
    </w:pPr>
    <w:r>
      <w:rPr>
        <w:rFonts w:ascii="Times New Roman" w:hAnsi="Times New Roman"/>
        <w:bCs/>
        <w:sz w:val="20"/>
        <w:szCs w:val="20"/>
        <w:lang w:val="lv-LV"/>
      </w:rPr>
      <w:t>IeMAnot</w:t>
    </w:r>
    <w:r w:rsidR="00990194">
      <w:rPr>
        <w:rFonts w:ascii="Times New Roman" w:hAnsi="Times New Roman"/>
        <w:bCs/>
        <w:sz w:val="20"/>
        <w:szCs w:val="20"/>
        <w:lang w:val="lv-LV"/>
      </w:rPr>
      <w:t>_</w:t>
    </w:r>
    <w:r w:rsidR="002C09C6">
      <w:rPr>
        <w:rFonts w:ascii="Times New Roman" w:hAnsi="Times New Roman"/>
        <w:bCs/>
        <w:sz w:val="20"/>
        <w:szCs w:val="20"/>
        <w:lang w:val="lv-LV"/>
      </w:rPr>
      <w:t>2010</w:t>
    </w:r>
    <w:r w:rsidR="007A618E">
      <w:rPr>
        <w:rFonts w:ascii="Times New Roman" w:hAnsi="Times New Roman"/>
        <w:bCs/>
        <w:sz w:val="20"/>
        <w:szCs w:val="20"/>
        <w:lang w:val="lv-LV"/>
      </w:rPr>
      <w:t>2016</w:t>
    </w:r>
    <w:r w:rsidR="00E0482C" w:rsidRPr="00E0482C">
      <w:rPr>
        <w:rFonts w:ascii="Times New Roman" w:hAnsi="Times New Roman"/>
        <w:bCs/>
        <w:sz w:val="20"/>
        <w:szCs w:val="20"/>
        <w:lang w:val="lv-LV"/>
      </w:rPr>
      <w:t>_</w:t>
    </w:r>
    <w:r w:rsidR="00E0482C">
      <w:rPr>
        <w:rFonts w:ascii="Times New Roman" w:hAnsi="Times New Roman"/>
        <w:bCs/>
        <w:sz w:val="20"/>
        <w:szCs w:val="20"/>
        <w:lang w:val="lv-LV"/>
      </w:rPr>
      <w:t>groz_</w:t>
    </w:r>
    <w:r>
      <w:rPr>
        <w:rFonts w:ascii="Times New Roman" w:hAnsi="Times New Roman"/>
        <w:bCs/>
        <w:sz w:val="20"/>
        <w:szCs w:val="20"/>
        <w:lang w:val="lv-LV"/>
      </w:rPr>
      <w:t>UUL</w:t>
    </w:r>
    <w:r w:rsidR="0056493C">
      <w:rPr>
        <w:rFonts w:ascii="Times New Roman" w:hAnsi="Times New Roman"/>
        <w:bCs/>
        <w:sz w:val="20"/>
        <w:szCs w:val="20"/>
        <w:lang w:val="lv-LV"/>
      </w:rPr>
      <w:t>.docx</w:t>
    </w:r>
    <w:r w:rsidR="00E0482C">
      <w:rPr>
        <w:rFonts w:ascii="Times New Roman" w:hAnsi="Times New Roman"/>
        <w:bCs/>
        <w:sz w:val="20"/>
        <w:szCs w:val="20"/>
        <w:lang w:val="lv-LV"/>
      </w:rPr>
      <w:t>;</w:t>
    </w:r>
    <w:r w:rsidR="006E2C07">
      <w:rPr>
        <w:rFonts w:ascii="Times New Roman" w:hAnsi="Times New Roman"/>
        <w:bCs/>
        <w:sz w:val="20"/>
        <w:szCs w:val="20"/>
        <w:lang w:val="lv-LV"/>
      </w:rPr>
      <w:t xml:space="preserve"> Likumprojekta „Grozījum</w:t>
    </w:r>
    <w:r w:rsidR="006C1B6D">
      <w:rPr>
        <w:rFonts w:ascii="Times New Roman" w:hAnsi="Times New Roman"/>
        <w:bCs/>
        <w:sz w:val="20"/>
        <w:szCs w:val="20"/>
        <w:lang w:val="lv-LV"/>
      </w:rPr>
      <w:t>i</w:t>
    </w:r>
    <w:r w:rsidR="00E0482C" w:rsidRPr="00E0482C">
      <w:rPr>
        <w:rFonts w:ascii="Times New Roman" w:hAnsi="Times New Roman"/>
        <w:bCs/>
        <w:sz w:val="20"/>
        <w:szCs w:val="20"/>
        <w:lang w:val="lv-LV"/>
      </w:rPr>
      <w:t xml:space="preserve"> Ugunsdrošības un ugunsdzēsības likumā”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E0482C" w:rsidRPr="00E0482C">
        <w:rPr>
          <w:rFonts w:ascii="Times New Roman" w:hAnsi="Times New Roman"/>
          <w:bCs/>
          <w:sz w:val="20"/>
          <w:szCs w:val="20"/>
          <w:lang w:val="lv-LV"/>
        </w:rPr>
        <w:t>ziņojums</w:t>
      </w:r>
      <w:r w:rsidR="00E0482C">
        <w:rPr>
          <w:rFonts w:ascii="Times New Roman" w:hAnsi="Times New Roman"/>
          <w:bCs/>
          <w:sz w:val="20"/>
          <w:szCs w:val="20"/>
          <w:lang w:val="lv-LV"/>
        </w:rPr>
        <w:t xml:space="preserve"> </w:t>
      </w:r>
    </w:smartTag>
    <w:r w:rsidR="00E0482C" w:rsidRPr="00E0482C">
      <w:rPr>
        <w:rFonts w:ascii="Times New Roman" w:hAnsi="Times New Roman"/>
        <w:bCs/>
        <w:sz w:val="20"/>
        <w:szCs w:val="20"/>
        <w:lang w:val="lv-LV"/>
      </w:rPr>
      <w:t>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EB" w:rsidRDefault="002265EB" w:rsidP="00C4715D">
      <w:pPr>
        <w:spacing w:after="0" w:line="240" w:lineRule="auto"/>
      </w:pPr>
      <w:r>
        <w:separator/>
      </w:r>
    </w:p>
  </w:footnote>
  <w:footnote w:type="continuationSeparator" w:id="0">
    <w:p w:rsidR="002265EB" w:rsidRDefault="002265EB" w:rsidP="00C4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3C" w:rsidRDefault="0056493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49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DB7CFC" w:rsidRPr="006B59AB" w:rsidRDefault="00DB7CFC">
        <w:pPr>
          <w:pStyle w:val="Galvene"/>
          <w:jc w:val="center"/>
          <w:rPr>
            <w:rFonts w:ascii="Times New Roman" w:hAnsi="Times New Roman"/>
            <w:sz w:val="20"/>
            <w:szCs w:val="20"/>
          </w:rPr>
        </w:pPr>
        <w:r w:rsidRPr="006B59AB">
          <w:rPr>
            <w:rFonts w:ascii="Times New Roman" w:hAnsi="Times New Roman"/>
            <w:sz w:val="20"/>
            <w:szCs w:val="20"/>
          </w:rPr>
          <w:fldChar w:fldCharType="begin"/>
        </w:r>
        <w:r w:rsidRPr="006B59A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B59AB">
          <w:rPr>
            <w:rFonts w:ascii="Times New Roman" w:hAnsi="Times New Roman"/>
            <w:sz w:val="20"/>
            <w:szCs w:val="20"/>
          </w:rPr>
          <w:fldChar w:fldCharType="separate"/>
        </w:r>
        <w:r w:rsidR="00C7153D">
          <w:rPr>
            <w:rFonts w:ascii="Times New Roman" w:hAnsi="Times New Roman"/>
            <w:noProof/>
            <w:sz w:val="20"/>
            <w:szCs w:val="20"/>
          </w:rPr>
          <w:t>4</w:t>
        </w:r>
        <w:r w:rsidRPr="006B59A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3C" w:rsidRDefault="0056493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5D"/>
    <w:rsid w:val="00007BA1"/>
    <w:rsid w:val="00010263"/>
    <w:rsid w:val="00012F7B"/>
    <w:rsid w:val="0002076E"/>
    <w:rsid w:val="00020A51"/>
    <w:rsid w:val="00021B74"/>
    <w:rsid w:val="00022B87"/>
    <w:rsid w:val="00023F7B"/>
    <w:rsid w:val="00027268"/>
    <w:rsid w:val="00033295"/>
    <w:rsid w:val="00043DAC"/>
    <w:rsid w:val="000546DF"/>
    <w:rsid w:val="00067334"/>
    <w:rsid w:val="000710FA"/>
    <w:rsid w:val="00072E8A"/>
    <w:rsid w:val="00074E5D"/>
    <w:rsid w:val="00086B71"/>
    <w:rsid w:val="00096DAF"/>
    <w:rsid w:val="000A542A"/>
    <w:rsid w:val="000B2015"/>
    <w:rsid w:val="000C10EA"/>
    <w:rsid w:val="000C75EB"/>
    <w:rsid w:val="000F0794"/>
    <w:rsid w:val="000F5F3E"/>
    <w:rsid w:val="000F6A47"/>
    <w:rsid w:val="00106C6D"/>
    <w:rsid w:val="0012436C"/>
    <w:rsid w:val="00125F98"/>
    <w:rsid w:val="001524AE"/>
    <w:rsid w:val="001549A9"/>
    <w:rsid w:val="001560AC"/>
    <w:rsid w:val="00187BEE"/>
    <w:rsid w:val="001902EB"/>
    <w:rsid w:val="001973D6"/>
    <w:rsid w:val="00197A07"/>
    <w:rsid w:val="001A11BE"/>
    <w:rsid w:val="001A7943"/>
    <w:rsid w:val="001C4FB6"/>
    <w:rsid w:val="001E2FF7"/>
    <w:rsid w:val="001F61D6"/>
    <w:rsid w:val="001F745E"/>
    <w:rsid w:val="00207F16"/>
    <w:rsid w:val="00211B96"/>
    <w:rsid w:val="00212F52"/>
    <w:rsid w:val="00220242"/>
    <w:rsid w:val="0022502A"/>
    <w:rsid w:val="002265EB"/>
    <w:rsid w:val="0023077C"/>
    <w:rsid w:val="00242D91"/>
    <w:rsid w:val="002465F7"/>
    <w:rsid w:val="00251137"/>
    <w:rsid w:val="00252601"/>
    <w:rsid w:val="00257D05"/>
    <w:rsid w:val="00276925"/>
    <w:rsid w:val="0028712D"/>
    <w:rsid w:val="002912FF"/>
    <w:rsid w:val="00292256"/>
    <w:rsid w:val="00295D06"/>
    <w:rsid w:val="00296355"/>
    <w:rsid w:val="002A59D3"/>
    <w:rsid w:val="002B24B8"/>
    <w:rsid w:val="002B3DB4"/>
    <w:rsid w:val="002C09C6"/>
    <w:rsid w:val="002C4EA1"/>
    <w:rsid w:val="002C6831"/>
    <w:rsid w:val="002C6A4B"/>
    <w:rsid w:val="002D1379"/>
    <w:rsid w:val="00303FB9"/>
    <w:rsid w:val="00307D4D"/>
    <w:rsid w:val="00310329"/>
    <w:rsid w:val="003135FB"/>
    <w:rsid w:val="00314655"/>
    <w:rsid w:val="0032404E"/>
    <w:rsid w:val="0032645B"/>
    <w:rsid w:val="00331ECA"/>
    <w:rsid w:val="00336EBD"/>
    <w:rsid w:val="00352B62"/>
    <w:rsid w:val="00355090"/>
    <w:rsid w:val="00361E64"/>
    <w:rsid w:val="00364BBB"/>
    <w:rsid w:val="00365E5D"/>
    <w:rsid w:val="003742A9"/>
    <w:rsid w:val="0038064D"/>
    <w:rsid w:val="003869E2"/>
    <w:rsid w:val="00392072"/>
    <w:rsid w:val="00395C4D"/>
    <w:rsid w:val="003A35FE"/>
    <w:rsid w:val="003A3B2F"/>
    <w:rsid w:val="003B6BF2"/>
    <w:rsid w:val="003D1823"/>
    <w:rsid w:val="003E6DA8"/>
    <w:rsid w:val="00402CD0"/>
    <w:rsid w:val="00423255"/>
    <w:rsid w:val="004240DD"/>
    <w:rsid w:val="00441771"/>
    <w:rsid w:val="004731D2"/>
    <w:rsid w:val="00476714"/>
    <w:rsid w:val="00482CD9"/>
    <w:rsid w:val="00496033"/>
    <w:rsid w:val="004A3AAC"/>
    <w:rsid w:val="004B66A2"/>
    <w:rsid w:val="004C1370"/>
    <w:rsid w:val="004C1E1D"/>
    <w:rsid w:val="004E31B2"/>
    <w:rsid w:val="004F0351"/>
    <w:rsid w:val="004F4B5E"/>
    <w:rsid w:val="004F4E21"/>
    <w:rsid w:val="005042C1"/>
    <w:rsid w:val="00511BC7"/>
    <w:rsid w:val="00525F30"/>
    <w:rsid w:val="005272A3"/>
    <w:rsid w:val="00533FD3"/>
    <w:rsid w:val="0054101E"/>
    <w:rsid w:val="005417B0"/>
    <w:rsid w:val="00544530"/>
    <w:rsid w:val="00553CB0"/>
    <w:rsid w:val="00557770"/>
    <w:rsid w:val="0056493C"/>
    <w:rsid w:val="00590D02"/>
    <w:rsid w:val="0059526A"/>
    <w:rsid w:val="00596956"/>
    <w:rsid w:val="00596F54"/>
    <w:rsid w:val="00597498"/>
    <w:rsid w:val="005A3BDE"/>
    <w:rsid w:val="005C5355"/>
    <w:rsid w:val="005D493C"/>
    <w:rsid w:val="005E4095"/>
    <w:rsid w:val="005E6E0B"/>
    <w:rsid w:val="00614355"/>
    <w:rsid w:val="00622439"/>
    <w:rsid w:val="0065035F"/>
    <w:rsid w:val="006612F5"/>
    <w:rsid w:val="00661996"/>
    <w:rsid w:val="0067450D"/>
    <w:rsid w:val="006822A3"/>
    <w:rsid w:val="00682F57"/>
    <w:rsid w:val="006862B5"/>
    <w:rsid w:val="006B59AB"/>
    <w:rsid w:val="006B6811"/>
    <w:rsid w:val="006C1B6D"/>
    <w:rsid w:val="006C2B2E"/>
    <w:rsid w:val="006D09BB"/>
    <w:rsid w:val="006D7170"/>
    <w:rsid w:val="006D7243"/>
    <w:rsid w:val="006E2C07"/>
    <w:rsid w:val="006F10A8"/>
    <w:rsid w:val="00701F37"/>
    <w:rsid w:val="007071FE"/>
    <w:rsid w:val="0071210C"/>
    <w:rsid w:val="00716EEF"/>
    <w:rsid w:val="00732DF6"/>
    <w:rsid w:val="00734B0A"/>
    <w:rsid w:val="0074077E"/>
    <w:rsid w:val="00740BD6"/>
    <w:rsid w:val="00742E40"/>
    <w:rsid w:val="00743E55"/>
    <w:rsid w:val="00750117"/>
    <w:rsid w:val="00760E63"/>
    <w:rsid w:val="007636AF"/>
    <w:rsid w:val="00763EB2"/>
    <w:rsid w:val="00767CEA"/>
    <w:rsid w:val="00773278"/>
    <w:rsid w:val="007853F4"/>
    <w:rsid w:val="0079098B"/>
    <w:rsid w:val="00790A17"/>
    <w:rsid w:val="007965F8"/>
    <w:rsid w:val="007A618E"/>
    <w:rsid w:val="007B2B97"/>
    <w:rsid w:val="007B7207"/>
    <w:rsid w:val="007C4221"/>
    <w:rsid w:val="007D768E"/>
    <w:rsid w:val="007E19AD"/>
    <w:rsid w:val="007E1BDC"/>
    <w:rsid w:val="007E7EDF"/>
    <w:rsid w:val="007F139B"/>
    <w:rsid w:val="0080326B"/>
    <w:rsid w:val="008045E3"/>
    <w:rsid w:val="008065DB"/>
    <w:rsid w:val="00810157"/>
    <w:rsid w:val="00810667"/>
    <w:rsid w:val="00814D4A"/>
    <w:rsid w:val="00817FFE"/>
    <w:rsid w:val="0082009F"/>
    <w:rsid w:val="008215AA"/>
    <w:rsid w:val="0084173E"/>
    <w:rsid w:val="00844D38"/>
    <w:rsid w:val="00847FDA"/>
    <w:rsid w:val="00870DB9"/>
    <w:rsid w:val="00877881"/>
    <w:rsid w:val="008A062D"/>
    <w:rsid w:val="008A7DB6"/>
    <w:rsid w:val="008B42DA"/>
    <w:rsid w:val="008B7CCE"/>
    <w:rsid w:val="008D3B4A"/>
    <w:rsid w:val="008E3367"/>
    <w:rsid w:val="008E34C8"/>
    <w:rsid w:val="008E5929"/>
    <w:rsid w:val="00900E7F"/>
    <w:rsid w:val="0093125D"/>
    <w:rsid w:val="0093212D"/>
    <w:rsid w:val="009335EC"/>
    <w:rsid w:val="009424D4"/>
    <w:rsid w:val="009438BD"/>
    <w:rsid w:val="00960BBB"/>
    <w:rsid w:val="009670E7"/>
    <w:rsid w:val="00967B81"/>
    <w:rsid w:val="00970483"/>
    <w:rsid w:val="009830F9"/>
    <w:rsid w:val="00990194"/>
    <w:rsid w:val="009946EA"/>
    <w:rsid w:val="009F6B3C"/>
    <w:rsid w:val="00A15D73"/>
    <w:rsid w:val="00A4017C"/>
    <w:rsid w:val="00A52182"/>
    <w:rsid w:val="00A60F25"/>
    <w:rsid w:val="00A6164A"/>
    <w:rsid w:val="00A823AC"/>
    <w:rsid w:val="00A91439"/>
    <w:rsid w:val="00AB6F12"/>
    <w:rsid w:val="00AC49AF"/>
    <w:rsid w:val="00AD3E13"/>
    <w:rsid w:val="00AE7B8F"/>
    <w:rsid w:val="00AF01DE"/>
    <w:rsid w:val="00AF0BC7"/>
    <w:rsid w:val="00B01BD3"/>
    <w:rsid w:val="00B02027"/>
    <w:rsid w:val="00B0762B"/>
    <w:rsid w:val="00B1109B"/>
    <w:rsid w:val="00B1247C"/>
    <w:rsid w:val="00B1742B"/>
    <w:rsid w:val="00B17F8C"/>
    <w:rsid w:val="00B23BA7"/>
    <w:rsid w:val="00B265B7"/>
    <w:rsid w:val="00B320C1"/>
    <w:rsid w:val="00B3472C"/>
    <w:rsid w:val="00B63038"/>
    <w:rsid w:val="00B8789A"/>
    <w:rsid w:val="00B9024A"/>
    <w:rsid w:val="00BB09C1"/>
    <w:rsid w:val="00BC5B62"/>
    <w:rsid w:val="00BF1F7E"/>
    <w:rsid w:val="00BF4831"/>
    <w:rsid w:val="00BF4D51"/>
    <w:rsid w:val="00C00E53"/>
    <w:rsid w:val="00C1002F"/>
    <w:rsid w:val="00C1393E"/>
    <w:rsid w:val="00C23658"/>
    <w:rsid w:val="00C24A7C"/>
    <w:rsid w:val="00C46DEF"/>
    <w:rsid w:val="00C4715D"/>
    <w:rsid w:val="00C671F5"/>
    <w:rsid w:val="00C6798F"/>
    <w:rsid w:val="00C7153D"/>
    <w:rsid w:val="00C84468"/>
    <w:rsid w:val="00C87EA5"/>
    <w:rsid w:val="00C9724F"/>
    <w:rsid w:val="00CB29B2"/>
    <w:rsid w:val="00CB3166"/>
    <w:rsid w:val="00CB6E89"/>
    <w:rsid w:val="00CC3147"/>
    <w:rsid w:val="00CD6B08"/>
    <w:rsid w:val="00CD7011"/>
    <w:rsid w:val="00CE1B85"/>
    <w:rsid w:val="00CE4419"/>
    <w:rsid w:val="00CE4959"/>
    <w:rsid w:val="00CE7343"/>
    <w:rsid w:val="00CF7130"/>
    <w:rsid w:val="00D03130"/>
    <w:rsid w:val="00D13F1E"/>
    <w:rsid w:val="00D17F2E"/>
    <w:rsid w:val="00D20619"/>
    <w:rsid w:val="00D21953"/>
    <w:rsid w:val="00D26747"/>
    <w:rsid w:val="00D3197C"/>
    <w:rsid w:val="00D3274D"/>
    <w:rsid w:val="00D34461"/>
    <w:rsid w:val="00D536DB"/>
    <w:rsid w:val="00D56264"/>
    <w:rsid w:val="00D87D0E"/>
    <w:rsid w:val="00DA18C9"/>
    <w:rsid w:val="00DA544B"/>
    <w:rsid w:val="00DA5EB0"/>
    <w:rsid w:val="00DB2B1B"/>
    <w:rsid w:val="00DB7CFC"/>
    <w:rsid w:val="00DC5C56"/>
    <w:rsid w:val="00DD6051"/>
    <w:rsid w:val="00DE054B"/>
    <w:rsid w:val="00DE1255"/>
    <w:rsid w:val="00E0482C"/>
    <w:rsid w:val="00E15C75"/>
    <w:rsid w:val="00E20AB2"/>
    <w:rsid w:val="00E27FFE"/>
    <w:rsid w:val="00E3067F"/>
    <w:rsid w:val="00E32AA8"/>
    <w:rsid w:val="00E37299"/>
    <w:rsid w:val="00E4071D"/>
    <w:rsid w:val="00E4570D"/>
    <w:rsid w:val="00E4769C"/>
    <w:rsid w:val="00E53349"/>
    <w:rsid w:val="00E54607"/>
    <w:rsid w:val="00E61D79"/>
    <w:rsid w:val="00E62DA3"/>
    <w:rsid w:val="00E702DA"/>
    <w:rsid w:val="00E727AC"/>
    <w:rsid w:val="00EB34CC"/>
    <w:rsid w:val="00EC0453"/>
    <w:rsid w:val="00EC1F0C"/>
    <w:rsid w:val="00EC4948"/>
    <w:rsid w:val="00EE117A"/>
    <w:rsid w:val="00EE3139"/>
    <w:rsid w:val="00EF5B06"/>
    <w:rsid w:val="00F03300"/>
    <w:rsid w:val="00F164D1"/>
    <w:rsid w:val="00F22218"/>
    <w:rsid w:val="00F25F62"/>
    <w:rsid w:val="00F2746D"/>
    <w:rsid w:val="00F34E4E"/>
    <w:rsid w:val="00F404BA"/>
    <w:rsid w:val="00F47A6E"/>
    <w:rsid w:val="00F549AC"/>
    <w:rsid w:val="00F54AF8"/>
    <w:rsid w:val="00F81E35"/>
    <w:rsid w:val="00F9211F"/>
    <w:rsid w:val="00FA44A1"/>
    <w:rsid w:val="00FB0CB2"/>
    <w:rsid w:val="00FB3937"/>
    <w:rsid w:val="00FC4DEC"/>
    <w:rsid w:val="00FD12A5"/>
    <w:rsid w:val="00FF5F9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5E36F946-B618-4015-8132-4F6A99E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715D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C471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715D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C4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rsid w:val="00C4715D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71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715D"/>
    <w:rPr>
      <w:rFonts w:ascii="Calibri" w:eastAsia="Calibri" w:hAnsi="Calibri" w:cs="Times New Roman"/>
    </w:rPr>
  </w:style>
  <w:style w:type="paragraph" w:customStyle="1" w:styleId="naisf">
    <w:name w:val="naisf"/>
    <w:basedOn w:val="Parasts"/>
    <w:uiPriority w:val="99"/>
    <w:rsid w:val="00DA5E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tv2131">
    <w:name w:val="tv2131"/>
    <w:basedOn w:val="Parasts"/>
    <w:rsid w:val="00D3197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paragraph" w:customStyle="1" w:styleId="naisnod">
    <w:name w:val="naisnod"/>
    <w:basedOn w:val="Parasts"/>
    <w:uiPriority w:val="99"/>
    <w:rsid w:val="004F4B5E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Parasts"/>
    <w:rsid w:val="004F4B5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">
    <w:name w:val="tv_html"/>
    <w:basedOn w:val="Parasts"/>
    <w:rsid w:val="00C9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Vietturateksts">
    <w:name w:val="Placeholder Text"/>
    <w:basedOn w:val="Noklusjumarindkopasfonts"/>
    <w:uiPriority w:val="99"/>
    <w:semiHidden/>
    <w:rsid w:val="00DA544B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54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21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9034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5591-4114-44A2-800A-56AA9B5C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974</Words>
  <Characters>7376</Characters>
  <Application>Microsoft Office Word</Application>
  <DocSecurity>0</DocSecurity>
  <Lines>237</Lines>
  <Paragraphs>73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Ņikitina</dc:creator>
  <cp:lastModifiedBy>Gunita Ņikitina</cp:lastModifiedBy>
  <cp:revision>21</cp:revision>
  <cp:lastPrinted>2016-10-20T05:42:00Z</cp:lastPrinted>
  <dcterms:created xsi:type="dcterms:W3CDTF">2016-09-01T08:05:00Z</dcterms:created>
  <dcterms:modified xsi:type="dcterms:W3CDTF">2016-10-20T12:07:00Z</dcterms:modified>
</cp:coreProperties>
</file>