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4989" w14:textId="52DD20F5" w:rsidR="00CE2351" w:rsidRPr="00EC10AB" w:rsidRDefault="00C86270" w:rsidP="003F02B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10AB">
        <w:rPr>
          <w:b/>
          <w:sz w:val="24"/>
          <w:szCs w:val="24"/>
        </w:rPr>
        <w:t xml:space="preserve">Ministru kabineta noteikumu projekta </w:t>
      </w:r>
      <w:r w:rsidR="00DC4D37">
        <w:rPr>
          <w:b/>
          <w:sz w:val="24"/>
          <w:szCs w:val="24"/>
        </w:rPr>
        <w:t>“</w:t>
      </w:r>
      <w:r w:rsidR="00EC10AB">
        <w:rPr>
          <w:b/>
          <w:sz w:val="24"/>
          <w:szCs w:val="24"/>
        </w:rPr>
        <w:t>G</w:t>
      </w:r>
      <w:r w:rsidR="00EC10AB" w:rsidRPr="00EC10AB">
        <w:rPr>
          <w:b/>
          <w:sz w:val="24"/>
          <w:szCs w:val="24"/>
        </w:rPr>
        <w:t>rozījum</w:t>
      </w:r>
      <w:r w:rsidR="00551E18">
        <w:rPr>
          <w:b/>
          <w:sz w:val="24"/>
          <w:szCs w:val="24"/>
        </w:rPr>
        <w:t>i</w:t>
      </w:r>
      <w:r w:rsidR="00EC10AB" w:rsidRPr="00EC10AB">
        <w:rPr>
          <w:b/>
          <w:sz w:val="24"/>
          <w:szCs w:val="24"/>
        </w:rPr>
        <w:t xml:space="preserve"> Ministru kabineta 2012.gada 3.jūlija noteikumos Nr.468 „</w:t>
      </w:r>
      <w:r w:rsidR="00EC10AB" w:rsidRPr="00EC10AB">
        <w:rPr>
          <w:b/>
          <w:bCs/>
          <w:sz w:val="24"/>
          <w:szCs w:val="24"/>
        </w:rPr>
        <w:t>Noteikumi par pasažieru pārvadāšanu ar vieglajiem taksometriem”</w:t>
      </w:r>
      <w:r w:rsidR="00EC10AB">
        <w:rPr>
          <w:b/>
          <w:bCs/>
          <w:sz w:val="24"/>
          <w:szCs w:val="24"/>
        </w:rPr>
        <w:t xml:space="preserve">” </w:t>
      </w:r>
      <w:r w:rsidR="004371C5" w:rsidRPr="00EC10AB">
        <w:rPr>
          <w:b/>
          <w:sz w:val="24"/>
          <w:szCs w:val="24"/>
        </w:rPr>
        <w:t>sākotnējās ietekmes novērtējuma ziņojums (anotācija)</w:t>
      </w:r>
      <w:r w:rsidRPr="00EC10AB">
        <w:rPr>
          <w:b/>
          <w:sz w:val="24"/>
          <w:szCs w:val="24"/>
        </w:rPr>
        <w:t xml:space="preserve"> </w:t>
      </w:r>
    </w:p>
    <w:p w14:paraId="69C3FECF" w14:textId="77777777" w:rsidR="00CE2351" w:rsidRPr="0029220D" w:rsidRDefault="00032250" w:rsidP="00EB0881">
      <w:pPr>
        <w:pStyle w:val="Header"/>
        <w:tabs>
          <w:tab w:val="clear" w:pos="4153"/>
          <w:tab w:val="clear" w:pos="8306"/>
          <w:tab w:val="left" w:pos="6195"/>
        </w:tabs>
        <w:spacing w:line="240" w:lineRule="auto"/>
        <w:ind w:firstLine="0"/>
        <w:rPr>
          <w:sz w:val="24"/>
          <w:szCs w:val="24"/>
          <w:lang w:val="lv-LV"/>
        </w:rPr>
      </w:pPr>
      <w:r w:rsidRPr="0029220D">
        <w:rPr>
          <w:sz w:val="24"/>
          <w:szCs w:val="24"/>
          <w:lang w:val="lv-LV"/>
        </w:rPr>
        <w:tab/>
      </w:r>
    </w:p>
    <w:tbl>
      <w:tblPr>
        <w:tblW w:w="4968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8"/>
        <w:gridCol w:w="109"/>
        <w:gridCol w:w="2743"/>
        <w:gridCol w:w="374"/>
        <w:gridCol w:w="5732"/>
      </w:tblGrid>
      <w:tr w:rsidR="0029220D" w:rsidRPr="0029220D" w14:paraId="3F2723C9" w14:textId="77777777" w:rsidTr="004371C5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1F1336B9" w14:textId="77777777" w:rsidR="00565A60" w:rsidRPr="0029220D" w:rsidRDefault="00565A60" w:rsidP="00EB0881">
            <w:pPr>
              <w:spacing w:line="240" w:lineRule="auto"/>
              <w:ind w:left="-330" w:firstLine="47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9220D" w:rsidRPr="0029220D" w14:paraId="265A4542" w14:textId="77777777" w:rsidTr="00C57B17">
        <w:tc>
          <w:tcPr>
            <w:tcW w:w="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4A1EC" w14:textId="77777777" w:rsidR="00565A60" w:rsidRPr="0029220D" w:rsidRDefault="004326C0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4B4A5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31CF1" w14:textId="423F8D5D" w:rsidR="009A1CEF" w:rsidRPr="00C12D61" w:rsidRDefault="00C12D61" w:rsidP="009738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2D61">
              <w:rPr>
                <w:rFonts w:eastAsia="Times New Roman"/>
                <w:sz w:val="24"/>
                <w:szCs w:val="24"/>
                <w:lang w:eastAsia="lv-LV"/>
              </w:rPr>
              <w:t xml:space="preserve">Ministru kabineta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2016.gada 20.septembra protokola Nr.46 53</w:t>
            </w:r>
            <w:r w:rsidR="00D0450F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Pr="00C12D6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§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5.punkt</w:t>
            </w:r>
            <w:r w:rsidR="0097380F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ā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do</w:t>
            </w:r>
            <w:r w:rsidR="0097380F">
              <w:rPr>
                <w:rFonts w:eastAsia="Times New Roman"/>
                <w:sz w:val="24"/>
                <w:szCs w:val="24"/>
                <w:lang w:eastAsia="lv-LV"/>
              </w:rPr>
              <w:t>ts uzdevums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r w:rsidRPr="00C12D61">
              <w:rPr>
                <w:rFonts w:eastAsia="Times New Roman"/>
                <w:sz w:val="24"/>
                <w:szCs w:val="24"/>
                <w:lang w:eastAsia="lv-LV"/>
              </w:rPr>
              <w:t xml:space="preserve">Satiksmes ministrijai sagatavot un satiksmes ministram divu nedēļu laikā no likumprojekta </w:t>
            </w:r>
            <w:r w:rsidR="00573640">
              <w:rPr>
                <w:rFonts w:eastAsia="Times New Roman"/>
                <w:sz w:val="24"/>
                <w:szCs w:val="24"/>
                <w:lang w:eastAsia="lv-LV"/>
              </w:rPr>
              <w:t>“G</w:t>
            </w:r>
            <w:r w:rsidR="00573640" w:rsidRPr="00DC4D37">
              <w:rPr>
                <w:rFonts w:eastAsia="Times New Roman"/>
                <w:sz w:val="24"/>
                <w:szCs w:val="24"/>
                <w:lang w:eastAsia="lv-LV"/>
              </w:rPr>
              <w:t>rozījum</w:t>
            </w:r>
            <w:r w:rsidR="00573640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="00573640"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 likumā </w:t>
            </w:r>
            <w:r w:rsidR="00573640" w:rsidRPr="00DC4D37">
              <w:rPr>
                <w:sz w:val="24"/>
                <w:szCs w:val="24"/>
              </w:rPr>
              <w:t>Par valsts sociālo apdrošināšanu”</w:t>
            </w:r>
            <w:r w:rsidR="00573640">
              <w:rPr>
                <w:sz w:val="24"/>
                <w:szCs w:val="24"/>
              </w:rPr>
              <w:t xml:space="preserve"> </w:t>
            </w:r>
            <w:r w:rsidRPr="00C12D61">
              <w:rPr>
                <w:rFonts w:eastAsia="Times New Roman"/>
                <w:sz w:val="24"/>
                <w:szCs w:val="24"/>
                <w:lang w:eastAsia="lv-LV"/>
              </w:rPr>
              <w:t>pieņemšanas dienas iesniegt izskatīšanai Ministru kabinetā kā Ministru kabineta lietu grozījumus Ministru kabineta 2012.gada 3.jūlija noteikumos Nr.468 "Noteikumi par pasažieru pārvadāšanu ar vieglajiem taksometriem"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(turpmāk – notei</w:t>
            </w:r>
            <w:r w:rsidR="00D82DD8">
              <w:rPr>
                <w:rFonts w:eastAsia="Times New Roman"/>
                <w:sz w:val="24"/>
                <w:szCs w:val="24"/>
                <w:lang w:eastAsia="lv-LV"/>
              </w:rPr>
              <w:t>kumi Nr.468)</w:t>
            </w:r>
            <w:r w:rsidRPr="00C12D61">
              <w:rPr>
                <w:rFonts w:eastAsia="Times New Roman"/>
                <w:sz w:val="24"/>
                <w:szCs w:val="24"/>
                <w:lang w:eastAsia="lv-LV"/>
              </w:rPr>
              <w:t>, nosakot, ka licences kartīte taksometram tiek izsniegta, ja par konkrēto taksometru ir veikts valsts sociālās apdrošināšanas obligāto iemaksu avan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 maksājums 130 EUR apmērā par </w:t>
            </w:r>
            <w:r w:rsidRPr="00C12D61">
              <w:rPr>
                <w:rFonts w:eastAsia="Times New Roman"/>
                <w:sz w:val="24"/>
                <w:szCs w:val="24"/>
                <w:lang w:eastAsia="lv-LV"/>
              </w:rPr>
              <w:t>kalendāra mēnesi</w:t>
            </w:r>
            <w:r w:rsidR="007F6F5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9220D" w14:paraId="66A791FE" w14:textId="77777777" w:rsidTr="00C57B17">
        <w:tc>
          <w:tcPr>
            <w:tcW w:w="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FCA8B" w14:textId="77777777" w:rsidR="00565A60" w:rsidRPr="0029220D" w:rsidRDefault="004326C0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AA20F9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A848" w14:textId="6A2C1143" w:rsidR="00C12D61" w:rsidRPr="003C7316" w:rsidRDefault="00C12D61" w:rsidP="0028483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</w:rPr>
              <w:t xml:space="preserve">Lai </w:t>
            </w:r>
            <w:r w:rsidR="00C23BE6">
              <w:rPr>
                <w:color w:val="000000"/>
                <w:sz w:val="24"/>
                <w:szCs w:val="24"/>
              </w:rPr>
              <w:t xml:space="preserve">samazinātu </w:t>
            </w:r>
            <w:r>
              <w:rPr>
                <w:color w:val="000000"/>
                <w:sz w:val="24"/>
                <w:szCs w:val="24"/>
              </w:rPr>
              <w:t xml:space="preserve">ēnu ekonomiku taksometru nozarē attiecībā uz darbaspēka izmaksām, mazinātu konkurences kropļošanu, izmantojot darbaspēka nodokļu nemaksāšanas shēmas, Nacionālās trīspusējās sadarbības padomes Budžeta un nodokļu </w:t>
            </w:r>
            <w:proofErr w:type="spellStart"/>
            <w:r>
              <w:rPr>
                <w:color w:val="000000"/>
                <w:sz w:val="24"/>
                <w:szCs w:val="24"/>
              </w:rPr>
              <w:t>apakšpadomes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2016.gada 27.jūnija sēdē Finanšu ministrijai tika dots uzdevums - sagatavot un finanšu ministrei saskaņā ar likumprojekta “Par vidēja termiņa budžeta ietvaru 2017., 2018. un 2019.gadam” un likumprojekta “Par valsts budžetu 2017.gadam” sagatavošanas grafiku ieviest </w:t>
            </w:r>
            <w:r w:rsidR="00935477">
              <w:rPr>
                <w:color w:val="000000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iksēto darbaspēka nodokļa maksājumu. </w:t>
            </w:r>
            <w:r w:rsidR="00C23BE6">
              <w:rPr>
                <w:color w:val="000000"/>
                <w:sz w:val="24"/>
                <w:szCs w:val="24"/>
              </w:rPr>
              <w:t xml:space="preserve">Ar </w:t>
            </w:r>
            <w:r w:rsidR="007D6F9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</w:t>
            </w:r>
            <w:r w:rsidR="00CB1D3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2016.gada 2.augusta </w:t>
            </w:r>
            <w:r w:rsidR="007D6F9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7D6F90" w:rsidRPr="00C12D6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rotokola Nr.38 49.§ </w:t>
            </w:r>
            <w:r w:rsidR="007D6F90" w:rsidRPr="00C12D61">
              <w:rPr>
                <w:color w:val="000000" w:themeColor="text1"/>
                <w:sz w:val="24"/>
                <w:szCs w:val="24"/>
              </w:rPr>
              <w:t>12.punkt</w:t>
            </w:r>
            <w:r w:rsidR="00C23BE6">
              <w:rPr>
                <w:color w:val="000000" w:themeColor="text1"/>
                <w:sz w:val="24"/>
                <w:szCs w:val="24"/>
              </w:rPr>
              <w:t>u</w:t>
            </w:r>
            <w:r w:rsidR="007D6F90" w:rsidRPr="00C12D61">
              <w:rPr>
                <w:color w:val="000000" w:themeColor="text1"/>
                <w:sz w:val="24"/>
                <w:szCs w:val="24"/>
              </w:rPr>
              <w:t xml:space="preserve"> Finanšu ministrijai, Labklājības ministrijai un Satiksmes ministrijai </w:t>
            </w:r>
            <w:r w:rsidR="00CB1D31" w:rsidRPr="00C12D61">
              <w:rPr>
                <w:color w:val="000000" w:themeColor="text1"/>
                <w:sz w:val="24"/>
                <w:szCs w:val="24"/>
              </w:rPr>
              <w:t>uzd</w:t>
            </w:r>
            <w:r w:rsidR="00CB1D31">
              <w:rPr>
                <w:color w:val="000000" w:themeColor="text1"/>
                <w:sz w:val="24"/>
                <w:szCs w:val="24"/>
              </w:rPr>
              <w:t>ots</w:t>
            </w:r>
            <w:r w:rsidR="00CB1D31" w:rsidRPr="00C12D6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6F90" w:rsidRPr="00C12D61">
              <w:rPr>
                <w:color w:val="000000" w:themeColor="text1"/>
                <w:sz w:val="24"/>
                <w:szCs w:val="24"/>
              </w:rPr>
              <w:t xml:space="preserve">izstrādāt un iesniegt izskatīšanai Ministru kabinetā grozījumus normatīvajos aktos saistībā </w:t>
            </w:r>
            <w:r w:rsidR="007D6F90" w:rsidRPr="00DC4D37">
              <w:rPr>
                <w:color w:val="000000" w:themeColor="text1"/>
                <w:sz w:val="24"/>
                <w:szCs w:val="24"/>
              </w:rPr>
              <w:t xml:space="preserve">ar fiksētā darbaspēka nodokļa (avansa maksājuma) taksometru nozarē ieviešanu no 2017.gada 1.janvāra. 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Pamatojoties uz šo uzdevumu </w:t>
            </w:r>
            <w:r w:rsidR="007D6F90"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tika 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>izstrādā</w:t>
            </w:r>
            <w:r w:rsidR="007D6F90" w:rsidRPr="00DC4D37">
              <w:rPr>
                <w:rFonts w:eastAsia="Times New Roman"/>
                <w:sz w:val="24"/>
                <w:szCs w:val="24"/>
                <w:lang w:eastAsia="lv-LV"/>
              </w:rPr>
              <w:t>ti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 un </w:t>
            </w:r>
            <w:r w:rsidRPr="0004144E">
              <w:rPr>
                <w:rFonts w:eastAsia="Times New Roman"/>
                <w:sz w:val="24"/>
                <w:szCs w:val="24"/>
                <w:lang w:eastAsia="lv-LV"/>
              </w:rPr>
              <w:t>Saeim</w:t>
            </w:r>
            <w:r w:rsidR="007D6F90" w:rsidRPr="0004144E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Pr="0004144E">
              <w:rPr>
                <w:rFonts w:eastAsia="Times New Roman"/>
                <w:sz w:val="24"/>
                <w:szCs w:val="24"/>
                <w:lang w:eastAsia="lv-LV"/>
              </w:rPr>
              <w:t xml:space="preserve"> 2016.gada</w:t>
            </w:r>
            <w:r w:rsidR="0004144E" w:rsidRPr="0004144E">
              <w:rPr>
                <w:rFonts w:eastAsia="Times New Roman"/>
                <w:sz w:val="24"/>
                <w:szCs w:val="24"/>
                <w:lang w:eastAsia="lv-LV"/>
              </w:rPr>
              <w:t xml:space="preserve"> 23.novembrī</w:t>
            </w:r>
            <w:r w:rsidR="0004144E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>pieņ</w:t>
            </w:r>
            <w:r w:rsidR="007D6F90"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emti 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>grozījum</w:t>
            </w:r>
            <w:r w:rsidR="0004144E">
              <w:rPr>
                <w:rFonts w:eastAsia="Times New Roman"/>
                <w:sz w:val="24"/>
                <w:szCs w:val="24"/>
                <w:lang w:eastAsia="lv-LV"/>
              </w:rPr>
              <w:t>i</w:t>
            </w:r>
            <w:r w:rsidRPr="00DC4D37">
              <w:rPr>
                <w:rFonts w:eastAsia="Times New Roman"/>
                <w:sz w:val="24"/>
                <w:szCs w:val="24"/>
                <w:lang w:eastAsia="lv-LV"/>
              </w:rPr>
              <w:t xml:space="preserve"> likumā </w:t>
            </w:r>
            <w:r w:rsidRPr="00DC4D37">
              <w:rPr>
                <w:sz w:val="24"/>
                <w:szCs w:val="24"/>
              </w:rPr>
              <w:t>„Par valsts sociālo apdrošināšanu”</w:t>
            </w:r>
            <w:r w:rsidR="00935477">
              <w:rPr>
                <w:sz w:val="24"/>
                <w:szCs w:val="24"/>
              </w:rPr>
              <w:t>,</w:t>
            </w:r>
            <w:r w:rsidR="00C23BE6">
              <w:rPr>
                <w:sz w:val="24"/>
                <w:szCs w:val="24"/>
              </w:rPr>
              <w:t xml:space="preserve"> </w:t>
            </w:r>
            <w:r w:rsidR="00CB1D31">
              <w:rPr>
                <w:sz w:val="24"/>
                <w:szCs w:val="24"/>
              </w:rPr>
              <w:t xml:space="preserve">paredzot </w:t>
            </w:r>
            <w:r w:rsidRPr="00DC4D37">
              <w:rPr>
                <w:sz w:val="24"/>
                <w:szCs w:val="24"/>
              </w:rPr>
              <w:t>i</w:t>
            </w:r>
            <w:r w:rsidRPr="00DC4D37">
              <w:rPr>
                <w:color w:val="000000"/>
                <w:sz w:val="24"/>
                <w:szCs w:val="24"/>
              </w:rPr>
              <w:t xml:space="preserve">eviest obligāto </w:t>
            </w:r>
            <w:r w:rsidR="00CB1D31">
              <w:rPr>
                <w:color w:val="000000"/>
                <w:sz w:val="24"/>
                <w:szCs w:val="24"/>
              </w:rPr>
              <w:t>valsts soci</w:t>
            </w:r>
            <w:r w:rsidR="00B170E1">
              <w:rPr>
                <w:color w:val="000000"/>
                <w:sz w:val="24"/>
                <w:szCs w:val="24"/>
              </w:rPr>
              <w:t>ālās</w:t>
            </w:r>
            <w:r w:rsidR="00CB1D31">
              <w:rPr>
                <w:color w:val="000000"/>
                <w:sz w:val="24"/>
                <w:szCs w:val="24"/>
              </w:rPr>
              <w:t xml:space="preserve"> apdrošināšanas </w:t>
            </w:r>
            <w:r w:rsidRPr="00DC4D37">
              <w:rPr>
                <w:color w:val="000000"/>
                <w:sz w:val="24"/>
                <w:szCs w:val="24"/>
              </w:rPr>
              <w:t xml:space="preserve">iemaksu </w:t>
            </w:r>
            <w:r w:rsidR="007D6F90" w:rsidRPr="00DC4D37">
              <w:rPr>
                <w:color w:val="000000"/>
                <w:sz w:val="24"/>
                <w:szCs w:val="24"/>
              </w:rPr>
              <w:t xml:space="preserve">- </w:t>
            </w:r>
            <w:r w:rsidRPr="00DC4D37">
              <w:rPr>
                <w:color w:val="000000"/>
                <w:sz w:val="24"/>
                <w:szCs w:val="24"/>
              </w:rPr>
              <w:t xml:space="preserve">avansa maksājumu 130 </w:t>
            </w:r>
            <w:proofErr w:type="spellStart"/>
            <w:r w:rsidRPr="00DC4D37">
              <w:rPr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DC4D37">
              <w:rPr>
                <w:color w:val="000000"/>
                <w:sz w:val="24"/>
                <w:szCs w:val="24"/>
              </w:rPr>
              <w:t xml:space="preserve"> par taksometru mēnesī. Avansa maksājums nebūs atkarīgs no fizisko personu skaita, kuras veiks pārvadājumus ar konkrēto taksometru. Obligāto iemaksu avanss tiks</w:t>
            </w:r>
            <w:r>
              <w:rPr>
                <w:color w:val="000000"/>
                <w:sz w:val="24"/>
                <w:szCs w:val="24"/>
              </w:rPr>
              <w:t xml:space="preserve"> iekasēts par katru mēnesi pirms licences kartītes izsniegšanas, t.i., ja nebūs samaksāts avanss, netiks izsniegta licences kartīte un</w:t>
            </w:r>
            <w:r w:rsidR="00935477">
              <w:rPr>
                <w:color w:val="000000"/>
                <w:sz w:val="24"/>
                <w:szCs w:val="24"/>
              </w:rPr>
              <w:t xml:space="preserve"> nevarēs veikt pārvadājumus. A</w:t>
            </w:r>
            <w:r>
              <w:rPr>
                <w:color w:val="000000"/>
                <w:sz w:val="24"/>
                <w:szCs w:val="24"/>
              </w:rPr>
              <w:t>tbilstoši  noteikumu Nr.468</w:t>
            </w:r>
            <w:r w:rsidR="007D6F90">
              <w:rPr>
                <w:color w:val="000000"/>
                <w:sz w:val="24"/>
                <w:szCs w:val="24"/>
              </w:rPr>
              <w:t xml:space="preserve"> 10.punktā</w:t>
            </w:r>
            <w:r w:rsidR="00935477">
              <w:rPr>
                <w:color w:val="000000"/>
                <w:sz w:val="24"/>
                <w:szCs w:val="24"/>
              </w:rPr>
              <w:t xml:space="preserve"> noteiktajam </w:t>
            </w:r>
            <w:r w:rsidR="007D6F90">
              <w:rPr>
                <w:color w:val="000000"/>
                <w:sz w:val="24"/>
                <w:szCs w:val="24"/>
              </w:rPr>
              <w:t xml:space="preserve">pašvaldība, </w:t>
            </w:r>
            <w:r w:rsidR="007D6F90" w:rsidRPr="007D6F90">
              <w:rPr>
                <w:sz w:val="24"/>
                <w:szCs w:val="24"/>
              </w:rPr>
              <w:t>kas izsniegusi speciālo atļauju (licenci) un pieņēmusi lēmumu par licences ka</w:t>
            </w:r>
            <w:r w:rsidR="00B170E1">
              <w:rPr>
                <w:sz w:val="24"/>
                <w:szCs w:val="24"/>
              </w:rPr>
              <w:t xml:space="preserve">rtītes izsniegšanu </w:t>
            </w:r>
            <w:r w:rsidR="007D6F90" w:rsidRPr="007D6F90">
              <w:rPr>
                <w:sz w:val="24"/>
                <w:szCs w:val="24"/>
              </w:rPr>
              <w:t xml:space="preserve">taksometram, datus par tās derīguma termiņu vai anulēšanu ievada </w:t>
            </w:r>
            <w:r w:rsidR="00B170E1">
              <w:rPr>
                <w:sz w:val="24"/>
                <w:szCs w:val="24"/>
              </w:rPr>
              <w:t>VAS “</w:t>
            </w:r>
            <w:r w:rsidR="007D6F90" w:rsidRPr="007D6F90">
              <w:rPr>
                <w:sz w:val="24"/>
                <w:szCs w:val="24"/>
              </w:rPr>
              <w:t>Ceļu satiksmes drošības direkcija</w:t>
            </w:r>
            <w:r w:rsidR="00B170E1">
              <w:rPr>
                <w:sz w:val="24"/>
                <w:szCs w:val="24"/>
              </w:rPr>
              <w:t>”</w:t>
            </w:r>
            <w:r w:rsidR="007D6F90" w:rsidRPr="007D6F90">
              <w:rPr>
                <w:sz w:val="24"/>
                <w:szCs w:val="24"/>
              </w:rPr>
              <w:t xml:space="preserve"> uzturētajā transportlīdzekļu un to vadītāju valsts reģistrā</w:t>
            </w:r>
            <w:r w:rsidR="00935477">
              <w:rPr>
                <w:sz w:val="24"/>
                <w:szCs w:val="24"/>
              </w:rPr>
              <w:t>. L</w:t>
            </w:r>
            <w:r w:rsidR="007D6F90">
              <w:rPr>
                <w:sz w:val="24"/>
                <w:szCs w:val="24"/>
              </w:rPr>
              <w:t xml:space="preserve">ai nodrošinātu </w:t>
            </w:r>
            <w:r w:rsidR="007D6F90" w:rsidRPr="00C12D61">
              <w:rPr>
                <w:rFonts w:eastAsia="Times New Roman"/>
                <w:sz w:val="24"/>
                <w:szCs w:val="24"/>
                <w:lang w:eastAsia="lv-LV"/>
              </w:rPr>
              <w:t>sociālās apdrošināšanas obligāto iemaksu avan</w:t>
            </w:r>
            <w:r w:rsidR="007D6F90">
              <w:rPr>
                <w:rFonts w:eastAsia="Times New Roman"/>
                <w:sz w:val="24"/>
                <w:szCs w:val="24"/>
                <w:lang w:eastAsia="lv-LV"/>
              </w:rPr>
              <w:t xml:space="preserve">sa maksājuma </w:t>
            </w:r>
            <w:r w:rsidR="007D6F90" w:rsidRPr="007D6F90">
              <w:rPr>
                <w:rFonts w:eastAsia="Times New Roman"/>
                <w:sz w:val="24"/>
                <w:szCs w:val="24"/>
                <w:lang w:eastAsia="lv-LV"/>
              </w:rPr>
              <w:t xml:space="preserve">130 </w:t>
            </w:r>
            <w:proofErr w:type="spellStart"/>
            <w:r w:rsidR="003F02B3" w:rsidRPr="003F02B3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7D6F90" w:rsidRPr="007D6F90">
              <w:rPr>
                <w:rFonts w:eastAsia="Times New Roman"/>
                <w:sz w:val="24"/>
                <w:szCs w:val="24"/>
                <w:lang w:eastAsia="lv-LV"/>
              </w:rPr>
              <w:t xml:space="preserve"> apmērā par kalendār</w:t>
            </w:r>
            <w:r w:rsidR="00C23BE6">
              <w:rPr>
                <w:rFonts w:eastAsia="Times New Roman"/>
                <w:sz w:val="24"/>
                <w:szCs w:val="24"/>
                <w:lang w:eastAsia="lv-LV"/>
              </w:rPr>
              <w:t>o</w:t>
            </w:r>
            <w:r w:rsidR="007D6F90" w:rsidRPr="007D6F90">
              <w:rPr>
                <w:rFonts w:eastAsia="Times New Roman"/>
                <w:sz w:val="24"/>
                <w:szCs w:val="24"/>
                <w:lang w:eastAsia="lv-LV"/>
              </w:rPr>
              <w:t xml:space="preserve"> mēnesi taksometram, ar kuru tiek veikti pārvadājumi, nepieciešams papildināt noteikumu Nr.468 </w:t>
            </w:r>
            <w:r w:rsidR="00415E05">
              <w:rPr>
                <w:rFonts w:eastAsia="Times New Roman"/>
                <w:sz w:val="24"/>
                <w:szCs w:val="24"/>
                <w:lang w:eastAsia="lv-LV"/>
              </w:rPr>
              <w:t>10.</w:t>
            </w:r>
            <w:r w:rsidR="007D6F90" w:rsidRPr="007D6F90">
              <w:rPr>
                <w:rFonts w:eastAsia="Times New Roman"/>
                <w:sz w:val="24"/>
                <w:szCs w:val="24"/>
                <w:lang w:eastAsia="lv-LV"/>
              </w:rPr>
              <w:t xml:space="preserve">punktu, nosakot, ka </w:t>
            </w:r>
            <w:r w:rsidR="007D6F90" w:rsidRPr="007D6F90">
              <w:rPr>
                <w:sz w:val="24"/>
                <w:szCs w:val="24"/>
              </w:rPr>
              <w:t xml:space="preserve">pašvaldība, kas izsniegusi speciālo atļauju (licenci) un </w:t>
            </w:r>
            <w:r w:rsidR="007D6F90" w:rsidRPr="007D6F90">
              <w:rPr>
                <w:sz w:val="24"/>
                <w:szCs w:val="24"/>
              </w:rPr>
              <w:lastRenderedPageBreak/>
              <w:t>pieņēmusi lēmumu par licences k</w:t>
            </w:r>
            <w:r w:rsidR="00B170E1">
              <w:rPr>
                <w:sz w:val="24"/>
                <w:szCs w:val="24"/>
              </w:rPr>
              <w:t xml:space="preserve">artītes izsniegšanu </w:t>
            </w:r>
            <w:r w:rsidR="007D6F90" w:rsidRPr="007D6F90">
              <w:rPr>
                <w:sz w:val="24"/>
                <w:szCs w:val="24"/>
              </w:rPr>
              <w:t xml:space="preserve"> taksometram, izsniedz licences kartīti</w:t>
            </w:r>
            <w:r w:rsidR="00B170E1">
              <w:rPr>
                <w:sz w:val="24"/>
                <w:szCs w:val="24"/>
              </w:rPr>
              <w:t>,</w:t>
            </w:r>
            <w:r w:rsidR="007D6F90" w:rsidRPr="007D6F90">
              <w:rPr>
                <w:sz w:val="24"/>
                <w:szCs w:val="24"/>
              </w:rPr>
              <w:t xml:space="preserve"> ja par </w:t>
            </w:r>
            <w:r w:rsidR="00284830">
              <w:rPr>
                <w:sz w:val="24"/>
                <w:szCs w:val="24"/>
              </w:rPr>
              <w:t xml:space="preserve">taksometru </w:t>
            </w:r>
            <w:r w:rsidR="007D6F90" w:rsidRPr="007D6F90">
              <w:rPr>
                <w:sz w:val="24"/>
                <w:szCs w:val="24"/>
              </w:rPr>
              <w:t>veikt</w:t>
            </w:r>
            <w:r w:rsidR="00D82DD8">
              <w:rPr>
                <w:sz w:val="24"/>
                <w:szCs w:val="24"/>
              </w:rPr>
              <w:t>s</w:t>
            </w:r>
            <w:r w:rsidR="007D6F90" w:rsidRPr="007D6F90">
              <w:rPr>
                <w:sz w:val="24"/>
                <w:szCs w:val="24"/>
              </w:rPr>
              <w:t xml:space="preserve"> valsts sociālo apdrošināšanas obligāto iemaksu avansa maksājums</w:t>
            </w:r>
            <w:r w:rsidR="007D6F90">
              <w:rPr>
                <w:sz w:val="24"/>
                <w:szCs w:val="24"/>
              </w:rPr>
              <w:t>.</w:t>
            </w:r>
          </w:p>
        </w:tc>
      </w:tr>
      <w:tr w:rsidR="0029220D" w:rsidRPr="0029220D" w14:paraId="50C765D7" w14:textId="77777777" w:rsidTr="00C57B17">
        <w:tc>
          <w:tcPr>
            <w:tcW w:w="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8B42F" w14:textId="77777777" w:rsidR="00565A60" w:rsidRPr="0029220D" w:rsidRDefault="00344EA8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55308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F1939" w14:textId="080C6E8F" w:rsidR="00565A60" w:rsidRPr="0029220D" w:rsidRDefault="003C7316" w:rsidP="00284830">
            <w:pPr>
              <w:tabs>
                <w:tab w:val="left" w:pos="2715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3C7316">
              <w:rPr>
                <w:rFonts w:eastAsia="Times New Roman"/>
                <w:sz w:val="24"/>
                <w:szCs w:val="24"/>
                <w:lang w:eastAsia="lv-LV"/>
              </w:rPr>
              <w:t>Satiksmes ministrija</w:t>
            </w:r>
            <w:r w:rsidR="007D6F90">
              <w:rPr>
                <w:rFonts w:eastAsia="Times New Roman"/>
                <w:sz w:val="24"/>
                <w:szCs w:val="24"/>
                <w:lang w:eastAsia="lv-LV"/>
              </w:rPr>
              <w:t xml:space="preserve">, Finanšu ministrija, </w:t>
            </w:r>
            <w:r w:rsidR="00284830">
              <w:rPr>
                <w:rFonts w:eastAsia="Times New Roman"/>
                <w:sz w:val="24"/>
                <w:szCs w:val="24"/>
                <w:lang w:eastAsia="lv-LV"/>
              </w:rPr>
              <w:t xml:space="preserve">Labklājības ministrija </w:t>
            </w:r>
            <w:r w:rsidR="007D6F90">
              <w:rPr>
                <w:rFonts w:eastAsia="Times New Roman"/>
                <w:sz w:val="24"/>
                <w:szCs w:val="24"/>
                <w:lang w:eastAsia="lv-LV"/>
              </w:rPr>
              <w:t>Latvijas Pašvaldību savienība</w:t>
            </w:r>
            <w:r w:rsidR="00284830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7D6F90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7625F" w:rsidRPr="0029220D" w14:paraId="1D589BF4" w14:textId="77777777" w:rsidTr="00C57B17">
        <w:tc>
          <w:tcPr>
            <w:tcW w:w="2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AC38C" w14:textId="77777777" w:rsidR="00565A60" w:rsidRPr="0029220D" w:rsidRDefault="00344EA8" w:rsidP="00EB0881">
            <w:pPr>
              <w:numPr>
                <w:ilvl w:val="0"/>
                <w:numId w:val="2"/>
              </w:num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C8E8E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59602" w14:textId="77777777" w:rsidR="00565A60" w:rsidRPr="0029220D" w:rsidRDefault="00CA5942" w:rsidP="00EB08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220D">
              <w:rPr>
                <w:sz w:val="24"/>
                <w:szCs w:val="24"/>
              </w:rPr>
              <w:t>Nav.</w:t>
            </w:r>
          </w:p>
        </w:tc>
      </w:tr>
      <w:tr w:rsidR="0029220D" w:rsidRPr="0029220D" w14:paraId="1DB4B344" w14:textId="77777777" w:rsidTr="004371C5"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657A3E4B" w14:textId="77777777" w:rsidR="00565A60" w:rsidRPr="0029220D" w:rsidRDefault="00565A60" w:rsidP="00EB088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II. Tiesību akta projekta ietekme uz sabiedrību</w:t>
            </w:r>
            <w:r w:rsidRPr="0029220D">
              <w:rPr>
                <w:b/>
                <w:bCs/>
                <w:sz w:val="24"/>
                <w:szCs w:val="24"/>
                <w:shd w:val="clear" w:color="auto" w:fill="FFFFFF"/>
              </w:rPr>
              <w:t>, tautsaimniecības attīstību un administratīvo slogu</w:t>
            </w:r>
          </w:p>
        </w:tc>
      </w:tr>
      <w:tr w:rsidR="0029220D" w:rsidRPr="0029220D" w14:paraId="46846D43" w14:textId="77777777" w:rsidTr="00C57B17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E0062" w14:textId="77777777" w:rsidR="00565A60" w:rsidRPr="0029220D" w:rsidRDefault="003F1D89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190C9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 xml:space="preserve">Sabiedrības </w:t>
            </w:r>
            <w:proofErr w:type="spellStart"/>
            <w:r w:rsidRPr="0029220D">
              <w:rPr>
                <w:sz w:val="24"/>
                <w:szCs w:val="24"/>
                <w:shd w:val="clear" w:color="auto" w:fill="FFFFFF"/>
              </w:rPr>
              <w:t>mērķgrupas</w:t>
            </w:r>
            <w:proofErr w:type="spellEnd"/>
            <w:r w:rsidRPr="0029220D">
              <w:rPr>
                <w:sz w:val="24"/>
                <w:szCs w:val="24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56CE1" w14:textId="521086FC" w:rsidR="007C1FC0" w:rsidRPr="007B4270" w:rsidRDefault="007B4270" w:rsidP="007C1FC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7B4270">
              <w:rPr>
                <w:rFonts w:eastAsia="Times New Roman"/>
                <w:sz w:val="24"/>
                <w:szCs w:val="24"/>
                <w:lang w:eastAsia="lv-LV"/>
              </w:rPr>
              <w:t>Pārv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7B4270">
              <w:rPr>
                <w:rFonts w:eastAsia="Times New Roman"/>
                <w:sz w:val="24"/>
                <w:szCs w:val="24"/>
                <w:lang w:eastAsia="lv-LV"/>
              </w:rPr>
              <w:t>dātāji, kuri veic pasažieru pārv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7B4270">
              <w:rPr>
                <w:rFonts w:eastAsia="Times New Roman"/>
                <w:sz w:val="24"/>
                <w:szCs w:val="24"/>
                <w:lang w:eastAsia="lv-LV"/>
              </w:rPr>
              <w:t>dājumus ar taksometriem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121EE6AE" w14:textId="77777777" w:rsidR="007C1FC0" w:rsidRPr="0029220D" w:rsidRDefault="007C1FC0" w:rsidP="00EC10A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  <w:tr w:rsidR="0029220D" w:rsidRPr="0029220D" w14:paraId="05948019" w14:textId="77777777" w:rsidTr="00C57B17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608B30" w14:textId="77777777" w:rsidR="00565A60" w:rsidRPr="0029220D" w:rsidRDefault="003F1D89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8A733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>Tiesiskā regulējuma ietekme uz tautsaimniecību un administratīvo slogu</w:t>
            </w:r>
            <w:r w:rsidR="007D6F9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55541" w14:textId="5BE779E8" w:rsidR="00415BF6" w:rsidRPr="0029220D" w:rsidRDefault="0072057B" w:rsidP="00C2175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Kopējās a</w:t>
            </w:r>
            <w:r w:rsidR="0059075C">
              <w:rPr>
                <w:rFonts w:eastAsia="Times New Roman"/>
                <w:sz w:val="24"/>
                <w:szCs w:val="24"/>
                <w:lang w:eastAsia="lv-LV"/>
              </w:rPr>
              <w:t xml:space="preserve">dministratīvās izmaksas (naudas izteiksmē) gada laikā </w:t>
            </w:r>
            <w:proofErr w:type="spellStart"/>
            <w:r w:rsidR="0059075C">
              <w:rPr>
                <w:rFonts w:eastAsia="Times New Roman"/>
                <w:sz w:val="24"/>
                <w:szCs w:val="24"/>
                <w:lang w:eastAsia="lv-LV"/>
              </w:rPr>
              <w:t>mērķgrupai</w:t>
            </w:r>
            <w:proofErr w:type="spellEnd"/>
            <w:r w:rsidR="0059075C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nav </w:t>
            </w:r>
            <w:r w:rsidR="00841ED1">
              <w:rPr>
                <w:rFonts w:eastAsia="Times New Roman"/>
                <w:sz w:val="24"/>
                <w:szCs w:val="24"/>
                <w:lang w:eastAsia="lv-LV"/>
              </w:rPr>
              <w:t>paredzamas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, </w:t>
            </w:r>
            <w:r w:rsidR="00841ED1">
              <w:rPr>
                <w:rFonts w:eastAsia="Times New Roman"/>
                <w:sz w:val="24"/>
                <w:szCs w:val="24"/>
                <w:lang w:eastAsia="lv-LV"/>
              </w:rPr>
              <w:t>taču valsts sociālās apdro</w:t>
            </w:r>
            <w:r w:rsidR="00C21753">
              <w:rPr>
                <w:rFonts w:eastAsia="Times New Roman"/>
                <w:sz w:val="24"/>
                <w:szCs w:val="24"/>
                <w:lang w:eastAsia="lv-LV"/>
              </w:rPr>
              <w:t>ši</w:t>
            </w:r>
            <w:r w:rsidR="00841ED1">
              <w:rPr>
                <w:rFonts w:eastAsia="Times New Roman"/>
                <w:sz w:val="24"/>
                <w:szCs w:val="24"/>
                <w:lang w:eastAsia="lv-LV"/>
              </w:rPr>
              <w:t xml:space="preserve">nāšanas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iemaks</w:t>
            </w:r>
            <w:r w:rsidR="00841ED1">
              <w:rPr>
                <w:rFonts w:eastAsia="Times New Roman"/>
                <w:sz w:val="24"/>
                <w:szCs w:val="24"/>
                <w:lang w:eastAsia="lv-LV"/>
              </w:rPr>
              <w:t xml:space="preserve">u avansa maksājums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par vienu transportlīdzekli mēnesī sastādīs 130 </w:t>
            </w:r>
            <w:proofErr w:type="spellStart"/>
            <w:r w:rsidRPr="0072057B">
              <w:rPr>
                <w:rFonts w:eastAsia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72057B">
              <w:rPr>
                <w:rFonts w:eastAsia="Times New Roman"/>
                <w:i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9220D" w14:paraId="3797210A" w14:textId="77777777" w:rsidTr="00C57B17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02FE9F" w14:textId="77777777"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EF4CC" w14:textId="77777777" w:rsidR="00565A60" w:rsidRPr="0029220D" w:rsidRDefault="00565A60" w:rsidP="00EB0881">
            <w:pPr>
              <w:spacing w:line="240" w:lineRule="auto"/>
              <w:ind w:firstLine="18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sz w:val="24"/>
                <w:szCs w:val="24"/>
                <w:shd w:val="clear" w:color="auto" w:fill="FFFFFF"/>
              </w:rPr>
              <w:t>Administratīvo izmaksu monetārs novērtējums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22A8B" w14:textId="217A19AA" w:rsidR="00565A60" w:rsidRPr="0029220D" w:rsidRDefault="00C23BE6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65A60" w:rsidRPr="0029220D" w14:paraId="5AB044F5" w14:textId="77777777" w:rsidTr="00C57B17"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B50ED" w14:textId="77777777"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t>4</w:t>
            </w: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C7B32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F2AF8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  <w:r w:rsidR="003F1D89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9220D" w14:paraId="560B50E1" w14:textId="77777777" w:rsidTr="008C470B">
        <w:trPr>
          <w:trHeight w:val="451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713B2" w14:textId="77777777" w:rsidR="00565A60" w:rsidRPr="0029220D" w:rsidRDefault="00565A60" w:rsidP="00EB0881">
            <w:pPr>
              <w:spacing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9220D" w:rsidRPr="0029220D" w14:paraId="1D563D36" w14:textId="77777777" w:rsidTr="00C57B17">
        <w:trPr>
          <w:trHeight w:val="487"/>
        </w:trPr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AB0F1" w14:textId="77777777" w:rsidR="00565A60" w:rsidRPr="0029220D" w:rsidRDefault="00DA5F33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2C1EC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679A9" w14:textId="77777777" w:rsidR="00565A60" w:rsidRPr="0029220D" w:rsidRDefault="004F0579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Satiksmes ministrija</w:t>
            </w:r>
            <w:r w:rsidR="000D7A85">
              <w:rPr>
                <w:rFonts w:eastAsia="Times New Roman"/>
                <w:sz w:val="24"/>
                <w:szCs w:val="24"/>
                <w:lang w:eastAsia="lv-LV"/>
              </w:rPr>
              <w:t xml:space="preserve"> un pašvaldības</w:t>
            </w:r>
            <w:r w:rsidR="00D34D55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29220D" w:rsidRPr="0029220D" w14:paraId="17D3CCDF" w14:textId="77777777" w:rsidTr="00C57B17">
        <w:trPr>
          <w:trHeight w:val="711"/>
        </w:trPr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6FAEA" w14:textId="77777777" w:rsidR="00565A60" w:rsidRPr="0029220D" w:rsidRDefault="00DA5F33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4A29F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shd w:val="clear" w:color="auto" w:fill="FFFFFF"/>
                <w:lang w:eastAsia="lv-LV"/>
              </w:rPr>
              <w:t>Projekta izpildes ietekme uz pārvaldes funkcijām un institucionālo struktūru.</w:t>
            </w:r>
          </w:p>
          <w:p w14:paraId="5E5F8FC4" w14:textId="77777777" w:rsidR="00565A60" w:rsidRPr="0029220D" w:rsidRDefault="00565A60" w:rsidP="00EB0881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B4286" w14:textId="3B6CD5FF" w:rsidR="00565A60" w:rsidRPr="004F0579" w:rsidRDefault="0059075C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59075C">
              <w:rPr>
                <w:rFonts w:eastAsia="Times New Roman"/>
                <w:sz w:val="24"/>
                <w:szCs w:val="24"/>
                <w:lang w:eastAsia="lv-LV"/>
              </w:rPr>
              <w:t xml:space="preserve">Projekta izpilde tiks nodrošināta anotācijas </w:t>
            </w:r>
            <w:r w:rsidRPr="0059075C">
              <w:rPr>
                <w:rFonts w:eastAsia="Times New Roman"/>
                <w:bCs/>
                <w:sz w:val="24"/>
                <w:szCs w:val="24"/>
                <w:lang w:eastAsia="lv-LV"/>
              </w:rPr>
              <w:t>VII. sadaļas 1.punktā minēto institūciju līdzšinējo funkciju ietvaros un institūciju cilvēkresursus neietekmēs.</w:t>
            </w:r>
          </w:p>
        </w:tc>
      </w:tr>
      <w:tr w:rsidR="002540F6" w:rsidRPr="0029220D" w14:paraId="142C3720" w14:textId="77777777" w:rsidTr="00C57B17">
        <w:trPr>
          <w:trHeight w:val="453"/>
        </w:trPr>
        <w:tc>
          <w:tcPr>
            <w:tcW w:w="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57B6" w14:textId="77777777" w:rsidR="00565A60" w:rsidRPr="0029220D" w:rsidRDefault="00565A60" w:rsidP="00EB0881">
            <w:pPr>
              <w:spacing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3</w:t>
            </w:r>
            <w:r w:rsidR="00DA5F33" w:rsidRPr="0029220D">
              <w:rPr>
                <w:rFonts w:eastAsia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CACA6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81360" w14:textId="77777777" w:rsidR="00565A60" w:rsidRPr="0029220D" w:rsidRDefault="00565A60" w:rsidP="00EB0881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 w:rsidRPr="0029220D">
              <w:rPr>
                <w:rFonts w:eastAsia="Times New Roman"/>
                <w:sz w:val="24"/>
                <w:szCs w:val="24"/>
                <w:lang w:eastAsia="lv-LV"/>
              </w:rPr>
              <w:t>Nav</w:t>
            </w:r>
            <w:r w:rsidR="00DA5F33" w:rsidRPr="0029220D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F4B73CE" w14:textId="595A7A77" w:rsidR="0059075C" w:rsidRPr="00205EB8" w:rsidRDefault="0059075C" w:rsidP="00454A72">
      <w:pPr>
        <w:spacing w:line="240" w:lineRule="auto"/>
        <w:ind w:firstLine="0"/>
        <w:jc w:val="left"/>
        <w:rPr>
          <w:sz w:val="24"/>
          <w:szCs w:val="24"/>
        </w:rPr>
      </w:pPr>
      <w:r w:rsidRPr="00205EB8">
        <w:rPr>
          <w:sz w:val="24"/>
          <w:szCs w:val="24"/>
        </w:rPr>
        <w:t>Anotācijas III, IV</w:t>
      </w:r>
      <w:r w:rsidR="00751602">
        <w:rPr>
          <w:sz w:val="24"/>
          <w:szCs w:val="24"/>
        </w:rPr>
        <w:t>,</w:t>
      </w:r>
      <w:r w:rsidRPr="00205EB8">
        <w:rPr>
          <w:sz w:val="24"/>
          <w:szCs w:val="24"/>
        </w:rPr>
        <w:t>V</w:t>
      </w:r>
      <w:r w:rsidR="00751602">
        <w:rPr>
          <w:sz w:val="24"/>
          <w:szCs w:val="24"/>
        </w:rPr>
        <w:t xml:space="preserve"> un VI</w:t>
      </w:r>
      <w:r w:rsidRPr="00205EB8">
        <w:rPr>
          <w:sz w:val="24"/>
          <w:szCs w:val="24"/>
        </w:rPr>
        <w:t xml:space="preserve"> sadaļa – projekts šīs jomas neskar.</w:t>
      </w:r>
    </w:p>
    <w:p w14:paraId="0CA693FC" w14:textId="6E5F7407" w:rsidR="00B95008" w:rsidRDefault="00B95008" w:rsidP="00EB0881">
      <w:pPr>
        <w:spacing w:line="240" w:lineRule="auto"/>
        <w:ind w:firstLine="0"/>
        <w:rPr>
          <w:sz w:val="24"/>
          <w:szCs w:val="24"/>
        </w:rPr>
      </w:pPr>
    </w:p>
    <w:p w14:paraId="5EF315EB" w14:textId="77777777" w:rsidR="00F92C84" w:rsidRDefault="00F92C84" w:rsidP="00EB0881">
      <w:pPr>
        <w:spacing w:line="240" w:lineRule="auto"/>
        <w:ind w:firstLine="0"/>
        <w:rPr>
          <w:sz w:val="24"/>
          <w:szCs w:val="24"/>
        </w:rPr>
      </w:pPr>
    </w:p>
    <w:p w14:paraId="10745CD2" w14:textId="77777777" w:rsidR="0059075C" w:rsidRPr="0059075C" w:rsidRDefault="0059075C" w:rsidP="0059075C">
      <w:pPr>
        <w:spacing w:before="58" w:after="58"/>
        <w:ind w:right="-341" w:firstLine="0"/>
        <w:rPr>
          <w:sz w:val="24"/>
          <w:szCs w:val="24"/>
        </w:rPr>
      </w:pPr>
      <w:r w:rsidRPr="0059075C">
        <w:rPr>
          <w:sz w:val="24"/>
          <w:szCs w:val="24"/>
        </w:rPr>
        <w:t>Satiksmes ministrs</w:t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r w:rsidRPr="0059075C">
        <w:rPr>
          <w:sz w:val="24"/>
          <w:szCs w:val="24"/>
        </w:rPr>
        <w:tab/>
      </w:r>
      <w:proofErr w:type="spellStart"/>
      <w:r w:rsidRPr="0059075C">
        <w:rPr>
          <w:sz w:val="24"/>
          <w:szCs w:val="24"/>
        </w:rPr>
        <w:t>U.Augulis</w:t>
      </w:r>
      <w:proofErr w:type="spellEnd"/>
    </w:p>
    <w:p w14:paraId="5B199CDC" w14:textId="77777777" w:rsidR="0059075C" w:rsidRPr="0059075C" w:rsidRDefault="0059075C" w:rsidP="0059075C">
      <w:pPr>
        <w:spacing w:before="58" w:after="58"/>
        <w:ind w:right="-341" w:firstLine="0"/>
        <w:rPr>
          <w:sz w:val="24"/>
          <w:szCs w:val="24"/>
        </w:rPr>
      </w:pPr>
    </w:p>
    <w:p w14:paraId="0137C037" w14:textId="7F191778" w:rsidR="00751602" w:rsidRDefault="0059075C" w:rsidP="0059075C">
      <w:pPr>
        <w:ind w:right="-516" w:firstLine="0"/>
        <w:rPr>
          <w:sz w:val="24"/>
          <w:szCs w:val="24"/>
        </w:rPr>
      </w:pPr>
      <w:r w:rsidRPr="0059075C">
        <w:rPr>
          <w:sz w:val="24"/>
          <w:szCs w:val="24"/>
        </w:rPr>
        <w:t>Vīza: Valsts sekretār</w:t>
      </w:r>
      <w:r w:rsidR="00751602">
        <w:rPr>
          <w:sz w:val="24"/>
          <w:szCs w:val="24"/>
        </w:rPr>
        <w:t>a vietā –</w:t>
      </w:r>
    </w:p>
    <w:p w14:paraId="00A38316" w14:textId="08EC5B65" w:rsidR="0059075C" w:rsidRPr="0059075C" w:rsidRDefault="00751602" w:rsidP="0059075C">
      <w:pPr>
        <w:ind w:right="-516" w:firstLine="0"/>
        <w:rPr>
          <w:sz w:val="24"/>
          <w:szCs w:val="24"/>
        </w:rPr>
      </w:pPr>
      <w:r>
        <w:rPr>
          <w:sz w:val="24"/>
          <w:szCs w:val="24"/>
        </w:rPr>
        <w:t>Valsts sekretāra vietniece</w:t>
      </w:r>
      <w:r w:rsidR="0059075C" w:rsidRPr="0059075C">
        <w:rPr>
          <w:sz w:val="24"/>
          <w:szCs w:val="24"/>
        </w:rPr>
        <w:tab/>
        <w:t xml:space="preserve">                   </w:t>
      </w:r>
      <w:r w:rsidR="0059075C" w:rsidRPr="0059075C">
        <w:rPr>
          <w:sz w:val="24"/>
          <w:szCs w:val="24"/>
        </w:rPr>
        <w:tab/>
      </w:r>
      <w:r w:rsidR="0059075C" w:rsidRPr="0059075C">
        <w:rPr>
          <w:sz w:val="24"/>
          <w:szCs w:val="24"/>
        </w:rPr>
        <w:tab/>
      </w:r>
      <w:r w:rsidR="0059075C" w:rsidRPr="0059075C">
        <w:rPr>
          <w:sz w:val="24"/>
          <w:szCs w:val="24"/>
        </w:rPr>
        <w:tab/>
      </w:r>
      <w:r w:rsidR="0059075C" w:rsidRPr="0059075C">
        <w:rPr>
          <w:sz w:val="24"/>
          <w:szCs w:val="24"/>
        </w:rPr>
        <w:tab/>
      </w:r>
      <w:r w:rsidR="0059075C" w:rsidRPr="0059075C">
        <w:rPr>
          <w:sz w:val="24"/>
          <w:szCs w:val="24"/>
        </w:rPr>
        <w:tab/>
      </w:r>
      <w:r w:rsidR="0059075C" w:rsidRPr="0059075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Dž.Innusa</w:t>
      </w:r>
      <w:proofErr w:type="spellEnd"/>
    </w:p>
    <w:p w14:paraId="185993CF" w14:textId="77777777" w:rsidR="00A6393A" w:rsidRPr="0029220D" w:rsidRDefault="00A6393A" w:rsidP="00EB0881">
      <w:pPr>
        <w:pStyle w:val="Header"/>
        <w:spacing w:line="240" w:lineRule="auto"/>
        <w:ind w:firstLine="0"/>
        <w:rPr>
          <w:sz w:val="24"/>
          <w:szCs w:val="24"/>
          <w:lang w:val="lv-LV"/>
        </w:rPr>
      </w:pPr>
    </w:p>
    <w:p w14:paraId="3F883807" w14:textId="11881F0E" w:rsidR="00ED7815" w:rsidRPr="0029220D" w:rsidRDefault="00284830" w:rsidP="00EB0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0</w:t>
      </w:r>
      <w:r w:rsidR="00ED36D1">
        <w:rPr>
          <w:sz w:val="20"/>
          <w:szCs w:val="20"/>
        </w:rPr>
        <w:t>7</w:t>
      </w:r>
      <w:r w:rsidR="000E3463" w:rsidRPr="0029220D">
        <w:rPr>
          <w:sz w:val="20"/>
          <w:szCs w:val="20"/>
        </w:rPr>
        <w:t>.</w:t>
      </w:r>
      <w:r w:rsidR="00573640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="006E43B0" w:rsidRPr="0029220D">
        <w:rPr>
          <w:sz w:val="20"/>
          <w:szCs w:val="20"/>
        </w:rPr>
        <w:t>.2016</w:t>
      </w:r>
      <w:r w:rsidR="00BC58FA">
        <w:rPr>
          <w:sz w:val="20"/>
          <w:szCs w:val="20"/>
        </w:rPr>
        <w:t>.</w:t>
      </w:r>
      <w:bookmarkStart w:id="0" w:name="_GoBack"/>
      <w:bookmarkEnd w:id="0"/>
    </w:p>
    <w:p w14:paraId="67DA377D" w14:textId="55C766DF" w:rsidR="00ED7815" w:rsidRPr="0029220D" w:rsidRDefault="00284830" w:rsidP="00EB0881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DF073C">
        <w:rPr>
          <w:sz w:val="20"/>
          <w:szCs w:val="20"/>
        </w:rPr>
        <w:t>82</w:t>
      </w:r>
    </w:p>
    <w:p w14:paraId="398F932C" w14:textId="77777777" w:rsidR="00D9115A" w:rsidRPr="0029220D" w:rsidRDefault="00EC10AB" w:rsidP="00EB0881">
      <w:pPr>
        <w:spacing w:line="240" w:lineRule="auto"/>
        <w:ind w:firstLine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D.Ziemele</w:t>
      </w:r>
      <w:proofErr w:type="spellEnd"/>
      <w:r>
        <w:rPr>
          <w:sz w:val="20"/>
          <w:szCs w:val="20"/>
          <w:lang w:val="de-DE"/>
        </w:rPr>
        <w:t>-A</w:t>
      </w:r>
      <w:r w:rsidR="00FF1127">
        <w:rPr>
          <w:sz w:val="20"/>
          <w:szCs w:val="20"/>
          <w:lang w:val="de-DE"/>
        </w:rPr>
        <w:t>d</w:t>
      </w:r>
      <w:r>
        <w:rPr>
          <w:sz w:val="20"/>
          <w:szCs w:val="20"/>
          <w:lang w:val="de-DE"/>
        </w:rPr>
        <w:t>ricka, 67028036</w:t>
      </w:r>
    </w:p>
    <w:p w14:paraId="318630DC" w14:textId="7F8E6EAF" w:rsidR="00EC10AB" w:rsidRPr="00EC10AB" w:rsidRDefault="00EC10AB" w:rsidP="00EB0881">
      <w:pPr>
        <w:spacing w:line="240" w:lineRule="auto"/>
        <w:ind w:firstLine="0"/>
        <w:rPr>
          <w:sz w:val="20"/>
          <w:szCs w:val="20"/>
          <w:lang w:val="de-DE"/>
        </w:rPr>
      </w:pPr>
      <w:r>
        <w:rPr>
          <w:sz w:val="20"/>
          <w:szCs w:val="20"/>
        </w:rPr>
        <w:t>d</w:t>
      </w:r>
      <w:r w:rsidRPr="00EC10AB">
        <w:rPr>
          <w:sz w:val="20"/>
          <w:szCs w:val="20"/>
        </w:rPr>
        <w:t>ana.ziemele-adricka@sam.gov.lv</w:t>
      </w:r>
      <w:r w:rsidR="00BB6943" w:rsidRPr="00EC10AB">
        <w:rPr>
          <w:sz w:val="20"/>
          <w:szCs w:val="20"/>
          <w:lang w:val="de-DE"/>
        </w:rPr>
        <w:t xml:space="preserve"> </w:t>
      </w:r>
    </w:p>
    <w:sectPr w:rsidR="00EC10AB" w:rsidRPr="00EC10AB" w:rsidSect="003F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588" w:header="709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9719" w14:textId="77777777" w:rsidR="004E1026" w:rsidRDefault="004E1026" w:rsidP="00E65F54">
      <w:pPr>
        <w:spacing w:line="240" w:lineRule="auto"/>
      </w:pPr>
      <w:r>
        <w:separator/>
      </w:r>
    </w:p>
  </w:endnote>
  <w:endnote w:type="continuationSeparator" w:id="0">
    <w:p w14:paraId="2A629F55" w14:textId="77777777" w:rsidR="004E1026" w:rsidRDefault="004E1026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FB5A6" w14:textId="77777777" w:rsidR="008F3123" w:rsidRDefault="008F3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ED829" w14:textId="4BF969AD" w:rsidR="00160311" w:rsidRPr="009C069D" w:rsidRDefault="00160311" w:rsidP="00160311">
    <w:pPr>
      <w:pStyle w:val="Header"/>
      <w:spacing w:line="240" w:lineRule="auto"/>
      <w:ind w:firstLine="0"/>
      <w:rPr>
        <w:sz w:val="20"/>
        <w:szCs w:val="20"/>
      </w:rPr>
    </w:pPr>
    <w:r w:rsidRPr="008F3123">
      <w:rPr>
        <w:sz w:val="20"/>
        <w:szCs w:val="20"/>
      </w:rPr>
      <w:t>SAMAnot_</w:t>
    </w:r>
    <w:r w:rsidR="00284830">
      <w:rPr>
        <w:sz w:val="20"/>
        <w:szCs w:val="20"/>
        <w:lang w:val="lv-LV"/>
      </w:rPr>
      <w:t>0</w:t>
    </w:r>
    <w:r w:rsidR="00551E18">
      <w:rPr>
        <w:sz w:val="20"/>
        <w:szCs w:val="20"/>
        <w:lang w:val="lv-LV"/>
      </w:rPr>
      <w:t>7</w:t>
    </w:r>
    <w:r w:rsidR="00CB6EED">
      <w:rPr>
        <w:sz w:val="20"/>
        <w:szCs w:val="20"/>
        <w:lang w:val="lv-LV"/>
      </w:rPr>
      <w:t>1</w:t>
    </w:r>
    <w:r w:rsidR="00284830">
      <w:rPr>
        <w:sz w:val="20"/>
        <w:szCs w:val="20"/>
        <w:lang w:val="lv-LV"/>
      </w:rPr>
      <w:t>2</w:t>
    </w:r>
    <w:r w:rsidRPr="008F3123">
      <w:rPr>
        <w:sz w:val="20"/>
        <w:szCs w:val="20"/>
      </w:rPr>
      <w:t>16_not468; Ministru kabineta noteikumu projekts „Grozījum</w:t>
    </w:r>
    <w:r w:rsidR="00551E18">
      <w:rPr>
        <w:sz w:val="20"/>
        <w:szCs w:val="20"/>
        <w:lang w:val="lv-LV"/>
      </w:rPr>
      <w:t>i</w:t>
    </w:r>
    <w:r w:rsidRPr="008F3123">
      <w:rPr>
        <w:sz w:val="20"/>
        <w:szCs w:val="20"/>
      </w:rPr>
      <w:t xml:space="preserve"> Ministru kabineta 2012.gada 3.jūlija noteikumos Nr.468 „</w:t>
    </w:r>
    <w:r w:rsidRPr="008F3123">
      <w:rPr>
        <w:bCs/>
        <w:sz w:val="20"/>
        <w:szCs w:val="20"/>
      </w:rPr>
      <w:t>Noteikumi par pasažieru pārvadāšanu ar vieglajiem taksometriem”</w:t>
    </w:r>
    <w:r>
      <w:rPr>
        <w:bCs/>
        <w:sz w:val="20"/>
        <w:szCs w:val="20"/>
        <w:lang w:val="lv-LV"/>
      </w:rPr>
      <w:t xml:space="preserve"> sākotnējās ietekmes novērtējuma ziņojums (anotācija).</w:t>
    </w:r>
  </w:p>
  <w:p w14:paraId="56676D37" w14:textId="77777777" w:rsidR="00160311" w:rsidRPr="008F3123" w:rsidRDefault="00160311" w:rsidP="00160311">
    <w:pPr>
      <w:pStyle w:val="Footer"/>
      <w:rPr>
        <w:sz w:val="20"/>
        <w:szCs w:val="20"/>
      </w:rPr>
    </w:pPr>
    <w:r w:rsidRPr="008F3123">
      <w:rPr>
        <w:bCs/>
        <w:sz w:val="20"/>
        <w:szCs w:val="20"/>
      </w:rPr>
      <w:t xml:space="preserve"> </w:t>
    </w:r>
  </w:p>
  <w:p w14:paraId="58D5CC64" w14:textId="77777777" w:rsidR="009C069D" w:rsidRPr="009C069D" w:rsidRDefault="009C069D" w:rsidP="009C069D">
    <w:pPr>
      <w:pStyle w:val="Header"/>
      <w:spacing w:line="240" w:lineRule="auto"/>
      <w:ind w:firstLine="0"/>
      <w:rPr>
        <w:sz w:val="20"/>
        <w:szCs w:val="20"/>
      </w:rPr>
    </w:pPr>
  </w:p>
  <w:p w14:paraId="1D0F0A5F" w14:textId="77777777" w:rsidR="004404A8" w:rsidRPr="004404A8" w:rsidRDefault="004404A8" w:rsidP="004404A8">
    <w:pPr>
      <w:pStyle w:val="Header"/>
      <w:spacing w:line="240" w:lineRule="auto"/>
      <w:ind w:firstLine="0"/>
      <w:jc w:val="center"/>
      <w:rPr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0CFE" w14:textId="2FA7F594" w:rsidR="004404A8" w:rsidRPr="009C069D" w:rsidRDefault="0073691D" w:rsidP="00160311">
    <w:pPr>
      <w:pStyle w:val="Header"/>
      <w:spacing w:line="240" w:lineRule="auto"/>
      <w:ind w:firstLine="0"/>
      <w:rPr>
        <w:sz w:val="20"/>
        <w:szCs w:val="20"/>
      </w:rPr>
    </w:pPr>
    <w:r w:rsidRPr="006E43B0">
      <w:rPr>
        <w:sz w:val="20"/>
        <w:szCs w:val="20"/>
      </w:rPr>
      <w:t>SAMAnot_</w:t>
    </w:r>
    <w:r w:rsidR="00551E18">
      <w:rPr>
        <w:sz w:val="20"/>
        <w:szCs w:val="20"/>
        <w:lang w:val="lv-LV"/>
      </w:rPr>
      <w:t>07</w:t>
    </w:r>
    <w:r w:rsidR="0004144E">
      <w:rPr>
        <w:sz w:val="20"/>
        <w:szCs w:val="20"/>
        <w:lang w:val="lv-LV"/>
      </w:rPr>
      <w:t>1</w:t>
    </w:r>
    <w:r w:rsidR="00551E18">
      <w:rPr>
        <w:sz w:val="20"/>
        <w:szCs w:val="20"/>
        <w:lang w:val="lv-LV"/>
      </w:rPr>
      <w:t>2</w:t>
    </w:r>
    <w:r w:rsidRPr="009C069D">
      <w:rPr>
        <w:sz w:val="20"/>
        <w:szCs w:val="20"/>
      </w:rPr>
      <w:t>16</w:t>
    </w:r>
    <w:r w:rsidRPr="006E43B0">
      <w:rPr>
        <w:sz w:val="20"/>
        <w:szCs w:val="20"/>
      </w:rPr>
      <w:t>_</w:t>
    </w:r>
    <w:r w:rsidR="00160311">
      <w:rPr>
        <w:sz w:val="20"/>
        <w:szCs w:val="20"/>
        <w:lang w:val="lv-LV"/>
      </w:rPr>
      <w:t>not</w:t>
    </w:r>
    <w:r w:rsidR="009C069D">
      <w:rPr>
        <w:sz w:val="20"/>
        <w:szCs w:val="20"/>
        <w:lang w:val="lv-LV"/>
      </w:rPr>
      <w:t>4</w:t>
    </w:r>
    <w:r w:rsidR="00160311">
      <w:rPr>
        <w:sz w:val="20"/>
        <w:szCs w:val="20"/>
        <w:lang w:val="lv-LV"/>
      </w:rPr>
      <w:t>68</w:t>
    </w:r>
    <w:r w:rsidRPr="009C069D">
      <w:rPr>
        <w:sz w:val="20"/>
        <w:szCs w:val="20"/>
      </w:rPr>
      <w:t xml:space="preserve">; </w:t>
    </w:r>
    <w:r w:rsidR="00160311" w:rsidRPr="008F3123">
      <w:rPr>
        <w:sz w:val="20"/>
        <w:szCs w:val="20"/>
      </w:rPr>
      <w:t>Ministru kabineta noteikumu projekts „Grozījum</w:t>
    </w:r>
    <w:r w:rsidR="00551E18">
      <w:rPr>
        <w:sz w:val="20"/>
        <w:szCs w:val="20"/>
        <w:lang w:val="lv-LV"/>
      </w:rPr>
      <w:t>i</w:t>
    </w:r>
    <w:r w:rsidR="00160311" w:rsidRPr="008F3123">
      <w:rPr>
        <w:sz w:val="20"/>
        <w:szCs w:val="20"/>
      </w:rPr>
      <w:t xml:space="preserve"> Ministru kabineta 2012.gada 3.jūlija noteikumos Nr.468 „</w:t>
    </w:r>
    <w:r w:rsidR="00160311" w:rsidRPr="008F3123">
      <w:rPr>
        <w:bCs/>
        <w:sz w:val="20"/>
        <w:szCs w:val="20"/>
      </w:rPr>
      <w:t>Noteikumi par pasažieru pārvadāšanu ar vieglajiem taksometriem”</w:t>
    </w:r>
    <w:r w:rsidR="00160311">
      <w:rPr>
        <w:bCs/>
        <w:sz w:val="20"/>
        <w:szCs w:val="20"/>
        <w:lang w:val="lv-LV"/>
      </w:rPr>
      <w:t xml:space="preserve"> sākotnējās ietekmes novērtējuma ziņojums (anotācija).</w:t>
    </w:r>
  </w:p>
  <w:p w14:paraId="1B4A2599" w14:textId="77777777" w:rsidR="008D49A8" w:rsidRDefault="008D49A8" w:rsidP="002233D1">
    <w:pPr>
      <w:pStyle w:val="Footer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3A9C" w14:textId="77777777" w:rsidR="004E1026" w:rsidRDefault="004E1026" w:rsidP="00E65F54">
      <w:pPr>
        <w:spacing w:line="240" w:lineRule="auto"/>
      </w:pPr>
      <w:r>
        <w:separator/>
      </w:r>
    </w:p>
  </w:footnote>
  <w:footnote w:type="continuationSeparator" w:id="0">
    <w:p w14:paraId="4ED7E7D5" w14:textId="77777777" w:rsidR="004E1026" w:rsidRDefault="004E1026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1967" w14:textId="77777777" w:rsidR="008F3123" w:rsidRDefault="008F3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589DC" w14:textId="22AAE5D9" w:rsidR="008D49A8" w:rsidRPr="00EC3264" w:rsidRDefault="008D49A8" w:rsidP="0047322B">
    <w:pPr>
      <w:pStyle w:val="Header"/>
      <w:ind w:firstLine="0"/>
      <w:jc w:val="center"/>
      <w:rPr>
        <w:sz w:val="24"/>
        <w:szCs w:val="24"/>
      </w:rPr>
    </w:pPr>
    <w:r w:rsidRPr="00EC3264">
      <w:rPr>
        <w:sz w:val="24"/>
        <w:szCs w:val="24"/>
      </w:rPr>
      <w:fldChar w:fldCharType="begin"/>
    </w:r>
    <w:r w:rsidRPr="00EC3264">
      <w:rPr>
        <w:sz w:val="24"/>
        <w:szCs w:val="24"/>
      </w:rPr>
      <w:instrText xml:space="preserve"> PAGE   \* MERGEFORMAT </w:instrText>
    </w:r>
    <w:r w:rsidRPr="00EC3264">
      <w:rPr>
        <w:sz w:val="24"/>
        <w:szCs w:val="24"/>
      </w:rPr>
      <w:fldChar w:fldCharType="separate"/>
    </w:r>
    <w:r w:rsidR="00F92C84">
      <w:rPr>
        <w:noProof/>
        <w:sz w:val="24"/>
        <w:szCs w:val="24"/>
      </w:rPr>
      <w:t>2</w:t>
    </w:r>
    <w:r w:rsidRPr="00EC3264">
      <w:rPr>
        <w:sz w:val="24"/>
        <w:szCs w:val="24"/>
      </w:rPr>
      <w:fldChar w:fldCharType="end"/>
    </w:r>
  </w:p>
  <w:p w14:paraId="0EF6889A" w14:textId="77777777" w:rsidR="008D49A8" w:rsidRDefault="008D4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0A52" w14:textId="77777777" w:rsidR="008F3123" w:rsidRDefault="008F3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8BC"/>
    <w:multiLevelType w:val="hybridMultilevel"/>
    <w:tmpl w:val="9452B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85B9E"/>
    <w:multiLevelType w:val="hybridMultilevel"/>
    <w:tmpl w:val="A32AEDC8"/>
    <w:lvl w:ilvl="0" w:tplc="D388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C6A13"/>
    <w:multiLevelType w:val="hybridMultilevel"/>
    <w:tmpl w:val="D30CFACA"/>
    <w:lvl w:ilvl="0" w:tplc="A52C0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14846"/>
    <w:multiLevelType w:val="hybridMultilevel"/>
    <w:tmpl w:val="A32AEDC8"/>
    <w:lvl w:ilvl="0" w:tplc="D388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370F1B"/>
    <w:multiLevelType w:val="hybridMultilevel"/>
    <w:tmpl w:val="1A1ABA70"/>
    <w:lvl w:ilvl="0" w:tplc="FE5A8DE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7" w:hanging="360"/>
      </w:pPr>
    </w:lvl>
    <w:lvl w:ilvl="2" w:tplc="0426001B" w:tentative="1">
      <w:start w:val="1"/>
      <w:numFmt w:val="lowerRoman"/>
      <w:lvlText w:val="%3."/>
      <w:lvlJc w:val="right"/>
      <w:pPr>
        <w:ind w:left="1517" w:hanging="180"/>
      </w:pPr>
    </w:lvl>
    <w:lvl w:ilvl="3" w:tplc="0426000F" w:tentative="1">
      <w:start w:val="1"/>
      <w:numFmt w:val="decimal"/>
      <w:lvlText w:val="%4."/>
      <w:lvlJc w:val="left"/>
      <w:pPr>
        <w:ind w:left="2237" w:hanging="360"/>
      </w:pPr>
    </w:lvl>
    <w:lvl w:ilvl="4" w:tplc="04260019" w:tentative="1">
      <w:start w:val="1"/>
      <w:numFmt w:val="lowerLetter"/>
      <w:lvlText w:val="%5."/>
      <w:lvlJc w:val="left"/>
      <w:pPr>
        <w:ind w:left="2957" w:hanging="360"/>
      </w:pPr>
    </w:lvl>
    <w:lvl w:ilvl="5" w:tplc="0426001B" w:tentative="1">
      <w:start w:val="1"/>
      <w:numFmt w:val="lowerRoman"/>
      <w:lvlText w:val="%6."/>
      <w:lvlJc w:val="right"/>
      <w:pPr>
        <w:ind w:left="3677" w:hanging="180"/>
      </w:pPr>
    </w:lvl>
    <w:lvl w:ilvl="6" w:tplc="0426000F" w:tentative="1">
      <w:start w:val="1"/>
      <w:numFmt w:val="decimal"/>
      <w:lvlText w:val="%7."/>
      <w:lvlJc w:val="left"/>
      <w:pPr>
        <w:ind w:left="4397" w:hanging="360"/>
      </w:pPr>
    </w:lvl>
    <w:lvl w:ilvl="7" w:tplc="04260019" w:tentative="1">
      <w:start w:val="1"/>
      <w:numFmt w:val="lowerLetter"/>
      <w:lvlText w:val="%8."/>
      <w:lvlJc w:val="left"/>
      <w:pPr>
        <w:ind w:left="5117" w:hanging="360"/>
      </w:pPr>
    </w:lvl>
    <w:lvl w:ilvl="8" w:tplc="042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420925ED"/>
    <w:multiLevelType w:val="hybridMultilevel"/>
    <w:tmpl w:val="EC145F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B19C2"/>
    <w:multiLevelType w:val="hybridMultilevel"/>
    <w:tmpl w:val="AFD64B82"/>
    <w:lvl w:ilvl="0" w:tplc="84620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C11EC1"/>
    <w:multiLevelType w:val="hybridMultilevel"/>
    <w:tmpl w:val="F3F256A6"/>
    <w:lvl w:ilvl="0" w:tplc="25601BAC">
      <w:start w:val="2009"/>
      <w:numFmt w:val="bullet"/>
      <w:lvlText w:val="-"/>
      <w:lvlJc w:val="left"/>
      <w:pPr>
        <w:ind w:left="720" w:hanging="360"/>
      </w:pPr>
      <w:rPr>
        <w:rFonts w:ascii="EUAlbertina" w:eastAsia="Times New Roman" w:hAnsi="EUAlbertina" w:cs="EUAlbertina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E"/>
    <w:rsid w:val="000030CF"/>
    <w:rsid w:val="00006479"/>
    <w:rsid w:val="00007AB0"/>
    <w:rsid w:val="00010EA0"/>
    <w:rsid w:val="0001156F"/>
    <w:rsid w:val="000128E5"/>
    <w:rsid w:val="00013332"/>
    <w:rsid w:val="00015C0B"/>
    <w:rsid w:val="000210ED"/>
    <w:rsid w:val="000243D2"/>
    <w:rsid w:val="00032250"/>
    <w:rsid w:val="00033D5F"/>
    <w:rsid w:val="0003719C"/>
    <w:rsid w:val="00037F23"/>
    <w:rsid w:val="00040956"/>
    <w:rsid w:val="0004144E"/>
    <w:rsid w:val="00042C13"/>
    <w:rsid w:val="0004524B"/>
    <w:rsid w:val="00046838"/>
    <w:rsid w:val="0005496F"/>
    <w:rsid w:val="00057BDD"/>
    <w:rsid w:val="000644D9"/>
    <w:rsid w:val="00065316"/>
    <w:rsid w:val="0007035E"/>
    <w:rsid w:val="00072B33"/>
    <w:rsid w:val="000731CA"/>
    <w:rsid w:val="000811EA"/>
    <w:rsid w:val="000811EB"/>
    <w:rsid w:val="000817E8"/>
    <w:rsid w:val="00082546"/>
    <w:rsid w:val="000871D1"/>
    <w:rsid w:val="00091C3F"/>
    <w:rsid w:val="00092521"/>
    <w:rsid w:val="00094458"/>
    <w:rsid w:val="0009792C"/>
    <w:rsid w:val="000B3B05"/>
    <w:rsid w:val="000B7125"/>
    <w:rsid w:val="000B7137"/>
    <w:rsid w:val="000B73D9"/>
    <w:rsid w:val="000C0933"/>
    <w:rsid w:val="000C0A47"/>
    <w:rsid w:val="000C6F5D"/>
    <w:rsid w:val="000D7A85"/>
    <w:rsid w:val="000E2ACD"/>
    <w:rsid w:val="000E3463"/>
    <w:rsid w:val="000E4244"/>
    <w:rsid w:val="000E65C2"/>
    <w:rsid w:val="000F18CF"/>
    <w:rsid w:val="000F4276"/>
    <w:rsid w:val="00100A62"/>
    <w:rsid w:val="00103B16"/>
    <w:rsid w:val="00104DA1"/>
    <w:rsid w:val="00106E68"/>
    <w:rsid w:val="00113F71"/>
    <w:rsid w:val="00120400"/>
    <w:rsid w:val="00132665"/>
    <w:rsid w:val="0013713D"/>
    <w:rsid w:val="00137889"/>
    <w:rsid w:val="00144578"/>
    <w:rsid w:val="00153721"/>
    <w:rsid w:val="00154BD3"/>
    <w:rsid w:val="001565BE"/>
    <w:rsid w:val="00156DDD"/>
    <w:rsid w:val="00160311"/>
    <w:rsid w:val="00167D64"/>
    <w:rsid w:val="001756C1"/>
    <w:rsid w:val="0017730B"/>
    <w:rsid w:val="001821D5"/>
    <w:rsid w:val="001844CC"/>
    <w:rsid w:val="00194540"/>
    <w:rsid w:val="00196E92"/>
    <w:rsid w:val="001A6267"/>
    <w:rsid w:val="001B2758"/>
    <w:rsid w:val="001B46BB"/>
    <w:rsid w:val="001B5BAE"/>
    <w:rsid w:val="001C22EA"/>
    <w:rsid w:val="001C43A8"/>
    <w:rsid w:val="001C45B4"/>
    <w:rsid w:val="001C5087"/>
    <w:rsid w:val="001C622E"/>
    <w:rsid w:val="001C7DE8"/>
    <w:rsid w:val="001D35B7"/>
    <w:rsid w:val="001D4D97"/>
    <w:rsid w:val="001E2C99"/>
    <w:rsid w:val="001E685A"/>
    <w:rsid w:val="001E6D57"/>
    <w:rsid w:val="001F4FE8"/>
    <w:rsid w:val="001F6E1F"/>
    <w:rsid w:val="00200A42"/>
    <w:rsid w:val="00200D00"/>
    <w:rsid w:val="002037EC"/>
    <w:rsid w:val="0020543F"/>
    <w:rsid w:val="0020589F"/>
    <w:rsid w:val="00205EB8"/>
    <w:rsid w:val="00206099"/>
    <w:rsid w:val="00212ED9"/>
    <w:rsid w:val="00215002"/>
    <w:rsid w:val="00215E13"/>
    <w:rsid w:val="00217B63"/>
    <w:rsid w:val="00217BF3"/>
    <w:rsid w:val="002214EB"/>
    <w:rsid w:val="002233D1"/>
    <w:rsid w:val="00223621"/>
    <w:rsid w:val="00227D24"/>
    <w:rsid w:val="002303FF"/>
    <w:rsid w:val="002333FB"/>
    <w:rsid w:val="00234574"/>
    <w:rsid w:val="00235F3B"/>
    <w:rsid w:val="00241E40"/>
    <w:rsid w:val="00242995"/>
    <w:rsid w:val="002431F8"/>
    <w:rsid w:val="002466F7"/>
    <w:rsid w:val="00250B33"/>
    <w:rsid w:val="002540F6"/>
    <w:rsid w:val="00254547"/>
    <w:rsid w:val="00254AAA"/>
    <w:rsid w:val="00254E6C"/>
    <w:rsid w:val="00261B2A"/>
    <w:rsid w:val="00262925"/>
    <w:rsid w:val="00263A8B"/>
    <w:rsid w:val="00265844"/>
    <w:rsid w:val="0027189F"/>
    <w:rsid w:val="00273D03"/>
    <w:rsid w:val="002747E2"/>
    <w:rsid w:val="002809D5"/>
    <w:rsid w:val="00282B1B"/>
    <w:rsid w:val="00283578"/>
    <w:rsid w:val="002837AD"/>
    <w:rsid w:val="00284830"/>
    <w:rsid w:val="002851C8"/>
    <w:rsid w:val="00290F63"/>
    <w:rsid w:val="0029220D"/>
    <w:rsid w:val="00295637"/>
    <w:rsid w:val="00296A71"/>
    <w:rsid w:val="002A1834"/>
    <w:rsid w:val="002A2DD8"/>
    <w:rsid w:val="002A469E"/>
    <w:rsid w:val="002A7BF3"/>
    <w:rsid w:val="002A7F33"/>
    <w:rsid w:val="002B51C7"/>
    <w:rsid w:val="002B6AB8"/>
    <w:rsid w:val="002B7DFD"/>
    <w:rsid w:val="002C009C"/>
    <w:rsid w:val="002C0F60"/>
    <w:rsid w:val="002C5EB8"/>
    <w:rsid w:val="002C6400"/>
    <w:rsid w:val="002D15A8"/>
    <w:rsid w:val="002D2B96"/>
    <w:rsid w:val="002D728B"/>
    <w:rsid w:val="002E1768"/>
    <w:rsid w:val="002E3B98"/>
    <w:rsid w:val="002E455A"/>
    <w:rsid w:val="002E61AA"/>
    <w:rsid w:val="002F07D2"/>
    <w:rsid w:val="002F0B7B"/>
    <w:rsid w:val="002F6A56"/>
    <w:rsid w:val="00300386"/>
    <w:rsid w:val="00300778"/>
    <w:rsid w:val="0030455F"/>
    <w:rsid w:val="00304890"/>
    <w:rsid w:val="00306EE9"/>
    <w:rsid w:val="00307249"/>
    <w:rsid w:val="003145B5"/>
    <w:rsid w:val="003228D7"/>
    <w:rsid w:val="00327496"/>
    <w:rsid w:val="00332E7D"/>
    <w:rsid w:val="0033385E"/>
    <w:rsid w:val="0033460F"/>
    <w:rsid w:val="00336770"/>
    <w:rsid w:val="003374B6"/>
    <w:rsid w:val="00337AF8"/>
    <w:rsid w:val="0034130D"/>
    <w:rsid w:val="003421DD"/>
    <w:rsid w:val="00344EA8"/>
    <w:rsid w:val="00351BE5"/>
    <w:rsid w:val="0035270E"/>
    <w:rsid w:val="00354129"/>
    <w:rsid w:val="0035438C"/>
    <w:rsid w:val="00356A8C"/>
    <w:rsid w:val="003619F2"/>
    <w:rsid w:val="00367BBE"/>
    <w:rsid w:val="00370CD2"/>
    <w:rsid w:val="00372F5B"/>
    <w:rsid w:val="003736FD"/>
    <w:rsid w:val="0037399C"/>
    <w:rsid w:val="00375B87"/>
    <w:rsid w:val="003762F4"/>
    <w:rsid w:val="00380F3D"/>
    <w:rsid w:val="0038149B"/>
    <w:rsid w:val="003826E8"/>
    <w:rsid w:val="00384EAD"/>
    <w:rsid w:val="003909D9"/>
    <w:rsid w:val="003923AD"/>
    <w:rsid w:val="00394245"/>
    <w:rsid w:val="00397388"/>
    <w:rsid w:val="003A031D"/>
    <w:rsid w:val="003A6B56"/>
    <w:rsid w:val="003B2948"/>
    <w:rsid w:val="003B3844"/>
    <w:rsid w:val="003B3C1D"/>
    <w:rsid w:val="003B45E7"/>
    <w:rsid w:val="003C121F"/>
    <w:rsid w:val="003C6EA6"/>
    <w:rsid w:val="003C7316"/>
    <w:rsid w:val="003D297A"/>
    <w:rsid w:val="003D3728"/>
    <w:rsid w:val="003D6FA7"/>
    <w:rsid w:val="003E0CDA"/>
    <w:rsid w:val="003E307C"/>
    <w:rsid w:val="003E3B79"/>
    <w:rsid w:val="003E602E"/>
    <w:rsid w:val="003E68F2"/>
    <w:rsid w:val="003F02B3"/>
    <w:rsid w:val="003F1D89"/>
    <w:rsid w:val="003F2380"/>
    <w:rsid w:val="003F4D96"/>
    <w:rsid w:val="003F4ED0"/>
    <w:rsid w:val="00406E66"/>
    <w:rsid w:val="00410D4D"/>
    <w:rsid w:val="0041464B"/>
    <w:rsid w:val="00415BF6"/>
    <w:rsid w:val="00415E05"/>
    <w:rsid w:val="00416B05"/>
    <w:rsid w:val="0041753B"/>
    <w:rsid w:val="00417C06"/>
    <w:rsid w:val="00420397"/>
    <w:rsid w:val="00421370"/>
    <w:rsid w:val="00421A23"/>
    <w:rsid w:val="0042467D"/>
    <w:rsid w:val="00431AE8"/>
    <w:rsid w:val="004326C0"/>
    <w:rsid w:val="0043540C"/>
    <w:rsid w:val="004371C5"/>
    <w:rsid w:val="004404A8"/>
    <w:rsid w:val="00442FDA"/>
    <w:rsid w:val="004440D0"/>
    <w:rsid w:val="00445038"/>
    <w:rsid w:val="0044594E"/>
    <w:rsid w:val="0044656D"/>
    <w:rsid w:val="00447B00"/>
    <w:rsid w:val="00451C61"/>
    <w:rsid w:val="00454938"/>
    <w:rsid w:val="00454A72"/>
    <w:rsid w:val="00461A29"/>
    <w:rsid w:val="00465D49"/>
    <w:rsid w:val="00466EF2"/>
    <w:rsid w:val="00470868"/>
    <w:rsid w:val="00472466"/>
    <w:rsid w:val="0047322B"/>
    <w:rsid w:val="004841AD"/>
    <w:rsid w:val="004845B5"/>
    <w:rsid w:val="00485803"/>
    <w:rsid w:val="004871FD"/>
    <w:rsid w:val="00490361"/>
    <w:rsid w:val="004912C2"/>
    <w:rsid w:val="004915D7"/>
    <w:rsid w:val="00495CB4"/>
    <w:rsid w:val="00496E82"/>
    <w:rsid w:val="00497897"/>
    <w:rsid w:val="004A018D"/>
    <w:rsid w:val="004A1137"/>
    <w:rsid w:val="004A3F9E"/>
    <w:rsid w:val="004A4E04"/>
    <w:rsid w:val="004B14CA"/>
    <w:rsid w:val="004C296D"/>
    <w:rsid w:val="004C7023"/>
    <w:rsid w:val="004D4E32"/>
    <w:rsid w:val="004D7D18"/>
    <w:rsid w:val="004E1026"/>
    <w:rsid w:val="004E361D"/>
    <w:rsid w:val="004F0579"/>
    <w:rsid w:val="004F1323"/>
    <w:rsid w:val="004F28B8"/>
    <w:rsid w:val="004F4EAC"/>
    <w:rsid w:val="004F588E"/>
    <w:rsid w:val="004F65D4"/>
    <w:rsid w:val="004F660C"/>
    <w:rsid w:val="005039DC"/>
    <w:rsid w:val="005041E5"/>
    <w:rsid w:val="0051025E"/>
    <w:rsid w:val="00511577"/>
    <w:rsid w:val="00516FF1"/>
    <w:rsid w:val="00522578"/>
    <w:rsid w:val="005233DD"/>
    <w:rsid w:val="00524009"/>
    <w:rsid w:val="0052568E"/>
    <w:rsid w:val="00526B88"/>
    <w:rsid w:val="00530ADF"/>
    <w:rsid w:val="00530FB0"/>
    <w:rsid w:val="0053226D"/>
    <w:rsid w:val="0053423A"/>
    <w:rsid w:val="00536A82"/>
    <w:rsid w:val="0053723B"/>
    <w:rsid w:val="00537C34"/>
    <w:rsid w:val="00542329"/>
    <w:rsid w:val="00543626"/>
    <w:rsid w:val="00546A6C"/>
    <w:rsid w:val="005471B7"/>
    <w:rsid w:val="00551E18"/>
    <w:rsid w:val="0055456B"/>
    <w:rsid w:val="00555AEB"/>
    <w:rsid w:val="00556218"/>
    <w:rsid w:val="00560DB5"/>
    <w:rsid w:val="00561401"/>
    <w:rsid w:val="005617B7"/>
    <w:rsid w:val="00565A60"/>
    <w:rsid w:val="005673AF"/>
    <w:rsid w:val="005735CF"/>
    <w:rsid w:val="00573640"/>
    <w:rsid w:val="00575883"/>
    <w:rsid w:val="00576EE3"/>
    <w:rsid w:val="00577110"/>
    <w:rsid w:val="00577F34"/>
    <w:rsid w:val="0058026D"/>
    <w:rsid w:val="0058192B"/>
    <w:rsid w:val="00585852"/>
    <w:rsid w:val="0059075C"/>
    <w:rsid w:val="00592BE9"/>
    <w:rsid w:val="005932EF"/>
    <w:rsid w:val="005949C4"/>
    <w:rsid w:val="005A0227"/>
    <w:rsid w:val="005A0CBE"/>
    <w:rsid w:val="005A7805"/>
    <w:rsid w:val="005B4A6C"/>
    <w:rsid w:val="005B7EFB"/>
    <w:rsid w:val="005C2A2A"/>
    <w:rsid w:val="005C5C9B"/>
    <w:rsid w:val="005D74D9"/>
    <w:rsid w:val="005E44FB"/>
    <w:rsid w:val="005E5719"/>
    <w:rsid w:val="005F687C"/>
    <w:rsid w:val="0060264C"/>
    <w:rsid w:val="00603695"/>
    <w:rsid w:val="00604FB9"/>
    <w:rsid w:val="0060734C"/>
    <w:rsid w:val="00610D38"/>
    <w:rsid w:val="00611E43"/>
    <w:rsid w:val="006156A2"/>
    <w:rsid w:val="00615B28"/>
    <w:rsid w:val="00617949"/>
    <w:rsid w:val="006220E9"/>
    <w:rsid w:val="00624F74"/>
    <w:rsid w:val="006317B0"/>
    <w:rsid w:val="00640BDB"/>
    <w:rsid w:val="00641EC6"/>
    <w:rsid w:val="00654B07"/>
    <w:rsid w:val="00655313"/>
    <w:rsid w:val="0065770B"/>
    <w:rsid w:val="00660076"/>
    <w:rsid w:val="006617C1"/>
    <w:rsid w:val="0066319E"/>
    <w:rsid w:val="00663D05"/>
    <w:rsid w:val="00663FA7"/>
    <w:rsid w:val="006645D4"/>
    <w:rsid w:val="00664D98"/>
    <w:rsid w:val="00667B73"/>
    <w:rsid w:val="00671245"/>
    <w:rsid w:val="00674DAF"/>
    <w:rsid w:val="00676582"/>
    <w:rsid w:val="00681A6F"/>
    <w:rsid w:val="00690C83"/>
    <w:rsid w:val="00690C9F"/>
    <w:rsid w:val="00691740"/>
    <w:rsid w:val="006917EE"/>
    <w:rsid w:val="0069642A"/>
    <w:rsid w:val="006A384F"/>
    <w:rsid w:val="006A49EB"/>
    <w:rsid w:val="006B266A"/>
    <w:rsid w:val="006C6148"/>
    <w:rsid w:val="006D6063"/>
    <w:rsid w:val="006D731E"/>
    <w:rsid w:val="006E0766"/>
    <w:rsid w:val="006E3E1A"/>
    <w:rsid w:val="006E43B0"/>
    <w:rsid w:val="006F2B79"/>
    <w:rsid w:val="006F3D21"/>
    <w:rsid w:val="00700BD9"/>
    <w:rsid w:val="007013E3"/>
    <w:rsid w:val="00705240"/>
    <w:rsid w:val="007100D7"/>
    <w:rsid w:val="00716594"/>
    <w:rsid w:val="0072057B"/>
    <w:rsid w:val="00721B24"/>
    <w:rsid w:val="00730838"/>
    <w:rsid w:val="00730FCA"/>
    <w:rsid w:val="007311AC"/>
    <w:rsid w:val="00731329"/>
    <w:rsid w:val="007313E9"/>
    <w:rsid w:val="0073167E"/>
    <w:rsid w:val="007319CE"/>
    <w:rsid w:val="007323E8"/>
    <w:rsid w:val="0073504A"/>
    <w:rsid w:val="0073691D"/>
    <w:rsid w:val="00742BBC"/>
    <w:rsid w:val="00751602"/>
    <w:rsid w:val="007521C4"/>
    <w:rsid w:val="00752546"/>
    <w:rsid w:val="00752DE7"/>
    <w:rsid w:val="00755FD8"/>
    <w:rsid w:val="00757000"/>
    <w:rsid w:val="00760E39"/>
    <w:rsid w:val="00761F47"/>
    <w:rsid w:val="007670B6"/>
    <w:rsid w:val="00767A00"/>
    <w:rsid w:val="00770BD5"/>
    <w:rsid w:val="00772BFD"/>
    <w:rsid w:val="007749B3"/>
    <w:rsid w:val="007869C6"/>
    <w:rsid w:val="00790A91"/>
    <w:rsid w:val="00792FC8"/>
    <w:rsid w:val="00793312"/>
    <w:rsid w:val="007972DF"/>
    <w:rsid w:val="00797874"/>
    <w:rsid w:val="007A3A6B"/>
    <w:rsid w:val="007A47F0"/>
    <w:rsid w:val="007A5EC4"/>
    <w:rsid w:val="007B1107"/>
    <w:rsid w:val="007B3FBD"/>
    <w:rsid w:val="007B4270"/>
    <w:rsid w:val="007B5441"/>
    <w:rsid w:val="007C1FC0"/>
    <w:rsid w:val="007C60A2"/>
    <w:rsid w:val="007D25E0"/>
    <w:rsid w:val="007D2BD8"/>
    <w:rsid w:val="007D3BDD"/>
    <w:rsid w:val="007D436B"/>
    <w:rsid w:val="007D6C45"/>
    <w:rsid w:val="007D6F90"/>
    <w:rsid w:val="007D72A7"/>
    <w:rsid w:val="007E584B"/>
    <w:rsid w:val="007E7B2C"/>
    <w:rsid w:val="007F13ED"/>
    <w:rsid w:val="007F24E7"/>
    <w:rsid w:val="007F6E77"/>
    <w:rsid w:val="007F6F54"/>
    <w:rsid w:val="007F72DB"/>
    <w:rsid w:val="0080047B"/>
    <w:rsid w:val="008054E3"/>
    <w:rsid w:val="008057EB"/>
    <w:rsid w:val="00813249"/>
    <w:rsid w:val="00822C66"/>
    <w:rsid w:val="00824E89"/>
    <w:rsid w:val="008348EB"/>
    <w:rsid w:val="00841ED1"/>
    <w:rsid w:val="00850835"/>
    <w:rsid w:val="00851025"/>
    <w:rsid w:val="00852D5C"/>
    <w:rsid w:val="0085373E"/>
    <w:rsid w:val="00862725"/>
    <w:rsid w:val="008655A1"/>
    <w:rsid w:val="008738A7"/>
    <w:rsid w:val="008775A9"/>
    <w:rsid w:val="0089232A"/>
    <w:rsid w:val="008928B8"/>
    <w:rsid w:val="0089322A"/>
    <w:rsid w:val="008953D8"/>
    <w:rsid w:val="008977AB"/>
    <w:rsid w:val="008A2811"/>
    <w:rsid w:val="008A4766"/>
    <w:rsid w:val="008A67C3"/>
    <w:rsid w:val="008B6754"/>
    <w:rsid w:val="008B7EC5"/>
    <w:rsid w:val="008C420A"/>
    <w:rsid w:val="008C470B"/>
    <w:rsid w:val="008D49A8"/>
    <w:rsid w:val="008D4DE2"/>
    <w:rsid w:val="008D6AB8"/>
    <w:rsid w:val="008E4E9E"/>
    <w:rsid w:val="008E68B0"/>
    <w:rsid w:val="008F3123"/>
    <w:rsid w:val="008F5B48"/>
    <w:rsid w:val="00902794"/>
    <w:rsid w:val="00903C74"/>
    <w:rsid w:val="009106B5"/>
    <w:rsid w:val="00914EFB"/>
    <w:rsid w:val="00916A24"/>
    <w:rsid w:val="00922598"/>
    <w:rsid w:val="00926532"/>
    <w:rsid w:val="009275DC"/>
    <w:rsid w:val="00931E20"/>
    <w:rsid w:val="0093215D"/>
    <w:rsid w:val="0093386C"/>
    <w:rsid w:val="00935477"/>
    <w:rsid w:val="00935D6F"/>
    <w:rsid w:val="00935D89"/>
    <w:rsid w:val="009408B0"/>
    <w:rsid w:val="00942126"/>
    <w:rsid w:val="00942893"/>
    <w:rsid w:val="00943212"/>
    <w:rsid w:val="00943543"/>
    <w:rsid w:val="00946137"/>
    <w:rsid w:val="00946CDB"/>
    <w:rsid w:val="0094736D"/>
    <w:rsid w:val="009521B0"/>
    <w:rsid w:val="00952205"/>
    <w:rsid w:val="00952457"/>
    <w:rsid w:val="00953537"/>
    <w:rsid w:val="00953C84"/>
    <w:rsid w:val="009676F1"/>
    <w:rsid w:val="009701EF"/>
    <w:rsid w:val="009704D9"/>
    <w:rsid w:val="009735E8"/>
    <w:rsid w:val="0097380F"/>
    <w:rsid w:val="00974550"/>
    <w:rsid w:val="0097625F"/>
    <w:rsid w:val="00982781"/>
    <w:rsid w:val="00982C07"/>
    <w:rsid w:val="00986FAE"/>
    <w:rsid w:val="009936D0"/>
    <w:rsid w:val="00993BE7"/>
    <w:rsid w:val="00997669"/>
    <w:rsid w:val="009A1558"/>
    <w:rsid w:val="009A1CEF"/>
    <w:rsid w:val="009A4122"/>
    <w:rsid w:val="009A778F"/>
    <w:rsid w:val="009B1CB5"/>
    <w:rsid w:val="009B5208"/>
    <w:rsid w:val="009B5923"/>
    <w:rsid w:val="009B7682"/>
    <w:rsid w:val="009C069D"/>
    <w:rsid w:val="009C6045"/>
    <w:rsid w:val="009C7F10"/>
    <w:rsid w:val="009D46CC"/>
    <w:rsid w:val="009D69C0"/>
    <w:rsid w:val="009D7082"/>
    <w:rsid w:val="009E03C2"/>
    <w:rsid w:val="009E101E"/>
    <w:rsid w:val="009E19D5"/>
    <w:rsid w:val="009E3D75"/>
    <w:rsid w:val="009F1447"/>
    <w:rsid w:val="009F18C2"/>
    <w:rsid w:val="009F4147"/>
    <w:rsid w:val="009F7B02"/>
    <w:rsid w:val="00A019F3"/>
    <w:rsid w:val="00A058C7"/>
    <w:rsid w:val="00A05F81"/>
    <w:rsid w:val="00A11733"/>
    <w:rsid w:val="00A12482"/>
    <w:rsid w:val="00A15C53"/>
    <w:rsid w:val="00A24F5C"/>
    <w:rsid w:val="00A32835"/>
    <w:rsid w:val="00A34AA8"/>
    <w:rsid w:val="00A34AF9"/>
    <w:rsid w:val="00A353AC"/>
    <w:rsid w:val="00A40449"/>
    <w:rsid w:val="00A42A7F"/>
    <w:rsid w:val="00A43B7C"/>
    <w:rsid w:val="00A5078D"/>
    <w:rsid w:val="00A55E62"/>
    <w:rsid w:val="00A572BB"/>
    <w:rsid w:val="00A627FD"/>
    <w:rsid w:val="00A6393A"/>
    <w:rsid w:val="00A709EF"/>
    <w:rsid w:val="00A74BC3"/>
    <w:rsid w:val="00A752CE"/>
    <w:rsid w:val="00A7679F"/>
    <w:rsid w:val="00A77950"/>
    <w:rsid w:val="00A81D77"/>
    <w:rsid w:val="00A845A3"/>
    <w:rsid w:val="00A8691B"/>
    <w:rsid w:val="00A978C4"/>
    <w:rsid w:val="00AA3B39"/>
    <w:rsid w:val="00AA51A1"/>
    <w:rsid w:val="00AA5D4F"/>
    <w:rsid w:val="00AB1FEA"/>
    <w:rsid w:val="00AB4718"/>
    <w:rsid w:val="00AB4D37"/>
    <w:rsid w:val="00AC2F0C"/>
    <w:rsid w:val="00AD0B44"/>
    <w:rsid w:val="00AD480C"/>
    <w:rsid w:val="00AD7E63"/>
    <w:rsid w:val="00AF0449"/>
    <w:rsid w:val="00B035C8"/>
    <w:rsid w:val="00B05E5C"/>
    <w:rsid w:val="00B07575"/>
    <w:rsid w:val="00B12EDC"/>
    <w:rsid w:val="00B14909"/>
    <w:rsid w:val="00B15A28"/>
    <w:rsid w:val="00B170E1"/>
    <w:rsid w:val="00B20340"/>
    <w:rsid w:val="00B21DCB"/>
    <w:rsid w:val="00B23981"/>
    <w:rsid w:val="00B24E1D"/>
    <w:rsid w:val="00B26ACC"/>
    <w:rsid w:val="00B30FC5"/>
    <w:rsid w:val="00B3107E"/>
    <w:rsid w:val="00B31A92"/>
    <w:rsid w:val="00B32110"/>
    <w:rsid w:val="00B36B77"/>
    <w:rsid w:val="00B47594"/>
    <w:rsid w:val="00B54810"/>
    <w:rsid w:val="00B57D0A"/>
    <w:rsid w:val="00B627D9"/>
    <w:rsid w:val="00B63D1B"/>
    <w:rsid w:val="00B70E76"/>
    <w:rsid w:val="00B71C57"/>
    <w:rsid w:val="00B72EF3"/>
    <w:rsid w:val="00B7345C"/>
    <w:rsid w:val="00B809BB"/>
    <w:rsid w:val="00B82ED3"/>
    <w:rsid w:val="00B85AD9"/>
    <w:rsid w:val="00B90012"/>
    <w:rsid w:val="00B90527"/>
    <w:rsid w:val="00B91243"/>
    <w:rsid w:val="00B944A2"/>
    <w:rsid w:val="00B94B45"/>
    <w:rsid w:val="00B94DED"/>
    <w:rsid w:val="00B95008"/>
    <w:rsid w:val="00BA1CDF"/>
    <w:rsid w:val="00BA211B"/>
    <w:rsid w:val="00BA5FD8"/>
    <w:rsid w:val="00BB24D3"/>
    <w:rsid w:val="00BB4740"/>
    <w:rsid w:val="00BB47F6"/>
    <w:rsid w:val="00BB5DC5"/>
    <w:rsid w:val="00BB614F"/>
    <w:rsid w:val="00BB634E"/>
    <w:rsid w:val="00BB6943"/>
    <w:rsid w:val="00BC42AF"/>
    <w:rsid w:val="00BC4DB1"/>
    <w:rsid w:val="00BC58FA"/>
    <w:rsid w:val="00BD0068"/>
    <w:rsid w:val="00BD3D70"/>
    <w:rsid w:val="00BD6C37"/>
    <w:rsid w:val="00BE0015"/>
    <w:rsid w:val="00BE0F36"/>
    <w:rsid w:val="00BF154C"/>
    <w:rsid w:val="00BF5860"/>
    <w:rsid w:val="00C051DD"/>
    <w:rsid w:val="00C12D61"/>
    <w:rsid w:val="00C1785E"/>
    <w:rsid w:val="00C17EEB"/>
    <w:rsid w:val="00C21753"/>
    <w:rsid w:val="00C21DB8"/>
    <w:rsid w:val="00C23BE6"/>
    <w:rsid w:val="00C23DE7"/>
    <w:rsid w:val="00C25EDD"/>
    <w:rsid w:val="00C33366"/>
    <w:rsid w:val="00C371A7"/>
    <w:rsid w:val="00C37DE5"/>
    <w:rsid w:val="00C421EA"/>
    <w:rsid w:val="00C44696"/>
    <w:rsid w:val="00C45F6D"/>
    <w:rsid w:val="00C50BA1"/>
    <w:rsid w:val="00C5184F"/>
    <w:rsid w:val="00C52753"/>
    <w:rsid w:val="00C52B93"/>
    <w:rsid w:val="00C56055"/>
    <w:rsid w:val="00C57B17"/>
    <w:rsid w:val="00C610A5"/>
    <w:rsid w:val="00C610AC"/>
    <w:rsid w:val="00C61183"/>
    <w:rsid w:val="00C638AC"/>
    <w:rsid w:val="00C6428F"/>
    <w:rsid w:val="00C70784"/>
    <w:rsid w:val="00C779F7"/>
    <w:rsid w:val="00C81E24"/>
    <w:rsid w:val="00C84CA4"/>
    <w:rsid w:val="00C85DB5"/>
    <w:rsid w:val="00C86270"/>
    <w:rsid w:val="00C91F08"/>
    <w:rsid w:val="00C9413E"/>
    <w:rsid w:val="00C949CE"/>
    <w:rsid w:val="00C95367"/>
    <w:rsid w:val="00CA1E38"/>
    <w:rsid w:val="00CA2557"/>
    <w:rsid w:val="00CA30FE"/>
    <w:rsid w:val="00CA5942"/>
    <w:rsid w:val="00CA731A"/>
    <w:rsid w:val="00CB096F"/>
    <w:rsid w:val="00CB1D31"/>
    <w:rsid w:val="00CB3416"/>
    <w:rsid w:val="00CB5598"/>
    <w:rsid w:val="00CB6491"/>
    <w:rsid w:val="00CB6EED"/>
    <w:rsid w:val="00CB7274"/>
    <w:rsid w:val="00CC171D"/>
    <w:rsid w:val="00CC1A72"/>
    <w:rsid w:val="00CC1DF9"/>
    <w:rsid w:val="00CC2264"/>
    <w:rsid w:val="00CC5878"/>
    <w:rsid w:val="00CC666B"/>
    <w:rsid w:val="00CD33BF"/>
    <w:rsid w:val="00CE0D9B"/>
    <w:rsid w:val="00CE2351"/>
    <w:rsid w:val="00CE3764"/>
    <w:rsid w:val="00CE5C9C"/>
    <w:rsid w:val="00CE6B1B"/>
    <w:rsid w:val="00CF0DA0"/>
    <w:rsid w:val="00CF16BA"/>
    <w:rsid w:val="00CF56A5"/>
    <w:rsid w:val="00D0450F"/>
    <w:rsid w:val="00D04AD8"/>
    <w:rsid w:val="00D12520"/>
    <w:rsid w:val="00D12CF4"/>
    <w:rsid w:val="00D13CFB"/>
    <w:rsid w:val="00D14EA7"/>
    <w:rsid w:val="00D15B00"/>
    <w:rsid w:val="00D25960"/>
    <w:rsid w:val="00D25AD0"/>
    <w:rsid w:val="00D26C65"/>
    <w:rsid w:val="00D30722"/>
    <w:rsid w:val="00D332B2"/>
    <w:rsid w:val="00D33E56"/>
    <w:rsid w:val="00D34D55"/>
    <w:rsid w:val="00D36A3E"/>
    <w:rsid w:val="00D3767D"/>
    <w:rsid w:val="00D459C4"/>
    <w:rsid w:val="00D47195"/>
    <w:rsid w:val="00D47E55"/>
    <w:rsid w:val="00D5047C"/>
    <w:rsid w:val="00D55989"/>
    <w:rsid w:val="00D56FCA"/>
    <w:rsid w:val="00D6577B"/>
    <w:rsid w:val="00D65F78"/>
    <w:rsid w:val="00D66FFB"/>
    <w:rsid w:val="00D70F78"/>
    <w:rsid w:val="00D72098"/>
    <w:rsid w:val="00D72C12"/>
    <w:rsid w:val="00D74BCF"/>
    <w:rsid w:val="00D77031"/>
    <w:rsid w:val="00D82DD8"/>
    <w:rsid w:val="00D8350C"/>
    <w:rsid w:val="00D8690E"/>
    <w:rsid w:val="00D87BA2"/>
    <w:rsid w:val="00D9115A"/>
    <w:rsid w:val="00D92789"/>
    <w:rsid w:val="00D962D2"/>
    <w:rsid w:val="00D97A6A"/>
    <w:rsid w:val="00DA0A52"/>
    <w:rsid w:val="00DA544E"/>
    <w:rsid w:val="00DA5F33"/>
    <w:rsid w:val="00DA78F5"/>
    <w:rsid w:val="00DA7B1B"/>
    <w:rsid w:val="00DB3BA3"/>
    <w:rsid w:val="00DC0BAA"/>
    <w:rsid w:val="00DC2F9A"/>
    <w:rsid w:val="00DC4D37"/>
    <w:rsid w:val="00DC5001"/>
    <w:rsid w:val="00DC5074"/>
    <w:rsid w:val="00DE4A48"/>
    <w:rsid w:val="00DE51F2"/>
    <w:rsid w:val="00DE6125"/>
    <w:rsid w:val="00DE70B6"/>
    <w:rsid w:val="00DE7B00"/>
    <w:rsid w:val="00DE7D65"/>
    <w:rsid w:val="00DF073C"/>
    <w:rsid w:val="00DF0CD9"/>
    <w:rsid w:val="00DF51FD"/>
    <w:rsid w:val="00DF7ACA"/>
    <w:rsid w:val="00E032B5"/>
    <w:rsid w:val="00E06AF7"/>
    <w:rsid w:val="00E07995"/>
    <w:rsid w:val="00E12B7A"/>
    <w:rsid w:val="00E135D7"/>
    <w:rsid w:val="00E213EF"/>
    <w:rsid w:val="00E2383E"/>
    <w:rsid w:val="00E247B7"/>
    <w:rsid w:val="00E2510F"/>
    <w:rsid w:val="00E262F4"/>
    <w:rsid w:val="00E274DE"/>
    <w:rsid w:val="00E311FC"/>
    <w:rsid w:val="00E33D2F"/>
    <w:rsid w:val="00E35600"/>
    <w:rsid w:val="00E460C3"/>
    <w:rsid w:val="00E50DCA"/>
    <w:rsid w:val="00E516A0"/>
    <w:rsid w:val="00E51785"/>
    <w:rsid w:val="00E5263A"/>
    <w:rsid w:val="00E52886"/>
    <w:rsid w:val="00E603C2"/>
    <w:rsid w:val="00E65F54"/>
    <w:rsid w:val="00E728B4"/>
    <w:rsid w:val="00E75E1C"/>
    <w:rsid w:val="00E76369"/>
    <w:rsid w:val="00E76C69"/>
    <w:rsid w:val="00E771C6"/>
    <w:rsid w:val="00E7724F"/>
    <w:rsid w:val="00E8189D"/>
    <w:rsid w:val="00E85CA1"/>
    <w:rsid w:val="00E93554"/>
    <w:rsid w:val="00E94604"/>
    <w:rsid w:val="00E95347"/>
    <w:rsid w:val="00E95983"/>
    <w:rsid w:val="00E96EB2"/>
    <w:rsid w:val="00EA45E0"/>
    <w:rsid w:val="00EB0881"/>
    <w:rsid w:val="00EB0C72"/>
    <w:rsid w:val="00EB3D42"/>
    <w:rsid w:val="00EB5D56"/>
    <w:rsid w:val="00EC0B24"/>
    <w:rsid w:val="00EC0D70"/>
    <w:rsid w:val="00EC10AB"/>
    <w:rsid w:val="00EC17EB"/>
    <w:rsid w:val="00EC20CA"/>
    <w:rsid w:val="00EC3264"/>
    <w:rsid w:val="00EC6D3A"/>
    <w:rsid w:val="00ED1308"/>
    <w:rsid w:val="00ED36D1"/>
    <w:rsid w:val="00ED7815"/>
    <w:rsid w:val="00EE0D7C"/>
    <w:rsid w:val="00EE3FEE"/>
    <w:rsid w:val="00EE47F2"/>
    <w:rsid w:val="00EE71C3"/>
    <w:rsid w:val="00EF04CF"/>
    <w:rsid w:val="00EF1B68"/>
    <w:rsid w:val="00EF6728"/>
    <w:rsid w:val="00F02168"/>
    <w:rsid w:val="00F0219F"/>
    <w:rsid w:val="00F0273B"/>
    <w:rsid w:val="00F04A69"/>
    <w:rsid w:val="00F058A3"/>
    <w:rsid w:val="00F05C71"/>
    <w:rsid w:val="00F14F86"/>
    <w:rsid w:val="00F1660A"/>
    <w:rsid w:val="00F20C93"/>
    <w:rsid w:val="00F261EB"/>
    <w:rsid w:val="00F3343F"/>
    <w:rsid w:val="00F44C94"/>
    <w:rsid w:val="00F467EA"/>
    <w:rsid w:val="00F478D0"/>
    <w:rsid w:val="00F51F60"/>
    <w:rsid w:val="00F53085"/>
    <w:rsid w:val="00F531B1"/>
    <w:rsid w:val="00F60D0B"/>
    <w:rsid w:val="00F65185"/>
    <w:rsid w:val="00F65AEA"/>
    <w:rsid w:val="00F742B4"/>
    <w:rsid w:val="00F77785"/>
    <w:rsid w:val="00F77F1C"/>
    <w:rsid w:val="00F82EC6"/>
    <w:rsid w:val="00F9137E"/>
    <w:rsid w:val="00F92C84"/>
    <w:rsid w:val="00F947FC"/>
    <w:rsid w:val="00F94EBA"/>
    <w:rsid w:val="00F96C5E"/>
    <w:rsid w:val="00FA048F"/>
    <w:rsid w:val="00FA06E6"/>
    <w:rsid w:val="00FA128F"/>
    <w:rsid w:val="00FA42A5"/>
    <w:rsid w:val="00FA5938"/>
    <w:rsid w:val="00FA5BB3"/>
    <w:rsid w:val="00FA6A40"/>
    <w:rsid w:val="00FB756F"/>
    <w:rsid w:val="00FC160A"/>
    <w:rsid w:val="00FC2928"/>
    <w:rsid w:val="00FC387F"/>
    <w:rsid w:val="00FC68F8"/>
    <w:rsid w:val="00FD02AC"/>
    <w:rsid w:val="00FD0D3B"/>
    <w:rsid w:val="00FD40A7"/>
    <w:rsid w:val="00FD4DEE"/>
    <w:rsid w:val="00FD500E"/>
    <w:rsid w:val="00FD7DA6"/>
    <w:rsid w:val="00FE4BFE"/>
    <w:rsid w:val="00FF1127"/>
    <w:rsid w:val="00FF1192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A0193B"/>
  <w15:docId w15:val="{A44CD49E-05F8-4C55-BBF6-E57F1B4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1C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1"/>
    <w:unhideWhenUsed/>
    <w:rsid w:val="00E65F5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1">
    <w:name w:val="Footer Char1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paragraph" w:customStyle="1" w:styleId="tvhtml">
    <w:name w:val="tv_html"/>
    <w:basedOn w:val="Normal"/>
    <w:rsid w:val="000811EB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rsid w:val="00154BD3"/>
    <w:rPr>
      <w:color w:val="800080"/>
      <w:u w:val="single"/>
    </w:rPr>
  </w:style>
  <w:style w:type="character" w:customStyle="1" w:styleId="spelle">
    <w:name w:val="spelle"/>
    <w:basedOn w:val="DefaultParagraphFont"/>
    <w:rsid w:val="00215002"/>
  </w:style>
  <w:style w:type="character" w:customStyle="1" w:styleId="FooterChar">
    <w:name w:val="Footer Char"/>
    <w:locked/>
    <w:rsid w:val="002233D1"/>
    <w:rPr>
      <w:rFonts w:cs="Times New Roman"/>
      <w:lang w:val="x-none" w:eastAsia="en-US"/>
    </w:rPr>
  </w:style>
  <w:style w:type="paragraph" w:customStyle="1" w:styleId="naisvisr">
    <w:name w:val="naisvisr"/>
    <w:basedOn w:val="Normal"/>
    <w:rsid w:val="00565A60"/>
    <w:pPr>
      <w:spacing w:before="150" w:after="150" w:line="240" w:lineRule="auto"/>
      <w:ind w:firstLine="0"/>
      <w:jc w:val="center"/>
    </w:pPr>
    <w:rPr>
      <w:rFonts w:eastAsia="Times New Roman"/>
      <w:b/>
      <w:bCs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565A60"/>
    <w:pPr>
      <w:spacing w:after="200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Parastais1">
    <w:name w:val="Parastais1"/>
    <w:qFormat/>
    <w:rsid w:val="00EF04CF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C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6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148"/>
    <w:rPr>
      <w:b/>
      <w:bCs/>
      <w:lang w:eastAsia="en-US"/>
    </w:rPr>
  </w:style>
  <w:style w:type="paragraph" w:customStyle="1" w:styleId="Default">
    <w:name w:val="Default"/>
    <w:basedOn w:val="Normal"/>
    <w:rsid w:val="00792FC8"/>
    <w:pPr>
      <w:autoSpaceDE w:val="0"/>
      <w:autoSpaceDN w:val="0"/>
      <w:spacing w:line="240" w:lineRule="auto"/>
      <w:ind w:firstLine="0"/>
      <w:jc w:val="left"/>
    </w:pPr>
    <w:rPr>
      <w:rFonts w:ascii="EUAlbertina" w:hAnsi="EUAlbertina"/>
      <w:color w:val="000000"/>
      <w:sz w:val="24"/>
      <w:szCs w:val="24"/>
      <w:lang w:eastAsia="lv-LV"/>
    </w:rPr>
  </w:style>
  <w:style w:type="paragraph" w:customStyle="1" w:styleId="xmsonormal">
    <w:name w:val="x_msonormal"/>
    <w:basedOn w:val="Normal"/>
    <w:rsid w:val="00250B33"/>
    <w:pPr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val="en-US" w:eastAsia="zh-CN"/>
    </w:rPr>
  </w:style>
  <w:style w:type="table" w:styleId="TableGrid">
    <w:name w:val="Table Grid"/>
    <w:basedOn w:val="TableNormal"/>
    <w:uiPriority w:val="59"/>
    <w:rsid w:val="00C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28D7"/>
    <w:rPr>
      <w:sz w:val="28"/>
      <w:szCs w:val="22"/>
      <w:lang w:eastAsia="en-US"/>
    </w:rPr>
  </w:style>
  <w:style w:type="paragraph" w:styleId="NormalWeb">
    <w:name w:val="Normal (Web)"/>
    <w:basedOn w:val="Normal"/>
    <w:rsid w:val="00A5078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5078D"/>
    <w:pPr>
      <w:spacing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5BE"/>
    <w:pPr>
      <w:widowControl w:val="0"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5B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992">
          <w:marLeft w:val="54"/>
          <w:marRight w:val="54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63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ita\AppData\Local\Microsoft\Windows\Temporary%20Internet%20Files\Content.Outlook\O84D0EMH\SAMAnot_09032016_sabtrans_pr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SAMAnot_09032016_sabtrans_prec</Template>
  <TotalTime>20</TotalTime>
  <Pages>2</Pages>
  <Words>3147</Words>
  <Characters>1795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“Grozījums Ministru kabineta 2012.gada 3.jūlija noteikumos Nr.468 „, Noteikumi par pasažieru pārvadāšanu ar vieglajiem taksometriem”” sākotnējās ietekmes novērtējuma ziņojums (anotācija)</vt:lpstr>
      <vt:lpstr>Likumprojekta „Grozījums Sabiedriskā transporta pakalpojumu likumā” sākotnējās ietekmes novērtējuma ziņojums (anotācija)</vt:lpstr>
    </vt:vector>
  </TitlesOfParts>
  <Company>Satiksmes ministrija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2012.gada 3.jūlija noteikumos Nr.468 „, Noteikumi par pasažieru pārvadāšanu ar vieglajiem taksometriem”” sākotnējās ietekmes novērtējuma ziņojums (anotācija)</dc:title>
  <dc:subject>anotācija</dc:subject>
  <dc:creator>Dana.Ziemele-Adricka@sam.gov.lv</dc:creator>
  <cp:lastModifiedBy>Dana Ziemele Adricka</cp:lastModifiedBy>
  <cp:revision>20</cp:revision>
  <cp:lastPrinted>2016-12-01T13:51:00Z</cp:lastPrinted>
  <dcterms:created xsi:type="dcterms:W3CDTF">2016-11-30T14:57:00Z</dcterms:created>
  <dcterms:modified xsi:type="dcterms:W3CDTF">2016-12-08T08:01:00Z</dcterms:modified>
</cp:coreProperties>
</file>