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5" w:rsidRDefault="002D1699" w:rsidP="00600865">
      <w:pPr>
        <w:ind w:firstLine="0"/>
        <w:jc w:val="center"/>
        <w:rPr>
          <w:b/>
          <w:sz w:val="24"/>
          <w:szCs w:val="24"/>
        </w:rPr>
      </w:pPr>
      <w:r w:rsidRPr="005C2338">
        <w:rPr>
          <w:b/>
          <w:bCs/>
          <w:sz w:val="24"/>
          <w:szCs w:val="24"/>
        </w:rPr>
        <w:t>Ministru kabineta noteikumu projekta „</w:t>
      </w:r>
      <w:r w:rsidR="00DA0781" w:rsidRPr="005C2338">
        <w:rPr>
          <w:b/>
          <w:sz w:val="24"/>
          <w:szCs w:val="24"/>
        </w:rPr>
        <w:t>Grozījum</w:t>
      </w:r>
      <w:r w:rsidR="004A36B2">
        <w:rPr>
          <w:b/>
          <w:sz w:val="24"/>
          <w:szCs w:val="24"/>
        </w:rPr>
        <w:t>s</w:t>
      </w:r>
      <w:r w:rsidR="00DA0781" w:rsidRPr="005C2338">
        <w:rPr>
          <w:b/>
          <w:sz w:val="24"/>
          <w:szCs w:val="24"/>
        </w:rPr>
        <w:t xml:space="preserve"> Ministru kabineta</w:t>
      </w:r>
    </w:p>
    <w:p w:rsidR="002D1699" w:rsidRPr="005C2338" w:rsidRDefault="00DA0781" w:rsidP="00600865">
      <w:pPr>
        <w:ind w:firstLine="0"/>
        <w:jc w:val="center"/>
        <w:rPr>
          <w:sz w:val="24"/>
          <w:szCs w:val="24"/>
        </w:rPr>
      </w:pPr>
      <w:r w:rsidRPr="005C2338">
        <w:rPr>
          <w:b/>
          <w:sz w:val="24"/>
          <w:szCs w:val="24"/>
        </w:rPr>
        <w:t xml:space="preserve">2012.gada 10.janvāra noteikumos </w:t>
      </w:r>
      <w:r w:rsidRPr="005C2338">
        <w:rPr>
          <w:rStyle w:val="Strong"/>
          <w:color w:val="auto"/>
          <w:sz w:val="24"/>
          <w:szCs w:val="24"/>
        </w:rPr>
        <w:t>Nr.37</w:t>
      </w:r>
      <w:r w:rsidR="00600865">
        <w:rPr>
          <w:rStyle w:val="Strong"/>
          <w:color w:val="auto"/>
          <w:sz w:val="24"/>
          <w:szCs w:val="24"/>
        </w:rPr>
        <w:t xml:space="preserve"> </w:t>
      </w:r>
      <w:r w:rsidRPr="005C2338">
        <w:rPr>
          <w:rStyle w:val="Strong"/>
          <w:color w:val="auto"/>
          <w:sz w:val="24"/>
          <w:szCs w:val="24"/>
        </w:rPr>
        <w:t>„</w:t>
      </w:r>
      <w:r w:rsidRPr="005C2338">
        <w:rPr>
          <w:b/>
          <w:bCs/>
          <w:sz w:val="24"/>
          <w:szCs w:val="24"/>
        </w:rPr>
        <w:t xml:space="preserve">Noteikumi par pasažieru starptautiskajiem </w:t>
      </w:r>
      <w:r w:rsidR="00600865">
        <w:rPr>
          <w:b/>
          <w:bCs/>
          <w:sz w:val="24"/>
          <w:szCs w:val="24"/>
        </w:rPr>
        <w:t xml:space="preserve"> p</w:t>
      </w:r>
      <w:r w:rsidRPr="005C2338">
        <w:rPr>
          <w:b/>
          <w:bCs/>
          <w:sz w:val="24"/>
          <w:szCs w:val="24"/>
        </w:rPr>
        <w:t>ārvadājumiem ar autobusiem, to organizēšanas, veikšanas, maršrutu atklāšanas, grozīšanas un slēgšanas kārtību</w:t>
      </w:r>
      <w:r w:rsidRPr="005C2338">
        <w:rPr>
          <w:b/>
          <w:sz w:val="24"/>
          <w:szCs w:val="24"/>
        </w:rPr>
        <w:t>”</w:t>
      </w:r>
      <w:r w:rsidR="002D1699" w:rsidRPr="005C2338">
        <w:rPr>
          <w:b/>
          <w:bCs/>
          <w:sz w:val="24"/>
          <w:szCs w:val="24"/>
        </w:rPr>
        <w:t>” sākotnējās ietekmes novērtējuma ziņojums (anotācija)</w:t>
      </w:r>
    </w:p>
    <w:p w:rsidR="002D1699" w:rsidRPr="003D6F09" w:rsidRDefault="002D1699" w:rsidP="002D1699">
      <w:pPr>
        <w:ind w:firstLine="0"/>
        <w:jc w:val="center"/>
        <w:rPr>
          <w:b/>
          <w:bC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D1699" w:rsidRPr="00C81EDF" w:rsidTr="002545D7">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904A4">
            <w:pPr>
              <w:ind w:firstLine="0"/>
              <w:jc w:val="center"/>
              <w:rPr>
                <w:rFonts w:cs="Times New Roman"/>
                <w:b/>
                <w:bCs/>
                <w:sz w:val="24"/>
                <w:szCs w:val="24"/>
              </w:rPr>
            </w:pPr>
            <w:r w:rsidRPr="00C81EDF">
              <w:rPr>
                <w:rFonts w:cs="Times New Roman"/>
                <w:b/>
                <w:bCs/>
                <w:sz w:val="24"/>
                <w:szCs w:val="24"/>
              </w:rPr>
              <w:t>I. Tiesību akta projekta izstrādes nepieciešamība</w:t>
            </w:r>
          </w:p>
        </w:tc>
      </w:tr>
      <w:tr w:rsidR="002D1699" w:rsidRPr="00C81EDF" w:rsidTr="002545D7">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Pamatojums</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340368" w:rsidP="00863EB9">
            <w:pPr>
              <w:ind w:firstLine="0"/>
              <w:jc w:val="both"/>
              <w:rPr>
                <w:rFonts w:eastAsia="Calibri" w:cs="Times New Roman"/>
                <w:sz w:val="24"/>
                <w:szCs w:val="24"/>
              </w:rPr>
            </w:pPr>
            <w:r w:rsidRPr="00C81EDF">
              <w:rPr>
                <w:rFonts w:cs="Times New Roman"/>
                <w:sz w:val="24"/>
                <w:szCs w:val="24"/>
              </w:rPr>
              <w:t xml:space="preserve">Eiropas Parlamenta un Padomes 2011.gada 16.februāra Regula (EK) Nr. </w:t>
            </w:r>
            <w:hyperlink r:id="rId8" w:tgtFrame="_blank" w:history="1">
              <w:r w:rsidRPr="00C81EDF">
                <w:rPr>
                  <w:rFonts w:cs="Times New Roman"/>
                  <w:sz w:val="24"/>
                  <w:szCs w:val="24"/>
                </w:rPr>
                <w:t>181/2011</w:t>
              </w:r>
            </w:hyperlink>
            <w:r w:rsidRPr="00C81EDF">
              <w:rPr>
                <w:rFonts w:cs="Times New Roman"/>
                <w:sz w:val="24"/>
                <w:szCs w:val="24"/>
              </w:rPr>
              <w:t xml:space="preserve"> par autobusu pasažieru tiesībām un </w:t>
            </w:r>
            <w:r w:rsidR="00DF0400" w:rsidRPr="00C81EDF">
              <w:rPr>
                <w:rFonts w:cs="Times New Roman"/>
                <w:sz w:val="24"/>
                <w:szCs w:val="24"/>
              </w:rPr>
              <w:t>par grozījumiem Regulā (EK) Nr.</w:t>
            </w:r>
            <w:hyperlink r:id="rId9" w:tgtFrame="_blank" w:history="1">
              <w:r w:rsidRPr="00C81EDF">
                <w:rPr>
                  <w:rFonts w:cs="Times New Roman"/>
                  <w:sz w:val="24"/>
                  <w:szCs w:val="24"/>
                </w:rPr>
                <w:t>2006/2004</w:t>
              </w:r>
            </w:hyperlink>
            <w:r w:rsidRPr="00C81EDF">
              <w:rPr>
                <w:rFonts w:cs="Times New Roman"/>
                <w:sz w:val="24"/>
                <w:szCs w:val="24"/>
              </w:rPr>
              <w:t xml:space="preserve"> (turpmāk – regula Nr.</w:t>
            </w:r>
            <w:hyperlink r:id="rId10" w:tgtFrame="_blank" w:history="1">
              <w:r w:rsidRPr="00C81EDF">
                <w:rPr>
                  <w:rFonts w:cs="Times New Roman"/>
                  <w:sz w:val="24"/>
                  <w:szCs w:val="24"/>
                </w:rPr>
                <w:t>181/2011</w:t>
              </w:r>
            </w:hyperlink>
            <w:r w:rsidRPr="00C81EDF">
              <w:rPr>
                <w:rFonts w:cs="Times New Roman"/>
                <w:sz w:val="24"/>
                <w:szCs w:val="24"/>
              </w:rPr>
              <w:t>).</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tcPr>
          <w:p w:rsidR="001278B3" w:rsidRPr="001278B3" w:rsidRDefault="001278B3" w:rsidP="001278B3">
            <w:pPr>
              <w:ind w:firstLine="0"/>
              <w:jc w:val="both"/>
              <w:rPr>
                <w:rFonts w:cs="Times New Roman"/>
                <w:sz w:val="24"/>
                <w:szCs w:val="24"/>
              </w:rPr>
            </w:pPr>
            <w:r w:rsidRPr="001278B3">
              <w:rPr>
                <w:rFonts w:cs="Times New Roman"/>
                <w:sz w:val="24"/>
                <w:szCs w:val="24"/>
              </w:rPr>
              <w:t xml:space="preserve">Lai Eiropas Savienības līmenī ieviestu un nodrošinātu vienotu autobusu pasažieru minimālo tiesību apjomu, 2011.gada 16.februārī tika pieņemta regula Nr.181/2011, kura jāpiemēro no 2013.gada 1.marta. Regulas Nr.181/2011 mērķis ir visās dalībvalstīs autobusu pasažieriem nodrošināt līdzvērtīgu aizsardzības un palīdzības līmeni, </w:t>
            </w:r>
            <w:r w:rsidR="00872956" w:rsidRPr="001278B3">
              <w:rPr>
                <w:rFonts w:cs="Times New Roman"/>
                <w:sz w:val="24"/>
                <w:szCs w:val="24"/>
              </w:rPr>
              <w:t xml:space="preserve">pievēršot </w:t>
            </w:r>
            <w:r w:rsidRPr="001278B3">
              <w:rPr>
                <w:rFonts w:cs="Times New Roman"/>
                <w:sz w:val="24"/>
                <w:szCs w:val="24"/>
              </w:rPr>
              <w:t xml:space="preserve">īpašu uzmanību personām ar invaliditāti un personām ar ierobežotām pārvietošanās spējām. Saskaņā ar regulas Nr.181/2011 2.panta </w:t>
            </w:r>
            <w:r>
              <w:rPr>
                <w:rFonts w:cs="Times New Roman"/>
                <w:sz w:val="24"/>
                <w:szCs w:val="24"/>
              </w:rPr>
              <w:t>5</w:t>
            </w:r>
            <w:r w:rsidRPr="001278B3">
              <w:rPr>
                <w:rFonts w:cs="Times New Roman"/>
                <w:sz w:val="24"/>
                <w:szCs w:val="24"/>
              </w:rPr>
              <w:t xml:space="preserve">.punkta nosacījumiem dalībvalsts var pārredzami un nediskriminējoši piešķirt </w:t>
            </w:r>
            <w:r w:rsidR="00B77FDA" w:rsidRPr="001278B3">
              <w:rPr>
                <w:rFonts w:cs="Times New Roman"/>
                <w:sz w:val="24"/>
                <w:szCs w:val="24"/>
              </w:rPr>
              <w:t>atbrīvojumu no šīs regulas piemērošanas</w:t>
            </w:r>
            <w:r w:rsidR="00B77FDA" w:rsidRPr="00B77FDA">
              <w:rPr>
                <w:rFonts w:cs="Times New Roman"/>
                <w:sz w:val="24"/>
                <w:szCs w:val="24"/>
              </w:rPr>
              <w:t xml:space="preserve"> konkrētiem regulāriem pārvadājumiem, ja būtiska šo pakalpojumu daļa, tostarp vismaz viena paredzētā pietura, neatrodas </w:t>
            </w:r>
            <w:r w:rsidR="00B77FDA">
              <w:rPr>
                <w:rFonts w:cs="Times New Roman"/>
                <w:sz w:val="24"/>
                <w:szCs w:val="24"/>
              </w:rPr>
              <w:t>Eiropas Savienībā</w:t>
            </w:r>
            <w:r w:rsidRPr="001278B3">
              <w:rPr>
                <w:rFonts w:cs="Times New Roman"/>
                <w:sz w:val="24"/>
                <w:szCs w:val="24"/>
              </w:rPr>
              <w:t>. Šādu atbrīvojumu var piešķirt no šīs regulas piemērošanas dienas, ilgākais, uz četriem gadiem, un to var atjaunot vienu reizi.</w:t>
            </w:r>
          </w:p>
          <w:p w:rsidR="001278B3" w:rsidRPr="001278B3" w:rsidRDefault="001278B3" w:rsidP="001278B3">
            <w:pPr>
              <w:ind w:firstLine="0"/>
              <w:jc w:val="both"/>
              <w:rPr>
                <w:rFonts w:cs="Times New Roman"/>
                <w:sz w:val="24"/>
                <w:szCs w:val="24"/>
              </w:rPr>
            </w:pPr>
            <w:r w:rsidRPr="001278B3">
              <w:rPr>
                <w:rFonts w:cs="Times New Roman"/>
                <w:sz w:val="24"/>
                <w:szCs w:val="24"/>
              </w:rPr>
              <w:t>Ministru kabineta 2012.gada 10.janvāra noteikum</w:t>
            </w:r>
            <w:r w:rsidR="002904A4">
              <w:rPr>
                <w:rFonts w:cs="Times New Roman"/>
                <w:sz w:val="24"/>
                <w:szCs w:val="24"/>
              </w:rPr>
              <w:t>u</w:t>
            </w:r>
            <w:r w:rsidRPr="001278B3">
              <w:rPr>
                <w:rFonts w:cs="Times New Roman"/>
                <w:sz w:val="24"/>
                <w:szCs w:val="24"/>
              </w:rPr>
              <w:t xml:space="preserve"> Nr.37 „Noteikumi par pasažieru starptautiskajiem pārvadājumiem ar autobusiem, to organizēšanas, veikšanas, maršrutu atklāšanas, grozīšanas un slēgšanas kārtību” </w:t>
            </w:r>
            <w:r w:rsidR="002904A4">
              <w:rPr>
                <w:rFonts w:cs="Times New Roman"/>
                <w:sz w:val="24"/>
                <w:szCs w:val="24"/>
              </w:rPr>
              <w:t>4</w:t>
            </w:r>
            <w:r w:rsidR="002904A4" w:rsidRPr="001278B3">
              <w:rPr>
                <w:rFonts w:cs="Times New Roman"/>
                <w:sz w:val="24"/>
                <w:szCs w:val="24"/>
              </w:rPr>
              <w:t>.punkt</w:t>
            </w:r>
            <w:r w:rsidR="002904A4">
              <w:rPr>
                <w:rFonts w:cs="Times New Roman"/>
                <w:sz w:val="24"/>
                <w:szCs w:val="24"/>
              </w:rPr>
              <w:t xml:space="preserve">ā </w:t>
            </w:r>
            <w:r w:rsidRPr="001278B3">
              <w:rPr>
                <w:rFonts w:cs="Times New Roman"/>
                <w:sz w:val="24"/>
                <w:szCs w:val="24"/>
              </w:rPr>
              <w:t>ir p</w:t>
            </w:r>
            <w:r w:rsidR="002904A4">
              <w:rPr>
                <w:rFonts w:cs="Times New Roman"/>
                <w:sz w:val="24"/>
                <w:szCs w:val="24"/>
              </w:rPr>
              <w:t xml:space="preserve">aredzēts atbrīvojums no regulas </w:t>
            </w:r>
            <w:r w:rsidRPr="001278B3">
              <w:rPr>
                <w:rFonts w:cs="Times New Roman"/>
                <w:sz w:val="24"/>
                <w:szCs w:val="24"/>
              </w:rPr>
              <w:t xml:space="preserve"> Nr.181/2011 piemērošanas </w:t>
            </w:r>
            <w:r w:rsidR="007B77A9">
              <w:rPr>
                <w:rFonts w:cs="Times New Roman"/>
                <w:sz w:val="24"/>
                <w:szCs w:val="24"/>
              </w:rPr>
              <w:t xml:space="preserve">atbilstoši </w:t>
            </w:r>
            <w:r w:rsidR="007B77A9" w:rsidRPr="001278B3">
              <w:rPr>
                <w:rFonts w:cs="Times New Roman"/>
                <w:sz w:val="24"/>
                <w:szCs w:val="24"/>
              </w:rPr>
              <w:t xml:space="preserve">2.panta </w:t>
            </w:r>
            <w:r w:rsidR="007B77A9">
              <w:rPr>
                <w:rFonts w:cs="Times New Roman"/>
                <w:sz w:val="24"/>
                <w:szCs w:val="24"/>
              </w:rPr>
              <w:t>5</w:t>
            </w:r>
            <w:r w:rsidR="007B77A9" w:rsidRPr="001278B3">
              <w:rPr>
                <w:rFonts w:cs="Times New Roman"/>
                <w:sz w:val="24"/>
                <w:szCs w:val="24"/>
              </w:rPr>
              <w:t>.punkta</w:t>
            </w:r>
            <w:r w:rsidR="007B77A9">
              <w:rPr>
                <w:rFonts w:cs="Times New Roman"/>
                <w:sz w:val="24"/>
                <w:szCs w:val="24"/>
              </w:rPr>
              <w:t>m</w:t>
            </w:r>
            <w:r w:rsidR="007B77A9" w:rsidRPr="001278B3">
              <w:rPr>
                <w:rFonts w:cs="Times New Roman"/>
                <w:sz w:val="24"/>
                <w:szCs w:val="24"/>
              </w:rPr>
              <w:t xml:space="preserve"> </w:t>
            </w:r>
            <w:r w:rsidRPr="001278B3">
              <w:rPr>
                <w:rFonts w:cs="Times New Roman"/>
                <w:sz w:val="24"/>
                <w:szCs w:val="24"/>
              </w:rPr>
              <w:t>lī</w:t>
            </w:r>
            <w:r w:rsidR="002904A4">
              <w:rPr>
                <w:rFonts w:cs="Times New Roman"/>
                <w:sz w:val="24"/>
                <w:szCs w:val="24"/>
              </w:rPr>
              <w:t>dz 2017.gada 1.martam</w:t>
            </w:r>
            <w:r w:rsidRPr="001278B3">
              <w:rPr>
                <w:rFonts w:cs="Times New Roman"/>
                <w:sz w:val="24"/>
                <w:szCs w:val="24"/>
              </w:rPr>
              <w:t>.</w:t>
            </w:r>
          </w:p>
          <w:p w:rsidR="00872956" w:rsidRPr="00872956" w:rsidRDefault="00DD1BEC" w:rsidP="008C2194">
            <w:pPr>
              <w:ind w:firstLine="0"/>
              <w:jc w:val="both"/>
              <w:rPr>
                <w:rFonts w:cs="Times New Roman"/>
                <w:sz w:val="24"/>
                <w:szCs w:val="24"/>
              </w:rPr>
            </w:pPr>
            <w:r w:rsidRPr="00872956">
              <w:rPr>
                <w:rFonts w:cs="Times New Roman"/>
                <w:sz w:val="24"/>
                <w:szCs w:val="24"/>
              </w:rPr>
              <w:t xml:space="preserve">Lai </w:t>
            </w:r>
            <w:r w:rsidR="00545CBA" w:rsidRPr="00872956">
              <w:rPr>
                <w:rFonts w:cs="Times New Roman"/>
                <w:sz w:val="24"/>
                <w:szCs w:val="24"/>
              </w:rPr>
              <w:t>regulā Nr.</w:t>
            </w:r>
            <w:hyperlink r:id="rId11" w:tgtFrame="_blank" w:history="1">
              <w:r w:rsidR="00545CBA" w:rsidRPr="00872956">
                <w:rPr>
                  <w:rFonts w:cs="Times New Roman"/>
                  <w:sz w:val="24"/>
                  <w:szCs w:val="24"/>
                </w:rPr>
                <w:t>181/2011</w:t>
              </w:r>
            </w:hyperlink>
            <w:r w:rsidR="0055236E" w:rsidRPr="00872956">
              <w:rPr>
                <w:rFonts w:cs="Times New Roman"/>
                <w:sz w:val="24"/>
                <w:szCs w:val="24"/>
              </w:rPr>
              <w:t xml:space="preserve"> </w:t>
            </w:r>
            <w:r w:rsidR="00545CBA" w:rsidRPr="00872956">
              <w:rPr>
                <w:rFonts w:cs="Times New Roman"/>
                <w:sz w:val="24"/>
                <w:szCs w:val="24"/>
              </w:rPr>
              <w:t>ietvertās prasības attiecinātu uz pasažieru pārvadājumiem maršrutos uz trešajām valstīm, nepieciešams izstrādāt vai veikt grozījumus starptautiskajos normatīvajos aktos</w:t>
            </w:r>
            <w:r w:rsidR="00872956" w:rsidRPr="00872956">
              <w:rPr>
                <w:rFonts w:cs="Times New Roman"/>
                <w:sz w:val="24"/>
                <w:szCs w:val="24"/>
              </w:rPr>
              <w:t>, kas</w:t>
            </w:r>
            <w:r w:rsidR="00545CBA" w:rsidRPr="00872956">
              <w:rPr>
                <w:rFonts w:cs="Times New Roman"/>
                <w:sz w:val="24"/>
                <w:szCs w:val="24"/>
              </w:rPr>
              <w:t xml:space="preserve"> nosaka regulāro maršru</w:t>
            </w:r>
            <w:r w:rsidR="00872956" w:rsidRPr="00872956">
              <w:rPr>
                <w:rFonts w:cs="Times New Roman"/>
                <w:sz w:val="24"/>
                <w:szCs w:val="24"/>
              </w:rPr>
              <w:t xml:space="preserve">tu ar autobusiem atklāšanas un </w:t>
            </w:r>
            <w:r w:rsidR="00545CBA" w:rsidRPr="00872956">
              <w:rPr>
                <w:rFonts w:cs="Times New Roman"/>
                <w:sz w:val="24"/>
                <w:szCs w:val="24"/>
              </w:rPr>
              <w:t xml:space="preserve">funkcionēšanas kārtību. Pašlaik apspriešanas stadijā ir Eiropas Komisijas sagatavotais projekts, kas paredz </w:t>
            </w:r>
            <w:hyperlink r:id="rId12" w:history="1">
              <w:r w:rsidR="00CB49B3" w:rsidRPr="00872956">
                <w:rPr>
                  <w:rFonts w:cs="Times New Roman"/>
                  <w:sz w:val="24"/>
                  <w:szCs w:val="24"/>
                </w:rPr>
                <w:t>Nol</w:t>
              </w:r>
              <w:r w:rsidR="00CB49B3" w:rsidRPr="00872956">
                <w:rPr>
                  <w:rFonts w:cs="Times New Roman" w:hint="eastAsia"/>
                  <w:sz w:val="24"/>
                  <w:szCs w:val="24"/>
                </w:rPr>
                <w:t>ī</w:t>
              </w:r>
              <w:r w:rsidR="00CB49B3" w:rsidRPr="00872956">
                <w:rPr>
                  <w:rFonts w:cs="Times New Roman"/>
                  <w:sz w:val="24"/>
                  <w:szCs w:val="24"/>
                </w:rPr>
                <w:t>guma par pasa</w:t>
              </w:r>
              <w:r w:rsidR="00CB49B3" w:rsidRPr="00872956">
                <w:rPr>
                  <w:rFonts w:cs="Times New Roman" w:hint="eastAsia"/>
                  <w:sz w:val="24"/>
                  <w:szCs w:val="24"/>
                </w:rPr>
                <w:t>ž</w:t>
              </w:r>
              <w:r w:rsidR="00CB49B3" w:rsidRPr="00872956">
                <w:rPr>
                  <w:rFonts w:cs="Times New Roman"/>
                  <w:sz w:val="24"/>
                  <w:szCs w:val="24"/>
                </w:rPr>
                <w:t>ieru neregul</w:t>
              </w:r>
              <w:r w:rsidR="00CB49B3" w:rsidRPr="00872956">
                <w:rPr>
                  <w:rFonts w:cs="Times New Roman" w:hint="eastAsia"/>
                  <w:sz w:val="24"/>
                  <w:szCs w:val="24"/>
                </w:rPr>
                <w:t>ā</w:t>
              </w:r>
              <w:r w:rsidR="00CB49B3" w:rsidRPr="00872956">
                <w:rPr>
                  <w:rFonts w:cs="Times New Roman"/>
                  <w:sz w:val="24"/>
                  <w:szCs w:val="24"/>
                </w:rPr>
                <w:t>rajiem starptautiskajiem p</w:t>
              </w:r>
              <w:r w:rsidR="00CB49B3" w:rsidRPr="00872956">
                <w:rPr>
                  <w:rFonts w:cs="Times New Roman" w:hint="eastAsia"/>
                  <w:sz w:val="24"/>
                  <w:szCs w:val="24"/>
                </w:rPr>
                <w:t>ā</w:t>
              </w:r>
              <w:r w:rsidR="00CB49B3" w:rsidRPr="00872956">
                <w:rPr>
                  <w:rFonts w:cs="Times New Roman"/>
                  <w:sz w:val="24"/>
                  <w:szCs w:val="24"/>
                </w:rPr>
                <w:t>rvad</w:t>
              </w:r>
              <w:r w:rsidR="00CB49B3" w:rsidRPr="00872956">
                <w:rPr>
                  <w:rFonts w:cs="Times New Roman" w:hint="eastAsia"/>
                  <w:sz w:val="24"/>
                  <w:szCs w:val="24"/>
                </w:rPr>
                <w:t>ā</w:t>
              </w:r>
              <w:r w:rsidR="00CB49B3" w:rsidRPr="00872956">
                <w:rPr>
                  <w:rFonts w:cs="Times New Roman"/>
                  <w:sz w:val="24"/>
                  <w:szCs w:val="24"/>
                </w:rPr>
                <w:t>jumiem ar autobusiem (INTERBUS)</w:t>
              </w:r>
            </w:hyperlink>
            <w:r w:rsidR="00CB49B3" w:rsidRPr="00872956">
              <w:rPr>
                <w:rFonts w:cs="Times New Roman"/>
                <w:sz w:val="24"/>
                <w:szCs w:val="24"/>
              </w:rPr>
              <w:t xml:space="preserve"> </w:t>
            </w:r>
            <w:r w:rsidR="000E65A2">
              <w:rPr>
                <w:rFonts w:cs="Times New Roman"/>
                <w:sz w:val="24"/>
                <w:szCs w:val="24"/>
              </w:rPr>
              <w:t xml:space="preserve">darbības sfēras </w:t>
            </w:r>
            <w:r w:rsidR="0055236E" w:rsidRPr="00872956">
              <w:rPr>
                <w:rFonts w:cs="Times New Roman"/>
                <w:sz w:val="24"/>
                <w:szCs w:val="24"/>
              </w:rPr>
              <w:t>paplašināšan</w:t>
            </w:r>
            <w:r w:rsidR="00CB49B3" w:rsidRPr="00872956">
              <w:rPr>
                <w:rFonts w:cs="Times New Roman"/>
                <w:sz w:val="24"/>
                <w:szCs w:val="24"/>
              </w:rPr>
              <w:t>u,</w:t>
            </w:r>
            <w:r w:rsidR="00872956" w:rsidRPr="000E65A2">
              <w:rPr>
                <w:rFonts w:eastAsia="Times New Roman" w:cs="Times New Roman"/>
                <w:szCs w:val="28"/>
                <w:lang w:eastAsia="en-GB"/>
              </w:rPr>
              <w:t xml:space="preserve"> </w:t>
            </w:r>
            <w:r w:rsidR="00872956" w:rsidRPr="000E65A2">
              <w:rPr>
                <w:rFonts w:cs="Times New Roman"/>
                <w:sz w:val="24"/>
                <w:szCs w:val="24"/>
              </w:rPr>
              <w:t xml:space="preserve">attiecinot to arī uz starptautiskiem regulāriem pasažieru pārvadājumiem ar autobusiem uz valstīm, kas nav ES </w:t>
            </w:r>
            <w:r w:rsidR="00872956" w:rsidRPr="000E65A2">
              <w:rPr>
                <w:rFonts w:cs="Times New Roman"/>
                <w:sz w:val="24"/>
                <w:szCs w:val="24"/>
              </w:rPr>
              <w:lastRenderedPageBreak/>
              <w:t>dalībvalstis</w:t>
            </w:r>
            <w:r w:rsidR="000E65A2">
              <w:rPr>
                <w:rFonts w:cs="Times New Roman"/>
                <w:sz w:val="24"/>
                <w:szCs w:val="24"/>
              </w:rPr>
              <w:t>,</w:t>
            </w:r>
            <w:r w:rsidR="001C7A01">
              <w:rPr>
                <w:rFonts w:cs="Times New Roman"/>
                <w:sz w:val="24"/>
                <w:szCs w:val="24"/>
              </w:rPr>
              <w:t xml:space="preserve"> un</w:t>
            </w:r>
            <w:r w:rsidR="00CB49B3" w:rsidRPr="00872956">
              <w:rPr>
                <w:rFonts w:cs="Times New Roman"/>
                <w:sz w:val="24"/>
                <w:szCs w:val="24"/>
              </w:rPr>
              <w:t xml:space="preserve"> ietverot arī autobusu pasažieru tiesības.</w:t>
            </w:r>
            <w:r w:rsidR="003E4A7D">
              <w:rPr>
                <w:rFonts w:cs="Times New Roman"/>
                <w:sz w:val="24"/>
                <w:szCs w:val="24"/>
              </w:rPr>
              <w:t xml:space="preserve"> </w:t>
            </w:r>
            <w:r w:rsidR="00CB49B3" w:rsidRPr="00872956">
              <w:rPr>
                <w:rFonts w:cs="Times New Roman"/>
                <w:sz w:val="24"/>
                <w:szCs w:val="24"/>
              </w:rPr>
              <w:t xml:space="preserve"> Savukārt ar valstīm, kuras nav INTERBUS dalībvalstis, plānots </w:t>
            </w:r>
            <w:r w:rsidR="008C2194" w:rsidRPr="00872956">
              <w:rPr>
                <w:rFonts w:cs="Times New Roman"/>
                <w:sz w:val="24"/>
                <w:szCs w:val="24"/>
              </w:rPr>
              <w:t xml:space="preserve">saskaņot autobusu pasažieru tiesību prasības divpusējo starpvaldību nolīgumu ietvaros. </w:t>
            </w:r>
          </w:p>
          <w:p w:rsidR="00072346" w:rsidRPr="00C81EDF" w:rsidRDefault="008C2194" w:rsidP="00B82E8F">
            <w:pPr>
              <w:ind w:firstLine="0"/>
              <w:jc w:val="both"/>
              <w:rPr>
                <w:rFonts w:eastAsia="Calibri" w:cs="Times New Roman"/>
                <w:sz w:val="24"/>
                <w:szCs w:val="24"/>
              </w:rPr>
            </w:pPr>
            <w:r w:rsidRPr="00872956">
              <w:rPr>
                <w:rFonts w:cs="Times New Roman"/>
                <w:sz w:val="24"/>
                <w:szCs w:val="24"/>
              </w:rPr>
              <w:t xml:space="preserve">Ņemot vērā, ka </w:t>
            </w:r>
            <w:r w:rsidR="001C7A01" w:rsidRPr="001C7A01">
              <w:rPr>
                <w:rFonts w:cs="Times New Roman"/>
                <w:sz w:val="24"/>
                <w:szCs w:val="24"/>
              </w:rPr>
              <w:t>normatīvo aktu</w:t>
            </w:r>
            <w:r w:rsidRPr="001C7A01">
              <w:rPr>
                <w:rFonts w:cs="Times New Roman"/>
                <w:sz w:val="24"/>
                <w:szCs w:val="24"/>
              </w:rPr>
              <w:t xml:space="preserve"> bāze ar trešajām valstīm</w:t>
            </w:r>
            <w:r w:rsidR="000E65A2">
              <w:rPr>
                <w:rFonts w:cs="Times New Roman"/>
                <w:sz w:val="24"/>
                <w:szCs w:val="24"/>
              </w:rPr>
              <w:t xml:space="preserve"> saistībā ar pasažieru tiesībām</w:t>
            </w:r>
            <w:r w:rsidRPr="001C7A01">
              <w:rPr>
                <w:rFonts w:cs="Times New Roman"/>
                <w:sz w:val="24"/>
                <w:szCs w:val="24"/>
              </w:rPr>
              <w:t xml:space="preserve"> ir izstrādes stadijā</w:t>
            </w:r>
            <w:r w:rsidR="00B82E8F">
              <w:rPr>
                <w:rFonts w:cs="Times New Roman"/>
                <w:sz w:val="24"/>
                <w:szCs w:val="24"/>
              </w:rPr>
              <w:t xml:space="preserve"> un ka</w:t>
            </w:r>
            <w:r w:rsidR="003E4A7D">
              <w:rPr>
                <w:rFonts w:cs="Times New Roman"/>
                <w:sz w:val="24"/>
                <w:szCs w:val="24"/>
              </w:rPr>
              <w:t xml:space="preserve"> tas ir laikietilpīgs process, un atsevišķas trešās valstis projektu  saskaņošanas procesā ir izteikušas priekšlikumus par pārejas perioda nepieciešamību, ievērojot, ka autobusu pasažieru tiesību </w:t>
            </w:r>
            <w:r w:rsidR="005439D4">
              <w:rPr>
                <w:rFonts w:cs="Times New Roman"/>
                <w:sz w:val="24"/>
                <w:szCs w:val="24"/>
              </w:rPr>
              <w:t>prasību ieviešana ir resursietilpīg</w:t>
            </w:r>
            <w:r w:rsidR="00B82E8F">
              <w:rPr>
                <w:rFonts w:cs="Times New Roman"/>
                <w:sz w:val="24"/>
                <w:szCs w:val="24"/>
              </w:rPr>
              <w:t xml:space="preserve">a, </w:t>
            </w:r>
            <w:r w:rsidR="005439D4">
              <w:rPr>
                <w:rFonts w:cs="Times New Roman"/>
                <w:sz w:val="24"/>
                <w:szCs w:val="24"/>
              </w:rPr>
              <w:t xml:space="preserve"> </w:t>
            </w:r>
            <w:r w:rsidR="003E4A7D">
              <w:rPr>
                <w:rFonts w:cs="Times New Roman"/>
                <w:sz w:val="24"/>
                <w:szCs w:val="24"/>
              </w:rPr>
              <w:t xml:space="preserve"> </w:t>
            </w:r>
            <w:r w:rsidRPr="00872956">
              <w:rPr>
                <w:rFonts w:cs="Times New Roman"/>
                <w:sz w:val="24"/>
                <w:szCs w:val="24"/>
              </w:rPr>
              <w:t xml:space="preserve"> nepieciešams </w:t>
            </w:r>
            <w:r w:rsidRPr="004E5B7C">
              <w:rPr>
                <w:sz w:val="24"/>
                <w:szCs w:val="24"/>
              </w:rPr>
              <w:t>regul</w:t>
            </w:r>
            <w:r>
              <w:rPr>
                <w:sz w:val="24"/>
                <w:szCs w:val="24"/>
              </w:rPr>
              <w:t>as</w:t>
            </w:r>
            <w:r w:rsidRPr="004E5B7C">
              <w:rPr>
                <w:sz w:val="24"/>
                <w:szCs w:val="24"/>
              </w:rPr>
              <w:t xml:space="preserve"> Nr.181/2011</w:t>
            </w:r>
            <w:r>
              <w:rPr>
                <w:sz w:val="24"/>
                <w:szCs w:val="24"/>
              </w:rPr>
              <w:t xml:space="preserve"> 2.panta 5.punktā paredzēto piemērošanas atbrīvojumu </w:t>
            </w:r>
            <w:r w:rsidRPr="001278B3">
              <w:rPr>
                <w:rFonts w:cs="Times New Roman"/>
                <w:sz w:val="24"/>
                <w:szCs w:val="24"/>
              </w:rPr>
              <w:t>pasažieru starptautisko regulāro pārvadājumu maršrutos, kur kāda no pieturvietām atrodas ārpus Eiropas Savienības teritorijas</w:t>
            </w:r>
            <w:r>
              <w:rPr>
                <w:rFonts w:cs="Times New Roman"/>
                <w:sz w:val="24"/>
                <w:szCs w:val="24"/>
              </w:rPr>
              <w:t>,</w:t>
            </w:r>
            <w:r>
              <w:rPr>
                <w:sz w:val="24"/>
                <w:szCs w:val="24"/>
              </w:rPr>
              <w:t xml:space="preserve"> pagarināt vēl </w:t>
            </w:r>
            <w:r w:rsidR="00FB45AA">
              <w:rPr>
                <w:sz w:val="24"/>
                <w:szCs w:val="24"/>
              </w:rPr>
              <w:t>par</w:t>
            </w:r>
            <w:r>
              <w:rPr>
                <w:sz w:val="24"/>
                <w:szCs w:val="24"/>
              </w:rPr>
              <w:t xml:space="preserve"> četriem gadiem – līdz 2021.gada 1.martam.</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CC788E">
            <w:pPr>
              <w:ind w:firstLine="0"/>
              <w:jc w:val="both"/>
              <w:rPr>
                <w:rFonts w:cs="Times New Roman"/>
                <w:sz w:val="24"/>
                <w:szCs w:val="24"/>
              </w:rPr>
            </w:pPr>
            <w:r w:rsidRPr="00C81EDF">
              <w:rPr>
                <w:rFonts w:cs="Times New Roman"/>
                <w:sz w:val="24"/>
                <w:szCs w:val="24"/>
              </w:rPr>
              <w:t>VSIA „Autotransporta direkcija”</w:t>
            </w:r>
            <w:r w:rsidR="00920A49" w:rsidRPr="00C81EDF">
              <w:rPr>
                <w:rFonts w:cs="Times New Roman"/>
                <w:sz w:val="24"/>
                <w:szCs w:val="24"/>
              </w:rPr>
              <w:t xml:space="preserve">, </w:t>
            </w:r>
            <w:r w:rsidR="00CC788E">
              <w:rPr>
                <w:rFonts w:cs="Times New Roman"/>
                <w:sz w:val="24"/>
                <w:szCs w:val="24"/>
              </w:rPr>
              <w:t>Satiksmes ministrija</w:t>
            </w:r>
          </w:p>
        </w:tc>
      </w:tr>
      <w:tr w:rsidR="002D1699" w:rsidRPr="00C81EDF" w:rsidTr="002545D7">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tcPr>
          <w:p w:rsidR="002D1699" w:rsidRPr="00C81EDF" w:rsidRDefault="002D1699" w:rsidP="002545D7">
            <w:pPr>
              <w:ind w:firstLine="0"/>
              <w:rPr>
                <w:rFonts w:cs="Times New Roman"/>
                <w:sz w:val="24"/>
                <w:szCs w:val="24"/>
              </w:rPr>
            </w:pPr>
            <w:r w:rsidRPr="00C81EDF">
              <w:rPr>
                <w:rFonts w:cs="Times New Roman"/>
                <w:sz w:val="24"/>
                <w:szCs w:val="24"/>
              </w:rPr>
              <w:t>Nav</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2D1699" w:rsidRPr="00C81EDF" w:rsidTr="002545D7">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904A4">
            <w:pPr>
              <w:ind w:firstLine="0"/>
              <w:jc w:val="center"/>
              <w:rPr>
                <w:rFonts w:cs="Times New Roman"/>
                <w:b/>
                <w:bCs/>
                <w:sz w:val="24"/>
                <w:szCs w:val="24"/>
              </w:rPr>
            </w:pPr>
            <w:r w:rsidRPr="00C81EDF">
              <w:rPr>
                <w:rFonts w:cs="Times New Roman"/>
                <w:b/>
                <w:bCs/>
                <w:sz w:val="24"/>
                <w:szCs w:val="24"/>
              </w:rPr>
              <w:t>II. Tiesību akta projekta ietekme uz sabiedrību, tautsaimniecības attīstību un administratīvo slogu</w:t>
            </w:r>
          </w:p>
        </w:tc>
      </w:tr>
      <w:tr w:rsidR="002D1699" w:rsidRPr="00C81EDF" w:rsidTr="002545D7">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Sabiedrības mērķgrupas, kuras tiesiskais regulējums ietekmē vai varētu ietekmēt</w:t>
            </w:r>
          </w:p>
        </w:tc>
        <w:tc>
          <w:tcPr>
            <w:tcW w:w="3159" w:type="pct"/>
            <w:tcBorders>
              <w:top w:val="outset" w:sz="6" w:space="0" w:color="auto"/>
              <w:left w:val="outset" w:sz="6" w:space="0" w:color="auto"/>
              <w:bottom w:val="outset" w:sz="6" w:space="0" w:color="auto"/>
              <w:right w:val="outset" w:sz="6" w:space="0" w:color="auto"/>
            </w:tcBorders>
            <w:hideMark/>
          </w:tcPr>
          <w:p w:rsidR="0006532F" w:rsidRPr="0006532F" w:rsidRDefault="002D1699" w:rsidP="00535F50">
            <w:pPr>
              <w:spacing w:before="75" w:after="75"/>
              <w:ind w:firstLine="0"/>
              <w:jc w:val="both"/>
              <w:rPr>
                <w:rFonts w:eastAsia="Times New Roman" w:cs="Times New Roman"/>
                <w:sz w:val="24"/>
                <w:szCs w:val="24"/>
                <w:lang w:eastAsia="lv-LV"/>
              </w:rPr>
            </w:pPr>
            <w:r w:rsidRPr="00C81EDF">
              <w:rPr>
                <w:rFonts w:eastAsia="Times New Roman" w:cs="Times New Roman"/>
                <w:sz w:val="24"/>
                <w:szCs w:val="24"/>
                <w:lang w:eastAsia="lv-LV"/>
              </w:rPr>
              <w:t xml:space="preserve">Komersanti, kas veic starptautiskos </w:t>
            </w:r>
            <w:r w:rsidR="00DC0110" w:rsidRPr="00C81EDF">
              <w:rPr>
                <w:rFonts w:eastAsia="Times New Roman" w:cs="Times New Roman"/>
                <w:sz w:val="24"/>
                <w:szCs w:val="24"/>
                <w:lang w:eastAsia="lv-LV"/>
              </w:rPr>
              <w:t xml:space="preserve">pasažieru </w:t>
            </w:r>
            <w:r w:rsidRPr="00C81EDF">
              <w:rPr>
                <w:rFonts w:eastAsia="Times New Roman" w:cs="Times New Roman"/>
                <w:sz w:val="24"/>
                <w:szCs w:val="24"/>
                <w:lang w:eastAsia="lv-LV"/>
              </w:rPr>
              <w:t>komercpārvadājumus ar autotransportu</w:t>
            </w:r>
            <w:r w:rsidR="00CF79C8">
              <w:rPr>
                <w:rFonts w:eastAsia="Times New Roman" w:cs="Times New Roman"/>
                <w:sz w:val="24"/>
                <w:szCs w:val="24"/>
                <w:lang w:eastAsia="lv-LV"/>
              </w:rPr>
              <w:t xml:space="preserve"> </w:t>
            </w:r>
            <w:r w:rsidR="00CF79C8" w:rsidRPr="000D48C2">
              <w:rPr>
                <w:rFonts w:eastAsia="Times New Roman" w:cs="Times New Roman"/>
                <w:sz w:val="24"/>
                <w:szCs w:val="24"/>
                <w:lang w:eastAsia="lv-LV"/>
              </w:rPr>
              <w:t>uz trešajām valstīm</w:t>
            </w:r>
            <w:r w:rsidRPr="000D48C2">
              <w:rPr>
                <w:rFonts w:eastAsia="Times New Roman" w:cs="Times New Roman"/>
                <w:sz w:val="24"/>
                <w:szCs w:val="24"/>
                <w:lang w:eastAsia="lv-LV"/>
              </w:rPr>
              <w:t>. 201</w:t>
            </w:r>
            <w:r w:rsidR="00A85079" w:rsidRPr="000D48C2">
              <w:rPr>
                <w:rFonts w:eastAsia="Times New Roman" w:cs="Times New Roman"/>
                <w:sz w:val="24"/>
                <w:szCs w:val="24"/>
                <w:lang w:eastAsia="lv-LV"/>
              </w:rPr>
              <w:t>6</w:t>
            </w:r>
            <w:r w:rsidRPr="000D48C2">
              <w:rPr>
                <w:rFonts w:eastAsia="Times New Roman" w:cs="Times New Roman"/>
                <w:sz w:val="24"/>
                <w:szCs w:val="24"/>
                <w:lang w:eastAsia="lv-LV"/>
              </w:rPr>
              <w:t>.gada 1.</w:t>
            </w:r>
            <w:r w:rsidR="00A85079" w:rsidRPr="000D48C2">
              <w:rPr>
                <w:rFonts w:eastAsia="Times New Roman" w:cs="Times New Roman"/>
                <w:sz w:val="24"/>
                <w:szCs w:val="24"/>
                <w:lang w:eastAsia="lv-LV"/>
              </w:rPr>
              <w:t>august</w:t>
            </w:r>
            <w:r w:rsidR="005E61FE">
              <w:rPr>
                <w:rFonts w:eastAsia="Times New Roman" w:cs="Times New Roman"/>
                <w:sz w:val="24"/>
                <w:szCs w:val="24"/>
                <w:lang w:eastAsia="lv-LV"/>
              </w:rPr>
              <w:t>ā</w:t>
            </w:r>
            <w:r w:rsidRPr="000D48C2">
              <w:rPr>
                <w:rFonts w:eastAsia="Times New Roman" w:cs="Times New Roman"/>
                <w:sz w:val="24"/>
                <w:szCs w:val="24"/>
                <w:lang w:eastAsia="lv-LV"/>
              </w:rPr>
              <w:t xml:space="preserve"> </w:t>
            </w:r>
            <w:r w:rsidR="005E61FE">
              <w:rPr>
                <w:rFonts w:eastAsia="Times New Roman" w:cs="Times New Roman"/>
                <w:sz w:val="24"/>
                <w:szCs w:val="24"/>
                <w:lang w:eastAsia="lv-LV"/>
              </w:rPr>
              <w:t xml:space="preserve">bija </w:t>
            </w:r>
            <w:r w:rsidR="00A85079" w:rsidRPr="000D48C2">
              <w:rPr>
                <w:rFonts w:eastAsia="Times New Roman" w:cs="Times New Roman"/>
                <w:sz w:val="24"/>
                <w:szCs w:val="24"/>
                <w:lang w:eastAsia="lv-LV"/>
              </w:rPr>
              <w:t>402</w:t>
            </w:r>
            <w:r w:rsidRPr="000D48C2">
              <w:rPr>
                <w:rFonts w:eastAsia="Times New Roman" w:cs="Times New Roman"/>
                <w:sz w:val="24"/>
                <w:szCs w:val="24"/>
                <w:lang w:eastAsia="lv-LV"/>
              </w:rPr>
              <w:t xml:space="preserve"> </w:t>
            </w:r>
            <w:r w:rsidRPr="0096283E">
              <w:rPr>
                <w:rFonts w:eastAsia="Times New Roman" w:cs="Times New Roman"/>
                <w:sz w:val="24"/>
                <w:szCs w:val="24"/>
                <w:lang w:eastAsia="lv-LV"/>
              </w:rPr>
              <w:t>pārvadātāj</w:t>
            </w:r>
            <w:r w:rsidR="00DC0110" w:rsidRPr="0096283E">
              <w:rPr>
                <w:rFonts w:eastAsia="Times New Roman" w:cs="Times New Roman"/>
                <w:sz w:val="24"/>
                <w:szCs w:val="24"/>
                <w:lang w:eastAsia="lv-LV"/>
              </w:rPr>
              <w:t>i</w:t>
            </w:r>
            <w:r w:rsidRPr="0096283E">
              <w:rPr>
                <w:rFonts w:eastAsia="Times New Roman" w:cs="Times New Roman"/>
                <w:sz w:val="24"/>
                <w:szCs w:val="24"/>
                <w:lang w:eastAsia="lv-LV"/>
              </w:rPr>
              <w:t>, kur</w:t>
            </w:r>
            <w:r w:rsidR="00DC0110" w:rsidRPr="0096283E">
              <w:rPr>
                <w:rFonts w:eastAsia="Times New Roman" w:cs="Times New Roman"/>
                <w:sz w:val="24"/>
                <w:szCs w:val="24"/>
                <w:lang w:eastAsia="lv-LV"/>
              </w:rPr>
              <w:t>iem</w:t>
            </w:r>
            <w:r w:rsidRPr="0096283E">
              <w:rPr>
                <w:rFonts w:eastAsia="Times New Roman" w:cs="Times New Roman"/>
                <w:sz w:val="24"/>
                <w:szCs w:val="24"/>
                <w:lang w:eastAsia="lv-LV"/>
              </w:rPr>
              <w:t xml:space="preserve"> ir </w:t>
            </w:r>
            <w:r w:rsidR="005E61FE">
              <w:rPr>
                <w:rFonts w:eastAsia="Times New Roman" w:cs="Times New Roman"/>
                <w:sz w:val="24"/>
                <w:szCs w:val="24"/>
                <w:lang w:eastAsia="lv-LV"/>
              </w:rPr>
              <w:t xml:space="preserve">spēkā </w:t>
            </w:r>
            <w:r w:rsidRPr="0096283E">
              <w:rPr>
                <w:rFonts w:eastAsia="Times New Roman" w:cs="Times New Roman"/>
                <w:sz w:val="24"/>
                <w:szCs w:val="24"/>
                <w:lang w:eastAsia="lv-LV"/>
              </w:rPr>
              <w:t xml:space="preserve">esoša Kopienas atļauja starptautiskajiem </w:t>
            </w:r>
            <w:r w:rsidR="00DC0110" w:rsidRPr="0096283E">
              <w:rPr>
                <w:rFonts w:eastAsia="Times New Roman" w:cs="Times New Roman"/>
                <w:sz w:val="24"/>
                <w:szCs w:val="24"/>
                <w:lang w:eastAsia="lv-LV"/>
              </w:rPr>
              <w:t xml:space="preserve">pasažieru </w:t>
            </w:r>
            <w:r w:rsidRPr="0096283E">
              <w:rPr>
                <w:rFonts w:eastAsia="Times New Roman" w:cs="Times New Roman"/>
                <w:sz w:val="24"/>
                <w:szCs w:val="24"/>
                <w:lang w:eastAsia="lv-LV"/>
              </w:rPr>
              <w:t>komercpārvadājumiem ar autotransportu un kuru rīcībā bija</w:t>
            </w:r>
            <w:r w:rsidRPr="000D48C2">
              <w:rPr>
                <w:rFonts w:eastAsia="Times New Roman" w:cs="Times New Roman"/>
                <w:color w:val="FF0000"/>
                <w:sz w:val="24"/>
                <w:szCs w:val="24"/>
                <w:lang w:eastAsia="lv-LV"/>
              </w:rPr>
              <w:t xml:space="preserve"> </w:t>
            </w:r>
            <w:r w:rsidR="00A85079" w:rsidRPr="000D48C2">
              <w:rPr>
                <w:rFonts w:eastAsia="Times New Roman" w:cs="Times New Roman"/>
                <w:sz w:val="24"/>
                <w:szCs w:val="24"/>
                <w:lang w:eastAsia="lv-LV"/>
              </w:rPr>
              <w:t>881</w:t>
            </w:r>
            <w:r w:rsidRPr="000D48C2">
              <w:rPr>
                <w:rFonts w:eastAsia="Times New Roman" w:cs="Times New Roman"/>
                <w:sz w:val="24"/>
                <w:szCs w:val="24"/>
                <w:lang w:eastAsia="lv-LV"/>
              </w:rPr>
              <w:t xml:space="preserve"> </w:t>
            </w:r>
            <w:r w:rsidR="00DC0110" w:rsidRPr="0096283E">
              <w:rPr>
                <w:rFonts w:eastAsia="Times New Roman" w:cs="Times New Roman"/>
                <w:sz w:val="24"/>
                <w:szCs w:val="24"/>
                <w:lang w:eastAsia="lv-LV"/>
              </w:rPr>
              <w:t>autobus</w:t>
            </w:r>
            <w:r w:rsidR="00A85079" w:rsidRPr="0096283E">
              <w:rPr>
                <w:rFonts w:eastAsia="Times New Roman" w:cs="Times New Roman"/>
                <w:sz w:val="24"/>
                <w:szCs w:val="24"/>
                <w:lang w:eastAsia="lv-LV"/>
              </w:rPr>
              <w:t>s</w:t>
            </w:r>
            <w:r w:rsidR="00DC0110" w:rsidRPr="0096283E">
              <w:rPr>
                <w:rFonts w:eastAsia="Times New Roman" w:cs="Times New Roman"/>
                <w:sz w:val="24"/>
                <w:szCs w:val="24"/>
                <w:lang w:eastAsia="lv-LV"/>
              </w:rPr>
              <w:t xml:space="preserve"> </w:t>
            </w:r>
            <w:r w:rsidRPr="0096283E">
              <w:rPr>
                <w:rFonts w:eastAsia="Times New Roman" w:cs="Times New Roman"/>
                <w:sz w:val="24"/>
                <w:szCs w:val="24"/>
                <w:lang w:eastAsia="lv-LV"/>
              </w:rPr>
              <w:t xml:space="preserve">starptautisko autopārvadājumu veikšanai. </w:t>
            </w:r>
            <w:r w:rsidR="005E61FE">
              <w:rPr>
                <w:rFonts w:eastAsia="Times New Roman" w:cs="Times New Roman"/>
                <w:sz w:val="24"/>
                <w:szCs w:val="24"/>
                <w:lang w:eastAsia="lv-LV"/>
              </w:rPr>
              <w:t>2</w:t>
            </w:r>
            <w:r w:rsidR="0006532F" w:rsidRPr="000D48C2">
              <w:rPr>
                <w:rFonts w:eastAsia="Times New Roman" w:cs="Times New Roman"/>
                <w:sz w:val="24"/>
                <w:szCs w:val="24"/>
                <w:lang w:eastAsia="lv-LV"/>
              </w:rPr>
              <w:t>016.gada 1.august</w:t>
            </w:r>
            <w:r w:rsidR="00535F50">
              <w:rPr>
                <w:rFonts w:eastAsia="Times New Roman" w:cs="Times New Roman"/>
                <w:sz w:val="24"/>
                <w:szCs w:val="24"/>
                <w:lang w:eastAsia="lv-LV"/>
              </w:rPr>
              <w:t>ā</w:t>
            </w:r>
            <w:r w:rsidR="0006532F" w:rsidRPr="000D48C2">
              <w:rPr>
                <w:rFonts w:eastAsia="Times New Roman" w:cs="Times New Roman"/>
                <w:sz w:val="24"/>
                <w:szCs w:val="24"/>
                <w:lang w:eastAsia="lv-LV"/>
              </w:rPr>
              <w:t xml:space="preserve"> pasažieru pārvadājumus ar autobusiem 32 starptautiskajos regulārajos  maršrutos uz trešajām valstīm veic</w:t>
            </w:r>
            <w:r w:rsidR="00947734" w:rsidRPr="000D48C2">
              <w:rPr>
                <w:rFonts w:eastAsia="Times New Roman" w:cs="Times New Roman"/>
                <w:sz w:val="24"/>
                <w:szCs w:val="24"/>
                <w:lang w:eastAsia="lv-LV"/>
              </w:rPr>
              <w:t>a</w:t>
            </w:r>
            <w:r w:rsidR="0006532F" w:rsidRPr="000D48C2">
              <w:rPr>
                <w:rFonts w:eastAsia="Times New Roman" w:cs="Times New Roman"/>
                <w:sz w:val="24"/>
                <w:szCs w:val="24"/>
                <w:lang w:eastAsia="lv-LV"/>
              </w:rPr>
              <w:t xml:space="preserve"> 12 Latvijā reģistrēti pārvadātāji.  </w:t>
            </w:r>
          </w:p>
        </w:tc>
      </w:tr>
      <w:tr w:rsidR="002D1699" w:rsidRPr="00C81EDF" w:rsidTr="001278B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Tiesiskā regulējuma ietekme uz tautsaimniecību un administratīvo slogu</w:t>
            </w:r>
          </w:p>
        </w:tc>
        <w:tc>
          <w:tcPr>
            <w:tcW w:w="3159" w:type="pct"/>
            <w:tcBorders>
              <w:top w:val="outset" w:sz="6" w:space="0" w:color="auto"/>
              <w:left w:val="outset" w:sz="6" w:space="0" w:color="auto"/>
              <w:bottom w:val="outset" w:sz="6" w:space="0" w:color="auto"/>
              <w:right w:val="outset" w:sz="6" w:space="0" w:color="auto"/>
            </w:tcBorders>
          </w:tcPr>
          <w:p w:rsidR="002D1699" w:rsidRPr="00C81EDF" w:rsidRDefault="001278B3" w:rsidP="0080393C">
            <w:pPr>
              <w:ind w:firstLine="0"/>
              <w:jc w:val="both"/>
              <w:rPr>
                <w:rFonts w:cs="Times New Roman"/>
                <w:sz w:val="24"/>
                <w:szCs w:val="24"/>
              </w:rPr>
            </w:pPr>
            <w:r w:rsidRPr="00C81EDF">
              <w:rPr>
                <w:rFonts w:cs="Times New Roman"/>
                <w:sz w:val="24"/>
                <w:szCs w:val="24"/>
              </w:rPr>
              <w:t>Projekts šo jomu neskar.</w:t>
            </w:r>
          </w:p>
        </w:tc>
      </w:tr>
      <w:tr w:rsidR="002D1699" w:rsidRPr="00C81EDF" w:rsidTr="001278B3">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3.</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Administratīvo izmaksu monetārs novērtējums</w:t>
            </w:r>
          </w:p>
        </w:tc>
        <w:tc>
          <w:tcPr>
            <w:tcW w:w="3159" w:type="pct"/>
            <w:tcBorders>
              <w:top w:val="outset" w:sz="6" w:space="0" w:color="auto"/>
              <w:left w:val="outset" w:sz="6" w:space="0" w:color="auto"/>
              <w:bottom w:val="outset" w:sz="6" w:space="0" w:color="auto"/>
              <w:right w:val="outset" w:sz="6" w:space="0" w:color="auto"/>
            </w:tcBorders>
          </w:tcPr>
          <w:p w:rsidR="002D1699" w:rsidRPr="00C81EDF" w:rsidRDefault="001278B3" w:rsidP="0080393C">
            <w:pPr>
              <w:ind w:firstLine="0"/>
              <w:jc w:val="both"/>
              <w:rPr>
                <w:rFonts w:cs="Times New Roman"/>
                <w:sz w:val="24"/>
                <w:szCs w:val="24"/>
              </w:rPr>
            </w:pPr>
            <w:r w:rsidRPr="00C81EDF">
              <w:rPr>
                <w:rFonts w:cs="Times New Roman"/>
                <w:sz w:val="24"/>
                <w:szCs w:val="24"/>
              </w:rPr>
              <w:t>Projekts šo jomu neskar.</w:t>
            </w:r>
          </w:p>
        </w:tc>
      </w:tr>
      <w:tr w:rsidR="002D1699" w:rsidRPr="00C81EDF" w:rsidTr="002545D7">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53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p>
        </w:tc>
      </w:tr>
    </w:tbl>
    <w:p w:rsidR="002D1699" w:rsidRPr="00C81EDF" w:rsidRDefault="002D1699" w:rsidP="002D1699">
      <w:pPr>
        <w:ind w:firstLine="0"/>
        <w:rPr>
          <w:rFonts w:cs="Times New Roman"/>
          <w:sz w:val="24"/>
          <w:szCs w:val="24"/>
        </w:rPr>
      </w:pPr>
      <w:r w:rsidRPr="00C81EDF">
        <w:rPr>
          <w:rFonts w:cs="Times New Roman"/>
          <w:sz w:val="24"/>
          <w:szCs w:val="24"/>
        </w:rPr>
        <w:t> </w:t>
      </w:r>
    </w:p>
    <w:p w:rsidR="00A50329" w:rsidRPr="00C81EDF" w:rsidRDefault="00A50329" w:rsidP="00A50329">
      <w:pPr>
        <w:ind w:firstLine="0"/>
        <w:jc w:val="both"/>
        <w:rPr>
          <w:rFonts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
        <w:gridCol w:w="1659"/>
        <w:gridCol w:w="1020"/>
        <w:gridCol w:w="741"/>
        <w:gridCol w:w="2249"/>
        <w:gridCol w:w="3091"/>
      </w:tblGrid>
      <w:tr w:rsidR="00A50329" w:rsidRPr="00C81EDF" w:rsidTr="00155B64">
        <w:trPr>
          <w:tblCellSpacing w:w="15" w:type="dxa"/>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A50329" w:rsidRPr="00C81EDF" w:rsidRDefault="00A50329" w:rsidP="00B90674">
            <w:pPr>
              <w:ind w:firstLine="0"/>
              <w:jc w:val="center"/>
              <w:rPr>
                <w:rFonts w:cs="Times New Roman"/>
                <w:b/>
                <w:bCs/>
                <w:sz w:val="24"/>
                <w:szCs w:val="24"/>
              </w:rPr>
            </w:pPr>
            <w:r w:rsidRPr="00C81EDF">
              <w:rPr>
                <w:rFonts w:cs="Times New Roman"/>
                <w:b/>
                <w:bCs/>
                <w:sz w:val="24"/>
                <w:szCs w:val="24"/>
              </w:rPr>
              <w:t>V. Tiesību akta projekta atbilstība Latvijas Republikas starptautiskajām saistībām</w:t>
            </w:r>
          </w:p>
        </w:tc>
      </w:tr>
      <w:tr w:rsidR="00A50329" w:rsidRPr="00C81EDF" w:rsidTr="001278B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1.</w:t>
            </w:r>
          </w:p>
        </w:tc>
        <w:tc>
          <w:tcPr>
            <w:tcW w:w="1424"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Saistības pret Eiropas Savienību</w:t>
            </w:r>
          </w:p>
        </w:tc>
        <w:tc>
          <w:tcPr>
            <w:tcW w:w="3267" w:type="pct"/>
            <w:gridSpan w:val="3"/>
            <w:tcBorders>
              <w:top w:val="outset" w:sz="6" w:space="0" w:color="auto"/>
              <w:left w:val="outset" w:sz="6" w:space="0" w:color="auto"/>
              <w:bottom w:val="outset" w:sz="6" w:space="0" w:color="auto"/>
              <w:right w:val="outset" w:sz="6" w:space="0" w:color="auto"/>
            </w:tcBorders>
          </w:tcPr>
          <w:p w:rsidR="00A50329" w:rsidRPr="00C81EDF" w:rsidRDefault="003161EE" w:rsidP="007D3866">
            <w:pPr>
              <w:ind w:firstLine="0"/>
              <w:jc w:val="both"/>
              <w:rPr>
                <w:rFonts w:cs="Times New Roman"/>
                <w:sz w:val="24"/>
                <w:szCs w:val="24"/>
              </w:rPr>
            </w:pPr>
            <w:r w:rsidRPr="00C81EDF">
              <w:rPr>
                <w:rFonts w:cs="Times New Roman"/>
                <w:sz w:val="24"/>
                <w:szCs w:val="24"/>
              </w:rPr>
              <w:t xml:space="preserve">Eiropas Parlamenta un Padomes 2011.gada 16.februāra Regula (EK) Nr. </w:t>
            </w:r>
            <w:hyperlink r:id="rId13" w:tgtFrame="_blank" w:history="1">
              <w:r w:rsidRPr="00C81EDF">
                <w:rPr>
                  <w:rFonts w:cs="Times New Roman"/>
                  <w:sz w:val="24"/>
                  <w:szCs w:val="24"/>
                </w:rPr>
                <w:t>181/2011</w:t>
              </w:r>
            </w:hyperlink>
            <w:r w:rsidRPr="00C81EDF">
              <w:rPr>
                <w:rFonts w:cs="Times New Roman"/>
                <w:sz w:val="24"/>
                <w:szCs w:val="24"/>
              </w:rPr>
              <w:t xml:space="preserve"> par autobusu pasažieru tiesībām un par grozījumiem Regulā (EK) Nr.</w:t>
            </w:r>
            <w:hyperlink r:id="rId14" w:tgtFrame="_blank" w:history="1">
              <w:r w:rsidRPr="00C81EDF">
                <w:rPr>
                  <w:rFonts w:cs="Times New Roman"/>
                  <w:sz w:val="24"/>
                  <w:szCs w:val="24"/>
                </w:rPr>
                <w:t>2006/2004</w:t>
              </w:r>
            </w:hyperlink>
            <w:r w:rsidRPr="00C81EDF">
              <w:rPr>
                <w:rFonts w:cs="Times New Roman"/>
                <w:sz w:val="24"/>
                <w:szCs w:val="24"/>
              </w:rPr>
              <w:t>.</w:t>
            </w:r>
          </w:p>
        </w:tc>
      </w:tr>
      <w:tr w:rsidR="00A50329" w:rsidRPr="00C81EDF" w:rsidTr="001278B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lastRenderedPageBreak/>
              <w:t>2.</w:t>
            </w:r>
          </w:p>
        </w:tc>
        <w:tc>
          <w:tcPr>
            <w:tcW w:w="1424"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Citas starptautiskās saistības</w:t>
            </w:r>
          </w:p>
        </w:tc>
        <w:tc>
          <w:tcPr>
            <w:tcW w:w="3267" w:type="pct"/>
            <w:gridSpan w:val="3"/>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Projekts šo jomu neskar.</w:t>
            </w:r>
          </w:p>
        </w:tc>
      </w:tr>
      <w:tr w:rsidR="00A50329" w:rsidRPr="00C81EDF" w:rsidTr="001278B3">
        <w:trPr>
          <w:tblCellSpacing w:w="15" w:type="dxa"/>
        </w:trPr>
        <w:tc>
          <w:tcPr>
            <w:tcW w:w="244" w:type="pct"/>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3.</w:t>
            </w:r>
          </w:p>
        </w:tc>
        <w:tc>
          <w:tcPr>
            <w:tcW w:w="1424" w:type="pct"/>
            <w:gridSpan w:val="2"/>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Cita informācija</w:t>
            </w:r>
          </w:p>
        </w:tc>
        <w:tc>
          <w:tcPr>
            <w:tcW w:w="3267" w:type="pct"/>
            <w:gridSpan w:val="3"/>
            <w:tcBorders>
              <w:top w:val="outset" w:sz="6" w:space="0" w:color="auto"/>
              <w:left w:val="outset" w:sz="6" w:space="0" w:color="auto"/>
              <w:bottom w:val="outset" w:sz="6" w:space="0" w:color="auto"/>
              <w:right w:val="outset" w:sz="6" w:space="0" w:color="auto"/>
            </w:tcBorders>
            <w:hideMark/>
          </w:tcPr>
          <w:p w:rsidR="00A50329" w:rsidRPr="00C81EDF" w:rsidRDefault="00A50329" w:rsidP="00484B5A">
            <w:pPr>
              <w:ind w:firstLine="0"/>
              <w:rPr>
                <w:rFonts w:cs="Times New Roman"/>
                <w:sz w:val="24"/>
                <w:szCs w:val="24"/>
              </w:rPr>
            </w:pPr>
            <w:r w:rsidRPr="00C81EDF">
              <w:rPr>
                <w:rFonts w:cs="Times New Roman"/>
                <w:sz w:val="24"/>
                <w:szCs w:val="24"/>
              </w:rPr>
              <w:t>Nav</w:t>
            </w:r>
            <w:r w:rsidR="00E24243" w:rsidRPr="00C81EDF">
              <w:rPr>
                <w:rFonts w:cs="Times New Roman"/>
                <w:sz w:val="24"/>
                <w:szCs w:val="24"/>
              </w:rPr>
              <w:t>.</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B90674">
            <w:pPr>
              <w:ind w:firstLine="0"/>
              <w:jc w:val="center"/>
              <w:rPr>
                <w:rFonts w:cs="Times New Roman"/>
                <w:b/>
                <w:bCs/>
                <w:sz w:val="24"/>
                <w:szCs w:val="24"/>
              </w:rPr>
            </w:pPr>
            <w:r w:rsidRPr="00155B64">
              <w:rPr>
                <w:rFonts w:cs="Times New Roman"/>
                <w:b/>
                <w:bCs/>
                <w:sz w:val="24"/>
                <w:szCs w:val="24"/>
              </w:rPr>
              <w:t>1.tabula</w:t>
            </w:r>
            <w:r w:rsidRPr="00155B64">
              <w:rPr>
                <w:rFonts w:cs="Times New Roman"/>
                <w:b/>
                <w:bCs/>
                <w:sz w:val="24"/>
                <w:szCs w:val="24"/>
              </w:rPr>
              <w:br/>
              <w:t>Tiesību akta projekta atbilstība ES tiesību aktiem</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Attiecīgā ES tiesību akta datums, numurs un nosaukums</w:t>
            </w:r>
          </w:p>
        </w:tc>
        <w:tc>
          <w:tcPr>
            <w:tcW w:w="3795" w:type="pct"/>
            <w:gridSpan w:val="4"/>
            <w:tcBorders>
              <w:top w:val="outset" w:sz="6" w:space="0" w:color="auto"/>
              <w:left w:val="outset" w:sz="6" w:space="0" w:color="auto"/>
              <w:bottom w:val="outset" w:sz="6" w:space="0" w:color="auto"/>
              <w:right w:val="outset" w:sz="6" w:space="0" w:color="auto"/>
            </w:tcBorders>
          </w:tcPr>
          <w:p w:rsidR="00155B64" w:rsidRPr="00155B64" w:rsidRDefault="00155B64" w:rsidP="004E1132">
            <w:pPr>
              <w:ind w:firstLine="0"/>
              <w:rPr>
                <w:rFonts w:cs="Times New Roman"/>
                <w:sz w:val="24"/>
                <w:szCs w:val="24"/>
              </w:rPr>
            </w:pPr>
            <w:r w:rsidRPr="007A46F0">
              <w:rPr>
                <w:rFonts w:cs="Times New Roman"/>
                <w:sz w:val="24"/>
                <w:szCs w:val="24"/>
              </w:rPr>
              <w:t xml:space="preserve">Eiropas Parlamenta un Padomes 2011.gada 16.februāra Regula (EK) </w:t>
            </w:r>
            <w:r w:rsidRPr="00EB73CE">
              <w:rPr>
                <w:rFonts w:cs="Times New Roman"/>
                <w:sz w:val="24"/>
                <w:szCs w:val="24"/>
              </w:rPr>
              <w:t xml:space="preserve">Nr. </w:t>
            </w:r>
            <w:r w:rsidRPr="000D0DD7">
              <w:rPr>
                <w:rFonts w:cs="Times New Roman"/>
                <w:sz w:val="24"/>
                <w:szCs w:val="24"/>
              </w:rPr>
              <w:t>181/2011</w:t>
            </w:r>
            <w:r w:rsidRPr="00EB73CE">
              <w:rPr>
                <w:rFonts w:cs="Times New Roman"/>
                <w:sz w:val="24"/>
                <w:szCs w:val="24"/>
              </w:rPr>
              <w:t xml:space="preserve"> par autobusu pasažieru tiesībām un par grozījumiem Regulā (EK) Nr.</w:t>
            </w:r>
            <w:r w:rsidRPr="000D0DD7">
              <w:rPr>
                <w:rFonts w:cs="Times New Roman"/>
                <w:sz w:val="24"/>
                <w:szCs w:val="24"/>
              </w:rPr>
              <w:t>2006/2004</w:t>
            </w:r>
            <w:r w:rsidRPr="00EB73CE">
              <w:rPr>
                <w:rFonts w:cs="Times New Roman"/>
                <w:sz w:val="24"/>
                <w:szCs w:val="24"/>
              </w:rPr>
              <w:t>.</w:t>
            </w:r>
            <w:r w:rsidR="007A46F0" w:rsidRPr="00EB73CE">
              <w:rPr>
                <w:sz w:val="24"/>
                <w:szCs w:val="24"/>
              </w:rPr>
              <w:t xml:space="preserve"> (publicēta “Eiropas Savienības Oficiālajā Vēstnesī”</w:t>
            </w:r>
            <w:r w:rsidR="004E1132" w:rsidRPr="00EB73CE">
              <w:t xml:space="preserve"> </w:t>
            </w:r>
            <w:r w:rsidR="004E1132" w:rsidRPr="00EB73CE">
              <w:rPr>
                <w:sz w:val="24"/>
                <w:szCs w:val="24"/>
              </w:rPr>
              <w:t>OV L 55, 28.2.2011</w:t>
            </w:r>
            <w:r w:rsidR="007A46F0" w:rsidRPr="00EB73CE">
              <w:rPr>
                <w:sz w:val="24"/>
                <w:szCs w:val="24"/>
              </w:rPr>
              <w:t>.).</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A</w:t>
            </w:r>
          </w:p>
        </w:tc>
        <w:tc>
          <w:tcPr>
            <w:tcW w:w="878" w:type="pct"/>
            <w:gridSpan w:val="2"/>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B</w:t>
            </w:r>
          </w:p>
        </w:tc>
        <w:tc>
          <w:tcPr>
            <w:tcW w:w="1238" w:type="pct"/>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C</w:t>
            </w:r>
          </w:p>
        </w:tc>
        <w:tc>
          <w:tcPr>
            <w:tcW w:w="1646" w:type="pct"/>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55B64">
            <w:pPr>
              <w:ind w:firstLine="0"/>
              <w:rPr>
                <w:rFonts w:cs="Times New Roman"/>
                <w:sz w:val="24"/>
                <w:szCs w:val="24"/>
              </w:rPr>
            </w:pPr>
            <w:r w:rsidRPr="00155B64">
              <w:rPr>
                <w:rFonts w:cs="Times New Roman"/>
                <w:sz w:val="24"/>
                <w:szCs w:val="24"/>
              </w:rPr>
              <w:t>D</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Attiecīgā ES tiesību akta panta numurs (uzskaitot katru tiesību akta vienību – pantu, daļu, punktu, apakšpunktu)</w:t>
            </w:r>
          </w:p>
        </w:tc>
        <w:tc>
          <w:tcPr>
            <w:tcW w:w="878"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Projekta vienība, kas pārņem vai ievieš katru šīs tabulas A ailē minēto ES tiesību akta vienību, vai tiesību akts, kur attiecīgā ES tiesību akta vienība pārņemta vai ieviesta</w:t>
            </w:r>
          </w:p>
        </w:tc>
        <w:tc>
          <w:tcPr>
            <w:tcW w:w="1238" w:type="pct"/>
            <w:tcBorders>
              <w:top w:val="outset" w:sz="6" w:space="0" w:color="auto"/>
              <w:left w:val="outset" w:sz="6" w:space="0" w:color="auto"/>
              <w:bottom w:val="outset" w:sz="6" w:space="0" w:color="auto"/>
              <w:right w:val="outset" w:sz="6" w:space="0" w:color="auto"/>
            </w:tcBorders>
            <w:hideMark/>
          </w:tcPr>
          <w:p w:rsidR="00155B64" w:rsidRPr="007A46F0" w:rsidRDefault="00155B64" w:rsidP="00155B64">
            <w:pPr>
              <w:ind w:firstLine="0"/>
              <w:rPr>
                <w:rFonts w:cs="Times New Roman"/>
                <w:sz w:val="24"/>
                <w:szCs w:val="24"/>
              </w:rPr>
            </w:pPr>
            <w:r w:rsidRPr="007A46F0">
              <w:rPr>
                <w:rFonts w:cs="Times New Roman"/>
                <w:sz w:val="24"/>
                <w:szCs w:val="24"/>
              </w:rPr>
              <w:t xml:space="preserve">Informācija par to, vai šīs tabulas A ailē minētās ES tiesību akta vienības tiek pārņemtas vai ieviestas pilnībā vai daļēji. </w:t>
            </w:r>
          </w:p>
          <w:p w:rsidR="00155B64" w:rsidRPr="007A46F0" w:rsidRDefault="00155B64" w:rsidP="00155B64">
            <w:pPr>
              <w:ind w:firstLine="0"/>
              <w:rPr>
                <w:rFonts w:cs="Times New Roman"/>
                <w:sz w:val="24"/>
                <w:szCs w:val="24"/>
              </w:rPr>
            </w:pPr>
            <w:r w:rsidRPr="007A46F0">
              <w:rPr>
                <w:rFonts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155B64" w:rsidRPr="007A46F0" w:rsidRDefault="00155B64" w:rsidP="00155B64">
            <w:pPr>
              <w:ind w:firstLine="0"/>
              <w:rPr>
                <w:rFonts w:cs="Times New Roman"/>
                <w:sz w:val="24"/>
                <w:szCs w:val="24"/>
              </w:rPr>
            </w:pPr>
            <w:r w:rsidRPr="007A46F0">
              <w:rPr>
                <w:rFonts w:cs="Times New Roman"/>
                <w:sz w:val="24"/>
                <w:szCs w:val="24"/>
              </w:rPr>
              <w:t>Norāda institūciju, kas ir atbildīga par šo saistību izpildi pilnībā</w:t>
            </w:r>
          </w:p>
        </w:tc>
        <w:tc>
          <w:tcPr>
            <w:tcW w:w="1646" w:type="pct"/>
            <w:tcBorders>
              <w:top w:val="outset" w:sz="6" w:space="0" w:color="auto"/>
              <w:left w:val="outset" w:sz="6" w:space="0" w:color="auto"/>
              <w:bottom w:val="outset" w:sz="6" w:space="0" w:color="auto"/>
              <w:right w:val="outset" w:sz="6" w:space="0" w:color="auto"/>
            </w:tcBorders>
            <w:hideMark/>
          </w:tcPr>
          <w:p w:rsidR="00155B64" w:rsidRPr="007A46F0" w:rsidRDefault="00155B64" w:rsidP="00155B64">
            <w:pPr>
              <w:ind w:firstLine="0"/>
              <w:rPr>
                <w:rFonts w:cs="Times New Roman"/>
                <w:sz w:val="24"/>
                <w:szCs w:val="24"/>
              </w:rPr>
            </w:pPr>
            <w:r w:rsidRPr="007A46F0">
              <w:rPr>
                <w:rFonts w:cs="Times New Roman"/>
                <w:sz w:val="24"/>
                <w:szCs w:val="24"/>
              </w:rPr>
              <w:t xml:space="preserve">Informācija par to, vai šīs tabulas B ailē minētās projekta vienības paredz stingrākas prasības nekā šīs tabulas A ailē minētās ES tiesību akta vienības. </w:t>
            </w:r>
          </w:p>
          <w:p w:rsidR="00155B64" w:rsidRPr="007A46F0" w:rsidRDefault="00155B64" w:rsidP="00155B64">
            <w:pPr>
              <w:ind w:firstLine="0"/>
              <w:rPr>
                <w:rFonts w:cs="Times New Roman"/>
                <w:sz w:val="24"/>
                <w:szCs w:val="24"/>
              </w:rPr>
            </w:pPr>
            <w:r w:rsidRPr="007A46F0">
              <w:rPr>
                <w:rFonts w:cs="Times New Roman"/>
                <w:sz w:val="24"/>
                <w:szCs w:val="24"/>
              </w:rPr>
              <w:t>Ja projekts satur stingrākas prasības nekā attiecīgais ES tiesību akts, norāda pamatojumu un samērīgumu.</w:t>
            </w:r>
          </w:p>
          <w:p w:rsidR="00155B64" w:rsidRPr="007A46F0" w:rsidRDefault="00155B64" w:rsidP="00155B64">
            <w:pPr>
              <w:ind w:firstLine="0"/>
              <w:rPr>
                <w:rFonts w:cs="Times New Roman"/>
                <w:sz w:val="24"/>
                <w:szCs w:val="24"/>
              </w:rPr>
            </w:pPr>
            <w:r w:rsidRPr="007A46F0">
              <w:rPr>
                <w:rFonts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tcPr>
          <w:p w:rsidR="00155B64" w:rsidRPr="00281DB6" w:rsidRDefault="009E4A30" w:rsidP="00155B64">
            <w:pPr>
              <w:ind w:firstLine="0"/>
              <w:rPr>
                <w:rFonts w:cs="Times New Roman"/>
                <w:sz w:val="24"/>
                <w:szCs w:val="24"/>
              </w:rPr>
            </w:pPr>
            <w:r w:rsidRPr="00281DB6">
              <w:rPr>
                <w:rFonts w:cs="Times New Roman"/>
                <w:sz w:val="24"/>
                <w:szCs w:val="24"/>
              </w:rPr>
              <w:t>Regulas 2.panta 5.punkts</w:t>
            </w:r>
          </w:p>
        </w:tc>
        <w:tc>
          <w:tcPr>
            <w:tcW w:w="878" w:type="pct"/>
            <w:gridSpan w:val="2"/>
            <w:tcBorders>
              <w:top w:val="outset" w:sz="6" w:space="0" w:color="auto"/>
              <w:left w:val="outset" w:sz="6" w:space="0" w:color="auto"/>
              <w:bottom w:val="outset" w:sz="6" w:space="0" w:color="auto"/>
              <w:right w:val="outset" w:sz="6" w:space="0" w:color="auto"/>
            </w:tcBorders>
          </w:tcPr>
          <w:p w:rsidR="009E4A30" w:rsidRPr="00281DB6" w:rsidRDefault="009E4A30" w:rsidP="009E4A30">
            <w:pPr>
              <w:ind w:firstLine="0"/>
              <w:rPr>
                <w:rFonts w:cs="Times New Roman"/>
                <w:sz w:val="24"/>
                <w:szCs w:val="24"/>
              </w:rPr>
            </w:pPr>
            <w:r w:rsidRPr="00281DB6">
              <w:rPr>
                <w:rFonts w:cs="Times New Roman"/>
                <w:sz w:val="24"/>
                <w:szCs w:val="24"/>
              </w:rPr>
              <w:t>Viss noteikumu projekta „Grozījums Ministru kabineta</w:t>
            </w:r>
          </w:p>
          <w:p w:rsidR="00155B64" w:rsidRPr="00281DB6" w:rsidRDefault="009E4A30" w:rsidP="009E4A30">
            <w:pPr>
              <w:ind w:firstLine="0"/>
              <w:rPr>
                <w:rFonts w:cs="Times New Roman"/>
                <w:sz w:val="24"/>
                <w:szCs w:val="24"/>
              </w:rPr>
            </w:pPr>
            <w:r w:rsidRPr="00281DB6">
              <w:rPr>
                <w:rFonts w:cs="Times New Roman"/>
                <w:sz w:val="24"/>
                <w:szCs w:val="24"/>
              </w:rPr>
              <w:t xml:space="preserve">2012.gada 10.janvāra noteikumos Nr.37 „Noteikumi par pasažieru starptautiskajiem  pārvadājumiem ar autobusiem, </w:t>
            </w:r>
            <w:r w:rsidRPr="00281DB6">
              <w:rPr>
                <w:rFonts w:cs="Times New Roman"/>
                <w:sz w:val="24"/>
                <w:szCs w:val="24"/>
              </w:rPr>
              <w:lastRenderedPageBreak/>
              <w:t>to organizēšanas, veikšanas, maršrutu atklāšanas, grozīšanas un slēgšanas kārtību””</w:t>
            </w:r>
          </w:p>
        </w:tc>
        <w:tc>
          <w:tcPr>
            <w:tcW w:w="1238" w:type="pct"/>
            <w:tcBorders>
              <w:top w:val="outset" w:sz="6" w:space="0" w:color="auto"/>
              <w:left w:val="outset" w:sz="6" w:space="0" w:color="auto"/>
              <w:bottom w:val="outset" w:sz="6" w:space="0" w:color="auto"/>
              <w:right w:val="outset" w:sz="6" w:space="0" w:color="auto"/>
            </w:tcBorders>
          </w:tcPr>
          <w:p w:rsidR="00155B64" w:rsidRPr="00281DB6" w:rsidRDefault="009E4A30" w:rsidP="009E4A30">
            <w:pPr>
              <w:ind w:firstLine="0"/>
              <w:rPr>
                <w:rFonts w:cs="Times New Roman"/>
                <w:sz w:val="24"/>
                <w:szCs w:val="24"/>
              </w:rPr>
            </w:pPr>
            <w:r w:rsidRPr="00281DB6">
              <w:rPr>
                <w:rFonts w:cs="Times New Roman"/>
                <w:sz w:val="24"/>
                <w:szCs w:val="24"/>
              </w:rPr>
              <w:lastRenderedPageBreak/>
              <w:t>Tiesību norma ieviesta pilnībā</w:t>
            </w:r>
          </w:p>
        </w:tc>
        <w:tc>
          <w:tcPr>
            <w:tcW w:w="1646" w:type="pct"/>
            <w:tcBorders>
              <w:top w:val="outset" w:sz="6" w:space="0" w:color="auto"/>
              <w:left w:val="outset" w:sz="6" w:space="0" w:color="auto"/>
              <w:bottom w:val="outset" w:sz="6" w:space="0" w:color="auto"/>
              <w:right w:val="outset" w:sz="6" w:space="0" w:color="auto"/>
            </w:tcBorders>
          </w:tcPr>
          <w:p w:rsidR="00155B64" w:rsidRPr="00EB73CE" w:rsidRDefault="009E4A30" w:rsidP="00155B64">
            <w:pPr>
              <w:ind w:firstLine="0"/>
              <w:rPr>
                <w:rFonts w:cs="Times New Roman"/>
                <w:sz w:val="24"/>
                <w:szCs w:val="24"/>
              </w:rPr>
            </w:pPr>
            <w:r w:rsidRPr="00281DB6">
              <w:rPr>
                <w:rFonts w:cs="Times New Roman"/>
                <w:sz w:val="24"/>
                <w:szCs w:val="24"/>
              </w:rPr>
              <w:t>Projekts stingrākas prasības neparedz</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Kā ir izmantota ES tiesību aktā paredzētā rīcības brīvība dalībvalstij pārņemt vai ieviest noteiktas ES tiesību akta normas?</w:t>
            </w:r>
            <w:r w:rsidRPr="00155B64">
              <w:rPr>
                <w:rFonts w:cs="Times New Roman"/>
                <w:sz w:val="24"/>
                <w:szCs w:val="24"/>
              </w:rPr>
              <w:br/>
              <w:t>Kādēļ?</w:t>
            </w:r>
          </w:p>
        </w:tc>
        <w:tc>
          <w:tcPr>
            <w:tcW w:w="3795" w:type="pct"/>
            <w:gridSpan w:val="4"/>
            <w:tcBorders>
              <w:top w:val="outset" w:sz="6" w:space="0" w:color="auto"/>
              <w:left w:val="outset" w:sz="6" w:space="0" w:color="auto"/>
              <w:bottom w:val="outset" w:sz="6" w:space="0" w:color="auto"/>
              <w:right w:val="outset" w:sz="6" w:space="0" w:color="auto"/>
            </w:tcBorders>
          </w:tcPr>
          <w:p w:rsidR="001278B3" w:rsidRPr="00155B64" w:rsidRDefault="001278B3" w:rsidP="00B90674">
            <w:pPr>
              <w:ind w:firstLine="0"/>
              <w:jc w:val="both"/>
              <w:rPr>
                <w:rFonts w:cs="Times New Roman"/>
                <w:sz w:val="24"/>
                <w:szCs w:val="24"/>
              </w:rPr>
            </w:pPr>
            <w:r w:rsidRPr="001278B3">
              <w:rPr>
                <w:rFonts w:cs="Times New Roman"/>
                <w:sz w:val="24"/>
                <w:szCs w:val="24"/>
              </w:rPr>
              <w:t xml:space="preserve">Saskaņā ar regulas Nr.181/2011 2.panta </w:t>
            </w:r>
            <w:r>
              <w:rPr>
                <w:rFonts w:cs="Times New Roman"/>
                <w:sz w:val="24"/>
                <w:szCs w:val="24"/>
              </w:rPr>
              <w:t>5</w:t>
            </w:r>
            <w:r w:rsidRPr="001278B3">
              <w:rPr>
                <w:rFonts w:cs="Times New Roman"/>
                <w:sz w:val="24"/>
                <w:szCs w:val="24"/>
              </w:rPr>
              <w:t xml:space="preserve">.punkta nosacījumiem tiek izmantota dalībvalsts iespēja pārredzami un nediskriminējoši atjaunot piešķirto atbrīvojumu no šīs regulas piemērošanas uz četriem gadiem – līdz 2021.gada 1.martam pasažieru starptautisko regulāro pārvadājumu maršrutos, kur kāda no pieturvietām atrodas ārpus Eiropas Savienības teritorijas. </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5" w:type="pct"/>
            <w:gridSpan w:val="4"/>
            <w:tcBorders>
              <w:top w:val="outset" w:sz="6" w:space="0" w:color="auto"/>
              <w:left w:val="outset" w:sz="6" w:space="0" w:color="auto"/>
              <w:bottom w:val="outset" w:sz="6" w:space="0" w:color="auto"/>
              <w:right w:val="outset" w:sz="6" w:space="0" w:color="auto"/>
            </w:tcBorders>
            <w:hideMark/>
          </w:tcPr>
          <w:p w:rsidR="00155B64" w:rsidRPr="00155B64" w:rsidRDefault="001278B3" w:rsidP="00B90674">
            <w:pPr>
              <w:ind w:firstLine="0"/>
              <w:jc w:val="both"/>
              <w:rPr>
                <w:rFonts w:cs="Times New Roman"/>
                <w:sz w:val="24"/>
                <w:szCs w:val="24"/>
              </w:rPr>
            </w:pPr>
            <w:r w:rsidRPr="001278B3">
              <w:rPr>
                <w:rFonts w:cs="Times New Roman"/>
                <w:sz w:val="24"/>
                <w:szCs w:val="24"/>
              </w:rPr>
              <w:t xml:space="preserve">Dalībvalsts informē Komisiju par dažādiem pakalpojumu veidiem, kuriem piešķirts atbrīvojums saskaņā ar regulas Nr.181/2011 2.panta </w:t>
            </w:r>
            <w:r>
              <w:rPr>
                <w:rFonts w:cs="Times New Roman"/>
                <w:sz w:val="24"/>
                <w:szCs w:val="24"/>
              </w:rPr>
              <w:t>5</w:t>
            </w:r>
            <w:r w:rsidRPr="001278B3">
              <w:rPr>
                <w:rFonts w:cs="Times New Roman"/>
                <w:sz w:val="24"/>
                <w:szCs w:val="24"/>
              </w:rPr>
              <w:t>.punktu.</w:t>
            </w:r>
          </w:p>
        </w:tc>
      </w:tr>
      <w:tr w:rsidR="00155B64" w:rsidRPr="00155B64" w:rsidTr="001278B3">
        <w:tblPrEx>
          <w:jc w:val="center"/>
        </w:tblPrEx>
        <w:trPr>
          <w:tblCellSpacing w:w="15" w:type="dxa"/>
          <w:jc w:val="center"/>
        </w:trPr>
        <w:tc>
          <w:tcPr>
            <w:tcW w:w="1157" w:type="pct"/>
            <w:gridSpan w:val="2"/>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Cita informācija</w:t>
            </w:r>
          </w:p>
        </w:tc>
        <w:tc>
          <w:tcPr>
            <w:tcW w:w="3795" w:type="pct"/>
            <w:gridSpan w:val="4"/>
            <w:tcBorders>
              <w:top w:val="outset" w:sz="6" w:space="0" w:color="auto"/>
              <w:left w:val="outset" w:sz="6" w:space="0" w:color="auto"/>
              <w:bottom w:val="outset" w:sz="6" w:space="0" w:color="auto"/>
              <w:right w:val="outset" w:sz="6" w:space="0" w:color="auto"/>
            </w:tcBorders>
            <w:hideMark/>
          </w:tcPr>
          <w:p w:rsidR="00155B64" w:rsidRPr="00155B64" w:rsidRDefault="00155B64" w:rsidP="00155B64">
            <w:pPr>
              <w:ind w:firstLine="0"/>
              <w:rPr>
                <w:rFonts w:cs="Times New Roman"/>
                <w:sz w:val="24"/>
                <w:szCs w:val="24"/>
              </w:rPr>
            </w:pPr>
            <w:r w:rsidRPr="00155B64">
              <w:rPr>
                <w:rFonts w:cs="Times New Roman"/>
                <w:sz w:val="24"/>
                <w:szCs w:val="24"/>
              </w:rPr>
              <w:t>Nav</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rsidR="00155B64" w:rsidRPr="00155B64" w:rsidRDefault="00155B64" w:rsidP="001871C6">
            <w:pPr>
              <w:ind w:firstLine="0"/>
              <w:jc w:val="center"/>
              <w:rPr>
                <w:rFonts w:cs="Times New Roman"/>
                <w:b/>
                <w:bCs/>
                <w:sz w:val="24"/>
                <w:szCs w:val="24"/>
              </w:rPr>
            </w:pPr>
            <w:r w:rsidRPr="00155B64">
              <w:rPr>
                <w:rFonts w:cs="Times New Roman"/>
                <w:b/>
                <w:bCs/>
                <w:sz w:val="24"/>
                <w:szCs w:val="24"/>
              </w:rPr>
              <w:t>2.tabula</w:t>
            </w:r>
            <w:r w:rsidRPr="00155B64">
              <w:rPr>
                <w:rFonts w:cs="Times New Roman"/>
                <w:b/>
                <w:bCs/>
                <w:sz w:val="24"/>
                <w:szCs w:val="24"/>
              </w:rPr>
              <w:br/>
              <w:t>Ar tiesību akta projektu izpildītās vai uzņemtās saistības, kas izriet no starptautiskajiem tiesību aktiem vai starptautiskas institūcijas vai organizācijas dokumentiem.</w:t>
            </w:r>
            <w:r w:rsidRPr="00155B64">
              <w:rPr>
                <w:rFonts w:cs="Times New Roman"/>
                <w:b/>
                <w:bCs/>
                <w:sz w:val="24"/>
                <w:szCs w:val="24"/>
              </w:rPr>
              <w:br/>
              <w:t>Pasākumi šo saistību izpildei</w:t>
            </w:r>
          </w:p>
        </w:tc>
      </w:tr>
      <w:tr w:rsidR="00155B64" w:rsidRPr="00155B64" w:rsidTr="00155B64">
        <w:tblPrEx>
          <w:jc w:val="center"/>
        </w:tblPrEx>
        <w:trPr>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tcPr>
          <w:p w:rsidR="00155B64" w:rsidRPr="00155B64" w:rsidRDefault="00155B64" w:rsidP="00155B64">
            <w:pPr>
              <w:ind w:firstLine="0"/>
              <w:rPr>
                <w:rFonts w:cs="Times New Roman"/>
                <w:b/>
                <w:bCs/>
                <w:sz w:val="24"/>
                <w:szCs w:val="24"/>
              </w:rPr>
            </w:pPr>
            <w:r w:rsidRPr="00155B64">
              <w:rPr>
                <w:rFonts w:cs="Times New Roman"/>
                <w:sz w:val="24"/>
                <w:szCs w:val="24"/>
              </w:rPr>
              <w:t>Projekts šo jomu neskar.</w:t>
            </w:r>
          </w:p>
        </w:tc>
      </w:tr>
    </w:tbl>
    <w:p w:rsidR="00A50329" w:rsidRPr="00C81EDF" w:rsidRDefault="00A50329" w:rsidP="002D1699">
      <w:pPr>
        <w:ind w:firstLine="0"/>
        <w:rPr>
          <w:rFonts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759"/>
        <w:gridCol w:w="5961"/>
      </w:tblGrid>
      <w:tr w:rsidR="002D1699" w:rsidRPr="00C81EDF" w:rsidTr="002545D7">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2904A4">
            <w:pPr>
              <w:ind w:firstLine="0"/>
              <w:jc w:val="center"/>
              <w:rPr>
                <w:rFonts w:cs="Times New Roman"/>
                <w:b/>
                <w:bCs/>
                <w:sz w:val="24"/>
                <w:szCs w:val="24"/>
              </w:rPr>
            </w:pPr>
            <w:r w:rsidRPr="00C81EDF">
              <w:rPr>
                <w:rFonts w:cs="Times New Roman"/>
                <w:b/>
                <w:bCs/>
                <w:sz w:val="24"/>
                <w:szCs w:val="24"/>
              </w:rPr>
              <w:t>VI. Sabiedrības līdzdalība un komunikācijas aktivitātes</w:t>
            </w:r>
          </w:p>
        </w:tc>
      </w:tr>
      <w:tr w:rsidR="002D1699" w:rsidRPr="00C81EDF" w:rsidTr="002545D7">
        <w:trPr>
          <w:trHeight w:val="54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Plānotās sabiedrības līdzdalības un komunikācijas aktivitātes saistībā ar projektu</w:t>
            </w:r>
          </w:p>
        </w:tc>
        <w:tc>
          <w:tcPr>
            <w:tcW w:w="3208" w:type="pct"/>
            <w:tcBorders>
              <w:top w:val="outset" w:sz="6" w:space="0" w:color="auto"/>
              <w:left w:val="outset" w:sz="6" w:space="0" w:color="auto"/>
              <w:bottom w:val="outset" w:sz="6" w:space="0" w:color="auto"/>
              <w:right w:val="outset" w:sz="6" w:space="0" w:color="auto"/>
            </w:tcBorders>
            <w:hideMark/>
          </w:tcPr>
          <w:p w:rsidR="00920A49" w:rsidRPr="00C81EDF" w:rsidRDefault="00920A49" w:rsidP="007C12CB">
            <w:pPr>
              <w:ind w:left="47" w:firstLine="0"/>
              <w:jc w:val="both"/>
              <w:rPr>
                <w:rFonts w:cs="Times New Roman"/>
                <w:bCs/>
                <w:sz w:val="24"/>
                <w:szCs w:val="24"/>
              </w:rPr>
            </w:pPr>
            <w:r w:rsidRPr="00C81EDF">
              <w:rPr>
                <w:rFonts w:cs="Times New Roman"/>
                <w:bCs/>
                <w:sz w:val="24"/>
                <w:szCs w:val="24"/>
              </w:rPr>
              <w:t xml:space="preserve">Paziņojums par līdzdalības iespējām tiesību akta izstrādes procesā </w:t>
            </w:r>
            <w:r w:rsidR="00F3636F">
              <w:rPr>
                <w:rFonts w:cs="Times New Roman"/>
                <w:bCs/>
                <w:sz w:val="24"/>
                <w:szCs w:val="24"/>
              </w:rPr>
              <w:t xml:space="preserve">26.08.2016. </w:t>
            </w:r>
            <w:r w:rsidR="00510466">
              <w:rPr>
                <w:rFonts w:cs="Times New Roman"/>
                <w:bCs/>
                <w:sz w:val="24"/>
                <w:szCs w:val="24"/>
              </w:rPr>
              <w:t>tik</w:t>
            </w:r>
            <w:r w:rsidR="00F3636F">
              <w:rPr>
                <w:rFonts w:cs="Times New Roman"/>
                <w:bCs/>
                <w:sz w:val="24"/>
                <w:szCs w:val="24"/>
              </w:rPr>
              <w:t>a</w:t>
            </w:r>
            <w:r w:rsidR="00510466">
              <w:rPr>
                <w:rFonts w:cs="Times New Roman"/>
                <w:bCs/>
                <w:sz w:val="24"/>
                <w:szCs w:val="24"/>
              </w:rPr>
              <w:t xml:space="preserve"> </w:t>
            </w:r>
            <w:r w:rsidRPr="00C81EDF">
              <w:rPr>
                <w:rFonts w:cs="Times New Roman"/>
                <w:bCs/>
                <w:sz w:val="24"/>
                <w:szCs w:val="24"/>
              </w:rPr>
              <w:t xml:space="preserve">ievietots Satiksmes ministrijas </w:t>
            </w:r>
            <w:r w:rsidR="001871C6">
              <w:rPr>
                <w:rFonts w:cs="Times New Roman"/>
                <w:bCs/>
                <w:sz w:val="24"/>
                <w:szCs w:val="24"/>
              </w:rPr>
              <w:t>tīmekļa vietnē</w:t>
            </w:r>
            <w:r w:rsidRPr="00C81EDF">
              <w:rPr>
                <w:rFonts w:cs="Times New Roman"/>
                <w:bCs/>
                <w:sz w:val="24"/>
                <w:szCs w:val="24"/>
              </w:rPr>
              <w:t xml:space="preserve">. </w:t>
            </w:r>
          </w:p>
          <w:p w:rsidR="002D1699" w:rsidRPr="00C81EDF" w:rsidRDefault="002D1699" w:rsidP="004A36B2">
            <w:pPr>
              <w:ind w:firstLine="0"/>
              <w:jc w:val="both"/>
              <w:rPr>
                <w:rFonts w:cs="Times New Roman"/>
                <w:sz w:val="24"/>
                <w:szCs w:val="24"/>
              </w:rPr>
            </w:pPr>
          </w:p>
        </w:tc>
      </w:tr>
      <w:tr w:rsidR="002D1699" w:rsidRPr="00C81EDF" w:rsidTr="002545D7">
        <w:trPr>
          <w:trHeight w:val="33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 xml:space="preserve">Sabiedrības līdzdalība </w:t>
            </w:r>
            <w:r w:rsidRPr="00C81EDF">
              <w:rPr>
                <w:rFonts w:cs="Times New Roman"/>
                <w:sz w:val="24"/>
                <w:szCs w:val="24"/>
              </w:rPr>
              <w:lastRenderedPageBreak/>
              <w:t>projekta izstrādē</w:t>
            </w:r>
          </w:p>
        </w:tc>
        <w:tc>
          <w:tcPr>
            <w:tcW w:w="3208" w:type="pct"/>
            <w:tcBorders>
              <w:top w:val="outset" w:sz="6" w:space="0" w:color="auto"/>
              <w:left w:val="outset" w:sz="6" w:space="0" w:color="auto"/>
              <w:bottom w:val="outset" w:sz="6" w:space="0" w:color="auto"/>
              <w:right w:val="outset" w:sz="6" w:space="0" w:color="auto"/>
            </w:tcBorders>
          </w:tcPr>
          <w:p w:rsidR="00920A49" w:rsidRPr="00C81EDF" w:rsidRDefault="00920A49" w:rsidP="002545D7">
            <w:pPr>
              <w:ind w:firstLine="0"/>
              <w:jc w:val="both"/>
              <w:rPr>
                <w:rFonts w:cs="Times New Roman"/>
                <w:sz w:val="24"/>
                <w:szCs w:val="24"/>
              </w:rPr>
            </w:pPr>
            <w:r w:rsidRPr="00C81EDF">
              <w:rPr>
                <w:rFonts w:cs="Times New Roman"/>
                <w:sz w:val="24"/>
                <w:szCs w:val="24"/>
              </w:rPr>
              <w:lastRenderedPageBreak/>
              <w:t xml:space="preserve">Atbilstoši Ministru kabineta 2009.gada 25.augusta </w:t>
            </w:r>
            <w:r w:rsidRPr="00C81EDF">
              <w:rPr>
                <w:rFonts w:cs="Times New Roman"/>
                <w:sz w:val="24"/>
                <w:szCs w:val="24"/>
              </w:rPr>
              <w:lastRenderedPageBreak/>
              <w:t>noteikumu Nr.970 „Sabiedrības līdzdalības kārtība attīstības plānošanas procesā” 7.4.</w:t>
            </w:r>
            <w:r w:rsidRPr="00C81EDF">
              <w:rPr>
                <w:rFonts w:cs="Times New Roman"/>
                <w:sz w:val="24"/>
                <w:szCs w:val="24"/>
                <w:vertAlign w:val="superscript"/>
              </w:rPr>
              <w:t xml:space="preserve">1 </w:t>
            </w:r>
            <w:r w:rsidRPr="00C81EDF">
              <w:rPr>
                <w:rFonts w:cs="Times New Roman"/>
                <w:sz w:val="24"/>
                <w:szCs w:val="24"/>
              </w:rPr>
              <w:t>apakšpunktam sabiedrībai tik</w:t>
            </w:r>
            <w:r w:rsidR="00430346">
              <w:rPr>
                <w:rFonts w:cs="Times New Roman"/>
                <w:sz w:val="24"/>
                <w:szCs w:val="24"/>
              </w:rPr>
              <w:t xml:space="preserve">a </w:t>
            </w:r>
            <w:r w:rsidRPr="00C81EDF">
              <w:rPr>
                <w:rFonts w:cs="Times New Roman"/>
                <w:sz w:val="24"/>
                <w:szCs w:val="24"/>
              </w:rPr>
              <w:t>dota iespēja rakstiski sniegt viedokli par noteikumu projektu tā izstrādes stadijā.</w:t>
            </w:r>
          </w:p>
          <w:p w:rsidR="002D1699" w:rsidRPr="00C81EDF" w:rsidRDefault="00C81EDF" w:rsidP="00EC7D73">
            <w:pPr>
              <w:ind w:firstLine="0"/>
              <w:jc w:val="both"/>
              <w:rPr>
                <w:rFonts w:cs="Times New Roman"/>
                <w:sz w:val="24"/>
                <w:szCs w:val="24"/>
              </w:rPr>
            </w:pPr>
            <w:r w:rsidRPr="000D48C2">
              <w:rPr>
                <w:rFonts w:cs="Times New Roman"/>
                <w:sz w:val="24"/>
                <w:szCs w:val="24"/>
              </w:rPr>
              <w:t xml:space="preserve">Noteikumu projekts </w:t>
            </w:r>
            <w:r w:rsidR="0050409C" w:rsidRPr="000D48C2">
              <w:rPr>
                <w:rFonts w:cs="Times New Roman"/>
                <w:sz w:val="24"/>
                <w:szCs w:val="24"/>
              </w:rPr>
              <w:t xml:space="preserve">izskatīts 2016.gada 3.augusta Pasažieru starptautisko pārvadājumu konsultatīvās padomes sēdē, piedaloties </w:t>
            </w:r>
            <w:r w:rsidR="00EC7D73">
              <w:rPr>
                <w:rFonts w:cs="Times New Roman"/>
                <w:sz w:val="24"/>
                <w:szCs w:val="24"/>
              </w:rPr>
              <w:t>b</w:t>
            </w:r>
            <w:r w:rsidR="002D1699" w:rsidRPr="000D48C2">
              <w:rPr>
                <w:rFonts w:cs="Times New Roman"/>
                <w:sz w:val="24"/>
                <w:szCs w:val="24"/>
              </w:rPr>
              <w:t>iedrīb</w:t>
            </w:r>
            <w:r w:rsidR="0050409C" w:rsidRPr="000D48C2">
              <w:rPr>
                <w:rFonts w:cs="Times New Roman"/>
                <w:sz w:val="24"/>
                <w:szCs w:val="24"/>
              </w:rPr>
              <w:t>ai</w:t>
            </w:r>
            <w:r w:rsidR="002D1699" w:rsidRPr="000D48C2">
              <w:rPr>
                <w:rFonts w:cs="Times New Roman"/>
                <w:sz w:val="24"/>
                <w:szCs w:val="24"/>
              </w:rPr>
              <w:t xml:space="preserve"> „Autopārvadātāju Asociācija „Latvijas auto””</w:t>
            </w:r>
            <w:r w:rsidRPr="000D48C2">
              <w:rPr>
                <w:rFonts w:cs="Times New Roman"/>
                <w:sz w:val="24"/>
                <w:szCs w:val="24"/>
              </w:rPr>
              <w:t xml:space="preserve"> un </w:t>
            </w:r>
            <w:r w:rsidR="00EC7D73">
              <w:rPr>
                <w:rFonts w:cs="Times New Roman"/>
                <w:sz w:val="24"/>
                <w:szCs w:val="24"/>
              </w:rPr>
              <w:t>b</w:t>
            </w:r>
            <w:r w:rsidR="002D1699" w:rsidRPr="000D48C2">
              <w:rPr>
                <w:rFonts w:cs="Times New Roman"/>
                <w:sz w:val="24"/>
                <w:szCs w:val="24"/>
              </w:rPr>
              <w:t>iedrīb</w:t>
            </w:r>
            <w:r w:rsidR="0050409C" w:rsidRPr="000D48C2">
              <w:rPr>
                <w:rFonts w:cs="Times New Roman"/>
                <w:sz w:val="24"/>
                <w:szCs w:val="24"/>
              </w:rPr>
              <w:t>ai</w:t>
            </w:r>
            <w:r w:rsidR="002D1699" w:rsidRPr="000D48C2">
              <w:rPr>
                <w:rFonts w:cs="Times New Roman"/>
                <w:sz w:val="24"/>
                <w:szCs w:val="24"/>
              </w:rPr>
              <w:t xml:space="preserve"> „Latvijas Pasažieru pārvadātāju asociācija”</w:t>
            </w:r>
            <w:r w:rsidRPr="000D48C2">
              <w:rPr>
                <w:rFonts w:cs="Times New Roman"/>
                <w:sz w:val="24"/>
                <w:szCs w:val="24"/>
              </w:rPr>
              <w:t>.</w:t>
            </w:r>
          </w:p>
        </w:tc>
      </w:tr>
      <w:tr w:rsidR="002D1699" w:rsidRPr="00C81EDF" w:rsidTr="002545D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lastRenderedPageBreak/>
              <w:t>3.</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Sabiedrības līdzdalības rezultāti</w:t>
            </w:r>
          </w:p>
        </w:tc>
        <w:tc>
          <w:tcPr>
            <w:tcW w:w="3208" w:type="pct"/>
            <w:tcBorders>
              <w:top w:val="outset" w:sz="6" w:space="0" w:color="auto"/>
              <w:left w:val="outset" w:sz="6" w:space="0" w:color="auto"/>
              <w:bottom w:val="outset" w:sz="6" w:space="0" w:color="auto"/>
              <w:right w:val="outset" w:sz="6" w:space="0" w:color="auto"/>
            </w:tcBorders>
          </w:tcPr>
          <w:p w:rsidR="00F3636F" w:rsidRPr="00C81EDF" w:rsidRDefault="001871C6" w:rsidP="001871C6">
            <w:pPr>
              <w:ind w:firstLine="0"/>
              <w:jc w:val="both"/>
              <w:rPr>
                <w:rFonts w:cs="Times New Roman"/>
                <w:sz w:val="24"/>
                <w:szCs w:val="24"/>
              </w:rPr>
            </w:pPr>
            <w:r>
              <w:rPr>
                <w:rFonts w:cs="Times New Roman"/>
                <w:sz w:val="24"/>
                <w:szCs w:val="24"/>
              </w:rPr>
              <w:t>I</w:t>
            </w:r>
            <w:r w:rsidR="00F3636F">
              <w:rPr>
                <w:rFonts w:cs="Times New Roman"/>
                <w:sz w:val="24"/>
                <w:szCs w:val="24"/>
              </w:rPr>
              <w:t xml:space="preserve">ebildumi </w:t>
            </w:r>
            <w:r>
              <w:rPr>
                <w:rFonts w:cs="Times New Roman"/>
                <w:sz w:val="24"/>
                <w:szCs w:val="24"/>
              </w:rPr>
              <w:t xml:space="preserve">un priekšlikumi </w:t>
            </w:r>
            <w:r w:rsidR="00F3636F">
              <w:rPr>
                <w:rFonts w:cs="Times New Roman"/>
                <w:sz w:val="24"/>
                <w:szCs w:val="24"/>
              </w:rPr>
              <w:t>n</w:t>
            </w:r>
            <w:r>
              <w:rPr>
                <w:rFonts w:cs="Times New Roman"/>
                <w:sz w:val="24"/>
                <w:szCs w:val="24"/>
              </w:rPr>
              <w:t>etika</w:t>
            </w:r>
            <w:r w:rsidR="00F3636F">
              <w:rPr>
                <w:rFonts w:cs="Times New Roman"/>
                <w:sz w:val="24"/>
                <w:szCs w:val="24"/>
              </w:rPr>
              <w:t xml:space="preserve"> saņemti. </w:t>
            </w:r>
          </w:p>
        </w:tc>
      </w:tr>
      <w:tr w:rsidR="002D1699" w:rsidRPr="00C81EDF" w:rsidTr="002545D7">
        <w:trPr>
          <w:trHeight w:val="465"/>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4.</w:t>
            </w:r>
          </w:p>
        </w:tc>
        <w:tc>
          <w:tcPr>
            <w:tcW w:w="1480"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3208"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r w:rsidR="00C81EDF">
              <w:rPr>
                <w:rFonts w:cs="Times New Roman"/>
                <w:sz w:val="24"/>
                <w:szCs w:val="24"/>
              </w:rPr>
              <w:t>.</w:t>
            </w:r>
          </w:p>
        </w:tc>
      </w:tr>
    </w:tbl>
    <w:p w:rsidR="002D1699" w:rsidRPr="00C81EDF" w:rsidRDefault="002D1699" w:rsidP="002D1699">
      <w:pPr>
        <w:ind w:firstLine="0"/>
        <w:rPr>
          <w:rFonts w:cs="Times New Roman"/>
          <w:sz w:val="24"/>
          <w:szCs w:val="24"/>
        </w:rPr>
      </w:pPr>
      <w:r w:rsidRPr="00C81EDF">
        <w:rPr>
          <w:rFonts w:cs="Times New Roman"/>
          <w:sz w:val="24"/>
          <w:szCs w:val="24"/>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2D1699" w:rsidRPr="00C81EDF" w:rsidTr="002545D7">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1699" w:rsidRPr="00C81EDF" w:rsidRDefault="002D1699" w:rsidP="001871C6">
            <w:pPr>
              <w:ind w:firstLine="0"/>
              <w:jc w:val="center"/>
              <w:rPr>
                <w:rFonts w:cs="Times New Roman"/>
                <w:b/>
                <w:bCs/>
                <w:sz w:val="24"/>
                <w:szCs w:val="24"/>
              </w:rPr>
            </w:pPr>
            <w:r w:rsidRPr="00C81EDF">
              <w:rPr>
                <w:rFonts w:cs="Times New Roman"/>
                <w:b/>
                <w:bCs/>
                <w:sz w:val="24"/>
                <w:szCs w:val="24"/>
              </w:rPr>
              <w:t>VII. Tiesību akta projekta izpildes nodrošināšana un tās ietekme uz institūcijām</w:t>
            </w:r>
          </w:p>
        </w:tc>
      </w:tr>
      <w:tr w:rsidR="002D1699" w:rsidRPr="00C81EDF" w:rsidTr="002545D7">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1.</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VSIA „Autotransporta direkcija”</w:t>
            </w:r>
            <w:r w:rsidR="00C81EDF">
              <w:rPr>
                <w:rFonts w:cs="Times New Roman"/>
                <w:sz w:val="24"/>
                <w:szCs w:val="24"/>
              </w:rPr>
              <w:t>.</w:t>
            </w:r>
          </w:p>
        </w:tc>
      </w:tr>
      <w:tr w:rsidR="002D1699" w:rsidRPr="00C81EDF" w:rsidTr="002545D7">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2.</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 xml:space="preserve">Projekta izpildes ietekme uz pārvaldes funkcijām un institucionālo struktūru. </w:t>
            </w:r>
          </w:p>
          <w:p w:rsidR="002D1699" w:rsidRPr="00C81EDF" w:rsidRDefault="002D1699" w:rsidP="002545D7">
            <w:pPr>
              <w:ind w:firstLine="0"/>
              <w:rPr>
                <w:rFonts w:cs="Times New Roman"/>
                <w:sz w:val="24"/>
                <w:szCs w:val="24"/>
              </w:rPr>
            </w:pPr>
            <w:r w:rsidRPr="00C81EDF">
              <w:rPr>
                <w:rFonts w:cs="Times New Roman"/>
                <w:sz w:val="24"/>
                <w:szCs w:val="24"/>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Projekts šo jomu neskar</w:t>
            </w:r>
            <w:r w:rsidR="00C81EDF">
              <w:rPr>
                <w:rFonts w:cs="Times New Roman"/>
                <w:sz w:val="24"/>
                <w:szCs w:val="24"/>
              </w:rPr>
              <w:t>.</w:t>
            </w:r>
          </w:p>
        </w:tc>
      </w:tr>
      <w:tr w:rsidR="002D1699" w:rsidRPr="00C81EDF" w:rsidTr="002545D7">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3.</w:t>
            </w:r>
          </w:p>
        </w:tc>
        <w:tc>
          <w:tcPr>
            <w:tcW w:w="1875"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2D1699" w:rsidRPr="00C81EDF" w:rsidRDefault="002D1699" w:rsidP="002545D7">
            <w:pPr>
              <w:ind w:firstLine="0"/>
              <w:rPr>
                <w:rFonts w:cs="Times New Roman"/>
                <w:sz w:val="24"/>
                <w:szCs w:val="24"/>
              </w:rPr>
            </w:pPr>
            <w:r w:rsidRPr="00C81EDF">
              <w:rPr>
                <w:rFonts w:cs="Times New Roman"/>
                <w:sz w:val="24"/>
                <w:szCs w:val="24"/>
              </w:rPr>
              <w:t>Nav</w:t>
            </w:r>
            <w:r w:rsidR="00C81EDF">
              <w:rPr>
                <w:rFonts w:cs="Times New Roman"/>
                <w:sz w:val="24"/>
                <w:szCs w:val="24"/>
              </w:rPr>
              <w:t>.</w:t>
            </w:r>
          </w:p>
        </w:tc>
      </w:tr>
    </w:tbl>
    <w:p w:rsidR="002D1699" w:rsidRDefault="002D1699" w:rsidP="002D1699">
      <w:pPr>
        <w:ind w:firstLine="0"/>
      </w:pPr>
    </w:p>
    <w:p w:rsidR="002904A4" w:rsidRPr="00C81EDF" w:rsidRDefault="002904A4" w:rsidP="002904A4">
      <w:pPr>
        <w:rPr>
          <w:rFonts w:cs="Times New Roman"/>
          <w:sz w:val="24"/>
          <w:szCs w:val="24"/>
        </w:rPr>
      </w:pPr>
      <w:r w:rsidRPr="00C81EDF">
        <w:rPr>
          <w:rFonts w:cs="Times New Roman"/>
          <w:sz w:val="24"/>
          <w:szCs w:val="24"/>
        </w:rPr>
        <w:t> Anotācijas III</w:t>
      </w:r>
      <w:r w:rsidR="001871C6">
        <w:rPr>
          <w:rFonts w:cs="Times New Roman"/>
          <w:sz w:val="24"/>
          <w:szCs w:val="24"/>
        </w:rPr>
        <w:t xml:space="preserve"> un</w:t>
      </w:r>
      <w:r w:rsidRPr="00C81EDF">
        <w:rPr>
          <w:rFonts w:cs="Times New Roman"/>
          <w:sz w:val="24"/>
          <w:szCs w:val="24"/>
        </w:rPr>
        <w:t xml:space="preserve"> IV sadaļa – projekts šīs jomas neskar.</w:t>
      </w:r>
    </w:p>
    <w:p w:rsidR="002904A4" w:rsidRDefault="002904A4" w:rsidP="002D1699">
      <w:pPr>
        <w:ind w:firstLine="0"/>
      </w:pPr>
    </w:p>
    <w:p w:rsidR="002D1699" w:rsidRDefault="002D1699" w:rsidP="002D1699">
      <w:pPr>
        <w:ind w:firstLine="0"/>
      </w:pPr>
    </w:p>
    <w:p w:rsidR="002D1699" w:rsidRPr="00D16613" w:rsidRDefault="002D1699" w:rsidP="002D1699">
      <w:pPr>
        <w:pStyle w:val="Heading3"/>
        <w:tabs>
          <w:tab w:val="left" w:pos="6840"/>
        </w:tabs>
        <w:spacing w:before="0" w:after="0"/>
        <w:rPr>
          <w:rFonts w:ascii="Times New Roman" w:hAnsi="Times New Roman"/>
          <w:b w:val="0"/>
          <w:sz w:val="28"/>
          <w:szCs w:val="28"/>
          <w:lang w:val="lv-LV"/>
        </w:rPr>
      </w:pPr>
      <w:r w:rsidRPr="00D16613">
        <w:rPr>
          <w:rFonts w:ascii="Times New Roman" w:hAnsi="Times New Roman"/>
          <w:b w:val="0"/>
          <w:sz w:val="28"/>
          <w:szCs w:val="28"/>
          <w:lang w:val="lv-LV"/>
        </w:rPr>
        <w:t>Satiksmes ministrs</w:t>
      </w:r>
      <w:r>
        <w:rPr>
          <w:rFonts w:ascii="Times New Roman" w:hAnsi="Times New Roman"/>
          <w:b w:val="0"/>
          <w:sz w:val="28"/>
          <w:szCs w:val="28"/>
          <w:lang w:val="lv-LV"/>
        </w:rPr>
        <w:tab/>
      </w:r>
      <w:r w:rsidR="00F3636F">
        <w:rPr>
          <w:rFonts w:ascii="Times New Roman" w:hAnsi="Times New Roman"/>
          <w:b w:val="0"/>
          <w:sz w:val="28"/>
          <w:szCs w:val="28"/>
          <w:lang w:val="lv-LV"/>
        </w:rPr>
        <w:t>U.Augulis</w:t>
      </w:r>
    </w:p>
    <w:p w:rsidR="002D1699" w:rsidRPr="00D16613" w:rsidRDefault="002D1699" w:rsidP="002D1699">
      <w:pPr>
        <w:pStyle w:val="Header"/>
        <w:tabs>
          <w:tab w:val="clear" w:pos="4153"/>
          <w:tab w:val="center" w:pos="4536"/>
        </w:tabs>
        <w:rPr>
          <w:sz w:val="28"/>
          <w:szCs w:val="28"/>
        </w:rPr>
      </w:pPr>
    </w:p>
    <w:p w:rsidR="002D1699" w:rsidRPr="00D16613" w:rsidRDefault="002D1699" w:rsidP="002D1699">
      <w:pPr>
        <w:pStyle w:val="Header"/>
        <w:tabs>
          <w:tab w:val="clear" w:pos="4153"/>
          <w:tab w:val="center" w:pos="4536"/>
        </w:tabs>
        <w:rPr>
          <w:sz w:val="28"/>
          <w:szCs w:val="28"/>
        </w:rPr>
      </w:pPr>
    </w:p>
    <w:p w:rsidR="00052CBF" w:rsidRPr="00052CBF" w:rsidRDefault="002D1699" w:rsidP="00052CBF">
      <w:pPr>
        <w:pStyle w:val="Heading3"/>
        <w:tabs>
          <w:tab w:val="left" w:pos="6840"/>
        </w:tabs>
        <w:spacing w:before="0" w:after="0"/>
        <w:jc w:val="both"/>
        <w:rPr>
          <w:rFonts w:ascii="Times New Roman" w:hAnsi="Times New Roman"/>
          <w:b w:val="0"/>
          <w:sz w:val="28"/>
          <w:szCs w:val="28"/>
          <w:lang w:val="lv-LV"/>
        </w:rPr>
      </w:pPr>
      <w:r w:rsidRPr="00052CBF">
        <w:rPr>
          <w:rFonts w:ascii="Times New Roman" w:hAnsi="Times New Roman"/>
          <w:b w:val="0"/>
          <w:sz w:val="28"/>
          <w:szCs w:val="28"/>
          <w:lang w:val="lv-LV"/>
        </w:rPr>
        <w:t>Vīza: Valsts sekretār</w:t>
      </w:r>
      <w:r w:rsidR="00052CBF" w:rsidRPr="00052CBF">
        <w:rPr>
          <w:rFonts w:ascii="Times New Roman" w:hAnsi="Times New Roman"/>
          <w:b w:val="0"/>
          <w:sz w:val="28"/>
          <w:szCs w:val="28"/>
          <w:lang w:val="lv-LV"/>
        </w:rPr>
        <w:t>s</w:t>
      </w:r>
      <w:r w:rsidR="00052CBF" w:rsidRPr="00052CBF">
        <w:rPr>
          <w:rFonts w:ascii="Times New Roman" w:hAnsi="Times New Roman"/>
          <w:b w:val="0"/>
          <w:sz w:val="28"/>
          <w:szCs w:val="28"/>
          <w:lang w:val="lv-LV"/>
        </w:rPr>
        <w:tab/>
        <w:t>K.Ozoliņš</w:t>
      </w:r>
    </w:p>
    <w:p w:rsidR="00B54DF3" w:rsidRDefault="00B54DF3" w:rsidP="002D1699">
      <w:pPr>
        <w:pStyle w:val="Heading3"/>
        <w:tabs>
          <w:tab w:val="left" w:pos="6840"/>
        </w:tabs>
        <w:spacing w:before="0" w:after="0"/>
        <w:jc w:val="both"/>
        <w:rPr>
          <w:rFonts w:ascii="Times New Roman" w:hAnsi="Times New Roman"/>
          <w:b w:val="0"/>
          <w:lang w:val="lv-LV"/>
        </w:rPr>
      </w:pPr>
    </w:p>
    <w:p w:rsidR="002D1699" w:rsidRPr="00EA51D7" w:rsidRDefault="002D1699" w:rsidP="002D1699">
      <w:pPr>
        <w:pStyle w:val="Heading3"/>
        <w:tabs>
          <w:tab w:val="left" w:pos="6840"/>
        </w:tabs>
        <w:spacing w:before="0" w:after="0"/>
        <w:jc w:val="both"/>
        <w:rPr>
          <w:rFonts w:ascii="Times New Roman" w:hAnsi="Times New Roman"/>
          <w:b w:val="0"/>
          <w:lang w:val="lv-LV"/>
        </w:rPr>
      </w:pPr>
      <w:r w:rsidRPr="00EA51D7">
        <w:rPr>
          <w:rFonts w:ascii="Times New Roman" w:hAnsi="Times New Roman"/>
          <w:b w:val="0"/>
          <w:lang w:val="lv-LV"/>
        </w:rPr>
        <w:tab/>
      </w:r>
    </w:p>
    <w:p w:rsidR="002D1699" w:rsidRPr="007B2A9E" w:rsidRDefault="00523CA1" w:rsidP="002D1699">
      <w:pPr>
        <w:ind w:firstLine="0"/>
        <w:jc w:val="both"/>
        <w:rPr>
          <w:rFonts w:eastAsia="Times New Roman"/>
          <w:sz w:val="22"/>
          <w:lang w:val="en-US"/>
        </w:rPr>
      </w:pPr>
      <w:r>
        <w:rPr>
          <w:rFonts w:eastAsia="Times New Roman"/>
          <w:sz w:val="22"/>
          <w:lang w:val="en-US"/>
        </w:rPr>
        <w:t>2</w:t>
      </w:r>
      <w:r w:rsidR="00C75817">
        <w:rPr>
          <w:rFonts w:eastAsia="Times New Roman"/>
          <w:sz w:val="22"/>
          <w:lang w:val="en-US"/>
        </w:rPr>
        <w:t>8</w:t>
      </w:r>
      <w:r w:rsidR="00052CBF" w:rsidRPr="007B2A9E">
        <w:rPr>
          <w:rFonts w:eastAsia="Times New Roman"/>
          <w:sz w:val="22"/>
          <w:lang w:val="en-US"/>
        </w:rPr>
        <w:t>.</w:t>
      </w:r>
      <w:r>
        <w:rPr>
          <w:rFonts w:eastAsia="Times New Roman"/>
          <w:sz w:val="22"/>
          <w:lang w:val="en-US"/>
        </w:rPr>
        <w:t>10</w:t>
      </w:r>
      <w:r w:rsidR="00052CBF" w:rsidRPr="007B2A9E">
        <w:rPr>
          <w:rFonts w:eastAsia="Times New Roman"/>
          <w:sz w:val="22"/>
          <w:lang w:val="en-US"/>
        </w:rPr>
        <w:t>.201</w:t>
      </w:r>
      <w:r w:rsidR="00510466">
        <w:rPr>
          <w:rFonts w:eastAsia="Times New Roman"/>
          <w:sz w:val="22"/>
          <w:lang w:val="en-US"/>
        </w:rPr>
        <w:t>6</w:t>
      </w:r>
      <w:r w:rsidR="002D1699" w:rsidRPr="007B2A9E">
        <w:rPr>
          <w:rFonts w:eastAsia="Times New Roman"/>
          <w:sz w:val="22"/>
          <w:lang w:val="en-US"/>
        </w:rPr>
        <w:t xml:space="preserve"> </w:t>
      </w:r>
      <w:r w:rsidR="003E16AB">
        <w:rPr>
          <w:rFonts w:eastAsia="Times New Roman"/>
          <w:sz w:val="22"/>
          <w:lang w:val="en-US"/>
        </w:rPr>
        <w:t>15</w:t>
      </w:r>
      <w:r w:rsidR="002D1699" w:rsidRPr="007B2A9E">
        <w:rPr>
          <w:rFonts w:eastAsia="Times New Roman"/>
          <w:sz w:val="22"/>
          <w:lang w:val="en-US"/>
        </w:rPr>
        <w:t>:</w:t>
      </w:r>
      <w:r w:rsidR="00B11B20">
        <w:rPr>
          <w:rFonts w:eastAsia="Times New Roman"/>
          <w:sz w:val="22"/>
          <w:lang w:val="en-US"/>
        </w:rPr>
        <w:t>30</w:t>
      </w:r>
    </w:p>
    <w:p w:rsidR="002D1699" w:rsidRPr="007B2A9E" w:rsidRDefault="00523CA1" w:rsidP="002D1699">
      <w:pPr>
        <w:ind w:firstLine="0"/>
        <w:jc w:val="both"/>
        <w:rPr>
          <w:rFonts w:eastAsia="Times New Roman"/>
          <w:sz w:val="22"/>
          <w:lang w:val="en-US"/>
        </w:rPr>
      </w:pPr>
      <w:r>
        <w:rPr>
          <w:rFonts w:eastAsia="Times New Roman"/>
          <w:sz w:val="22"/>
          <w:lang w:val="en-US"/>
        </w:rPr>
        <w:t>111</w:t>
      </w:r>
      <w:r w:rsidR="00B54DF3">
        <w:rPr>
          <w:rFonts w:eastAsia="Times New Roman"/>
          <w:sz w:val="22"/>
          <w:lang w:val="en-US"/>
        </w:rPr>
        <w:t>5</w:t>
      </w:r>
    </w:p>
    <w:p w:rsidR="002D1699" w:rsidRPr="007B2A9E" w:rsidRDefault="002D1699" w:rsidP="002D1699">
      <w:pPr>
        <w:ind w:firstLine="0"/>
        <w:jc w:val="both"/>
        <w:rPr>
          <w:rFonts w:eastAsia="Times New Roman"/>
          <w:b/>
          <w:sz w:val="22"/>
          <w:u w:val="single"/>
          <w:lang w:val="en-US"/>
        </w:rPr>
      </w:pPr>
      <w:r w:rsidRPr="007B2A9E">
        <w:rPr>
          <w:rFonts w:eastAsia="Times New Roman"/>
          <w:sz w:val="22"/>
          <w:lang w:val="en-US"/>
        </w:rPr>
        <w:t>S.Tanne, 67686480,</w:t>
      </w:r>
      <w:r w:rsidRPr="007B2A9E">
        <w:rPr>
          <w:rFonts w:eastAsia="Times New Roman"/>
          <w:b/>
          <w:sz w:val="22"/>
          <w:u w:val="single"/>
          <w:lang w:val="en-US"/>
        </w:rPr>
        <w:t xml:space="preserve"> </w:t>
      </w:r>
    </w:p>
    <w:p w:rsidR="002D1699" w:rsidRPr="00607FB3" w:rsidRDefault="002D1699" w:rsidP="002D1699">
      <w:pPr>
        <w:ind w:firstLine="0"/>
        <w:jc w:val="both"/>
        <w:rPr>
          <w:sz w:val="22"/>
          <w:lang w:val="en-US"/>
        </w:rPr>
      </w:pPr>
      <w:r w:rsidRPr="007B2A9E">
        <w:rPr>
          <w:rFonts w:eastAsia="Times New Roman"/>
          <w:sz w:val="22"/>
          <w:lang w:val="en-US"/>
        </w:rPr>
        <w:t>sandra.tanne@atd.lv</w:t>
      </w:r>
      <w:bookmarkStart w:id="0" w:name="_GoBack"/>
      <w:bookmarkEnd w:id="0"/>
    </w:p>
    <w:p w:rsidR="00D655C9" w:rsidRPr="00D655C9" w:rsidRDefault="00D655C9" w:rsidP="00D655C9">
      <w:pPr>
        <w:ind w:firstLine="0"/>
        <w:jc w:val="both"/>
        <w:rPr>
          <w:sz w:val="22"/>
        </w:rPr>
      </w:pPr>
      <w:r w:rsidRPr="00D655C9">
        <w:rPr>
          <w:sz w:val="22"/>
        </w:rPr>
        <w:t>I.Gromule, 67686458</w:t>
      </w:r>
    </w:p>
    <w:p w:rsidR="00D655C9" w:rsidRPr="00D655C9" w:rsidRDefault="00D655C9" w:rsidP="00D655C9">
      <w:pPr>
        <w:ind w:firstLine="0"/>
        <w:jc w:val="both"/>
        <w:rPr>
          <w:sz w:val="22"/>
        </w:rPr>
      </w:pPr>
      <w:r w:rsidRPr="00D655C9">
        <w:rPr>
          <w:sz w:val="22"/>
        </w:rPr>
        <w:t>indra.gromule@atd.lv</w:t>
      </w:r>
    </w:p>
    <w:p w:rsidR="00B54DF3" w:rsidRDefault="00B54DF3" w:rsidP="00B54DF3">
      <w:pPr>
        <w:ind w:firstLine="0"/>
        <w:jc w:val="both"/>
        <w:rPr>
          <w:sz w:val="20"/>
          <w:szCs w:val="20"/>
        </w:rPr>
      </w:pPr>
      <w:r>
        <w:rPr>
          <w:sz w:val="20"/>
          <w:szCs w:val="20"/>
        </w:rPr>
        <w:t>D.Ziemele-Adricka, 67028036</w:t>
      </w:r>
    </w:p>
    <w:p w:rsidR="00B54DF3" w:rsidRDefault="00F30798" w:rsidP="00B54DF3">
      <w:pPr>
        <w:ind w:firstLine="0"/>
        <w:jc w:val="both"/>
        <w:rPr>
          <w:sz w:val="20"/>
          <w:szCs w:val="20"/>
        </w:rPr>
      </w:pPr>
      <w:hyperlink r:id="rId15" w:history="1">
        <w:r w:rsidR="00B54DF3">
          <w:rPr>
            <w:rStyle w:val="Hyperlink"/>
            <w:sz w:val="20"/>
            <w:szCs w:val="20"/>
          </w:rPr>
          <w:t>dana.ziemele-adricka@sam.gov.lv</w:t>
        </w:r>
      </w:hyperlink>
    </w:p>
    <w:p w:rsidR="00B54DF3" w:rsidRDefault="00B54DF3" w:rsidP="00B54DF3">
      <w:pPr>
        <w:jc w:val="both"/>
        <w:rPr>
          <w:sz w:val="20"/>
          <w:szCs w:val="20"/>
        </w:rPr>
      </w:pPr>
    </w:p>
    <w:p w:rsidR="00044B41" w:rsidRPr="00D655C9" w:rsidRDefault="00044B41">
      <w:pPr>
        <w:rPr>
          <w:sz w:val="22"/>
        </w:rPr>
      </w:pPr>
    </w:p>
    <w:sectPr w:rsidR="00044B41" w:rsidRPr="00D655C9" w:rsidSect="00AD1B30">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798" w:rsidRDefault="00F30798">
      <w:r>
        <w:separator/>
      </w:r>
    </w:p>
  </w:endnote>
  <w:endnote w:type="continuationSeparator" w:id="0">
    <w:p w:rsidR="00F30798" w:rsidRDefault="00F3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56" w:rsidRDefault="009C2E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F7" w:rsidRPr="009C2E56" w:rsidRDefault="003259F7" w:rsidP="003259F7">
    <w:pPr>
      <w:pStyle w:val="Footer"/>
      <w:ind w:firstLine="0"/>
      <w:jc w:val="both"/>
      <w:rPr>
        <w:sz w:val="20"/>
        <w:szCs w:val="20"/>
      </w:rPr>
    </w:pPr>
    <w:r w:rsidRPr="009C2E56">
      <w:rPr>
        <w:sz w:val="20"/>
        <w:szCs w:val="20"/>
      </w:rPr>
      <w:t>SAM</w:t>
    </w:r>
    <w:r w:rsidR="0060225A">
      <w:rPr>
        <w:sz w:val="20"/>
        <w:szCs w:val="20"/>
      </w:rPr>
      <w:t>A</w:t>
    </w:r>
    <w:r w:rsidRPr="009C2E56">
      <w:rPr>
        <w:sz w:val="20"/>
        <w:szCs w:val="20"/>
      </w:rPr>
      <w:t>not_</w:t>
    </w:r>
    <w:r w:rsidR="00523CA1" w:rsidRPr="009C2E56">
      <w:rPr>
        <w:sz w:val="20"/>
        <w:szCs w:val="20"/>
      </w:rPr>
      <w:t>2</w:t>
    </w:r>
    <w:r w:rsidR="00C763C6">
      <w:rPr>
        <w:sz w:val="20"/>
        <w:szCs w:val="20"/>
      </w:rPr>
      <w:t>8</w:t>
    </w:r>
    <w:r w:rsidR="00523CA1" w:rsidRPr="009C2E56">
      <w:rPr>
        <w:sz w:val="20"/>
        <w:szCs w:val="20"/>
      </w:rPr>
      <w:t>10</w:t>
    </w:r>
    <w:r w:rsidR="00510466" w:rsidRPr="009C2E56">
      <w:rPr>
        <w:sz w:val="20"/>
        <w:szCs w:val="20"/>
      </w:rPr>
      <w:t>16</w:t>
    </w:r>
    <w:r w:rsidRPr="009C2E56">
      <w:rPr>
        <w:sz w:val="20"/>
        <w:szCs w:val="20"/>
      </w:rPr>
      <w:t>_</w:t>
    </w:r>
    <w:r w:rsidR="002E3ACB" w:rsidRPr="009C2E56">
      <w:rPr>
        <w:sz w:val="20"/>
        <w:szCs w:val="20"/>
      </w:rPr>
      <w:t>not</w:t>
    </w:r>
    <w:r w:rsidRPr="009C2E56">
      <w:rPr>
        <w:sz w:val="20"/>
        <w:szCs w:val="20"/>
      </w:rPr>
      <w:t>37; Ministru kabineta noteikumu projekta „Grozījum</w:t>
    </w:r>
    <w:r w:rsidR="007C12CB" w:rsidRPr="009C2E56">
      <w:rPr>
        <w:sz w:val="20"/>
        <w:szCs w:val="20"/>
      </w:rPr>
      <w:t>s</w:t>
    </w:r>
    <w:r w:rsidRPr="009C2E56">
      <w:rPr>
        <w:sz w:val="20"/>
        <w:szCs w:val="20"/>
      </w:rPr>
      <w:t xml:space="preserve"> Ministru kabineta 2012.gada 10.janvāra noteikumos Nr.37 „</w:t>
    </w:r>
    <w:r w:rsidRPr="009C2E56">
      <w:rPr>
        <w:bCs/>
        <w:sz w:val="20"/>
        <w:szCs w:val="20"/>
      </w:rPr>
      <w:t>Noteikumi par pasažieru starptautiskajiem pārvadājumiem ar autobusiem, to organizēšanas, veikšanas, maršrutu atklāšanas, grozīšanas un slēgšanas kārtību</w:t>
    </w:r>
    <w:r w:rsidRPr="009C2E56">
      <w:rPr>
        <w:sz w:val="20"/>
        <w:szCs w:val="20"/>
      </w:rPr>
      <w:t>” sākotnējās ietekmes novērtējuma ziņojums (anotācija)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418" w:rsidRPr="008E3E94" w:rsidRDefault="0060225A" w:rsidP="00E67418">
    <w:pPr>
      <w:pStyle w:val="Footer"/>
      <w:ind w:firstLine="0"/>
      <w:jc w:val="both"/>
      <w:rPr>
        <w:sz w:val="20"/>
        <w:szCs w:val="20"/>
      </w:rPr>
    </w:pPr>
    <w:r>
      <w:rPr>
        <w:sz w:val="20"/>
        <w:szCs w:val="20"/>
      </w:rPr>
      <w:t>SAMA</w:t>
    </w:r>
    <w:r w:rsidR="00E67418">
      <w:rPr>
        <w:sz w:val="20"/>
        <w:szCs w:val="20"/>
      </w:rPr>
      <w:t>not_</w:t>
    </w:r>
    <w:r w:rsidR="00523CA1">
      <w:rPr>
        <w:sz w:val="20"/>
        <w:szCs w:val="20"/>
      </w:rPr>
      <w:t>2</w:t>
    </w:r>
    <w:r w:rsidR="00C763C6">
      <w:rPr>
        <w:sz w:val="20"/>
        <w:szCs w:val="20"/>
      </w:rPr>
      <w:t>8</w:t>
    </w:r>
    <w:r w:rsidR="00523CA1">
      <w:rPr>
        <w:sz w:val="20"/>
        <w:szCs w:val="20"/>
      </w:rPr>
      <w:t>10</w:t>
    </w:r>
    <w:r w:rsidR="00E67418">
      <w:rPr>
        <w:sz w:val="20"/>
        <w:szCs w:val="20"/>
      </w:rPr>
      <w:t>16_not37; Ministru kabineta noteikumu projekta „</w:t>
    </w:r>
    <w:r w:rsidR="00E67418" w:rsidRPr="008F0B44">
      <w:rPr>
        <w:sz w:val="20"/>
        <w:szCs w:val="20"/>
      </w:rPr>
      <w:t>Grozījum</w:t>
    </w:r>
    <w:r w:rsidR="00E67418">
      <w:rPr>
        <w:sz w:val="20"/>
        <w:szCs w:val="20"/>
      </w:rPr>
      <w:t>s</w:t>
    </w:r>
    <w:r w:rsidR="00E67418" w:rsidRPr="008F0B44">
      <w:rPr>
        <w:sz w:val="20"/>
        <w:szCs w:val="20"/>
      </w:rPr>
      <w:t xml:space="preserve"> Ministru kabineta </w:t>
    </w:r>
    <w:r w:rsidR="00E67418" w:rsidRPr="006E6024">
      <w:rPr>
        <w:sz w:val="20"/>
        <w:szCs w:val="20"/>
      </w:rPr>
      <w:t>2012.gada 10.janvāra noteikumos Nr.37 „</w:t>
    </w:r>
    <w:r w:rsidR="00E67418" w:rsidRPr="006E6024">
      <w:rPr>
        <w:bCs/>
        <w:color w:val="414142"/>
        <w:sz w:val="20"/>
        <w:szCs w:val="20"/>
      </w:rPr>
      <w:t>Noteikumi par pasažieru starptautiskajiem pārvadājumiem ar autobusiem, to organizēšanas, veikšanas, maršrutu atklāšanas, grozīšanas un slēgšanas kārtību</w:t>
    </w:r>
    <w:r w:rsidR="00E67418" w:rsidRPr="006E6024">
      <w:rPr>
        <w:sz w:val="20"/>
        <w:szCs w:val="20"/>
      </w:rPr>
      <w:t>”</w:t>
    </w:r>
    <w:r w:rsidR="00E67418" w:rsidRPr="008E3E94">
      <w:rPr>
        <w:sz w:val="20"/>
        <w:szCs w:val="20"/>
      </w:rPr>
      <w:t xml:space="preserve"> sākotnējās ietekmes novērtējuma ziņojums (anotācija)</w:t>
    </w:r>
  </w:p>
  <w:p w:rsidR="00241323" w:rsidRPr="00E67418" w:rsidRDefault="00F30798" w:rsidP="00E67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798" w:rsidRDefault="00F30798">
      <w:r>
        <w:separator/>
      </w:r>
    </w:p>
  </w:footnote>
  <w:footnote w:type="continuationSeparator" w:id="0">
    <w:p w:rsidR="00F30798" w:rsidRDefault="00F3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56" w:rsidRDefault="009C2E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779969"/>
      <w:docPartObj>
        <w:docPartGallery w:val="Page Numbers (Top of Page)"/>
        <w:docPartUnique/>
      </w:docPartObj>
    </w:sdtPr>
    <w:sdtEndPr>
      <w:rPr>
        <w:noProof/>
      </w:rPr>
    </w:sdtEndPr>
    <w:sdtContent>
      <w:p w:rsidR="00241323" w:rsidRDefault="0007136D">
        <w:pPr>
          <w:pStyle w:val="Header"/>
          <w:jc w:val="center"/>
        </w:pPr>
        <w:r>
          <w:fldChar w:fldCharType="begin"/>
        </w:r>
        <w:r>
          <w:instrText xml:space="preserve"> PAGE   \* MERGEFORMAT </w:instrText>
        </w:r>
        <w:r>
          <w:fldChar w:fldCharType="separate"/>
        </w:r>
        <w:r w:rsidR="00C75817">
          <w:rPr>
            <w:noProof/>
          </w:rPr>
          <w:t>5</w:t>
        </w:r>
        <w:r>
          <w:rPr>
            <w:noProof/>
          </w:rPr>
          <w:fldChar w:fldCharType="end"/>
        </w:r>
      </w:p>
    </w:sdtContent>
  </w:sdt>
  <w:p w:rsidR="008E3E94" w:rsidRDefault="00F30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E56" w:rsidRDefault="009C2E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AC6"/>
    <w:multiLevelType w:val="hybridMultilevel"/>
    <w:tmpl w:val="92D80E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CB20DBD"/>
    <w:multiLevelType w:val="hybridMultilevel"/>
    <w:tmpl w:val="9FBEB2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DD81A72"/>
    <w:multiLevelType w:val="hybridMultilevel"/>
    <w:tmpl w:val="4F7A4D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7A85F3C"/>
    <w:multiLevelType w:val="hybridMultilevel"/>
    <w:tmpl w:val="AFC460D2"/>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4" w15:restartNumberingAfterBreak="0">
    <w:nsid w:val="69FF228E"/>
    <w:multiLevelType w:val="hybridMultilevel"/>
    <w:tmpl w:val="BFD01B6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7EDF1109"/>
    <w:multiLevelType w:val="hybridMultilevel"/>
    <w:tmpl w:val="10086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99"/>
    <w:rsid w:val="0000474F"/>
    <w:rsid w:val="000116D1"/>
    <w:rsid w:val="00024061"/>
    <w:rsid w:val="0002450B"/>
    <w:rsid w:val="00036CED"/>
    <w:rsid w:val="00044B41"/>
    <w:rsid w:val="00052CBF"/>
    <w:rsid w:val="0006532F"/>
    <w:rsid w:val="00066620"/>
    <w:rsid w:val="0007136D"/>
    <w:rsid w:val="00072346"/>
    <w:rsid w:val="0008663D"/>
    <w:rsid w:val="000D0DD7"/>
    <w:rsid w:val="000D48C2"/>
    <w:rsid w:val="000E2A64"/>
    <w:rsid w:val="000E65A2"/>
    <w:rsid w:val="001278B3"/>
    <w:rsid w:val="00131F99"/>
    <w:rsid w:val="0013296E"/>
    <w:rsid w:val="00136A1C"/>
    <w:rsid w:val="00155B64"/>
    <w:rsid w:val="001829A7"/>
    <w:rsid w:val="001871C6"/>
    <w:rsid w:val="001A322F"/>
    <w:rsid w:val="001B0388"/>
    <w:rsid w:val="001B298A"/>
    <w:rsid w:val="001C7A01"/>
    <w:rsid w:val="00241272"/>
    <w:rsid w:val="00281DB6"/>
    <w:rsid w:val="002904A4"/>
    <w:rsid w:val="002B2CA3"/>
    <w:rsid w:val="002C1463"/>
    <w:rsid w:val="002C25F1"/>
    <w:rsid w:val="002D1699"/>
    <w:rsid w:val="002E3ACB"/>
    <w:rsid w:val="002F47DF"/>
    <w:rsid w:val="00300CEC"/>
    <w:rsid w:val="00315CFC"/>
    <w:rsid w:val="003161EE"/>
    <w:rsid w:val="003259F7"/>
    <w:rsid w:val="003277E9"/>
    <w:rsid w:val="00340368"/>
    <w:rsid w:val="00340D5B"/>
    <w:rsid w:val="00340D74"/>
    <w:rsid w:val="00393FB0"/>
    <w:rsid w:val="003A061D"/>
    <w:rsid w:val="003E16AB"/>
    <w:rsid w:val="003E4A7D"/>
    <w:rsid w:val="00424A28"/>
    <w:rsid w:val="00430346"/>
    <w:rsid w:val="004461C7"/>
    <w:rsid w:val="00453943"/>
    <w:rsid w:val="00460583"/>
    <w:rsid w:val="00472151"/>
    <w:rsid w:val="00474FF2"/>
    <w:rsid w:val="00486883"/>
    <w:rsid w:val="004952DC"/>
    <w:rsid w:val="004A36B2"/>
    <w:rsid w:val="004B4B06"/>
    <w:rsid w:val="004E1132"/>
    <w:rsid w:val="0050409C"/>
    <w:rsid w:val="00510466"/>
    <w:rsid w:val="00512D06"/>
    <w:rsid w:val="00523CA1"/>
    <w:rsid w:val="00535F50"/>
    <w:rsid w:val="005419DB"/>
    <w:rsid w:val="005439D4"/>
    <w:rsid w:val="00545CBA"/>
    <w:rsid w:val="0055236E"/>
    <w:rsid w:val="0056352F"/>
    <w:rsid w:val="005A47A1"/>
    <w:rsid w:val="005B70BE"/>
    <w:rsid w:val="005C2338"/>
    <w:rsid w:val="005D647E"/>
    <w:rsid w:val="005D6792"/>
    <w:rsid w:val="005E61FE"/>
    <w:rsid w:val="00600865"/>
    <w:rsid w:val="0060225A"/>
    <w:rsid w:val="00605F42"/>
    <w:rsid w:val="006145B9"/>
    <w:rsid w:val="0065737F"/>
    <w:rsid w:val="00696EA8"/>
    <w:rsid w:val="006C1971"/>
    <w:rsid w:val="006C286E"/>
    <w:rsid w:val="006E29F4"/>
    <w:rsid w:val="00712C6A"/>
    <w:rsid w:val="007259D0"/>
    <w:rsid w:val="00737C6D"/>
    <w:rsid w:val="00747290"/>
    <w:rsid w:val="0075314F"/>
    <w:rsid w:val="00754F42"/>
    <w:rsid w:val="00766905"/>
    <w:rsid w:val="007A46F0"/>
    <w:rsid w:val="007B2A9E"/>
    <w:rsid w:val="007B77A9"/>
    <w:rsid w:val="007C12CB"/>
    <w:rsid w:val="007C25E9"/>
    <w:rsid w:val="007D32C0"/>
    <w:rsid w:val="007D3866"/>
    <w:rsid w:val="007D5ABA"/>
    <w:rsid w:val="0080393C"/>
    <w:rsid w:val="00813B16"/>
    <w:rsid w:val="008144CD"/>
    <w:rsid w:val="008321F6"/>
    <w:rsid w:val="00835B29"/>
    <w:rsid w:val="008619DD"/>
    <w:rsid w:val="00863EB9"/>
    <w:rsid w:val="00871BF6"/>
    <w:rsid w:val="00872956"/>
    <w:rsid w:val="00885764"/>
    <w:rsid w:val="0089015D"/>
    <w:rsid w:val="00891DDA"/>
    <w:rsid w:val="008C2194"/>
    <w:rsid w:val="008D20CF"/>
    <w:rsid w:val="008F3F88"/>
    <w:rsid w:val="009075F4"/>
    <w:rsid w:val="00920A49"/>
    <w:rsid w:val="00940EC7"/>
    <w:rsid w:val="00947734"/>
    <w:rsid w:val="00956D61"/>
    <w:rsid w:val="0096168C"/>
    <w:rsid w:val="0096283E"/>
    <w:rsid w:val="00963A43"/>
    <w:rsid w:val="009B241C"/>
    <w:rsid w:val="009C2E56"/>
    <w:rsid w:val="009D10FC"/>
    <w:rsid w:val="009D52D8"/>
    <w:rsid w:val="009D6B54"/>
    <w:rsid w:val="009D7019"/>
    <w:rsid w:val="009E0B19"/>
    <w:rsid w:val="009E4A30"/>
    <w:rsid w:val="009F593D"/>
    <w:rsid w:val="00A16065"/>
    <w:rsid w:val="00A17737"/>
    <w:rsid w:val="00A47755"/>
    <w:rsid w:val="00A50329"/>
    <w:rsid w:val="00A52EE0"/>
    <w:rsid w:val="00A55CC8"/>
    <w:rsid w:val="00A662F8"/>
    <w:rsid w:val="00A704D4"/>
    <w:rsid w:val="00A707E1"/>
    <w:rsid w:val="00A70AD5"/>
    <w:rsid w:val="00A71483"/>
    <w:rsid w:val="00A85079"/>
    <w:rsid w:val="00A96C9B"/>
    <w:rsid w:val="00A9777D"/>
    <w:rsid w:val="00AD1B30"/>
    <w:rsid w:val="00AD3346"/>
    <w:rsid w:val="00AE5CC5"/>
    <w:rsid w:val="00B04148"/>
    <w:rsid w:val="00B11B20"/>
    <w:rsid w:val="00B223FE"/>
    <w:rsid w:val="00B257AB"/>
    <w:rsid w:val="00B31802"/>
    <w:rsid w:val="00B46B66"/>
    <w:rsid w:val="00B54DF3"/>
    <w:rsid w:val="00B72007"/>
    <w:rsid w:val="00B728C8"/>
    <w:rsid w:val="00B77FDA"/>
    <w:rsid w:val="00B82E8F"/>
    <w:rsid w:val="00B87BE1"/>
    <w:rsid w:val="00B90674"/>
    <w:rsid w:val="00B97EE6"/>
    <w:rsid w:val="00C04273"/>
    <w:rsid w:val="00C06274"/>
    <w:rsid w:val="00C0701A"/>
    <w:rsid w:val="00C11494"/>
    <w:rsid w:val="00C471BD"/>
    <w:rsid w:val="00C665DF"/>
    <w:rsid w:val="00C70001"/>
    <w:rsid w:val="00C75817"/>
    <w:rsid w:val="00C763C6"/>
    <w:rsid w:val="00C81EDF"/>
    <w:rsid w:val="00CB35F2"/>
    <w:rsid w:val="00CB49B3"/>
    <w:rsid w:val="00CC788E"/>
    <w:rsid w:val="00CD7274"/>
    <w:rsid w:val="00CF79C8"/>
    <w:rsid w:val="00D26348"/>
    <w:rsid w:val="00D304E5"/>
    <w:rsid w:val="00D4071C"/>
    <w:rsid w:val="00D655C9"/>
    <w:rsid w:val="00D72749"/>
    <w:rsid w:val="00D97737"/>
    <w:rsid w:val="00DA025B"/>
    <w:rsid w:val="00DA0781"/>
    <w:rsid w:val="00DC0110"/>
    <w:rsid w:val="00DD1BEC"/>
    <w:rsid w:val="00DE451C"/>
    <w:rsid w:val="00DF0400"/>
    <w:rsid w:val="00E00901"/>
    <w:rsid w:val="00E0599C"/>
    <w:rsid w:val="00E24243"/>
    <w:rsid w:val="00E269F4"/>
    <w:rsid w:val="00E41B58"/>
    <w:rsid w:val="00E67418"/>
    <w:rsid w:val="00E832E1"/>
    <w:rsid w:val="00E867F6"/>
    <w:rsid w:val="00EA79ED"/>
    <w:rsid w:val="00EB5513"/>
    <w:rsid w:val="00EB73CE"/>
    <w:rsid w:val="00EC607B"/>
    <w:rsid w:val="00EC7D73"/>
    <w:rsid w:val="00EF3448"/>
    <w:rsid w:val="00EF5BAF"/>
    <w:rsid w:val="00EF6CC2"/>
    <w:rsid w:val="00F27364"/>
    <w:rsid w:val="00F30532"/>
    <w:rsid w:val="00F30798"/>
    <w:rsid w:val="00F3636F"/>
    <w:rsid w:val="00F73DA7"/>
    <w:rsid w:val="00F95FF9"/>
    <w:rsid w:val="00FA1548"/>
    <w:rsid w:val="00FB45AA"/>
    <w:rsid w:val="00FB73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E1BFA"/>
  <w15:docId w15:val="{CF4D476E-E828-4D3A-91F2-52B4784A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99"/>
    <w:pPr>
      <w:spacing w:after="0" w:line="240" w:lineRule="auto"/>
      <w:ind w:firstLine="720"/>
    </w:pPr>
    <w:rPr>
      <w:rFonts w:ascii="Times New Roman" w:hAnsi="Times New Roman"/>
      <w:sz w:val="28"/>
    </w:rPr>
  </w:style>
  <w:style w:type="paragraph" w:styleId="Heading3">
    <w:name w:val="heading 3"/>
    <w:basedOn w:val="Normal"/>
    <w:next w:val="Normal"/>
    <w:link w:val="Heading3Char"/>
    <w:uiPriority w:val="99"/>
    <w:qFormat/>
    <w:rsid w:val="002D1699"/>
    <w:pPr>
      <w:keepNext/>
      <w:spacing w:before="240" w:after="60"/>
      <w:ind w:firstLine="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D1699"/>
    <w:rPr>
      <w:rFonts w:ascii="Cambria" w:eastAsia="Times New Roman" w:hAnsi="Cambria" w:cs="Times New Roman"/>
      <w:b/>
      <w:bCs/>
      <w:sz w:val="26"/>
      <w:szCs w:val="26"/>
      <w:lang w:val="en-US"/>
    </w:rPr>
  </w:style>
  <w:style w:type="character" w:styleId="Hyperlink">
    <w:name w:val="Hyperlink"/>
    <w:basedOn w:val="DefaultParagraphFont"/>
    <w:uiPriority w:val="99"/>
    <w:unhideWhenUsed/>
    <w:rsid w:val="002D1699"/>
    <w:rPr>
      <w:color w:val="0000FF" w:themeColor="hyperlink"/>
      <w:u w:val="single"/>
    </w:rPr>
  </w:style>
  <w:style w:type="paragraph" w:styleId="Header">
    <w:name w:val="header"/>
    <w:basedOn w:val="Normal"/>
    <w:link w:val="HeaderChar"/>
    <w:uiPriority w:val="99"/>
    <w:rsid w:val="002D1699"/>
    <w:pPr>
      <w:tabs>
        <w:tab w:val="center" w:pos="4153"/>
        <w:tab w:val="right" w:pos="8306"/>
      </w:tabs>
      <w:ind w:firstLine="0"/>
    </w:pPr>
    <w:rPr>
      <w:rFonts w:eastAsia="Times New Roman" w:cs="Times New Roman"/>
      <w:sz w:val="24"/>
      <w:szCs w:val="24"/>
      <w:lang w:eastAsia="lv-LV"/>
    </w:rPr>
  </w:style>
  <w:style w:type="character" w:customStyle="1" w:styleId="HeaderChar">
    <w:name w:val="Header Char"/>
    <w:basedOn w:val="DefaultParagraphFont"/>
    <w:link w:val="Header"/>
    <w:uiPriority w:val="99"/>
    <w:rsid w:val="002D1699"/>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rsid w:val="002D1699"/>
    <w:pPr>
      <w:spacing w:after="120"/>
      <w:ind w:left="283" w:firstLine="0"/>
    </w:pPr>
    <w:rPr>
      <w:rFonts w:eastAsia="Times New Roman" w:cs="Times New Roman"/>
      <w:sz w:val="24"/>
      <w:szCs w:val="24"/>
      <w:lang w:eastAsia="lv-LV"/>
    </w:rPr>
  </w:style>
  <w:style w:type="character" w:customStyle="1" w:styleId="BodyTextIndentChar">
    <w:name w:val="Body Text Indent Char"/>
    <w:basedOn w:val="DefaultParagraphFont"/>
    <w:link w:val="BodyTextIndent"/>
    <w:uiPriority w:val="99"/>
    <w:rsid w:val="002D169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2D1699"/>
    <w:pPr>
      <w:tabs>
        <w:tab w:val="center" w:pos="4153"/>
        <w:tab w:val="right" w:pos="8306"/>
      </w:tabs>
    </w:pPr>
  </w:style>
  <w:style w:type="character" w:customStyle="1" w:styleId="FooterChar">
    <w:name w:val="Footer Char"/>
    <w:basedOn w:val="DefaultParagraphFont"/>
    <w:link w:val="Footer"/>
    <w:uiPriority w:val="99"/>
    <w:rsid w:val="002D1699"/>
    <w:rPr>
      <w:rFonts w:ascii="Times New Roman" w:hAnsi="Times New Roman"/>
      <w:sz w:val="28"/>
    </w:rPr>
  </w:style>
  <w:style w:type="paragraph" w:styleId="ListParagraph">
    <w:name w:val="List Paragraph"/>
    <w:basedOn w:val="Normal"/>
    <w:uiPriority w:val="34"/>
    <w:qFormat/>
    <w:rsid w:val="002D1699"/>
    <w:pPr>
      <w:ind w:left="720"/>
      <w:contextualSpacing/>
    </w:pPr>
  </w:style>
  <w:style w:type="character" w:styleId="Strong">
    <w:name w:val="Strong"/>
    <w:uiPriority w:val="22"/>
    <w:qFormat/>
    <w:rsid w:val="00DA0781"/>
    <w:rPr>
      <w:b/>
      <w:bCs/>
      <w:color w:val="68738C"/>
    </w:rPr>
  </w:style>
  <w:style w:type="character" w:styleId="CommentReference">
    <w:name w:val="annotation reference"/>
    <w:basedOn w:val="DefaultParagraphFont"/>
    <w:uiPriority w:val="99"/>
    <w:semiHidden/>
    <w:unhideWhenUsed/>
    <w:rsid w:val="00052CBF"/>
    <w:rPr>
      <w:sz w:val="16"/>
      <w:szCs w:val="16"/>
    </w:rPr>
  </w:style>
  <w:style w:type="paragraph" w:styleId="CommentText">
    <w:name w:val="annotation text"/>
    <w:basedOn w:val="Normal"/>
    <w:link w:val="CommentTextChar"/>
    <w:uiPriority w:val="99"/>
    <w:semiHidden/>
    <w:unhideWhenUsed/>
    <w:rsid w:val="00052CBF"/>
    <w:rPr>
      <w:sz w:val="20"/>
      <w:szCs w:val="20"/>
    </w:rPr>
  </w:style>
  <w:style w:type="character" w:customStyle="1" w:styleId="CommentTextChar">
    <w:name w:val="Comment Text Char"/>
    <w:basedOn w:val="DefaultParagraphFont"/>
    <w:link w:val="CommentText"/>
    <w:uiPriority w:val="99"/>
    <w:semiHidden/>
    <w:rsid w:val="00052CB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2CBF"/>
    <w:rPr>
      <w:b/>
      <w:bCs/>
    </w:rPr>
  </w:style>
  <w:style w:type="character" w:customStyle="1" w:styleId="CommentSubjectChar">
    <w:name w:val="Comment Subject Char"/>
    <w:basedOn w:val="CommentTextChar"/>
    <w:link w:val="CommentSubject"/>
    <w:uiPriority w:val="99"/>
    <w:semiHidden/>
    <w:rsid w:val="00052CBF"/>
    <w:rPr>
      <w:rFonts w:ascii="Times New Roman" w:hAnsi="Times New Roman"/>
      <w:b/>
      <w:bCs/>
      <w:sz w:val="20"/>
      <w:szCs w:val="20"/>
    </w:rPr>
  </w:style>
  <w:style w:type="paragraph" w:styleId="BalloonText">
    <w:name w:val="Balloon Text"/>
    <w:basedOn w:val="Normal"/>
    <w:link w:val="BalloonTextChar"/>
    <w:uiPriority w:val="99"/>
    <w:semiHidden/>
    <w:unhideWhenUsed/>
    <w:rsid w:val="00052CBF"/>
    <w:rPr>
      <w:rFonts w:ascii="Tahoma" w:hAnsi="Tahoma" w:cs="Tahoma"/>
      <w:sz w:val="16"/>
      <w:szCs w:val="16"/>
    </w:rPr>
  </w:style>
  <w:style w:type="character" w:customStyle="1" w:styleId="BalloonTextChar">
    <w:name w:val="Balloon Text Char"/>
    <w:basedOn w:val="DefaultParagraphFont"/>
    <w:link w:val="BalloonText"/>
    <w:uiPriority w:val="99"/>
    <w:semiHidden/>
    <w:rsid w:val="00052CBF"/>
    <w:rPr>
      <w:rFonts w:ascii="Tahoma" w:hAnsi="Tahoma" w:cs="Tahoma"/>
      <w:sz w:val="16"/>
      <w:szCs w:val="16"/>
    </w:rPr>
  </w:style>
  <w:style w:type="character" w:styleId="FollowedHyperlink">
    <w:name w:val="FollowedHyperlink"/>
    <w:basedOn w:val="DefaultParagraphFont"/>
    <w:uiPriority w:val="99"/>
    <w:semiHidden/>
    <w:unhideWhenUsed/>
    <w:rsid w:val="005A47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96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1/181?locale=LV" TargetMode="External"/><Relationship Id="rId13" Type="http://schemas.openxmlformats.org/officeDocument/2006/relationships/hyperlink" Target="http://eur-lex.europa.eu/eli/reg/2011/181?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likumi.lv/doc.php?id=6072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1/181?locale=LV" TargetMode="External"/><Relationship Id="rId5" Type="http://schemas.openxmlformats.org/officeDocument/2006/relationships/webSettings" Target="webSettings.xml"/><Relationship Id="rId15" Type="http://schemas.openxmlformats.org/officeDocument/2006/relationships/hyperlink" Target="mailto:dana.ziemele-adricka@sam.gov.lv" TargetMode="External"/><Relationship Id="rId23" Type="http://schemas.openxmlformats.org/officeDocument/2006/relationships/theme" Target="theme/theme1.xml"/><Relationship Id="rId10" Type="http://schemas.openxmlformats.org/officeDocument/2006/relationships/hyperlink" Target="http://eur-lex.europa.eu/eli/reg/2011/181?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04/2006?locale=LV" TargetMode="External"/><Relationship Id="rId14" Type="http://schemas.openxmlformats.org/officeDocument/2006/relationships/hyperlink" Target="http://eur-lex.europa.eu/eli/reg/2004/2006?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2F9A-FCE3-4D24-B00C-02BD58655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6293</Words>
  <Characters>3588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2012.gada 10.janvāra noteikumos Nr.37„Noteikumi par pasažieru starptautiskajiem pārvadājumiem ar autobusiem, to organizēšanas, veikšanas, maršrutu atklāšanas, grozīšanas un slēgšanas kārtīb</vt:lpstr>
    </vt:vector>
  </TitlesOfParts>
  <Company>Satiksmes ministrija</Company>
  <LinksUpToDate>false</LinksUpToDate>
  <CharactersWithSpaces>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10.janvāra noteikumos Nr.37„Noteikumi par pasažieru starptautiskajiem pārvadājumiem ar autobusiem, to organizēšanas, veikšanas, maršrutu atklāšanas, grozīšanas un slēgšanas kārtību”” sākotnējās ietekmes novērtējuma ziņojums (anotācija)</dc:title>
  <dc:subject>Anotācija</dc:subject>
  <dc:creator>S.Tanne, I.Gromule</dc:creator>
  <dc:description>S.Tanne, 67686480, 
sandra.tanne@atd.lv
I.Gromule, 67686458
indra.gromule@atd.lv</dc:description>
  <cp:lastModifiedBy>Dana Ziemele Adricka</cp:lastModifiedBy>
  <cp:revision>16</cp:revision>
  <cp:lastPrinted>2016-09-15T12:21:00Z</cp:lastPrinted>
  <dcterms:created xsi:type="dcterms:W3CDTF">2016-10-27T12:30:00Z</dcterms:created>
  <dcterms:modified xsi:type="dcterms:W3CDTF">2016-10-28T08:39:00Z</dcterms:modified>
</cp:coreProperties>
</file>