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C3EF" w14:textId="77777777" w:rsidR="00960EE2" w:rsidRPr="00A26197" w:rsidRDefault="00D23877" w:rsidP="00580BAC">
      <w:pPr>
        <w:spacing w:after="120"/>
        <w:jc w:val="center"/>
        <w:rPr>
          <w:b/>
          <w:caps/>
        </w:rPr>
      </w:pPr>
      <w:r w:rsidRPr="00A26197">
        <w:rPr>
          <w:b/>
          <w:caps/>
        </w:rPr>
        <w:t>Informatīvais ziņojums</w:t>
      </w:r>
    </w:p>
    <w:p w14:paraId="2C547F91" w14:textId="4CDACEE4" w:rsidR="005305B8" w:rsidRPr="00A26197" w:rsidRDefault="00D23877" w:rsidP="00580BAC">
      <w:pPr>
        <w:pStyle w:val="BodyTextIndent"/>
        <w:spacing w:after="120"/>
        <w:ind w:firstLine="0"/>
        <w:jc w:val="center"/>
        <w:rPr>
          <w:sz w:val="24"/>
          <w:szCs w:val="24"/>
        </w:rPr>
      </w:pPr>
      <w:r w:rsidRPr="00A26197">
        <w:rPr>
          <w:sz w:val="24"/>
          <w:szCs w:val="24"/>
        </w:rPr>
        <w:t xml:space="preserve">Par </w:t>
      </w:r>
      <w:r w:rsidR="002F1A3F" w:rsidRPr="00A26197">
        <w:rPr>
          <w:sz w:val="24"/>
          <w:szCs w:val="24"/>
        </w:rPr>
        <w:t>201</w:t>
      </w:r>
      <w:r w:rsidR="00FC7EA8" w:rsidRPr="00A26197">
        <w:rPr>
          <w:sz w:val="24"/>
          <w:szCs w:val="24"/>
        </w:rPr>
        <w:t>6</w:t>
      </w:r>
      <w:r w:rsidR="002F1A3F" w:rsidRPr="00A26197">
        <w:rPr>
          <w:sz w:val="24"/>
          <w:szCs w:val="24"/>
        </w:rPr>
        <w:t>.</w:t>
      </w:r>
      <w:r w:rsidR="00E807E7" w:rsidRPr="00A26197">
        <w:rPr>
          <w:sz w:val="24"/>
          <w:szCs w:val="24"/>
        </w:rPr>
        <w:t> </w:t>
      </w:r>
      <w:r w:rsidR="002F1A3F" w:rsidRPr="00A26197">
        <w:rPr>
          <w:sz w:val="24"/>
          <w:szCs w:val="24"/>
        </w:rPr>
        <w:t xml:space="preserve">gada </w:t>
      </w:r>
      <w:r w:rsidR="00A46922" w:rsidRPr="00A26197">
        <w:rPr>
          <w:sz w:val="24"/>
          <w:szCs w:val="24"/>
        </w:rPr>
        <w:t>19</w:t>
      </w:r>
      <w:r w:rsidR="005C5CA5" w:rsidRPr="00A26197">
        <w:rPr>
          <w:sz w:val="24"/>
          <w:szCs w:val="24"/>
        </w:rPr>
        <w:t>.</w:t>
      </w:r>
      <w:r w:rsidR="00670B39" w:rsidRPr="00A26197">
        <w:rPr>
          <w:sz w:val="24"/>
          <w:szCs w:val="24"/>
        </w:rPr>
        <w:t> </w:t>
      </w:r>
      <w:r w:rsidR="00A46922" w:rsidRPr="00A26197">
        <w:rPr>
          <w:sz w:val="24"/>
          <w:szCs w:val="24"/>
        </w:rPr>
        <w:t>decembra</w:t>
      </w:r>
      <w:r w:rsidR="00996F2C" w:rsidRPr="00A26197">
        <w:rPr>
          <w:sz w:val="24"/>
          <w:szCs w:val="24"/>
        </w:rPr>
        <w:t xml:space="preserve"> </w:t>
      </w:r>
      <w:r w:rsidRPr="00A26197">
        <w:rPr>
          <w:sz w:val="24"/>
          <w:szCs w:val="24"/>
        </w:rPr>
        <w:t xml:space="preserve">Eiropas Savienības </w:t>
      </w:r>
      <w:r w:rsidR="00E222E4" w:rsidRPr="00A26197">
        <w:rPr>
          <w:sz w:val="24"/>
          <w:szCs w:val="24"/>
        </w:rPr>
        <w:t xml:space="preserve">Vides </w:t>
      </w:r>
      <w:r w:rsidRPr="00A26197">
        <w:rPr>
          <w:sz w:val="24"/>
          <w:szCs w:val="24"/>
        </w:rPr>
        <w:t>ministru padom</w:t>
      </w:r>
      <w:r w:rsidR="00EA1C80" w:rsidRPr="00A26197">
        <w:rPr>
          <w:sz w:val="24"/>
          <w:szCs w:val="24"/>
        </w:rPr>
        <w:t>es sanāksm</w:t>
      </w:r>
      <w:r w:rsidR="007778EB" w:rsidRPr="00A26197">
        <w:rPr>
          <w:sz w:val="24"/>
          <w:szCs w:val="24"/>
        </w:rPr>
        <w:t>ē</w:t>
      </w:r>
      <w:r w:rsidR="002F1A3F" w:rsidRPr="00A26197">
        <w:rPr>
          <w:sz w:val="24"/>
          <w:szCs w:val="24"/>
        </w:rPr>
        <w:t xml:space="preserve"> izskatāmajiem jautājumiem</w:t>
      </w:r>
    </w:p>
    <w:p w14:paraId="40AEAC0D" w14:textId="2C02F9D4" w:rsidR="00704D02" w:rsidRPr="00A26197" w:rsidRDefault="005305B8" w:rsidP="00580BAC">
      <w:pPr>
        <w:spacing w:after="120"/>
        <w:ind w:firstLine="567"/>
        <w:jc w:val="both"/>
      </w:pPr>
      <w:r w:rsidRPr="00A26197">
        <w:t>201</w:t>
      </w:r>
      <w:r w:rsidR="00FC7EA8" w:rsidRPr="00A26197">
        <w:t>6</w:t>
      </w:r>
      <w:r w:rsidRPr="00A26197">
        <w:t>.</w:t>
      </w:r>
      <w:r w:rsidR="00E807E7" w:rsidRPr="00A26197">
        <w:t> </w:t>
      </w:r>
      <w:r w:rsidRPr="00A26197">
        <w:t xml:space="preserve">gada </w:t>
      </w:r>
      <w:r w:rsidR="00A46922" w:rsidRPr="00A26197">
        <w:t>19</w:t>
      </w:r>
      <w:r w:rsidR="005C5CA5" w:rsidRPr="00A26197">
        <w:t>.</w:t>
      </w:r>
      <w:r w:rsidR="00670B39" w:rsidRPr="00A26197">
        <w:t> </w:t>
      </w:r>
      <w:r w:rsidR="00A46922" w:rsidRPr="00A26197">
        <w:t>decembrī</w:t>
      </w:r>
      <w:r w:rsidR="00F81925" w:rsidRPr="00A26197">
        <w:t xml:space="preserve"> </w:t>
      </w:r>
      <w:r w:rsidR="0036388B" w:rsidRPr="00A26197">
        <w:t>notiks</w:t>
      </w:r>
      <w:r w:rsidR="00F81925" w:rsidRPr="00A26197">
        <w:t xml:space="preserve"> E</w:t>
      </w:r>
      <w:r w:rsidR="00233987" w:rsidRPr="00A26197">
        <w:t xml:space="preserve">iropas </w:t>
      </w:r>
      <w:r w:rsidR="00F81925" w:rsidRPr="00A26197">
        <w:t>S</w:t>
      </w:r>
      <w:r w:rsidR="00233987" w:rsidRPr="00A26197">
        <w:t>avienības</w:t>
      </w:r>
      <w:r w:rsidR="00A53A92" w:rsidRPr="00A26197">
        <w:t xml:space="preserve"> (turpmāk – ES)</w:t>
      </w:r>
      <w:r w:rsidR="00F81925" w:rsidRPr="00A26197">
        <w:t xml:space="preserve"> Vides ministru</w:t>
      </w:r>
      <w:r w:rsidRPr="00A26197">
        <w:t xml:space="preserve"> </w:t>
      </w:r>
      <w:r w:rsidR="0036388B" w:rsidRPr="00A26197">
        <w:t>padome</w:t>
      </w:r>
      <w:r w:rsidR="000D3C0E" w:rsidRPr="00A26197">
        <w:t>s sanāksme</w:t>
      </w:r>
      <w:r w:rsidRPr="00A26197">
        <w:t xml:space="preserve"> </w:t>
      </w:r>
      <w:r w:rsidR="00A46922" w:rsidRPr="00A26197">
        <w:t>Briselē</w:t>
      </w:r>
      <w:r w:rsidR="00151ADB" w:rsidRPr="00A26197">
        <w:t xml:space="preserve">. Tajā </w:t>
      </w:r>
      <w:r w:rsidR="007C76DF" w:rsidRPr="00A26197">
        <w:t>plānot</w:t>
      </w:r>
      <w:r w:rsidR="00FC7EA8" w:rsidRPr="00A26197">
        <w:t>s</w:t>
      </w:r>
      <w:r w:rsidR="007C76DF" w:rsidRPr="00A26197">
        <w:t xml:space="preserve"> </w:t>
      </w:r>
      <w:r w:rsidR="00A46922" w:rsidRPr="00A26197">
        <w:t>panākt vispārējo vieno</w:t>
      </w:r>
      <w:r w:rsidR="00524AD3">
        <w:t>šano</w:t>
      </w:r>
      <w:r w:rsidR="00E22BA6" w:rsidRPr="00A26197">
        <w:t>s par</w:t>
      </w:r>
      <w:r w:rsidR="00A72B5A" w:rsidRPr="00A26197">
        <w:t xml:space="preserve"> grozījumiem Direktīvā 2003/87/EK, lai sekmētu emisiju izmaksefektīvu samazināšanu</w:t>
      </w:r>
      <w:r w:rsidR="00A53A92" w:rsidRPr="00A26197">
        <w:t xml:space="preserve">, kā arī </w:t>
      </w:r>
      <w:r w:rsidR="005C5CA5" w:rsidRPr="00A26197">
        <w:t xml:space="preserve">plānots </w:t>
      </w:r>
      <w:r w:rsidR="00A53A92" w:rsidRPr="00A26197">
        <w:t xml:space="preserve">apstiprināt Padomes secinājumus par </w:t>
      </w:r>
      <w:r w:rsidR="00A72B5A" w:rsidRPr="00A26197">
        <w:t>cilvēku veselības un vides aizsardzību īstenojot drošu ķīmisko vielu pārvaldību</w:t>
      </w:r>
      <w:r w:rsidR="00A53A92" w:rsidRPr="00A26197">
        <w:t xml:space="preserve">. </w:t>
      </w:r>
    </w:p>
    <w:p w14:paraId="080B486A" w14:textId="77777777" w:rsidR="0071379A" w:rsidRPr="00A26197" w:rsidRDefault="0071379A" w:rsidP="00580BAC">
      <w:pPr>
        <w:spacing w:after="120"/>
        <w:ind w:firstLine="360"/>
        <w:jc w:val="both"/>
        <w:rPr>
          <w:color w:val="000000"/>
        </w:rPr>
      </w:pPr>
    </w:p>
    <w:p w14:paraId="33E5CE3E" w14:textId="08BAC882" w:rsidR="007C76DF" w:rsidRPr="00A26197" w:rsidRDefault="00A35DD2" w:rsidP="00A35DD2">
      <w:pPr>
        <w:pStyle w:val="PointManual"/>
        <w:shd w:val="clear" w:color="auto" w:fill="A6A6A6" w:themeFill="background1" w:themeFillShade="A6"/>
        <w:spacing w:before="0" w:after="120"/>
        <w:ind w:left="284" w:hanging="284"/>
        <w:jc w:val="both"/>
        <w:rPr>
          <w:b/>
        </w:rPr>
      </w:pPr>
      <w:r>
        <w:rPr>
          <w:b/>
        </w:rPr>
        <w:t>1. </w:t>
      </w:r>
      <w:r w:rsidR="00A46922" w:rsidRPr="00A26197">
        <w:rPr>
          <w:b/>
        </w:rPr>
        <w:t>Priekšlikums – Eiropas Parlamenta un Padomes Direktīva, ar ko groza Direktīvu 2003/87/EK, lai sekmētu emisiju izmaksefektīvu samazināšanu un investīcijas mazoglekļa risinājumos</w:t>
      </w:r>
      <w:r w:rsidR="006E61C1" w:rsidRPr="00A26197">
        <w:rPr>
          <w:b/>
        </w:rPr>
        <w:t xml:space="preserve"> </w:t>
      </w:r>
      <w:r w:rsidR="00431207">
        <w:rPr>
          <w:b/>
        </w:rPr>
        <w:t xml:space="preserve">- </w:t>
      </w:r>
      <w:r w:rsidR="00431207" w:rsidRPr="00431207">
        <w:t>vispārējā pieeja</w:t>
      </w:r>
    </w:p>
    <w:p w14:paraId="35CE237E" w14:textId="2095A334" w:rsidR="00273C14" w:rsidRPr="00040DB7" w:rsidRDefault="00273C14" w:rsidP="00580BAC">
      <w:pPr>
        <w:pStyle w:val="BodyText2"/>
        <w:widowControl w:val="0"/>
        <w:spacing w:line="240" w:lineRule="auto"/>
        <w:ind w:firstLine="720"/>
        <w:jc w:val="both"/>
      </w:pPr>
      <w:r w:rsidRPr="00040DB7">
        <w:t>Eiropadome 2014.</w:t>
      </w:r>
      <w:r>
        <w:t> </w:t>
      </w:r>
      <w:r w:rsidRPr="00040DB7">
        <w:t>gada 24.</w:t>
      </w:r>
      <w:r>
        <w:t> </w:t>
      </w:r>
      <w:r w:rsidRPr="00040DB7">
        <w:t>oktobrī pieņēma secinājumus „</w:t>
      </w:r>
      <w:r w:rsidRPr="00F2460F">
        <w:rPr>
          <w:i/>
        </w:rPr>
        <w:t>Par klimata un enerģētikas politikas satvaru laikposmam no 2020.</w:t>
      </w:r>
      <w:r>
        <w:rPr>
          <w:i/>
        </w:rPr>
        <w:t> </w:t>
      </w:r>
      <w:r w:rsidRPr="00F2460F">
        <w:rPr>
          <w:i/>
        </w:rPr>
        <w:t>gada līdz 2030.</w:t>
      </w:r>
      <w:r>
        <w:rPr>
          <w:i/>
        </w:rPr>
        <w:t> </w:t>
      </w:r>
      <w:r w:rsidRPr="00F2460F">
        <w:rPr>
          <w:i/>
        </w:rPr>
        <w:t>gadam</w:t>
      </w:r>
      <w:r w:rsidRPr="00040DB7">
        <w:t>” (tu</w:t>
      </w:r>
      <w:r>
        <w:t>rpmāk – Eiropadomes secinājumi)</w:t>
      </w:r>
      <w:r w:rsidRPr="00040DB7">
        <w:t xml:space="preserve"> </w:t>
      </w:r>
      <w:r>
        <w:t>un</w:t>
      </w:r>
      <w:r w:rsidRPr="00040DB7">
        <w:t xml:space="preserve"> </w:t>
      </w:r>
      <w:r>
        <w:t xml:space="preserve">tādējādi </w:t>
      </w:r>
      <w:r w:rsidRPr="00040DB7">
        <w:t xml:space="preserve">noteica nosacījumus Klimata un </w:t>
      </w:r>
      <w:r>
        <w:t>e</w:t>
      </w:r>
      <w:r w:rsidRPr="00040DB7">
        <w:t>nerģētikas politikas satvara laika</w:t>
      </w:r>
      <w:r>
        <w:t xml:space="preserve"> </w:t>
      </w:r>
      <w:r w:rsidRPr="00040DB7">
        <w:t>posmam līdz 2030.</w:t>
      </w:r>
      <w:r>
        <w:t> </w:t>
      </w:r>
      <w:r w:rsidRPr="00040DB7">
        <w:t xml:space="preserve">gadam noteikto mērķu īstenošanai. Tie paredz, ka </w:t>
      </w:r>
      <w:r w:rsidR="00524AD3">
        <w:t>ES</w:t>
      </w:r>
      <w:r w:rsidRPr="00040DB7">
        <w:t xml:space="preserve"> Emisijas kvotu tirdzniecības sistēma (turpmāk – ES ETS), kas tika izveidota ar </w:t>
      </w:r>
      <w:r w:rsidRPr="00F2460F">
        <w:rPr>
          <w:i/>
        </w:rPr>
        <w:t>Eiropas Parlamenta un Padomes 2003.</w:t>
      </w:r>
      <w:r>
        <w:rPr>
          <w:i/>
        </w:rPr>
        <w:t> </w:t>
      </w:r>
      <w:r w:rsidRPr="00F2460F">
        <w:rPr>
          <w:i/>
        </w:rPr>
        <w:t>gada 13.</w:t>
      </w:r>
      <w:r>
        <w:rPr>
          <w:i/>
        </w:rPr>
        <w:t> </w:t>
      </w:r>
      <w:r w:rsidRPr="00F2460F">
        <w:rPr>
          <w:i/>
        </w:rPr>
        <w:t xml:space="preserve">oktobra </w:t>
      </w:r>
      <w:r>
        <w:rPr>
          <w:i/>
        </w:rPr>
        <w:t>D</w:t>
      </w:r>
      <w:r w:rsidRPr="00F2460F">
        <w:rPr>
          <w:i/>
        </w:rPr>
        <w:t>irektīvu Nr.</w:t>
      </w:r>
      <w:r>
        <w:rPr>
          <w:i/>
        </w:rPr>
        <w:t> </w:t>
      </w:r>
      <w:r w:rsidRPr="00F2460F">
        <w:rPr>
          <w:i/>
        </w:rPr>
        <w:t>2003/87/EK, ar kuru nosaka sistēmu siltumnīcas efektu izraisošo gāzu emisijas kvotu tirdzniecībai Kopienā un groza Padomes Direktīvu</w:t>
      </w:r>
      <w:r>
        <w:rPr>
          <w:i/>
        </w:rPr>
        <w:t> </w:t>
      </w:r>
      <w:r w:rsidRPr="00F2460F">
        <w:rPr>
          <w:i/>
        </w:rPr>
        <w:t>96/61/EK</w:t>
      </w:r>
      <w:r w:rsidRPr="00040DB7">
        <w:t xml:space="preserve"> (turpmāk – ETS direktīva), ir jāreformē un </w:t>
      </w:r>
      <w:r>
        <w:t xml:space="preserve">ir </w:t>
      </w:r>
      <w:r w:rsidRPr="00040DB7">
        <w:t>jānodrošina ES ETS laba un efektīva funkcionēšana.</w:t>
      </w:r>
    </w:p>
    <w:p w14:paraId="40346D25" w14:textId="27A2BFB5" w:rsidR="00273C14" w:rsidRDefault="00273C14" w:rsidP="00580BAC">
      <w:pPr>
        <w:pStyle w:val="BodyText2"/>
        <w:widowControl w:val="0"/>
        <w:spacing w:line="240" w:lineRule="auto"/>
        <w:ind w:firstLine="720"/>
        <w:jc w:val="both"/>
      </w:pPr>
      <w:r w:rsidRPr="00040DB7">
        <w:t>2015.</w:t>
      </w:r>
      <w:r>
        <w:t> </w:t>
      </w:r>
      <w:r w:rsidRPr="00040DB7">
        <w:t>gada 15.</w:t>
      </w:r>
      <w:r>
        <w:t> </w:t>
      </w:r>
      <w:r w:rsidRPr="00040DB7">
        <w:t>jūlijā E</w:t>
      </w:r>
      <w:r>
        <w:t xml:space="preserve">iropas </w:t>
      </w:r>
      <w:r w:rsidRPr="00040DB7">
        <w:t>K</w:t>
      </w:r>
      <w:r>
        <w:t>omisija</w:t>
      </w:r>
      <w:r w:rsidR="00D60719">
        <w:t xml:space="preserve"> (turpmāk – EK)</w:t>
      </w:r>
      <w:r w:rsidRPr="00040DB7">
        <w:t xml:space="preserve"> Enerģētikas Vasaras pakotnes</w:t>
      </w:r>
      <w:r w:rsidRPr="00040DB7">
        <w:rPr>
          <w:rStyle w:val="FootnoteReference"/>
        </w:rPr>
        <w:footnoteReference w:id="1"/>
      </w:r>
      <w:r w:rsidRPr="00040DB7">
        <w:t xml:space="preserve"> ietvaros publicēja </w:t>
      </w:r>
      <w:r w:rsidRPr="00F2460F">
        <w:rPr>
          <w:i/>
        </w:rPr>
        <w:t>Eiropas Parlamenta un Padomes direktīvas projektu, ar ko groza ETS direktīvu, lai sekmētu emisiju izmaksefektīvu samazināšanu un investīcijas mazoglekļa risinājumos</w:t>
      </w:r>
      <w:r w:rsidRPr="00040DB7">
        <w:t xml:space="preserve"> (turpmāk – Direktīvas projekts). </w:t>
      </w:r>
    </w:p>
    <w:p w14:paraId="364BEC26" w14:textId="77777777" w:rsidR="00273C14" w:rsidRPr="005C0B8A" w:rsidRDefault="00273C14" w:rsidP="00580BAC">
      <w:pPr>
        <w:pStyle w:val="BodyText2"/>
        <w:widowControl w:val="0"/>
        <w:spacing w:line="240" w:lineRule="auto"/>
        <w:ind w:firstLine="720"/>
        <w:jc w:val="both"/>
      </w:pPr>
      <w:r w:rsidRPr="005C0B8A">
        <w:t>Direktīvas projekts ir sagatavots, ņemot vērā Eiropadomes secinājumos noteiktos principus attiecībā uz ES ETS darbību:</w:t>
      </w:r>
    </w:p>
    <w:p w14:paraId="19AF4121" w14:textId="30974B5D" w:rsidR="00273C14" w:rsidRPr="005C0B8A" w:rsidRDefault="00273C14" w:rsidP="00580BAC">
      <w:pPr>
        <w:pStyle w:val="BodyText2"/>
        <w:widowControl w:val="0"/>
        <w:numPr>
          <w:ilvl w:val="0"/>
          <w:numId w:val="31"/>
        </w:numPr>
        <w:spacing w:line="240" w:lineRule="auto"/>
        <w:ind w:left="284" w:hanging="284"/>
        <w:jc w:val="both"/>
        <w:rPr>
          <w:b/>
        </w:rPr>
      </w:pPr>
      <w:r w:rsidRPr="005C0B8A">
        <w:t>emisijas kvotu kopapjoma noteikšana, piemērojot Eiropadomes secinājumos noteikto ikgadējo koeficientu maksimālo pieļaujamo emisiju robežvērtības samazināšanai – no 1,74</w:t>
      </w:r>
      <w:r w:rsidR="00524AD3">
        <w:t> </w:t>
      </w:r>
      <w:r w:rsidRPr="005C0B8A">
        <w:t>% uz 2,2</w:t>
      </w:r>
      <w:r w:rsidR="00524AD3">
        <w:t> </w:t>
      </w:r>
      <w:r w:rsidRPr="005C0B8A">
        <w:t>%;</w:t>
      </w:r>
    </w:p>
    <w:p w14:paraId="736241DD" w14:textId="77777777" w:rsidR="00273C14" w:rsidRPr="005C0B8A" w:rsidRDefault="00273C14" w:rsidP="00580BAC">
      <w:pPr>
        <w:pStyle w:val="BodyText2"/>
        <w:widowControl w:val="0"/>
        <w:numPr>
          <w:ilvl w:val="0"/>
          <w:numId w:val="31"/>
        </w:numPr>
        <w:spacing w:line="240" w:lineRule="auto"/>
        <w:ind w:left="284" w:hanging="284"/>
        <w:jc w:val="both"/>
        <w:rPr>
          <w:b/>
        </w:rPr>
      </w:pPr>
      <w:r w:rsidRPr="005C0B8A">
        <w:t>emisijas kvotu izsolīšanas apjoma, bezmaksas emisijas kvotu piešķīruma, jauno iekārtu rezerves apjoma noteikšana, kā arī to emisijas kvotu apjoma noteikšana, kas ir nepieciešama ES ETS ietvaros izveidoto fondu finansēšanai;</w:t>
      </w:r>
    </w:p>
    <w:p w14:paraId="1B85A1F1" w14:textId="3918B3BE" w:rsidR="00273C14" w:rsidRPr="005C0B8A" w:rsidRDefault="00524AD3" w:rsidP="00580BAC">
      <w:pPr>
        <w:pStyle w:val="BodyText2"/>
        <w:widowControl w:val="0"/>
        <w:numPr>
          <w:ilvl w:val="0"/>
          <w:numId w:val="31"/>
        </w:numPr>
        <w:spacing w:line="240" w:lineRule="auto"/>
        <w:ind w:left="284" w:hanging="284"/>
        <w:jc w:val="both"/>
        <w:rPr>
          <w:b/>
        </w:rPr>
      </w:pPr>
      <w:r>
        <w:t>bez</w:t>
      </w:r>
      <w:r w:rsidR="00273C14" w:rsidRPr="005C0B8A">
        <w:t>maksas emisijas kvotu piešķiršanas nosacījumu turpināšana, gan oglekļa dioksīda pārvirzes riskam pakļauto nozaru uzņēmumiem, gan pārējiem ES ETS operatoriem, kā arī bezmaksas emisijas kvotu piešķiršanas iespējas turpināšana elektroenerģijas ražotājiem attiecīgajām dalībvalstīm.</w:t>
      </w:r>
    </w:p>
    <w:p w14:paraId="70A24854" w14:textId="362804A5" w:rsidR="00273C14" w:rsidRPr="005C0B8A" w:rsidRDefault="00273C14" w:rsidP="00580BAC">
      <w:pPr>
        <w:pStyle w:val="BodyText2"/>
        <w:widowControl w:val="0"/>
        <w:spacing w:line="240" w:lineRule="auto"/>
        <w:ind w:firstLine="720"/>
        <w:jc w:val="both"/>
      </w:pPr>
      <w:r w:rsidRPr="005C0B8A">
        <w:t>Direktīvas projektā ir iekļauti jauni nosacīju</w:t>
      </w:r>
      <w:r>
        <w:t xml:space="preserve">mi attiecībā uz ES ETS ietvaros </w:t>
      </w:r>
      <w:r w:rsidRPr="005C0B8A">
        <w:t>izveido</w:t>
      </w:r>
      <w:r>
        <w:t>jam</w:t>
      </w:r>
      <w:r w:rsidRPr="005C0B8A">
        <w:t xml:space="preserve">ajiem finansēšanas </w:t>
      </w:r>
      <w:r>
        <w:t>mehānismiem</w:t>
      </w:r>
      <w:r w:rsidRPr="005C0B8A">
        <w:t>:</w:t>
      </w:r>
    </w:p>
    <w:p w14:paraId="1CBDBE0C" w14:textId="3846ED2F" w:rsidR="00273C14" w:rsidRPr="005C0B8A" w:rsidRDefault="00273C14" w:rsidP="00580BAC">
      <w:pPr>
        <w:pStyle w:val="BodyText2"/>
        <w:widowControl w:val="0"/>
        <w:numPr>
          <w:ilvl w:val="0"/>
          <w:numId w:val="46"/>
        </w:numPr>
        <w:spacing w:line="240" w:lineRule="auto"/>
        <w:ind w:left="284" w:hanging="284"/>
        <w:jc w:val="both"/>
        <w:rPr>
          <w:b/>
        </w:rPr>
      </w:pPr>
      <w:r w:rsidRPr="005C0B8A">
        <w:t xml:space="preserve">Inovāciju fonds, ar ko tiek turpināts NER300 fonds, kas jau šobrīd darbojas </w:t>
      </w:r>
      <w:r w:rsidR="00524AD3">
        <w:t xml:space="preserve">ES </w:t>
      </w:r>
      <w:r w:rsidRPr="005C0B8A">
        <w:t>ETS ietvaros, bet tiek palielināts tā ietvaros pieejamais finansējums un atbalstāmie projekti;</w:t>
      </w:r>
    </w:p>
    <w:p w14:paraId="36308BD5" w14:textId="40EB79B8" w:rsidR="00273C14" w:rsidRPr="005C0B8A" w:rsidRDefault="00273C14" w:rsidP="00580BAC">
      <w:pPr>
        <w:pStyle w:val="BodyText2"/>
        <w:widowControl w:val="0"/>
        <w:numPr>
          <w:ilvl w:val="0"/>
          <w:numId w:val="46"/>
        </w:numPr>
        <w:spacing w:line="240" w:lineRule="auto"/>
        <w:ind w:left="284" w:hanging="284"/>
        <w:jc w:val="both"/>
        <w:rPr>
          <w:b/>
        </w:rPr>
      </w:pPr>
      <w:r w:rsidRPr="005C0B8A">
        <w:t>Modernizācijas fonds, tā darbības principi un atbalstāmo projekt</w:t>
      </w:r>
      <w:r w:rsidR="00524AD3">
        <w:t>u</w:t>
      </w:r>
      <w:r w:rsidRPr="005C0B8A">
        <w:t xml:space="preserve"> izvēles un finansējuma piešķiršanas nosacījumi.</w:t>
      </w:r>
    </w:p>
    <w:p w14:paraId="7F712A10" w14:textId="0A422FBB" w:rsidR="00273C14" w:rsidRDefault="00273C14" w:rsidP="00580BAC">
      <w:pPr>
        <w:widowControl w:val="0"/>
        <w:spacing w:after="120"/>
        <w:ind w:firstLine="720"/>
        <w:jc w:val="both"/>
      </w:pPr>
      <w:r w:rsidRPr="00F2460F">
        <w:lastRenderedPageBreak/>
        <w:t xml:space="preserve">Diskusijas par Direktīvas projektu ir notikušas </w:t>
      </w:r>
      <w:r w:rsidR="00524AD3">
        <w:t xml:space="preserve">ES </w:t>
      </w:r>
      <w:r w:rsidRPr="00F2460F">
        <w:t>Padomes vi</w:t>
      </w:r>
      <w:r>
        <w:t>des darba grupās Luksemburgas,</w:t>
      </w:r>
      <w:r w:rsidRPr="00F2460F">
        <w:t xml:space="preserve"> Nīderlandes</w:t>
      </w:r>
      <w:r>
        <w:t xml:space="preserve"> un Slovākijas</w:t>
      </w:r>
      <w:r w:rsidRPr="00F2460F">
        <w:t xml:space="preserve"> prezidentūras laikā. </w:t>
      </w:r>
      <w:r>
        <w:t>M</w:t>
      </w:r>
      <w:r w:rsidRPr="00F2460F">
        <w:t xml:space="preserve">inistru politiskās debates par šo jautājumu notika </w:t>
      </w:r>
      <w:r w:rsidR="00524AD3">
        <w:t xml:space="preserve">ES </w:t>
      </w:r>
      <w:r w:rsidRPr="00F2460F">
        <w:t>Vides padomē 2015.</w:t>
      </w:r>
      <w:r>
        <w:t> </w:t>
      </w:r>
      <w:r w:rsidRPr="00F2460F">
        <w:t>gada oktobrī</w:t>
      </w:r>
      <w:r>
        <w:t>, kā arī 2016.</w:t>
      </w:r>
      <w:r w:rsidR="00524AD3">
        <w:t> </w:t>
      </w:r>
      <w:r>
        <w:t>gada jūnijā</w:t>
      </w:r>
      <w:r w:rsidRPr="00F2460F">
        <w:t xml:space="preserve">. Aktīvi pie šī jautājuma strādā arī Eiropas Parlaments </w:t>
      </w:r>
      <w:r>
        <w:t>– ENVI komiteja plāno balsot par grozījumiem 15.</w:t>
      </w:r>
      <w:r w:rsidR="00524AD3">
        <w:t> </w:t>
      </w:r>
      <w:r>
        <w:t>decembrī</w:t>
      </w:r>
      <w:r w:rsidRPr="00040DB7">
        <w:t>.</w:t>
      </w:r>
      <w:r w:rsidRPr="00040DB7">
        <w:rPr>
          <w:rStyle w:val="FootnoteReference"/>
        </w:rPr>
        <w:footnoteReference w:id="2"/>
      </w:r>
      <w:r w:rsidRPr="00040DB7">
        <w:t xml:space="preserve"> </w:t>
      </w:r>
      <w:r>
        <w:t xml:space="preserve">Slovākijas prezidentūra 11 padomes darba grupu laikā ir panākusi zināmu progresu vairumā jautājumu, piemēram, līmeņatzīmju noteikšanā, </w:t>
      </w:r>
      <w:r w:rsidR="00524AD3">
        <w:t>M</w:t>
      </w:r>
      <w:r>
        <w:t>odernizācijas fonda izveidē, oglekļa pārvirzes riska atbalstam</w:t>
      </w:r>
      <w:r w:rsidR="00524AD3">
        <w:t>.</w:t>
      </w:r>
      <w:r>
        <w:t xml:space="preserve"> </w:t>
      </w:r>
      <w:r w:rsidR="00524AD3">
        <w:t>T</w:t>
      </w:r>
      <w:r>
        <w:t xml:space="preserve">omēr joprojām atvērti diskusijām ir vairāki gan tehniski, gan politiski jautājumi. </w:t>
      </w:r>
      <w:r w:rsidR="0098664E">
        <w:t>16</w:t>
      </w:r>
      <w:r>
        <w:t>.</w:t>
      </w:r>
      <w:r w:rsidR="00524AD3">
        <w:t> </w:t>
      </w:r>
      <w:r>
        <w:t>decembr</w:t>
      </w:r>
      <w:r w:rsidR="00524AD3">
        <w:t>a</w:t>
      </w:r>
      <w:r>
        <w:t xml:space="preserve"> COREPER I sanāksmē </w:t>
      </w:r>
      <w:r w:rsidR="00D93E83">
        <w:t xml:space="preserve">tiks </w:t>
      </w:r>
      <w:r>
        <w:t xml:space="preserve">skatīti atvērtie jautājumi un jauna Slovākijas prezidentūras teksta redakcija, </w:t>
      </w:r>
      <w:r w:rsidR="00524AD3">
        <w:t>gatavojoties</w:t>
      </w:r>
      <w:r>
        <w:t xml:space="preserve"> </w:t>
      </w:r>
      <w:r w:rsidR="00524AD3">
        <w:t xml:space="preserve">ES </w:t>
      </w:r>
      <w:r>
        <w:t>Vides padomei š.g. 19.</w:t>
      </w:r>
      <w:r w:rsidR="00524AD3">
        <w:t> </w:t>
      </w:r>
      <w:r>
        <w:t>decembrī, kurā plānots panākt vispārējo pieeju.</w:t>
      </w:r>
    </w:p>
    <w:p w14:paraId="3367B727" w14:textId="77777777" w:rsidR="00273C14" w:rsidRPr="00C348AF" w:rsidRDefault="00273C14" w:rsidP="00580BAC">
      <w:pPr>
        <w:widowControl w:val="0"/>
        <w:spacing w:after="120"/>
        <w:jc w:val="both"/>
        <w:rPr>
          <w:b/>
          <w:u w:val="single"/>
        </w:rPr>
      </w:pPr>
      <w:r w:rsidRPr="007A52AF">
        <w:rPr>
          <w:b/>
          <w:u w:val="single"/>
        </w:rPr>
        <w:t>Latvijas viedoklis</w:t>
      </w:r>
    </w:p>
    <w:p w14:paraId="2CEA1914" w14:textId="77777777" w:rsidR="00273C14" w:rsidRPr="00040DB7" w:rsidRDefault="00273C14" w:rsidP="00580BAC">
      <w:pPr>
        <w:pStyle w:val="ListParagraph"/>
        <w:suppressAutoHyphens/>
        <w:autoSpaceDN w:val="0"/>
        <w:spacing w:after="120"/>
        <w:ind w:left="0" w:firstLine="709"/>
        <w:contextualSpacing w:val="0"/>
        <w:jc w:val="both"/>
        <w:textAlignment w:val="baseline"/>
      </w:pPr>
      <w:r w:rsidRPr="00040DB7">
        <w:t xml:space="preserve">ES ETS ir </w:t>
      </w:r>
      <w:r>
        <w:t>viens no svarīgākajiem</w:t>
      </w:r>
      <w:r w:rsidRPr="00040DB7">
        <w:t xml:space="preserve"> instrument</w:t>
      </w:r>
      <w:r>
        <w:t>iem</w:t>
      </w:r>
      <w:r w:rsidRPr="00040DB7">
        <w:t xml:space="preserve"> ES klimata politikā. Ņemot vērā </w:t>
      </w:r>
      <w:r>
        <w:t xml:space="preserve">ES ETS </w:t>
      </w:r>
      <w:r w:rsidRPr="00040DB7">
        <w:t xml:space="preserve">tirgus stabilitātes mehānisma izveidi un </w:t>
      </w:r>
      <w:r>
        <w:t xml:space="preserve">tā </w:t>
      </w:r>
      <w:r w:rsidRPr="00040DB7">
        <w:t>darbības uzsākšanu no 2019.</w:t>
      </w:r>
      <w:r>
        <w:t> </w:t>
      </w:r>
      <w:r w:rsidRPr="00040DB7">
        <w:t>gada</w:t>
      </w:r>
      <w:r>
        <w:t xml:space="preserve"> 1. janvāra</w:t>
      </w:r>
      <w:r w:rsidRPr="00040DB7">
        <w:t xml:space="preserve">, </w:t>
      </w:r>
      <w:r>
        <w:t xml:space="preserve">emisijas kvotu </w:t>
      </w:r>
      <w:r w:rsidRPr="00040DB7">
        <w:t xml:space="preserve">tirgū pieejamais emisijas kvotu pārpalikums </w:t>
      </w:r>
      <w:r>
        <w:t xml:space="preserve">nākotnē pakāpeniski </w:t>
      </w:r>
      <w:r w:rsidRPr="00040DB7">
        <w:t>samazināsies</w:t>
      </w:r>
      <w:r>
        <w:rPr>
          <w:rStyle w:val="FootnoteReference"/>
        </w:rPr>
        <w:footnoteReference w:id="3"/>
      </w:r>
      <w:r w:rsidRPr="00040DB7">
        <w:t xml:space="preserve">. Tādējādi prognozējams emisijas kvotu cenu pieaugums, kas stimulēs operatorus </w:t>
      </w:r>
      <w:r>
        <w:t>investēt</w:t>
      </w:r>
      <w:r w:rsidRPr="00040DB7">
        <w:t xml:space="preserve"> SEG emisiju samazināšanas pasākum</w:t>
      </w:r>
      <w:r>
        <w:t>os</w:t>
      </w:r>
      <w:r w:rsidRPr="00040DB7">
        <w:t xml:space="preserve">. Arī Direktīvas projektā iekļautie nosacījumi ir pietiekami efektīvi, lai </w:t>
      </w:r>
      <w:r>
        <w:t xml:space="preserve">ES </w:t>
      </w:r>
      <w:r w:rsidRPr="00040DB7">
        <w:t>ETS sektorā veicinātu iniciatīvas investīcijām oglekļa mazietilpīgā ekonomikā.</w:t>
      </w:r>
    </w:p>
    <w:p w14:paraId="2BD0D9CD" w14:textId="319669AE" w:rsidR="00273C14" w:rsidRPr="00040DB7" w:rsidRDefault="00273C14" w:rsidP="00580BAC">
      <w:pPr>
        <w:pStyle w:val="ListParagraph"/>
        <w:suppressAutoHyphens/>
        <w:autoSpaceDN w:val="0"/>
        <w:spacing w:after="120"/>
        <w:ind w:left="0" w:firstLine="709"/>
        <w:contextualSpacing w:val="0"/>
        <w:jc w:val="both"/>
        <w:textAlignment w:val="baseline"/>
      </w:pPr>
      <w:r w:rsidRPr="00040DB7">
        <w:t>ES ETS Latvijā ir efektīv</w:t>
      </w:r>
      <w:r>
        <w:t>i</w:t>
      </w:r>
      <w:r w:rsidRPr="00040DB7">
        <w:t xml:space="preserve"> </w:t>
      </w:r>
      <w:r>
        <w:t xml:space="preserve">nodrošinājusi </w:t>
      </w:r>
      <w:r w:rsidR="00D60719">
        <w:t xml:space="preserve">siltumnīcefekta gāzu (turpmāk – </w:t>
      </w:r>
      <w:r w:rsidRPr="00040DB7">
        <w:t>SEG</w:t>
      </w:r>
      <w:r w:rsidR="00D60719">
        <w:t>)</w:t>
      </w:r>
      <w:r w:rsidRPr="00040DB7">
        <w:t xml:space="preserve"> emisiju samazināšan</w:t>
      </w:r>
      <w:r>
        <w:t>u</w:t>
      </w:r>
      <w:r w:rsidRPr="00040DB7">
        <w:t>. No 2005.</w:t>
      </w:r>
      <w:r>
        <w:t> </w:t>
      </w:r>
      <w:r w:rsidRPr="00040DB7">
        <w:t>gada līdz 2014.</w:t>
      </w:r>
      <w:r>
        <w:t> </w:t>
      </w:r>
      <w:r w:rsidRPr="00040DB7">
        <w:t>gada</w:t>
      </w:r>
      <w:r>
        <w:t>m</w:t>
      </w:r>
      <w:r w:rsidRPr="00040DB7">
        <w:t xml:space="preserve"> </w:t>
      </w:r>
      <w:r>
        <w:t xml:space="preserve">ES </w:t>
      </w:r>
      <w:r w:rsidRPr="00040DB7">
        <w:t>ETS sektora īpatsvars kopējā valsts SEG emisiju apjomā ir samazinājies par 4,31</w:t>
      </w:r>
      <w:r>
        <w:t> </w:t>
      </w:r>
      <w:r w:rsidRPr="00040DB7">
        <w:t xml:space="preserve">%. ES ETS operatori laika </w:t>
      </w:r>
      <w:r>
        <w:t>posmā</w:t>
      </w:r>
      <w:r w:rsidRPr="00040DB7">
        <w:t xml:space="preserve"> no ES ETS 3.</w:t>
      </w:r>
      <w:r>
        <w:t> </w:t>
      </w:r>
      <w:r w:rsidRPr="00040DB7">
        <w:t>perioda sākuma</w:t>
      </w:r>
      <w:r>
        <w:t>, proti,</w:t>
      </w:r>
      <w:r w:rsidRPr="00040DB7">
        <w:t xml:space="preserve"> 2013.-2015</w:t>
      </w:r>
      <w:r>
        <w:t>. gadā,</w:t>
      </w:r>
      <w:r w:rsidRPr="00040DB7">
        <w:t xml:space="preserve"> ir samazinājuši savas SEG emisijas par 12,73</w:t>
      </w:r>
      <w:r>
        <w:t> </w:t>
      </w:r>
      <w:r w:rsidRPr="00040DB7">
        <w:t>%. ES ETS operatori aktīvi veic pāreju no fosilo kurināmo izmantošanas uz il</w:t>
      </w:r>
      <w:r>
        <w:t>gtspējīgas biomasas izmantošanu.</w:t>
      </w:r>
      <w:r w:rsidRPr="00040DB7">
        <w:t xml:space="preserve"> </w:t>
      </w:r>
      <w:r>
        <w:t>J</w:t>
      </w:r>
      <w:r w:rsidRPr="00040DB7">
        <w:t>au aptuveni 22</w:t>
      </w:r>
      <w:r>
        <w:t> </w:t>
      </w:r>
      <w:r w:rsidRPr="00040DB7">
        <w:t>% no ES ETS operatoru iekārtās saražotās enerģijas tiek saražot</w:t>
      </w:r>
      <w:r>
        <w:t>i</w:t>
      </w:r>
      <w:r w:rsidRPr="00040DB7">
        <w:t xml:space="preserve">, izmantojot biomasu. </w:t>
      </w:r>
      <w:r>
        <w:t>Kopš 2005. gada i</w:t>
      </w:r>
      <w:r w:rsidRPr="00040DB7">
        <w:t xml:space="preserve">lgtspējīgās biomasas izmantošana </w:t>
      </w:r>
      <w:r>
        <w:t xml:space="preserve">Latvijā </w:t>
      </w:r>
      <w:r w:rsidRPr="00040DB7">
        <w:t xml:space="preserve">ES ETS </w:t>
      </w:r>
      <w:r>
        <w:t xml:space="preserve">ietvaros </w:t>
      </w:r>
      <w:r w:rsidRPr="00040DB7">
        <w:t xml:space="preserve">ir pieaugusi </w:t>
      </w:r>
      <w:r>
        <w:t>4 reizes (</w:t>
      </w:r>
      <w:r w:rsidRPr="00040DB7">
        <w:t>no 2 191 TJ 2005.</w:t>
      </w:r>
      <w:r>
        <w:t> </w:t>
      </w:r>
      <w:r w:rsidRPr="00040DB7">
        <w:t>gadā līdz 8 655 TJ 2014.</w:t>
      </w:r>
      <w:r>
        <w:t> </w:t>
      </w:r>
      <w:r w:rsidRPr="00040DB7">
        <w:t>gadā</w:t>
      </w:r>
      <w:r>
        <w:t>)</w:t>
      </w:r>
      <w:r w:rsidRPr="00040DB7">
        <w:t>.</w:t>
      </w:r>
    </w:p>
    <w:p w14:paraId="06405688" w14:textId="3699A3B2" w:rsidR="00273C14" w:rsidRDefault="00273C14" w:rsidP="00580BAC">
      <w:pPr>
        <w:spacing w:after="120"/>
        <w:ind w:firstLine="709"/>
        <w:jc w:val="both"/>
      </w:pPr>
      <w:r>
        <w:t xml:space="preserve">Detalizēts </w:t>
      </w:r>
      <w:r w:rsidRPr="00F2460F">
        <w:t>Latvijas</w:t>
      </w:r>
      <w:r>
        <w:t xml:space="preserve"> viedoklis tika apstiprināts</w:t>
      </w:r>
      <w:r w:rsidRPr="00F2460F">
        <w:t xml:space="preserve"> nacionāl</w:t>
      </w:r>
      <w:r w:rsidR="00524AD3">
        <w:t>aj</w:t>
      </w:r>
      <w:r w:rsidRPr="00F2460F">
        <w:t>ā pozīcij</w:t>
      </w:r>
      <w:r>
        <w:t>ā</w:t>
      </w:r>
      <w:r w:rsidRPr="00F2460F">
        <w:t xml:space="preserve"> Nr.</w:t>
      </w:r>
      <w:r>
        <w:t> 1</w:t>
      </w:r>
      <w:r w:rsidRPr="00F2460F">
        <w:t xml:space="preserve"> „</w:t>
      </w:r>
      <w:r w:rsidRPr="00C348AF">
        <w:t xml:space="preserve"> </w:t>
      </w:r>
      <w:r w:rsidRPr="00C348AF">
        <w:rPr>
          <w:i/>
        </w:rPr>
        <w:t>Par Priekšlikumu Eiropas Parlamenta un Padomes direktīvai, ar ko groza Direktīvu 2003/87/EK, lai sekmētu emisiju izmaksefektīvu samazināšanu un investīcijas mazoglekļa risinājumos</w:t>
      </w:r>
      <w:r w:rsidRPr="00F2460F">
        <w:t>” Ministru kabineta 2015.</w:t>
      </w:r>
      <w:r>
        <w:t> </w:t>
      </w:r>
      <w:r w:rsidRPr="00F2460F">
        <w:t>gada 13.</w:t>
      </w:r>
      <w:r>
        <w:t> </w:t>
      </w:r>
      <w:r w:rsidRPr="00F2460F">
        <w:t>oktobra sēdē. Savukārt atjauninātā Latvijas nacionālā pozīcija Nr.2 „</w:t>
      </w:r>
      <w:r w:rsidRPr="00D7165E">
        <w:rPr>
          <w:i/>
        </w:rPr>
        <w:t>Par Priekšlikumu Eiropas Parlamenta un Padomes direktīvai, ar ko groza Direktīvu</w:t>
      </w:r>
      <w:r>
        <w:rPr>
          <w:i/>
        </w:rPr>
        <w:t> </w:t>
      </w:r>
      <w:r w:rsidRPr="00D7165E">
        <w:rPr>
          <w:i/>
        </w:rPr>
        <w:t>2003/87/EK, lai sekmētu emisiju izmaksefektīvu samazināšanu un investīcijas mazoglekļa risinājumos</w:t>
      </w:r>
      <w:r w:rsidRPr="00F2460F">
        <w:t>” t</w:t>
      </w:r>
      <w:r>
        <w:t>ika</w:t>
      </w:r>
      <w:r w:rsidRPr="00F2460F">
        <w:t xml:space="preserve"> </w:t>
      </w:r>
      <w:r>
        <w:t xml:space="preserve">apstiprināta </w:t>
      </w:r>
      <w:r w:rsidRPr="00F2460F">
        <w:t>2016.</w:t>
      </w:r>
      <w:r>
        <w:t> </w:t>
      </w:r>
      <w:r w:rsidRPr="00F2460F">
        <w:t>gada 14.</w:t>
      </w:r>
      <w:r>
        <w:t> </w:t>
      </w:r>
      <w:r w:rsidRPr="00F2460F">
        <w:t xml:space="preserve">jūnija </w:t>
      </w:r>
      <w:r w:rsidR="00BA1BA3">
        <w:t xml:space="preserve">Ministru kabineta </w:t>
      </w:r>
      <w:r w:rsidRPr="00F2460F">
        <w:t>sēdē.</w:t>
      </w:r>
    </w:p>
    <w:p w14:paraId="770632BE" w14:textId="77777777" w:rsidR="007E4133" w:rsidRPr="00A26197" w:rsidRDefault="007E4133" w:rsidP="00580BAC">
      <w:pPr>
        <w:pStyle w:val="Default"/>
        <w:spacing w:after="120"/>
        <w:ind w:firstLine="720"/>
        <w:jc w:val="both"/>
        <w:rPr>
          <w:rFonts w:ascii="Times New Roman" w:eastAsia="Calibri" w:hAnsi="Times New Roman" w:cs="Times New Roman"/>
        </w:rPr>
      </w:pPr>
    </w:p>
    <w:p w14:paraId="13C219E1" w14:textId="00AAE6BE" w:rsidR="00D4513D" w:rsidRPr="00A26197" w:rsidRDefault="00A35DD2" w:rsidP="00A35DD2">
      <w:pPr>
        <w:pStyle w:val="PointManual"/>
        <w:shd w:val="clear" w:color="auto" w:fill="A6A6A6" w:themeFill="background1" w:themeFillShade="A6"/>
        <w:spacing w:before="0" w:after="120"/>
        <w:ind w:left="284" w:hanging="284"/>
        <w:jc w:val="both"/>
        <w:rPr>
          <w:b/>
        </w:rPr>
      </w:pPr>
      <w:r>
        <w:rPr>
          <w:b/>
        </w:rPr>
        <w:t>2. </w:t>
      </w:r>
      <w:r w:rsidR="00D4513D" w:rsidRPr="00A26197">
        <w:rPr>
          <w:b/>
        </w:rPr>
        <w:t>Padomes secinājumi par cilvēku veselības un vides aizsardzību īstenojot drošu ķīmisko vielu pārvaldību</w:t>
      </w:r>
      <w:r w:rsidR="005C5CA5" w:rsidRPr="00A26197">
        <w:rPr>
          <w:rFonts w:eastAsia="Calibri"/>
          <w:b/>
        </w:rPr>
        <w:t xml:space="preserve"> </w:t>
      </w:r>
      <w:r w:rsidR="0011611D">
        <w:rPr>
          <w:rFonts w:eastAsia="Calibri"/>
          <w:b/>
        </w:rPr>
        <w:t xml:space="preserve">- </w:t>
      </w:r>
      <w:r w:rsidR="0011611D" w:rsidRPr="0011611D">
        <w:rPr>
          <w:rFonts w:eastAsia="Calibri"/>
        </w:rPr>
        <w:t>pieņemšana</w:t>
      </w:r>
    </w:p>
    <w:p w14:paraId="18678516" w14:textId="23D60A2E" w:rsidR="00D4513D" w:rsidRPr="00A26197" w:rsidRDefault="00D4513D" w:rsidP="00580BAC">
      <w:pPr>
        <w:tabs>
          <w:tab w:val="left" w:pos="0"/>
        </w:tabs>
        <w:spacing w:after="120"/>
        <w:jc w:val="both"/>
      </w:pPr>
      <w:r w:rsidRPr="00A26197">
        <w:tab/>
        <w:t>Padomes secinājumu projekts izstrādāts ar mērķi veicināt drošu ķīmisko vielu pārvaldību, tādējādi īstenojot ES 7. Vides rīcības programmas “Labklājīga dzīve ar pieejamajiem planētas resursiem”</w:t>
      </w:r>
      <w:r w:rsidRPr="00A26197">
        <w:rPr>
          <w:rStyle w:val="FootnoteReference"/>
        </w:rPr>
        <w:footnoteReference w:id="4"/>
      </w:r>
      <w:r w:rsidRPr="00A26197">
        <w:t xml:space="preserve"> pamatmērķus drošai ķīmisko vielu pārvaldībai, vadoties no vides politikas pamatprincipiem: piesardzības pamatprincips, izvairīšanās pamatprincips un </w:t>
      </w:r>
      <w:r w:rsidRPr="00A26197">
        <w:lastRenderedPageBreak/>
        <w:t>“piesārņotājs maksā” pamatprincips. Padomes secinājumu projekts vērš uzmanību uz to, ka turpmāk ir ieguldāms nopietns darbs ķīmisko vielu drošā ražošanā un izmantošanā, lai novērstu iespējamās negatīvās ietekmes uz cilvēku veselību un vidi.</w:t>
      </w:r>
      <w:r w:rsidRPr="00A26197">
        <w:rPr>
          <w:rFonts w:cs="Calibri"/>
          <w:lang w:eastAsia="en-US"/>
        </w:rPr>
        <w:t xml:space="preserve"> </w:t>
      </w:r>
    </w:p>
    <w:p w14:paraId="32F1A308" w14:textId="05BF56DD" w:rsidR="00D4513D" w:rsidRPr="00A26197" w:rsidRDefault="00B6611E" w:rsidP="00580BAC">
      <w:pPr>
        <w:pStyle w:val="Default"/>
        <w:spacing w:after="120"/>
        <w:ind w:firstLine="720"/>
        <w:jc w:val="both"/>
        <w:rPr>
          <w:rFonts w:ascii="Times New Roman" w:hAnsi="Times New Roman" w:cs="Times New Roman"/>
          <w:b/>
          <w:bCs/>
          <w:u w:val="single"/>
        </w:rPr>
      </w:pPr>
      <w:r w:rsidRPr="00A26197">
        <w:rPr>
          <w:rFonts w:ascii="Times New Roman" w:hAnsi="Times New Roman" w:cs="Times New Roman"/>
        </w:rPr>
        <w:t>Par Padomes secinājumu projektu panākta vienošanās neformālās klusēšanas procedūrās darba grupas līmenī.</w:t>
      </w:r>
    </w:p>
    <w:p w14:paraId="25CBAD24" w14:textId="11BDF8E6" w:rsidR="00C43CA0" w:rsidRPr="00A26197" w:rsidRDefault="00C43CA0" w:rsidP="00580BAC">
      <w:pPr>
        <w:pStyle w:val="Default"/>
        <w:spacing w:after="120"/>
        <w:jc w:val="both"/>
        <w:rPr>
          <w:rFonts w:ascii="Times New Roman" w:hAnsi="Times New Roman" w:cs="Times New Roman"/>
          <w:b/>
          <w:bCs/>
          <w:u w:val="single"/>
        </w:rPr>
      </w:pPr>
      <w:r w:rsidRPr="00A26197">
        <w:rPr>
          <w:rFonts w:ascii="Times New Roman" w:hAnsi="Times New Roman" w:cs="Times New Roman"/>
          <w:b/>
          <w:bCs/>
          <w:u w:val="single"/>
        </w:rPr>
        <w:t>Latvijas viedoklis:</w:t>
      </w:r>
    </w:p>
    <w:p w14:paraId="2BCE0689" w14:textId="3F88AD56" w:rsidR="0066660F" w:rsidRPr="00524AD3" w:rsidRDefault="00D4513D" w:rsidP="00580BAC">
      <w:pPr>
        <w:pStyle w:val="Default"/>
        <w:spacing w:after="120"/>
        <w:ind w:firstLine="720"/>
        <w:jc w:val="both"/>
        <w:rPr>
          <w:rFonts w:ascii="Times New Roman" w:hAnsi="Times New Roman" w:cs="Times New Roman"/>
        </w:rPr>
      </w:pPr>
      <w:r w:rsidRPr="00524AD3">
        <w:rPr>
          <w:rFonts w:ascii="Times New Roman" w:hAnsi="Times New Roman" w:cs="Times New Roman"/>
          <w:color w:val="auto"/>
        </w:rPr>
        <w:t>Latvija atb</w:t>
      </w:r>
      <w:r w:rsidR="00B6611E" w:rsidRPr="00524AD3">
        <w:rPr>
          <w:rFonts w:ascii="Times New Roman" w:hAnsi="Times New Roman" w:cs="Times New Roman"/>
          <w:color w:val="auto"/>
        </w:rPr>
        <w:t xml:space="preserve">alsta </w:t>
      </w:r>
      <w:r w:rsidR="00524AD3" w:rsidRPr="00524AD3">
        <w:rPr>
          <w:rFonts w:ascii="Times New Roman" w:hAnsi="Times New Roman" w:cs="Times New Roman"/>
          <w:color w:val="auto"/>
        </w:rPr>
        <w:t xml:space="preserve">Padomes </w:t>
      </w:r>
      <w:r w:rsidR="00B6611E" w:rsidRPr="00524AD3">
        <w:rPr>
          <w:rFonts w:ascii="Times New Roman" w:hAnsi="Times New Roman" w:cs="Times New Roman"/>
          <w:color w:val="auto"/>
        </w:rPr>
        <w:t>secinājumu apstiprināšanu.</w:t>
      </w:r>
    </w:p>
    <w:p w14:paraId="1EDB189A" w14:textId="77777777" w:rsidR="00A53A92" w:rsidRPr="00A26197" w:rsidRDefault="00A53A92" w:rsidP="00580BAC">
      <w:pPr>
        <w:spacing w:after="120"/>
        <w:jc w:val="both"/>
      </w:pPr>
    </w:p>
    <w:p w14:paraId="564B7E39" w14:textId="3762AD63" w:rsidR="00920798" w:rsidRPr="00A26197" w:rsidRDefault="00A35DD2" w:rsidP="00580BAC">
      <w:pPr>
        <w:shd w:val="clear" w:color="auto" w:fill="A6A6A6" w:themeFill="background1" w:themeFillShade="A6"/>
        <w:spacing w:after="120"/>
        <w:jc w:val="both"/>
        <w:rPr>
          <w:b/>
        </w:rPr>
      </w:pPr>
      <w:r>
        <w:rPr>
          <w:b/>
        </w:rPr>
        <w:t>3. </w:t>
      </w:r>
      <w:r w:rsidR="009C2A7E" w:rsidRPr="00A26197">
        <w:rPr>
          <w:b/>
        </w:rPr>
        <w:t>Citi jautājumi:</w:t>
      </w:r>
    </w:p>
    <w:p w14:paraId="293625FA" w14:textId="301589C6" w:rsidR="00931124" w:rsidRDefault="00582E81" w:rsidP="00580BAC">
      <w:pPr>
        <w:pStyle w:val="ListParagraph"/>
        <w:spacing w:after="120"/>
        <w:ind w:left="0" w:firstLine="720"/>
        <w:contextualSpacing w:val="0"/>
        <w:jc w:val="both"/>
      </w:pPr>
      <w:r w:rsidRPr="00A26197">
        <w:t>Š</w:t>
      </w:r>
      <w:r w:rsidR="005D346E" w:rsidRPr="00A26197">
        <w:rPr>
          <w:lang w:eastAsia="en-US"/>
        </w:rPr>
        <w:t xml:space="preserve">ā gada </w:t>
      </w:r>
      <w:r w:rsidR="00316C59" w:rsidRPr="00A26197">
        <w:rPr>
          <w:lang w:eastAsia="en-US"/>
        </w:rPr>
        <w:t>1</w:t>
      </w:r>
      <w:r w:rsidR="00B6611E" w:rsidRPr="00A26197">
        <w:rPr>
          <w:lang w:eastAsia="en-US"/>
        </w:rPr>
        <w:t>9</w:t>
      </w:r>
      <w:r w:rsidR="00316C59" w:rsidRPr="00A26197">
        <w:rPr>
          <w:lang w:eastAsia="en-US"/>
        </w:rPr>
        <w:t>.</w:t>
      </w:r>
      <w:r w:rsidRPr="00A26197">
        <w:rPr>
          <w:lang w:eastAsia="en-US"/>
        </w:rPr>
        <w:t> </w:t>
      </w:r>
      <w:r w:rsidR="00B6611E" w:rsidRPr="00A26197">
        <w:rPr>
          <w:lang w:eastAsia="en-US"/>
        </w:rPr>
        <w:t>decembra</w:t>
      </w:r>
      <w:r w:rsidR="005D346E" w:rsidRPr="00A26197">
        <w:rPr>
          <w:lang w:eastAsia="en-US"/>
        </w:rPr>
        <w:t xml:space="preserve"> </w:t>
      </w:r>
      <w:r w:rsidR="006E35B5" w:rsidRPr="00A26197">
        <w:rPr>
          <w:lang w:eastAsia="en-US"/>
        </w:rPr>
        <w:t xml:space="preserve">ES </w:t>
      </w:r>
      <w:r w:rsidR="005D346E" w:rsidRPr="00A26197">
        <w:rPr>
          <w:lang w:eastAsia="en-US"/>
        </w:rPr>
        <w:t xml:space="preserve">Vides ministru </w:t>
      </w:r>
      <w:r w:rsidR="00761B93" w:rsidRPr="00A26197">
        <w:t xml:space="preserve">padomes </w:t>
      </w:r>
      <w:r w:rsidR="00BF19FE" w:rsidRPr="00A26197">
        <w:t xml:space="preserve">sanāksmes </w:t>
      </w:r>
      <w:r w:rsidR="00761B93" w:rsidRPr="00A26197">
        <w:t xml:space="preserve">darba kārtības sadaļā „Citi jautājumi” iekļauti </w:t>
      </w:r>
      <w:r w:rsidR="00BF19FE" w:rsidRPr="00A26197">
        <w:t>šādi</w:t>
      </w:r>
      <w:r w:rsidR="00761B93" w:rsidRPr="00A26197">
        <w:t xml:space="preserve"> informatīvi jautājumi, ko Latvija pieņem zināšanai:</w:t>
      </w:r>
    </w:p>
    <w:p w14:paraId="4330B75A" w14:textId="77777777" w:rsidR="00A35DD2" w:rsidRPr="00A26197" w:rsidRDefault="00A35DD2" w:rsidP="00580BAC">
      <w:pPr>
        <w:pStyle w:val="ListParagraph"/>
        <w:spacing w:after="120"/>
        <w:ind w:left="0" w:firstLine="720"/>
        <w:contextualSpacing w:val="0"/>
        <w:jc w:val="both"/>
      </w:pPr>
    </w:p>
    <w:p w14:paraId="00FB4A23" w14:textId="796723F8" w:rsidR="00200839" w:rsidRPr="00A26197" w:rsidRDefault="00C47871" w:rsidP="00580BAC">
      <w:pPr>
        <w:pStyle w:val="PointDoubleManual"/>
        <w:spacing w:before="0" w:after="120"/>
        <w:ind w:left="0" w:firstLine="0"/>
        <w:jc w:val="both"/>
        <w:rPr>
          <w:b/>
        </w:rPr>
      </w:pPr>
      <w:r w:rsidRPr="001F1669">
        <w:rPr>
          <w:b/>
        </w:rPr>
        <w:t>1</w:t>
      </w:r>
      <w:r w:rsidR="00A35DD2">
        <w:rPr>
          <w:b/>
        </w:rPr>
        <w:t>)</w:t>
      </w:r>
      <w:r w:rsidR="00BF19FE" w:rsidRPr="001F1669">
        <w:rPr>
          <w:b/>
        </w:rPr>
        <w:t> </w:t>
      </w:r>
      <w:r w:rsidR="00AC57C9" w:rsidRPr="001F1669">
        <w:rPr>
          <w:b/>
        </w:rPr>
        <w:t>Pašreizējie tiesību aktu priekšlikumi – atkritumu pakotne</w:t>
      </w:r>
      <w:r w:rsidR="00200839" w:rsidRPr="001F1669">
        <w:rPr>
          <w:b/>
        </w:rPr>
        <w:t xml:space="preserve"> </w:t>
      </w:r>
      <w:r w:rsidR="00200839" w:rsidRPr="00A35DD2">
        <w:t>(</w:t>
      </w:r>
      <w:r w:rsidR="00AC57C9" w:rsidRPr="00A35DD2">
        <w:t>Prezidentūras</w:t>
      </w:r>
      <w:r w:rsidR="00200839" w:rsidRPr="00A35DD2">
        <w:t xml:space="preserve"> sniegtā informācija)</w:t>
      </w:r>
    </w:p>
    <w:p w14:paraId="4F10B691" w14:textId="236F0A92" w:rsidR="00EB4915" w:rsidRPr="00EB4915" w:rsidRDefault="00EB4915" w:rsidP="00580BAC">
      <w:pPr>
        <w:tabs>
          <w:tab w:val="left" w:pos="0"/>
        </w:tabs>
        <w:suppressAutoHyphens/>
        <w:spacing w:after="120"/>
        <w:ind w:firstLine="709"/>
        <w:jc w:val="both"/>
        <w:rPr>
          <w:lang w:eastAsia="zh-CN"/>
        </w:rPr>
      </w:pPr>
      <w:r w:rsidRPr="00EB4915">
        <w:rPr>
          <w:lang w:eastAsia="zh-CN"/>
        </w:rPr>
        <w:t>2015.</w:t>
      </w:r>
      <w:r w:rsidR="00524AD3">
        <w:rPr>
          <w:lang w:eastAsia="zh-CN"/>
        </w:rPr>
        <w:t> </w:t>
      </w:r>
      <w:r w:rsidRPr="00EB4915">
        <w:rPr>
          <w:lang w:eastAsia="zh-CN"/>
        </w:rPr>
        <w:t>gada 2.</w:t>
      </w:r>
      <w:r w:rsidR="00524AD3">
        <w:rPr>
          <w:lang w:eastAsia="zh-CN"/>
        </w:rPr>
        <w:t> </w:t>
      </w:r>
      <w:r w:rsidRPr="00EB4915">
        <w:rPr>
          <w:lang w:eastAsia="zh-CN"/>
        </w:rPr>
        <w:t xml:space="preserve">decembrī EK nāca klajā ar paziņojumu „Noslēgt aprites loku – ES rīcības plāns pārejai uz aprites ekonomiku”, detalizētu rīcības plānu </w:t>
      </w:r>
      <w:r w:rsidRPr="00EB4915">
        <w:t>un četriem direktīvu projektiem atkritumu apsaimniekošanas jomā:</w:t>
      </w:r>
    </w:p>
    <w:p w14:paraId="4F38BD27" w14:textId="77777777" w:rsidR="00EB4915" w:rsidRPr="00EB4915" w:rsidRDefault="00EB4915" w:rsidP="00A35DD2">
      <w:pPr>
        <w:pStyle w:val="ListParagraph"/>
        <w:numPr>
          <w:ilvl w:val="0"/>
          <w:numId w:val="47"/>
        </w:numPr>
        <w:spacing w:after="120"/>
        <w:ind w:left="284" w:hanging="218"/>
        <w:contextualSpacing w:val="0"/>
        <w:jc w:val="both"/>
      </w:pPr>
      <w:r w:rsidRPr="00EB4915">
        <w:t>Eiropas Parlamenta un Padomes direktīvas projekts, ar kuru groza Direktīvas 2000/53/EK par nolietotiem transportlīdzekļiem, 2006/66/EK par baterijām un akumulatoriem, un 2012/19/ES par elektrisko un elektronisko iekārtu atkritumiem;</w:t>
      </w:r>
    </w:p>
    <w:p w14:paraId="4EBD7143" w14:textId="77777777" w:rsidR="00EB4915" w:rsidRPr="00EB4915" w:rsidRDefault="00EB4915" w:rsidP="00A35DD2">
      <w:pPr>
        <w:pStyle w:val="ListParagraph"/>
        <w:numPr>
          <w:ilvl w:val="0"/>
          <w:numId w:val="47"/>
        </w:numPr>
        <w:spacing w:after="120"/>
        <w:ind w:left="284" w:hanging="218"/>
        <w:contextualSpacing w:val="0"/>
        <w:jc w:val="both"/>
      </w:pPr>
      <w:r w:rsidRPr="00EB4915">
        <w:t>Eiropas Parlamenta un Padomes direktīvas projekts, ar kuru groza Direktīvu 1999/31/EK par atkritumu poligoniem;</w:t>
      </w:r>
    </w:p>
    <w:p w14:paraId="54AEE6FD" w14:textId="77777777" w:rsidR="00EB4915" w:rsidRPr="00EB4915" w:rsidRDefault="00EB4915" w:rsidP="00A35DD2">
      <w:pPr>
        <w:pStyle w:val="ListParagraph"/>
        <w:numPr>
          <w:ilvl w:val="0"/>
          <w:numId w:val="47"/>
        </w:numPr>
        <w:spacing w:after="120"/>
        <w:ind w:left="284" w:hanging="218"/>
        <w:contextualSpacing w:val="0"/>
        <w:jc w:val="both"/>
      </w:pPr>
      <w:r w:rsidRPr="00EB4915">
        <w:t xml:space="preserve">Eiropas Parlamenta un Padomes direktīvas projekts, ar kuru groza Direktīvu 2008/98/EK par atkritumiem; </w:t>
      </w:r>
    </w:p>
    <w:p w14:paraId="54E054F8" w14:textId="77777777" w:rsidR="00EB4915" w:rsidRPr="00EB4915" w:rsidRDefault="00EB4915" w:rsidP="00A35DD2">
      <w:pPr>
        <w:pStyle w:val="ListParagraph"/>
        <w:numPr>
          <w:ilvl w:val="0"/>
          <w:numId w:val="47"/>
        </w:numPr>
        <w:spacing w:after="120"/>
        <w:ind w:left="284" w:hanging="218"/>
        <w:contextualSpacing w:val="0"/>
        <w:jc w:val="both"/>
      </w:pPr>
      <w:r w:rsidRPr="00EB4915">
        <w:t>Eiropas Parlamenta un Padomes direktīvas projekts, ar kuru groza Direktīvu 94/62/EK par iepakojumu un izlieto iepakojumu.</w:t>
      </w:r>
    </w:p>
    <w:p w14:paraId="615F7950" w14:textId="1B8B865D" w:rsidR="00EB4915" w:rsidRPr="00EB4915" w:rsidRDefault="00EB4915" w:rsidP="00580BAC">
      <w:pPr>
        <w:suppressAutoHyphens/>
        <w:spacing w:after="120"/>
        <w:ind w:firstLine="709"/>
        <w:jc w:val="both"/>
      </w:pPr>
      <w:r w:rsidRPr="00EB4915">
        <w:t>Slovākijas prezidentūras laikā notika darbs pie direktīvas projekta kompromisa tekstu izstrādes, apskatot tādus direktīvu projektu elementus kā definīcijas, atkritumu atkārtotas izmantošanas, sagatavošanas atkārtotai izmantošanai un pārstrādes mērķu noteikšana un prasības šo mērķu aprēķināšanai, prasības atkritumu rašanās novēršanas pasākumiem, jautājumi par paplašinātās ražotāju atbildības sistēmas piemērošanu, par apglabājamo atkritumu apjomu samazināšanas mērķiem un to aprēķināšanas kārtību, kā arī par izlietotā iepakojuma atkārtotas izmantošanas, sagatavošanas atkārtotai izmantošanai un pārstrādes mērķiem un to noteikšanas metodēm dažādām izlietotā iepakojuma kategorijām. 2016.</w:t>
      </w:r>
      <w:r w:rsidR="00524AD3">
        <w:t> </w:t>
      </w:r>
      <w:r w:rsidRPr="00EB4915">
        <w:t>gada 6.</w:t>
      </w:r>
      <w:r w:rsidR="00524AD3">
        <w:t> </w:t>
      </w:r>
      <w:r w:rsidRPr="00EB4915">
        <w:t>un 7.</w:t>
      </w:r>
      <w:r w:rsidR="00524AD3">
        <w:t> </w:t>
      </w:r>
      <w:r w:rsidRPr="00EB4915">
        <w:t>novembrī notika Slovākijas prezidentūras un dalībvalstu divpusējās konsultācijas, kurās Latvija ir paudusi atbalstu direktīvu projektos ietvertajiem atkritumu sagatavošanas atkārotai izmantošanai un pārstrādei mērķiem, kā arī norādījusi, ka neatbalsta atsevišķa mērķa noteikšanu atkritumu atkārtotai izmantošanai.</w:t>
      </w:r>
    </w:p>
    <w:p w14:paraId="41098F7D" w14:textId="52AE53E2" w:rsidR="00200839" w:rsidRDefault="00EB4915" w:rsidP="00580BAC">
      <w:pPr>
        <w:suppressAutoHyphens/>
        <w:spacing w:after="120"/>
        <w:ind w:firstLine="709"/>
        <w:jc w:val="both"/>
      </w:pPr>
      <w:r w:rsidRPr="00EB4915">
        <w:t>Sagaidāms, ka darbs šajā jomā turpināsies arī Maltas prezidentūras laikā. Sagaidāms, ka 2017.</w:t>
      </w:r>
      <w:r w:rsidR="00524AD3">
        <w:t> </w:t>
      </w:r>
      <w:r w:rsidRPr="00EB4915">
        <w:t>gada pirmajā pusē notiks Eiropas Parlamenta balsojums par grozījumiem direktīvu projektos.</w:t>
      </w:r>
      <w:r>
        <w:t xml:space="preserve"> </w:t>
      </w:r>
    </w:p>
    <w:p w14:paraId="4F5889EA" w14:textId="77777777" w:rsidR="00A35DD2" w:rsidRPr="00EB4915" w:rsidRDefault="00A35DD2" w:rsidP="00A35DD2">
      <w:pPr>
        <w:suppressAutoHyphens/>
        <w:spacing w:after="120"/>
        <w:ind w:firstLine="709"/>
        <w:jc w:val="both"/>
        <w:rPr>
          <w:lang w:eastAsia="zh-CN"/>
        </w:rPr>
      </w:pPr>
      <w:r w:rsidRPr="00EB4915">
        <w:rPr>
          <w:lang w:eastAsia="zh-CN"/>
        </w:rPr>
        <w:t xml:space="preserve">Saskaņā ar 2016. gada 19. janvārī Ministru kabinetā apstiprinātajām </w:t>
      </w:r>
      <w:r w:rsidRPr="00A35DD2">
        <w:rPr>
          <w:b/>
          <w:lang w:eastAsia="zh-CN"/>
        </w:rPr>
        <w:t>Latvijas</w:t>
      </w:r>
      <w:r w:rsidRPr="00EB4915">
        <w:rPr>
          <w:lang w:eastAsia="zh-CN"/>
        </w:rPr>
        <w:t xml:space="preserve"> nacionālajām pozīcijām par četriem direktīvu projektiem atkritumu apsaimniekošanas jomā, </w:t>
      </w:r>
      <w:r w:rsidRPr="00EB4915">
        <w:rPr>
          <w:lang w:eastAsia="zh-CN"/>
        </w:rPr>
        <w:lastRenderedPageBreak/>
        <w:t xml:space="preserve">Latvija kopumā var piekrist minēto grozījumu virzībai, tomēr kā būtiskākās prioritātes ir lielāka normatīvo aktu harmonizācija, vienotās un skaidrās definīcijas, atkritumu atkārtotas izmantošanas, sagatavošanas atkārtotai izmantošanai un pārstrādes mērķu aprēķinu metodes. Arī pārtikas atkritumu definīcijas izstrādāšanu vērtējam kā lietderīgu turpmāko rīcību atkritumu apsaimniekošanas nozares turpmākai attīstībai. </w:t>
      </w:r>
    </w:p>
    <w:p w14:paraId="3EF6DD86" w14:textId="77777777" w:rsidR="00A35DD2" w:rsidRPr="00A26197" w:rsidRDefault="00A35DD2" w:rsidP="00580BAC">
      <w:pPr>
        <w:suppressAutoHyphens/>
        <w:spacing w:after="120"/>
        <w:ind w:firstLine="709"/>
        <w:jc w:val="both"/>
        <w:rPr>
          <w:lang w:eastAsia="zh-CN"/>
        </w:rPr>
      </w:pPr>
    </w:p>
    <w:p w14:paraId="26D27F56" w14:textId="011A20E6" w:rsidR="00200839" w:rsidRPr="00A26197" w:rsidRDefault="00C47871" w:rsidP="00580BAC">
      <w:pPr>
        <w:pStyle w:val="PointDoubleManual"/>
        <w:spacing w:before="0" w:after="120"/>
        <w:ind w:left="0" w:firstLine="0"/>
        <w:jc w:val="both"/>
        <w:rPr>
          <w:b/>
        </w:rPr>
      </w:pPr>
      <w:r w:rsidRPr="00A26197">
        <w:rPr>
          <w:b/>
        </w:rPr>
        <w:t>2</w:t>
      </w:r>
      <w:r w:rsidR="00A35DD2">
        <w:rPr>
          <w:b/>
        </w:rPr>
        <w:t>)</w:t>
      </w:r>
      <w:r w:rsidR="00BF19FE" w:rsidRPr="00A26197">
        <w:rPr>
          <w:b/>
        </w:rPr>
        <w:t> </w:t>
      </w:r>
      <w:r w:rsidR="00AC57C9" w:rsidRPr="00A26197">
        <w:rPr>
          <w:b/>
        </w:rPr>
        <w:t xml:space="preserve">Pašreizējie tiesību aktu priekšlikumi – </w:t>
      </w:r>
      <w:r w:rsidR="00D60719">
        <w:rPr>
          <w:b/>
        </w:rPr>
        <w:t xml:space="preserve">ES </w:t>
      </w:r>
      <w:r w:rsidR="00AC57C9" w:rsidRPr="00A26197">
        <w:rPr>
          <w:b/>
        </w:rPr>
        <w:t xml:space="preserve">ETS neaptvertie sektori </w:t>
      </w:r>
      <w:r w:rsidR="00200839" w:rsidRPr="00A35DD2">
        <w:t>(</w:t>
      </w:r>
      <w:r w:rsidR="00AC57C9" w:rsidRPr="00A35DD2">
        <w:t>Prezidentūras</w:t>
      </w:r>
      <w:r w:rsidR="00200839" w:rsidRPr="00A35DD2">
        <w:t xml:space="preserve"> sniegtā informācija)</w:t>
      </w:r>
    </w:p>
    <w:p w14:paraId="3F6E9C90" w14:textId="764E4BA6" w:rsidR="00AC57C9" w:rsidRPr="00A26197" w:rsidRDefault="00D60719" w:rsidP="00580BAC">
      <w:pPr>
        <w:spacing w:after="120"/>
        <w:ind w:firstLine="567"/>
        <w:jc w:val="both"/>
      </w:pPr>
      <w:r>
        <w:t>EK</w:t>
      </w:r>
      <w:r w:rsidR="00AC57C9" w:rsidRPr="00A26197">
        <w:t xml:space="preserve"> 2016. gada 20. jūlijā publicēja tiesību aktu priekšlikumus par </w:t>
      </w:r>
      <w:r>
        <w:t xml:space="preserve">ES </w:t>
      </w:r>
      <w:r w:rsidR="00AC57C9" w:rsidRPr="00A26197">
        <w:t>ETS neaptvertajiem sektoriem - Saistību pārdales regulas projektu</w:t>
      </w:r>
      <w:r w:rsidR="00C94B01" w:rsidRPr="00A26197">
        <w:t xml:space="preserve"> (turpmāk - SPR projekts)</w:t>
      </w:r>
      <w:r w:rsidR="00AC57C9" w:rsidRPr="00A26197">
        <w:t xml:space="preserve"> un regulu, kas saistīta ar zemes izmantošanas jautājumu un mežsaimniecības sasaisti </w:t>
      </w:r>
      <w:r w:rsidR="004C2DB7" w:rsidRPr="00A26197">
        <w:t xml:space="preserve">(turpmāk - </w:t>
      </w:r>
      <w:r w:rsidR="00AC57C9" w:rsidRPr="00A26197">
        <w:t>ZIZIMM regulas projektu</w:t>
      </w:r>
      <w:r w:rsidR="004C2DB7" w:rsidRPr="00A26197">
        <w:t>)</w:t>
      </w:r>
      <w:r w:rsidR="00AC57C9" w:rsidRPr="00A26197">
        <w:t xml:space="preserve">. </w:t>
      </w:r>
    </w:p>
    <w:p w14:paraId="16A09D67" w14:textId="3E192D5E" w:rsidR="00C94B01" w:rsidRPr="00A26197" w:rsidRDefault="00C94B01" w:rsidP="00580BAC">
      <w:pPr>
        <w:spacing w:after="120"/>
        <w:ind w:firstLine="567"/>
        <w:jc w:val="both"/>
      </w:pPr>
      <w:r w:rsidRPr="00A26197">
        <w:t xml:space="preserve">Slovākijas prezidentūras laikā līdz šim par SPR projektu un ZIZIMM regulas projektu ir notikušas 6 </w:t>
      </w:r>
      <w:r w:rsidR="00524AD3" w:rsidRPr="00A26197">
        <w:t xml:space="preserve">Padomes Vides </w:t>
      </w:r>
      <w:r w:rsidRPr="00A26197">
        <w:t>darba grupas, kā arī divas Pastāvīgo pārstāvju komitejas I daļas (COREPER I) sanāksmes – 2016.</w:t>
      </w:r>
      <w:r w:rsidR="00524AD3">
        <w:t> </w:t>
      </w:r>
      <w:r w:rsidRPr="00A26197">
        <w:t>gada 20.</w:t>
      </w:r>
      <w:r w:rsidR="00524AD3">
        <w:t> </w:t>
      </w:r>
      <w:r w:rsidRPr="00A26197">
        <w:t>jūlija COREPER I sanāksmē tika prezentēti tiesību aktu projekti, bet 2016.</w:t>
      </w:r>
      <w:r w:rsidR="00524AD3">
        <w:t> </w:t>
      </w:r>
      <w:r w:rsidRPr="00A26197">
        <w:t>gada 11.</w:t>
      </w:r>
      <w:r w:rsidR="00524AD3">
        <w:t> </w:t>
      </w:r>
      <w:r w:rsidRPr="00A26197">
        <w:t>novembra COREPER I sanāksmē notika diskusija par SPR projekta un ZIZIMM regulas projekta Ietekmes novērtējuma ziņojumiem. 2016.</w:t>
      </w:r>
      <w:r w:rsidR="00524AD3">
        <w:t> </w:t>
      </w:r>
      <w:r w:rsidRPr="00A26197">
        <w:t>gada 17.</w:t>
      </w:r>
      <w:r w:rsidR="00524AD3">
        <w:t> </w:t>
      </w:r>
      <w:r w:rsidRPr="00A26197">
        <w:t xml:space="preserve">oktobra </w:t>
      </w:r>
      <w:r w:rsidR="00524AD3">
        <w:t xml:space="preserve">ES </w:t>
      </w:r>
      <w:r w:rsidRPr="00A26197">
        <w:t>Vides padom</w:t>
      </w:r>
      <w:r w:rsidR="00524AD3">
        <w:t>es sanāksm</w:t>
      </w:r>
      <w:r w:rsidRPr="00A26197">
        <w:t>ē notika politiskā diskusija par abiem projektiem.</w:t>
      </w:r>
    </w:p>
    <w:p w14:paraId="2AC32E85" w14:textId="66EE4038" w:rsidR="00C94B01" w:rsidRPr="00A26197" w:rsidRDefault="00C94B01" w:rsidP="00580BAC">
      <w:pPr>
        <w:spacing w:after="120"/>
        <w:ind w:firstLine="567"/>
        <w:jc w:val="both"/>
      </w:pPr>
      <w:r w:rsidRPr="00A26197">
        <w:t>Līdz šim notikušajās diskusijās dalībvalstīm bija iespēja paust savu pozīciju vai prezentēt savus priekšlikumus. Aktīvākās diskusijas attiecībā uz SPR projekta nosacījumiem līdz šim izvērsušās par ne-ETS darbību ikgadējo mērķu noteikšanas metodi – ikgadējo mērķu noteikšanā izmantotās trajektorijas sākuma punktu (tonnas SEG) un sākuma gadu, kā arī par SPR projektā iekļautajām elastībām – ES ETS vienību izmantošana atbilstošajām dalībvalstīm, ZIZIMM kredītu izmantošana ne-ETS darbību saistību segšanai, elastība dalībvalstīm atbilstības nodrošināšanai piešķirtajām vienībām. Savukārt ZIZIMM regulas projekta kontekstā plašākās diskusijas līdz šim ir izvērtušās par pavadošo Ietekmes novērtējumu, kā arī 8.</w:t>
      </w:r>
      <w:r w:rsidR="00524AD3">
        <w:t> </w:t>
      </w:r>
      <w:r w:rsidRPr="00A26197">
        <w:t xml:space="preserve">pantu par apsaimniekotas meža zemes uzkaiti (meža references līmeņa (turpmāk – FRL) noteikšana, atsauces periods, pārvaldības process. </w:t>
      </w:r>
    </w:p>
    <w:p w14:paraId="6B8DEFB3" w14:textId="77777777" w:rsidR="00225222" w:rsidRPr="00A26197" w:rsidRDefault="00C94B01" w:rsidP="00580BAC">
      <w:pPr>
        <w:spacing w:after="120"/>
        <w:ind w:firstLine="567"/>
        <w:jc w:val="both"/>
      </w:pPr>
      <w:r w:rsidRPr="00A26197">
        <w:t xml:space="preserve">SPR projektā un ZIZIMM regulas projektā līdz šim Slovākijas prezidentūra nav veikusi redakcionālas izmaiņas. </w:t>
      </w:r>
    </w:p>
    <w:p w14:paraId="63D10F0E" w14:textId="5D2292B6" w:rsidR="00AC57C9" w:rsidRPr="00A26197" w:rsidRDefault="00AC57C9" w:rsidP="00580BAC">
      <w:pPr>
        <w:spacing w:after="120"/>
        <w:ind w:firstLine="720"/>
        <w:jc w:val="both"/>
      </w:pPr>
      <w:r w:rsidRPr="00A35DD2">
        <w:rPr>
          <w:b/>
        </w:rPr>
        <w:t>Latvijas</w:t>
      </w:r>
      <w:r w:rsidR="00F06424">
        <w:t xml:space="preserve"> nostāja izklāstīta</w:t>
      </w:r>
      <w:r w:rsidRPr="00A26197">
        <w:t xml:space="preserve"> pozīcij</w:t>
      </w:r>
      <w:r w:rsidR="00F06424">
        <w:t>ā</w:t>
      </w:r>
      <w:r w:rsidRPr="00A26197">
        <w:t xml:space="preserve"> Nr. 1 „</w:t>
      </w:r>
      <w:r w:rsidRPr="00A26197">
        <w:rPr>
          <w:i/>
        </w:rPr>
        <w:t>Par priekšlikumu Eiropas Parlamenta un Padomes regulai par saistošiem ikgadējiem siltumnīcefekta gāzu emisijas samazinājumiem, kas dalībvalstīm jāpanāk no 2021. līdz 2030. gadam nolūkā izveidot noturīgu Enerģētikas savienību un izpildīt Parīzes nolīgumā paredzētās saistības, un ar ko groza Eiropas Parlamenta un Padomes Regulu Nr. 525/2013 par mehānismu siltumnīcefekta gāzu emisiju pārraudzībai un ziņošanai un citas informācijas ziņošanai saistībā ar klimata pārmaiņām</w:t>
      </w:r>
      <w:r w:rsidRPr="00A26197">
        <w:t>” un pozīcijā Nr. 1 „</w:t>
      </w:r>
      <w:r w:rsidRPr="00A26197">
        <w:rPr>
          <w:i/>
        </w:rPr>
        <w:t>Par priekšlikumu par zemes izmantošanā, zemes izmantošanas maiņā un mežsaimniecībā radušos siltumnīcefekta gāzu emisiju un piesaistījumu iekļaušanu klimata un enerģētikas politikas satvarā laikposmam līdz 2030. gadam un ar ko groza Eiropas Parlamenta un Padomes Regulu Nr. 525/2013 par mehānismu siltumnīcefekta gāzu emisiju pārraudzībai un ziņošanai un citas informācijas ziņošanai saistībā ar klimata pārmaiņām</w:t>
      </w:r>
      <w:r w:rsidRPr="00A26197">
        <w:t>”,</w:t>
      </w:r>
      <w:r w:rsidR="00F06424">
        <w:t xml:space="preserve"> kas</w:t>
      </w:r>
      <w:r w:rsidRPr="00A26197">
        <w:t xml:space="preserve"> </w:t>
      </w:r>
      <w:r w:rsidR="004C2DB7" w:rsidRPr="00A26197">
        <w:t xml:space="preserve">apstiprināta </w:t>
      </w:r>
      <w:r w:rsidRPr="00A26197">
        <w:t xml:space="preserve">2016. gada 11. oktobra </w:t>
      </w:r>
      <w:r w:rsidR="004C2DB7" w:rsidRPr="00A26197">
        <w:t xml:space="preserve">Ministru kabineta </w:t>
      </w:r>
      <w:r w:rsidRPr="00A26197">
        <w:t xml:space="preserve">sēdē. </w:t>
      </w:r>
    </w:p>
    <w:p w14:paraId="39F45026" w14:textId="77777777" w:rsidR="000F5AF8" w:rsidRPr="00A26197" w:rsidRDefault="000F5AF8" w:rsidP="00580BAC">
      <w:pPr>
        <w:pStyle w:val="DashEqual2"/>
        <w:numPr>
          <w:ilvl w:val="0"/>
          <w:numId w:val="0"/>
        </w:numPr>
        <w:spacing w:after="120"/>
        <w:jc w:val="both"/>
        <w:rPr>
          <w:rFonts w:asciiTheme="majorBidi" w:hAnsiTheme="majorBidi" w:cstheme="majorBidi"/>
        </w:rPr>
      </w:pPr>
    </w:p>
    <w:p w14:paraId="0989B6DA" w14:textId="03709B2D" w:rsidR="00B81191" w:rsidRDefault="00C47871" w:rsidP="00580BAC">
      <w:pPr>
        <w:pStyle w:val="PointManual1"/>
        <w:spacing w:after="120"/>
        <w:ind w:left="0" w:firstLine="0"/>
        <w:jc w:val="both"/>
        <w:rPr>
          <w:b/>
        </w:rPr>
      </w:pPr>
      <w:r w:rsidRPr="00A26197">
        <w:rPr>
          <w:b/>
        </w:rPr>
        <w:t>3</w:t>
      </w:r>
      <w:r w:rsidR="00A35DD2">
        <w:rPr>
          <w:b/>
        </w:rPr>
        <w:t>)</w:t>
      </w:r>
      <w:r w:rsidR="004A1116" w:rsidRPr="00A26197">
        <w:rPr>
          <w:b/>
        </w:rPr>
        <w:t> </w:t>
      </w:r>
      <w:r w:rsidR="00D60719">
        <w:rPr>
          <w:b/>
        </w:rPr>
        <w:t>EK</w:t>
      </w:r>
      <w:r w:rsidR="004C2DB7" w:rsidRPr="00A26197">
        <w:rPr>
          <w:b/>
        </w:rPr>
        <w:t xml:space="preserve"> paziņojums "Turpmākie pasākumi attiecībā uz ilgtspējīgu Eiropas nākotni – Eiropas rīcības plāns virzībai uz ilgtspēju" </w:t>
      </w:r>
      <w:r w:rsidR="004C2DB7" w:rsidRPr="00A35DD2">
        <w:t>(</w:t>
      </w:r>
      <w:r w:rsidR="00B5578C" w:rsidRPr="00A35DD2">
        <w:t>EK</w:t>
      </w:r>
      <w:r w:rsidR="00200839" w:rsidRPr="00A35DD2">
        <w:t xml:space="preserve"> sniegta informācija)</w:t>
      </w:r>
    </w:p>
    <w:p w14:paraId="206E58DE" w14:textId="5DDDF531" w:rsidR="000367E7" w:rsidRDefault="000367E7" w:rsidP="00580BAC">
      <w:pPr>
        <w:spacing w:after="120"/>
        <w:ind w:firstLine="567"/>
        <w:jc w:val="both"/>
        <w:rPr>
          <w:sz w:val="22"/>
          <w:szCs w:val="22"/>
        </w:rPr>
      </w:pPr>
      <w:r>
        <w:lastRenderedPageBreak/>
        <w:t xml:space="preserve">2016.gada 22.novembrī Eiropas Komisija publicēja paziņojumu "Turpmākie pasākumi attiecībā uz ilgtspējīgu Eiropas nākotni – Eiropas rīcības plāns virzībai uz ilgtspēju" (turpmāk – Paziņojums), kas kalpos par stratēģisku pieeju tam, kā panākt ilgtspējīgu attīstību ES iekšēji un ārpus tās. Paziņojumā skaidrots, kādā veidā Komisijas 10 politiskās prioritātes sekmē ANO Ilgtspējīgas attīstības Dienaskārtības 2030. gadam īstenošanu un kā ES turpmāk īstenos ANO ilgtspējīgas attīstības mērķus (IAM). Paziņojuma ietvarā (tā pielikumā) Komisija piedāvājusi IAM un esošo ES politiku kartējumu. Saistībā ar Dienaskārtību 2030. gadam Komisija iezīmējusi ES darbam divus virzienus: 1) </w:t>
      </w:r>
      <w:r w:rsidR="00867D64">
        <w:t> </w:t>
      </w:r>
      <w:r>
        <w:t>iestrādāt IAM ES politikas satvarā un Komisijas pašreizējās prioritātēs un 2)</w:t>
      </w:r>
      <w:r w:rsidR="00867D64">
        <w:t> </w:t>
      </w:r>
      <w:r>
        <w:t>sākt domāt par ilgtermiņa redzējuma pilnveidošanu un nozaru politikas virzienu uzsvara punktiem pēc 2020. gada. ES Vides ministru padomes sanāksmes ietvaros uz pusdienām ir uzaicināts ANO Vides Programmas (turpmāk</w:t>
      </w:r>
      <w:r w:rsidR="00867D64">
        <w:t xml:space="preserve"> – </w:t>
      </w:r>
      <w:r>
        <w:t>UNEP</w:t>
      </w:r>
      <w:r w:rsidR="00867D64">
        <w:t>)</w:t>
      </w:r>
      <w:r>
        <w:t xml:space="preserve"> izpilddirektors Ēriks Solheims, kurš ievadīs diskusijas par Paziņojumu, kā arī prezentēs UNEP darba programmu ANO Ilgtspējīgas attīstības Dienaskārtības 2030. gadam īstenošanai.</w:t>
      </w:r>
    </w:p>
    <w:p w14:paraId="44540E79" w14:textId="1C356DDB" w:rsidR="000367E7" w:rsidRDefault="00867D64" w:rsidP="00580BAC">
      <w:pPr>
        <w:spacing w:after="120"/>
        <w:ind w:firstLine="567"/>
        <w:jc w:val="both"/>
      </w:pPr>
      <w:r>
        <w:t>EK</w:t>
      </w:r>
      <w:r w:rsidR="000367E7">
        <w:t xml:space="preserve"> apņēmusies izmantot visus tās rīcībā esošos instrumentus (tostarp labāka regulējuma rīkus), lai nodrošinātu, ka esošajā un jaunajā politikā tiek ņemti vērā trīs ilgtspējīgas attīstības pīlāri: sociālais, vides un ekonomikas. Komisija izveidos daudzpusēju ieinteresēto personu platformu, kuras uzdevums būs uzraudzīt IAM īstenošanu visās nozarēs un apmainīties ar paraugpraksi. Komisija no 2017. gada regulāri sagatavos ziņojumus par ES sekmēm virzībā uz </w:t>
      </w:r>
      <w:r>
        <w:t>Dienaskārtības</w:t>
      </w:r>
      <w:r w:rsidR="000367E7">
        <w:t xml:space="preserve"> 2030. gadam īstenošanu un sāks diskusijas par ilgtermiņa redzējuma izstrādāšanu laikposmam pēc 2020. gada. </w:t>
      </w:r>
    </w:p>
    <w:p w14:paraId="67BC046B" w14:textId="6A7BF72B" w:rsidR="000367E7" w:rsidRDefault="000367E7" w:rsidP="00580BAC">
      <w:pPr>
        <w:spacing w:after="120"/>
        <w:ind w:firstLine="567"/>
        <w:jc w:val="both"/>
        <w:rPr>
          <w:i/>
          <w:iCs/>
        </w:rPr>
      </w:pPr>
      <w:r w:rsidRPr="00A35DD2">
        <w:rPr>
          <w:b/>
        </w:rPr>
        <w:t>Latvija</w:t>
      </w:r>
      <w:r>
        <w:t xml:space="preserve"> atbalsta ambiciozu un sistemātisku </w:t>
      </w:r>
      <w:r w:rsidR="00867D64">
        <w:t xml:space="preserve">Dienaskārtības </w:t>
      </w:r>
      <w:r>
        <w:t>2030</w:t>
      </w:r>
      <w:r w:rsidR="00867D64">
        <w:t>. gadam</w:t>
      </w:r>
      <w:r>
        <w:t xml:space="preserve"> ieviešanu ES gan iekšēji, gan ārēji. Paziņojums ir labs pamats turpmākam darbam, un tas sniedz fundamentālu pārskatu par esošajām ES politikām un finanšu instrumentiem, kā arī to saderību ar IAM. Turpmākajā darbā nepieciešams arī analizēt nepilnības un iztrūkumus esošajās ES politikās (</w:t>
      </w:r>
      <w:r>
        <w:rPr>
          <w:i/>
          <w:iCs/>
        </w:rPr>
        <w:t>gap analysis</w:t>
      </w:r>
      <w:r>
        <w:t>), kā arī strādāt pie ilgtermiņa vīzijas, rīcībām un ES finanšu instrumentiem, lai nodrošinātu IAM ieviešanu tālākā nākotnē. Šajā procesā aicinām ņemt vērā jau nospraustās ilgtermiņa ES politiskās prioritātes un mērķus.</w:t>
      </w:r>
    </w:p>
    <w:p w14:paraId="251668EF" w14:textId="4D7211AD" w:rsidR="000367E7" w:rsidRDefault="00680A67" w:rsidP="00580BAC">
      <w:pPr>
        <w:spacing w:after="120"/>
        <w:ind w:firstLine="567"/>
        <w:jc w:val="both"/>
      </w:pPr>
      <w:r>
        <w:t xml:space="preserve">Pārresoru koordinācijas </w:t>
      </w:r>
      <w:r w:rsidRPr="004759AF">
        <w:t>centrs plāno veikt Latvijas ilgtspējīgas attīstības stratēģijas līdz 2030</w:t>
      </w:r>
      <w:r w:rsidR="00867D64">
        <w:t> </w:t>
      </w:r>
      <w:r w:rsidRPr="004759AF">
        <w:t>gadam (LIAS2030), Latvijas Nacionālā attīstības plāna 2014</w:t>
      </w:r>
      <w:r w:rsidR="00C743A8" w:rsidRPr="004759AF">
        <w:t>.</w:t>
      </w:r>
      <w:r w:rsidRPr="004759AF">
        <w:t xml:space="preserve"> - 2020.</w:t>
      </w:r>
      <w:r w:rsidR="00867D64">
        <w:t> </w:t>
      </w:r>
      <w:r w:rsidRPr="004759AF">
        <w:t>gadam (NAP2020), nozaru politikas pamatnostādņu un plānu sasaites ar Ilgtspējīgas</w:t>
      </w:r>
      <w:r w:rsidR="002B06CB" w:rsidRPr="004759AF">
        <w:t xml:space="preserve"> attīstības mērķiem izvērtējumu</w:t>
      </w:r>
      <w:r w:rsidRPr="004759AF">
        <w:t xml:space="preserve"> </w:t>
      </w:r>
      <w:r w:rsidR="002B06CB" w:rsidRPr="004759AF">
        <w:t>un nepieciešamības gadījumā sagatav</w:t>
      </w:r>
      <w:r w:rsidR="00C743A8" w:rsidRPr="004759AF">
        <w:t>ot</w:t>
      </w:r>
      <w:r w:rsidRPr="004759AF">
        <w:t xml:space="preserve"> priekšlikumus par iespējamām izmaiņām LIAS2030 un NAP2020, lai sekmētu Ilgtspējīgas attīstības mērķu īstenošanu. Minētie priekšlikumi tik</w:t>
      </w:r>
      <w:r w:rsidR="002B06CB" w:rsidRPr="004759AF">
        <w:t>s</w:t>
      </w:r>
      <w:r w:rsidRPr="004759AF">
        <w:t xml:space="preserve"> skatīti vienlaicīgi ar NAP2020 vidusposma izvērtējumu, kuru paredzēts sagatavot un iesniegt M</w:t>
      </w:r>
      <w:r w:rsidR="00DF6BAA">
        <w:t>inistru k</w:t>
      </w:r>
      <w:r w:rsidR="002B06CB" w:rsidRPr="004759AF">
        <w:t>abinetā</w:t>
      </w:r>
      <w:r w:rsidRPr="004759AF">
        <w:t xml:space="preserve"> 2017.</w:t>
      </w:r>
      <w:r w:rsidR="00867D64">
        <w:t> </w:t>
      </w:r>
      <w:r w:rsidRPr="004759AF">
        <w:t>gada septembrī</w:t>
      </w:r>
      <w:r w:rsidR="00DF6BAA">
        <w:t xml:space="preserve"> </w:t>
      </w:r>
      <w:r w:rsidRPr="004759AF">
        <w:t>-</w:t>
      </w:r>
      <w:r w:rsidR="00DF6BAA">
        <w:t xml:space="preserve"> </w:t>
      </w:r>
      <w:r w:rsidRPr="004759AF">
        <w:t>oktobrī.</w:t>
      </w:r>
    </w:p>
    <w:p w14:paraId="12AFB326" w14:textId="77777777" w:rsidR="00A35DD2" w:rsidRPr="00A26197" w:rsidRDefault="00A35DD2" w:rsidP="00580BAC">
      <w:pPr>
        <w:spacing w:after="120"/>
        <w:ind w:firstLine="567"/>
        <w:jc w:val="both"/>
      </w:pPr>
    </w:p>
    <w:p w14:paraId="4D354805" w14:textId="74CB11F6" w:rsidR="004C2DB7" w:rsidRDefault="004C2DB7" w:rsidP="00580BAC">
      <w:pPr>
        <w:pStyle w:val="PointManual1"/>
        <w:spacing w:after="120"/>
        <w:ind w:left="0" w:firstLine="0"/>
        <w:jc w:val="both"/>
        <w:rPr>
          <w:b/>
        </w:rPr>
      </w:pPr>
      <w:r w:rsidRPr="001F1669">
        <w:rPr>
          <w:b/>
        </w:rPr>
        <w:t>4</w:t>
      </w:r>
      <w:r w:rsidR="00A35DD2">
        <w:rPr>
          <w:b/>
        </w:rPr>
        <w:t>)</w:t>
      </w:r>
      <w:r w:rsidR="00867D64">
        <w:t> </w:t>
      </w:r>
      <w:r w:rsidR="00D60719" w:rsidRPr="001F1669">
        <w:rPr>
          <w:b/>
        </w:rPr>
        <w:t>EK</w:t>
      </w:r>
      <w:r w:rsidRPr="001F1669">
        <w:rPr>
          <w:b/>
        </w:rPr>
        <w:t xml:space="preserve"> paziņojums "Tīra enerģija visiem Eiropas iedzīvotājiem" </w:t>
      </w:r>
      <w:r w:rsidRPr="00A35DD2">
        <w:t>(</w:t>
      </w:r>
      <w:r w:rsidR="00B5578C" w:rsidRPr="00A35DD2">
        <w:t>EK</w:t>
      </w:r>
      <w:r w:rsidRPr="00A35DD2">
        <w:t xml:space="preserve"> sniegta informācija)</w:t>
      </w:r>
    </w:p>
    <w:p w14:paraId="7EC7B9EC" w14:textId="5257217B" w:rsidR="0073526A" w:rsidRDefault="0073526A" w:rsidP="00580BAC">
      <w:pPr>
        <w:spacing w:after="120"/>
        <w:ind w:firstLine="567"/>
        <w:jc w:val="both"/>
      </w:pPr>
      <w:r>
        <w:t>2016.</w:t>
      </w:r>
      <w:r w:rsidR="00867D64">
        <w:t> </w:t>
      </w:r>
      <w:r>
        <w:t>gada 30.</w:t>
      </w:r>
      <w:r w:rsidR="00867D64">
        <w:t> </w:t>
      </w:r>
      <w:r>
        <w:t>novembrī Komisija publicēja dokumentu pakotni “Tīra enerģija visiem Eiropas iedzīvotājiem”, kas ietver būtiskus soļus Enerģētikas Savienības ieviešanai ar uzsvaru uz pāreju uz tīro enerģētiku. Jaunie priekšlikumi tika prezentēti ES Enerģētikas ministru sanāksmes laikā š.g. 5.</w:t>
      </w:r>
      <w:r w:rsidR="00867D64">
        <w:t> </w:t>
      </w:r>
      <w:r>
        <w:t>decembrī. Ekonomikas ministrija ir izstrādājusi informatīvo ziņojumu, kurā pausta Latvijas sākotnējā nostāja par jauno dokumentu pakotni. Informatīvais ziņojums apstiprināts š.g. 29.</w:t>
      </w:r>
      <w:r w:rsidR="00867D64">
        <w:t> </w:t>
      </w:r>
      <w:r>
        <w:t>novembra Ministru kabineta sēdē.</w:t>
      </w:r>
    </w:p>
    <w:p w14:paraId="797863CF" w14:textId="77777777" w:rsidR="00A35DD2" w:rsidRPr="00A26197" w:rsidRDefault="00A35DD2" w:rsidP="00580BAC">
      <w:pPr>
        <w:spacing w:after="120"/>
        <w:ind w:firstLine="567"/>
        <w:jc w:val="both"/>
      </w:pPr>
    </w:p>
    <w:p w14:paraId="1C19ADF9" w14:textId="3075DB83" w:rsidR="004C2DB7" w:rsidRPr="00A26197" w:rsidRDefault="004C2DB7" w:rsidP="00580BAC">
      <w:pPr>
        <w:pStyle w:val="PointManual1"/>
        <w:spacing w:after="120"/>
        <w:ind w:left="0" w:firstLine="0"/>
        <w:jc w:val="both"/>
        <w:rPr>
          <w:b/>
        </w:rPr>
      </w:pPr>
      <w:r w:rsidRPr="00A26197">
        <w:rPr>
          <w:b/>
        </w:rPr>
        <w:t>5</w:t>
      </w:r>
      <w:r w:rsidR="00A35DD2">
        <w:t>)</w:t>
      </w:r>
      <w:r w:rsidR="00867D64">
        <w:t> </w:t>
      </w:r>
      <w:r w:rsidRPr="00A26197">
        <w:rPr>
          <w:b/>
        </w:rPr>
        <w:t xml:space="preserve">ES dabas tiesību aktu atbilstības pārbaude (Putnu un Dzīvotņu direktīvas) </w:t>
      </w:r>
      <w:r w:rsidRPr="00A35DD2">
        <w:t>(</w:t>
      </w:r>
      <w:r w:rsidR="00B5578C" w:rsidRPr="00A35DD2">
        <w:t>EK</w:t>
      </w:r>
      <w:r w:rsidRPr="00A35DD2">
        <w:t xml:space="preserve"> sniegta informācija)</w:t>
      </w:r>
    </w:p>
    <w:p w14:paraId="5FD55602" w14:textId="22C5DD03" w:rsidR="007E4133" w:rsidRPr="00A26197" w:rsidRDefault="007E4133" w:rsidP="00580BAC">
      <w:pPr>
        <w:spacing w:after="120"/>
        <w:ind w:firstLine="567"/>
        <w:jc w:val="both"/>
      </w:pPr>
      <w:r w:rsidRPr="00A26197">
        <w:t xml:space="preserve">Sekojot iepriekšējās </w:t>
      </w:r>
      <w:r w:rsidRPr="00BA1BA3">
        <w:t>EK</w:t>
      </w:r>
      <w:r w:rsidRPr="00A26197">
        <w:t xml:space="preserve"> iniciatīvai par labāku likumdošanu, 2015.</w:t>
      </w:r>
      <w:r w:rsidR="00867D64">
        <w:t> </w:t>
      </w:r>
      <w:r w:rsidRPr="00A26197">
        <w:t xml:space="preserve">gadā EK uzsāka ES dabas tiesību aktu (Putnu un Biotopu direktīvu ) efektivitātes izvērtējumu. EK uzdevumā </w:t>
      </w:r>
      <w:r w:rsidRPr="00A26197">
        <w:lastRenderedPageBreak/>
        <w:t>konsultanti ir veikuši gan visu ES dalībvalstu aptaujāšanu, gan publisko apspriešanu, kuras rezultāti tika prezentēti konferencē 2015.</w:t>
      </w:r>
      <w:r w:rsidR="00867D64">
        <w:t> </w:t>
      </w:r>
      <w:r w:rsidRPr="00A26197">
        <w:t>gada rudenī. Saskaņā ar konsultantu ziņojumu, dabas direktīvu pamatteksti nebūtu jāgroza, tā kā abas direktīvas joprojām veicina sākotnējā mērķa  - dabas vērt</w:t>
      </w:r>
      <w:r w:rsidR="00867D64">
        <w:t xml:space="preserve">ību aizsardzību – sasniegšanu. </w:t>
      </w:r>
      <w:r w:rsidRPr="00A26197">
        <w:t xml:space="preserve">Ziņojums arī liecina, ka dabas direktīvu ieviešana ir cieši saistīta ar citu ES politisko mērķu sasniegšanu un tāpēc būtu nepieciešami priekšlikumi lielāku sinerģiju sasniegšanai. </w:t>
      </w:r>
    </w:p>
    <w:p w14:paraId="1651786D" w14:textId="21F5FBD6" w:rsidR="007E4133" w:rsidRDefault="001F1669" w:rsidP="00580BAC">
      <w:pPr>
        <w:spacing w:after="120"/>
        <w:ind w:firstLine="567"/>
        <w:jc w:val="both"/>
      </w:pPr>
      <w:r w:rsidRPr="001F1669">
        <w:t xml:space="preserve">Saskaņā </w:t>
      </w:r>
      <w:r w:rsidR="004759AF">
        <w:t>EK 7.</w:t>
      </w:r>
      <w:r w:rsidR="00867D64">
        <w:t> </w:t>
      </w:r>
      <w:r w:rsidR="004759AF">
        <w:t>decembra kolēģijas lēmumu</w:t>
      </w:r>
      <w:r w:rsidRPr="001F1669">
        <w:t>, EK plāno izstrādāt rīcības plānu, lai novērstu nepilnības dabas tiesību aktu īstenošanā.</w:t>
      </w:r>
      <w:r w:rsidR="007E4133" w:rsidRPr="001F1669">
        <w:t xml:space="preserve"> </w:t>
      </w:r>
      <w:r w:rsidR="002D6429" w:rsidRPr="00A35DD2">
        <w:rPr>
          <w:b/>
        </w:rPr>
        <w:t>Latvija</w:t>
      </w:r>
      <w:r w:rsidR="002D6429" w:rsidRPr="001F1669">
        <w:t xml:space="preserve"> atznīgi novērtē EK lēmumu par dabas direktīvu neatvēršanu, un ceram uz aktīvu </w:t>
      </w:r>
      <w:r w:rsidRPr="001F1669">
        <w:t>dalībvalstu iesaistīšanu r</w:t>
      </w:r>
      <w:r w:rsidR="002D6429" w:rsidRPr="001F1669">
        <w:t>īcības plāna izstrādē</w:t>
      </w:r>
      <w:r w:rsidR="004759AF">
        <w:t>,</w:t>
      </w:r>
      <w:r w:rsidR="004759AF" w:rsidRPr="004759AF">
        <w:t xml:space="preserve"> </w:t>
      </w:r>
      <w:r w:rsidR="004759AF">
        <w:t>lai Rīcības plānā precīzāk iezīmētu pasākumus direktīvās noteikto pienākumu ieviešanai.</w:t>
      </w:r>
    </w:p>
    <w:p w14:paraId="1A9A0672" w14:textId="77777777" w:rsidR="00A35DD2" w:rsidRPr="00A26197" w:rsidRDefault="00A35DD2" w:rsidP="00580BAC">
      <w:pPr>
        <w:spacing w:after="120"/>
        <w:ind w:firstLine="567"/>
        <w:jc w:val="both"/>
      </w:pPr>
    </w:p>
    <w:p w14:paraId="7ECCCE7C" w14:textId="3AFC9FCD" w:rsidR="00EE575A" w:rsidRPr="00A26197" w:rsidRDefault="00EE575A" w:rsidP="00580BAC">
      <w:pPr>
        <w:pStyle w:val="PointManual1"/>
        <w:spacing w:after="120"/>
        <w:ind w:left="0" w:firstLine="0"/>
        <w:rPr>
          <w:b/>
        </w:rPr>
      </w:pPr>
      <w:r w:rsidRPr="00A26197">
        <w:rPr>
          <w:b/>
        </w:rPr>
        <w:t>6</w:t>
      </w:r>
      <w:r w:rsidR="00A35DD2">
        <w:t>)</w:t>
      </w:r>
      <w:r w:rsidR="00867D64">
        <w:t> </w:t>
      </w:r>
      <w:r w:rsidRPr="00A26197">
        <w:rPr>
          <w:b/>
        </w:rPr>
        <w:t>Ziņojumi par nesenām starptautiskām sanāksmēm:</w:t>
      </w:r>
    </w:p>
    <w:p w14:paraId="121A57EC" w14:textId="77777777" w:rsidR="00EE575A" w:rsidRPr="00A26197" w:rsidRDefault="00EE575A" w:rsidP="00580BAC">
      <w:pPr>
        <w:pStyle w:val="PointManual2"/>
        <w:spacing w:after="120"/>
        <w:rPr>
          <w:b/>
        </w:rPr>
      </w:pPr>
      <w:r w:rsidRPr="00A26197">
        <w:rPr>
          <w:b/>
        </w:rPr>
        <w:t>i)</w:t>
      </w:r>
      <w:r w:rsidRPr="00A26197">
        <w:rPr>
          <w:b/>
        </w:rPr>
        <w:tab/>
        <w:t>Apvienoto Nāciju Organizācijas Vispārējā konvencija par klimata pārmaiņām (</w:t>
      </w:r>
      <w:r w:rsidRPr="00A26197">
        <w:rPr>
          <w:b/>
          <w:i/>
        </w:rPr>
        <w:t>UNFCCC</w:t>
      </w:r>
      <w:r w:rsidRPr="00A26197">
        <w:rPr>
          <w:b/>
        </w:rPr>
        <w:t>), (Marrākeša, 2016. gada 7.–18. novembris)</w:t>
      </w:r>
    </w:p>
    <w:p w14:paraId="17ABA95E" w14:textId="77777777" w:rsidR="00EE575A" w:rsidRPr="00A26197" w:rsidRDefault="00EE575A" w:rsidP="00580BAC">
      <w:pPr>
        <w:pStyle w:val="Dash3"/>
        <w:spacing w:after="120"/>
        <w:rPr>
          <w:b/>
          <w:shd w:val="clear" w:color="auto" w:fill="FFFFFF"/>
        </w:rPr>
      </w:pPr>
      <w:r w:rsidRPr="00A26197">
        <w:rPr>
          <w:b/>
          <w:shd w:val="clear" w:color="auto" w:fill="FFFFFF"/>
        </w:rPr>
        <w:t>Konvencijas par klimata pārmaiņām 22. Pušu konference (</w:t>
      </w:r>
      <w:r w:rsidRPr="00A26197">
        <w:rPr>
          <w:b/>
          <w:i/>
          <w:shd w:val="clear" w:color="auto" w:fill="FFFFFF"/>
        </w:rPr>
        <w:t>COP</w:t>
      </w:r>
      <w:r w:rsidRPr="00A26197">
        <w:rPr>
          <w:b/>
          <w:shd w:val="clear" w:color="auto" w:fill="FFFFFF"/>
        </w:rPr>
        <w:t> 22)</w:t>
      </w:r>
    </w:p>
    <w:p w14:paraId="2F8D2A34" w14:textId="77777777" w:rsidR="00EE575A" w:rsidRPr="00A26197" w:rsidRDefault="00EE575A" w:rsidP="00580BAC">
      <w:pPr>
        <w:pStyle w:val="Dash3"/>
        <w:numPr>
          <w:ilvl w:val="0"/>
          <w:numId w:val="44"/>
        </w:numPr>
        <w:spacing w:after="120"/>
        <w:rPr>
          <w:rStyle w:val="apple-converted-space"/>
          <w:rFonts w:asciiTheme="majorBidi" w:hAnsiTheme="majorBidi" w:cstheme="majorBidi"/>
          <w:b/>
          <w:szCs w:val="24"/>
        </w:rPr>
      </w:pPr>
      <w:r w:rsidRPr="00A26197">
        <w:rPr>
          <w:b/>
          <w:shd w:val="clear" w:color="auto" w:fill="FFFFFF"/>
        </w:rPr>
        <w:t>12. Pušu konference, kas vienlaikus ir Kioto protokola pušu sanāksme (</w:t>
      </w:r>
      <w:r w:rsidRPr="00A26197">
        <w:rPr>
          <w:b/>
          <w:i/>
          <w:shd w:val="clear" w:color="auto" w:fill="FFFFFF"/>
        </w:rPr>
        <w:t>CMP</w:t>
      </w:r>
      <w:r w:rsidRPr="00A26197">
        <w:rPr>
          <w:b/>
          <w:shd w:val="clear" w:color="auto" w:fill="FFFFFF"/>
        </w:rPr>
        <w:t> 12)</w:t>
      </w:r>
    </w:p>
    <w:p w14:paraId="5598E96D" w14:textId="77777777" w:rsidR="00EE575A" w:rsidRPr="00A26197" w:rsidRDefault="00EE575A" w:rsidP="00580BAC">
      <w:pPr>
        <w:pStyle w:val="Dash3"/>
        <w:numPr>
          <w:ilvl w:val="0"/>
          <w:numId w:val="44"/>
        </w:numPr>
        <w:spacing w:after="120"/>
        <w:rPr>
          <w:b/>
        </w:rPr>
      </w:pPr>
      <w:r w:rsidRPr="00A26197">
        <w:rPr>
          <w:b/>
        </w:rPr>
        <w:t>1. Pušu konference, kas vienlaikus ir Parīzes nolīguma pušu sanāksme (</w:t>
      </w:r>
      <w:r w:rsidRPr="00A26197">
        <w:rPr>
          <w:b/>
          <w:i/>
        </w:rPr>
        <w:t>CMA</w:t>
      </w:r>
      <w:r w:rsidRPr="00A26197">
        <w:rPr>
          <w:b/>
        </w:rPr>
        <w:t> 1)</w:t>
      </w:r>
    </w:p>
    <w:p w14:paraId="2CC74334" w14:textId="10A086A9" w:rsidR="00225222" w:rsidRPr="00A26197" w:rsidRDefault="00225222" w:rsidP="00580BAC">
      <w:pPr>
        <w:spacing w:after="120"/>
        <w:ind w:firstLine="360"/>
        <w:jc w:val="both"/>
      </w:pPr>
      <w:r w:rsidRPr="00A26197">
        <w:t>COP</w:t>
      </w:r>
      <w:r w:rsidR="00580BAC">
        <w:t> </w:t>
      </w:r>
      <w:r w:rsidRPr="00A26197">
        <w:t>22 ietvaros tika pieņemti Parīzes nolīguma īpašās darba grupas (APA) secinājumi. Tajos atspoguļota turpmākā darba programma saistībā ar Parīzes nolīguma īstenošanas noteikumu izstrādi konkrētiem Parīzes nolīguma elementiem. Paralēli, tika pieņemti arī lēmumi COP, CMP un CMA ietvaros. Būtiskākie:</w:t>
      </w:r>
    </w:p>
    <w:p w14:paraId="7369EFAA" w14:textId="27E2404C" w:rsidR="00225222" w:rsidRPr="00A26197" w:rsidRDefault="00225222" w:rsidP="00580BAC">
      <w:pPr>
        <w:pStyle w:val="ListParagraph"/>
        <w:numPr>
          <w:ilvl w:val="0"/>
          <w:numId w:val="45"/>
        </w:numPr>
        <w:spacing w:after="120"/>
        <w:contextualSpacing w:val="0"/>
        <w:jc w:val="both"/>
      </w:pPr>
      <w:r w:rsidRPr="00A26197">
        <w:t>Noteikumu izstrāde Parīzes nolīguma pilnvērtīgai īstenošanai ir jānoslēdz ne vēlāk kā 2018.</w:t>
      </w:r>
      <w:r w:rsidR="00580BAC">
        <w:t> </w:t>
      </w:r>
      <w:r w:rsidRPr="00A26197">
        <w:t>gadā;</w:t>
      </w:r>
    </w:p>
    <w:p w14:paraId="421C46EE" w14:textId="77777777" w:rsidR="00225222" w:rsidRPr="00A26197" w:rsidRDefault="00225222" w:rsidP="00580BAC">
      <w:pPr>
        <w:pStyle w:val="ListParagraph"/>
        <w:numPr>
          <w:ilvl w:val="0"/>
          <w:numId w:val="45"/>
        </w:numPr>
        <w:spacing w:after="120"/>
        <w:contextualSpacing w:val="0"/>
        <w:jc w:val="both"/>
      </w:pPr>
      <w:r w:rsidRPr="00A26197">
        <w:t>Kioto protokola Pielāgošanās fondam vajadzētu (</w:t>
      </w:r>
      <w:r w:rsidRPr="00580BAC">
        <w:rPr>
          <w:i/>
        </w:rPr>
        <w:t>should</w:t>
      </w:r>
      <w:r w:rsidRPr="00A26197">
        <w:t xml:space="preserve">) darboties arī Parīzes nolīguma ietvaros; </w:t>
      </w:r>
    </w:p>
    <w:p w14:paraId="51D9E590" w14:textId="5AE5CE1C" w:rsidR="00225222" w:rsidRPr="00A26197" w:rsidRDefault="00225222" w:rsidP="00580BAC">
      <w:pPr>
        <w:pStyle w:val="ListParagraph"/>
        <w:numPr>
          <w:ilvl w:val="0"/>
          <w:numId w:val="45"/>
        </w:numPr>
        <w:spacing w:after="120"/>
        <w:contextualSpacing w:val="0"/>
        <w:jc w:val="both"/>
      </w:pPr>
      <w:r w:rsidRPr="00A26197">
        <w:t>CMA 1.</w:t>
      </w:r>
      <w:r w:rsidR="00580BAC">
        <w:t> </w:t>
      </w:r>
      <w:r w:rsidRPr="00A26197">
        <w:t>sesija Marokā netika noslēgta, bet gan atlikta, proti, 2017.</w:t>
      </w:r>
      <w:r w:rsidR="00580BAC">
        <w:t> </w:t>
      </w:r>
      <w:r w:rsidRPr="00A26197">
        <w:t>gada nogalē notiks CMA 1.</w:t>
      </w:r>
      <w:r w:rsidR="00580BAC">
        <w:t> </w:t>
      </w:r>
      <w:r w:rsidRPr="00A26197">
        <w:t>sesijas 2.</w:t>
      </w:r>
      <w:r w:rsidR="00580BAC">
        <w:t> </w:t>
      </w:r>
      <w:r w:rsidRPr="00A26197">
        <w:t>turpinājums un 2018.</w:t>
      </w:r>
      <w:r w:rsidR="00580BAC">
        <w:t> </w:t>
      </w:r>
      <w:r w:rsidRPr="00A26197">
        <w:t>gada nogalē notiks CMA 1.</w:t>
      </w:r>
      <w:r w:rsidR="00580BAC">
        <w:t> </w:t>
      </w:r>
      <w:r w:rsidRPr="00A26197">
        <w:t>sesijas 3.</w:t>
      </w:r>
      <w:r w:rsidR="00580BAC">
        <w:t> </w:t>
      </w:r>
      <w:r w:rsidRPr="00A26197">
        <w:t>turpinājums.</w:t>
      </w:r>
    </w:p>
    <w:p w14:paraId="2F489BA2" w14:textId="1317A370" w:rsidR="00225222" w:rsidRPr="00A26197" w:rsidRDefault="00225222" w:rsidP="00580BAC">
      <w:pPr>
        <w:spacing w:after="120"/>
        <w:ind w:firstLine="360"/>
        <w:jc w:val="both"/>
      </w:pPr>
      <w:r w:rsidRPr="00A26197">
        <w:t>Papildus, COP</w:t>
      </w:r>
      <w:r w:rsidR="00580BAC">
        <w:t> </w:t>
      </w:r>
      <w:r w:rsidRPr="00A26197">
        <w:t>22 Prezidentūra (Maroka) prezentēja dokumentu, kam nav formāls statuss, bet kas tiek uzskatīts par paziņojumu visu konferences dalībnieku (to skaitā valstu vadītāju) vārdā – “</w:t>
      </w:r>
      <w:r w:rsidRPr="00A26197">
        <w:rPr>
          <w:i/>
        </w:rPr>
        <w:t>Marrakech action proclamation for our climate and sustainable development</w:t>
      </w:r>
      <w:r w:rsidRPr="00A26197">
        <w:t>”. Dokumentā teikts, ka klimata pārmaiņu ierobežošana ir neatliekama prioritāte un vēlreiz apliecināts, ka attīstītās valstis klimata finansējumam attīstības valstīs mobilizēs 100 miljardu ASV dolāru gadu pēc 2020.</w:t>
      </w:r>
      <w:r w:rsidR="00580BAC">
        <w:t> </w:t>
      </w:r>
      <w:r w:rsidRPr="00A26197">
        <w:t>gada. Dokumentā pausts aicinājums ratificēt Kioto protokola Dohas grozījumu, kā arī apņemšanās īstenot aktīvu rīcību klimata pārmaiņu ierobežošanā arī līdz 2020.</w:t>
      </w:r>
      <w:r w:rsidR="00580BAC">
        <w:t> </w:t>
      </w:r>
      <w:r w:rsidRPr="00A26197">
        <w:t xml:space="preserve">gadam. </w:t>
      </w:r>
    </w:p>
    <w:p w14:paraId="0F8752EC" w14:textId="77777777" w:rsidR="00225222" w:rsidRPr="00A26197" w:rsidRDefault="00225222" w:rsidP="00580BAC">
      <w:pPr>
        <w:spacing w:after="120"/>
        <w:ind w:firstLine="360"/>
        <w:jc w:val="both"/>
      </w:pPr>
      <w:r w:rsidRPr="00A26197">
        <w:t xml:space="preserve">Svarīgi arī pieminēt, ka, ņemot vērā ASV prezidenta vēlēšanu iznākumu, daļa valstu savos paziņojumos Klimata pārmaiņu konferences laikā pauda tiešus aicinājumus ASV pildīt tās līdzšinējos solījumus un nemainīt nostāju klimata pārmaiņu jautājumos. </w:t>
      </w:r>
    </w:p>
    <w:p w14:paraId="7ACB7474" w14:textId="77777777" w:rsidR="00225222" w:rsidRPr="00A26197" w:rsidRDefault="00225222" w:rsidP="00580BAC">
      <w:pPr>
        <w:spacing w:after="120"/>
      </w:pPr>
    </w:p>
    <w:p w14:paraId="6A49B9E2" w14:textId="18755E0D" w:rsidR="00081150" w:rsidRPr="00081150" w:rsidRDefault="00081150" w:rsidP="00580BAC">
      <w:pPr>
        <w:pStyle w:val="PointManual2"/>
        <w:spacing w:after="120"/>
        <w:rPr>
          <w:b/>
          <w:bdr w:val="none" w:sz="0" w:space="0" w:color="auto" w:frame="1"/>
        </w:rPr>
      </w:pPr>
      <w:r w:rsidRPr="004759AF">
        <w:rPr>
          <w:b/>
          <w:bdr w:val="none" w:sz="0" w:space="0" w:color="auto" w:frame="1"/>
        </w:rPr>
        <w:lastRenderedPageBreak/>
        <w:t>ii</w:t>
      </w:r>
      <w:r>
        <w:rPr>
          <w:bdr w:val="none" w:sz="0" w:space="0" w:color="auto" w:frame="1"/>
        </w:rPr>
        <w:t xml:space="preserve">) </w:t>
      </w:r>
      <w:r w:rsidRPr="00081150">
        <w:rPr>
          <w:b/>
          <w:bdr w:val="none" w:sz="0" w:space="0" w:color="auto" w:frame="1"/>
        </w:rPr>
        <w:t>Konvencija par bioloģisko daudzveidību (KBD) (Kank</w:t>
      </w:r>
      <w:r w:rsidR="00A35DD2">
        <w:rPr>
          <w:b/>
          <w:bdr w:val="none" w:sz="0" w:space="0" w:color="auto" w:frame="1"/>
        </w:rPr>
        <w:t>ū</w:t>
      </w:r>
      <w:r w:rsidRPr="00081150">
        <w:rPr>
          <w:b/>
          <w:bdr w:val="none" w:sz="0" w:space="0" w:color="auto" w:frame="1"/>
        </w:rPr>
        <w:t xml:space="preserve">na, 2016. gada </w:t>
      </w:r>
      <w:r w:rsidRPr="00081150">
        <w:rPr>
          <w:b/>
          <w:bdr w:val="none" w:sz="0" w:space="0" w:color="auto" w:frame="1"/>
        </w:rPr>
        <w:br/>
        <w:t>4.–17. decembris)</w:t>
      </w:r>
    </w:p>
    <w:p w14:paraId="296D115C" w14:textId="77777777" w:rsidR="00081150" w:rsidRPr="00081150" w:rsidRDefault="00081150" w:rsidP="00580BAC">
      <w:pPr>
        <w:pStyle w:val="Dash3"/>
        <w:spacing w:after="120"/>
        <w:rPr>
          <w:b/>
        </w:rPr>
      </w:pPr>
      <w:r w:rsidRPr="00081150">
        <w:rPr>
          <w:b/>
        </w:rPr>
        <w:t>Konvencijas par bioloģisko daudzveidību Pušu konferences 13. sanāksme (</w:t>
      </w:r>
      <w:r w:rsidRPr="00081150">
        <w:rPr>
          <w:b/>
          <w:i/>
        </w:rPr>
        <w:t>CBD COP</w:t>
      </w:r>
      <w:r w:rsidRPr="00081150">
        <w:rPr>
          <w:b/>
        </w:rPr>
        <w:t> 13)</w:t>
      </w:r>
    </w:p>
    <w:p w14:paraId="583FAC5E" w14:textId="77777777" w:rsidR="00081150" w:rsidRPr="00081150" w:rsidRDefault="00081150" w:rsidP="00580BAC">
      <w:pPr>
        <w:pStyle w:val="Dash3"/>
        <w:spacing w:after="120"/>
        <w:rPr>
          <w:b/>
        </w:rPr>
      </w:pPr>
      <w:r w:rsidRPr="00081150">
        <w:rPr>
          <w:b/>
        </w:rPr>
        <w:t>8. Pušu konference, kas vienlaikus ir Kartahenas protokola par bioloģisko drošību pušu sanāksme (</w:t>
      </w:r>
      <w:r w:rsidRPr="00081150">
        <w:rPr>
          <w:b/>
          <w:i/>
        </w:rPr>
        <w:t>COP–MOP</w:t>
      </w:r>
      <w:r w:rsidRPr="00081150">
        <w:rPr>
          <w:b/>
        </w:rPr>
        <w:t> 8)</w:t>
      </w:r>
    </w:p>
    <w:p w14:paraId="1DC489F6" w14:textId="77777777" w:rsidR="00081150" w:rsidRPr="00081150" w:rsidRDefault="00081150" w:rsidP="00580BAC">
      <w:pPr>
        <w:pStyle w:val="Dash3"/>
        <w:spacing w:after="120"/>
        <w:rPr>
          <w:b/>
        </w:rPr>
      </w:pPr>
      <w:r w:rsidRPr="00081150">
        <w:rPr>
          <w:b/>
        </w:rPr>
        <w:t>2. Pušu konference, kas vienlaikus ir Nagojas protokola par piekļuvi un ieguvumu sadali pušu sanāksme</w:t>
      </w:r>
    </w:p>
    <w:p w14:paraId="17ED66DB" w14:textId="77777777" w:rsidR="00081150" w:rsidRPr="00081150" w:rsidRDefault="00081150" w:rsidP="00580BAC">
      <w:pPr>
        <w:pStyle w:val="Text4"/>
        <w:spacing w:after="120"/>
        <w:rPr>
          <w:b/>
        </w:rPr>
      </w:pPr>
      <w:r w:rsidRPr="00081150">
        <w:rPr>
          <w:b/>
        </w:rPr>
        <w:t>(</w:t>
      </w:r>
      <w:r w:rsidRPr="00081150">
        <w:rPr>
          <w:b/>
          <w:i/>
        </w:rPr>
        <w:t>COP–MOP</w:t>
      </w:r>
      <w:r w:rsidRPr="00081150">
        <w:rPr>
          <w:b/>
        </w:rPr>
        <w:t> 2)</w:t>
      </w:r>
    </w:p>
    <w:p w14:paraId="30A8883F" w14:textId="7114E2AB" w:rsidR="007E4133" w:rsidRDefault="00081150" w:rsidP="00580BAC">
      <w:pPr>
        <w:spacing w:after="120"/>
        <w:ind w:firstLine="720"/>
        <w:jc w:val="both"/>
      </w:pPr>
      <w:r>
        <w:t>Š.g. 4.-17.</w:t>
      </w:r>
      <w:r w:rsidR="00580BAC">
        <w:t> </w:t>
      </w:r>
      <w:r>
        <w:t>decembrī Kankūnā (Meksika) notiek Bioloģiskās daudzveidības konvencijas un tās abu protokolu dalībpušu konferences (COP</w:t>
      </w:r>
      <w:r w:rsidR="00580BAC">
        <w:t> </w:t>
      </w:r>
      <w:r>
        <w:t xml:space="preserve">13, </w:t>
      </w:r>
      <w:r w:rsidR="00580BAC">
        <w:t xml:space="preserve">Kartahenas protokols par bioloģisko drošumu </w:t>
      </w:r>
      <w:r>
        <w:t>COP-MOP</w:t>
      </w:r>
      <w:r w:rsidR="00580BAC">
        <w:t> 8</w:t>
      </w:r>
      <w:r>
        <w:t xml:space="preserve">, </w:t>
      </w:r>
      <w:r w:rsidR="00580BAC">
        <w:t xml:space="preserve">Nagojas protokola </w:t>
      </w:r>
      <w:r>
        <w:t>COP-MOP</w:t>
      </w:r>
      <w:r w:rsidR="00580BAC">
        <w:t> </w:t>
      </w:r>
      <w:r>
        <w:t>2), kuru tēma ir “Bioloģiskās daudzveidības saglabāšanas apsvēru</w:t>
      </w:r>
      <w:r w:rsidR="00580BAC">
        <w:t xml:space="preserve">mu integrēšana labākai dzīvei” </w:t>
      </w:r>
      <w:r>
        <w:t>(</w:t>
      </w:r>
      <w:r w:rsidR="00580BAC" w:rsidRPr="00580BAC">
        <w:rPr>
          <w:i/>
        </w:rPr>
        <w:t xml:space="preserve">Mainstreaming </w:t>
      </w:r>
      <w:r w:rsidRPr="00580BAC">
        <w:rPr>
          <w:i/>
        </w:rPr>
        <w:t>bioversity for well-being</w:t>
      </w:r>
      <w:r w:rsidR="00580BAC">
        <w:t xml:space="preserve">). </w:t>
      </w:r>
      <w:r>
        <w:t>Ministru sanāksmes, kas notika pirms dalībpušu</w:t>
      </w:r>
      <w:r w:rsidR="00580BAC">
        <w:t xml:space="preserve"> konferencēm, </w:t>
      </w:r>
      <w:r>
        <w:t xml:space="preserve">galvenā tēma bija </w:t>
      </w:r>
      <w:r w:rsidR="00580BAC">
        <w:t>“B</w:t>
      </w:r>
      <w:r>
        <w:t>ioloģiskās daudzveidības saglabāšanas apsvērumu iekļaušana lauksaimniecības, zivsaimniecības, mežsaimniecības un tūrisma nozarēs</w:t>
      </w:r>
      <w:r w:rsidR="00580BAC">
        <w:t>”,</w:t>
      </w:r>
      <w:r>
        <w:t xml:space="preserve"> tika pieņemta Kankūnas deklarācija. Deklarācijai pievienotas vadlīnijas attiecībā uz katru no šīm nozarēm ar veicamajiem darbiem.</w:t>
      </w:r>
    </w:p>
    <w:p w14:paraId="088B3EE9" w14:textId="77777777" w:rsidR="00A35DD2" w:rsidRPr="00A26197" w:rsidRDefault="00A35DD2" w:rsidP="00580BAC">
      <w:pPr>
        <w:spacing w:after="120"/>
        <w:ind w:firstLine="720"/>
        <w:jc w:val="both"/>
      </w:pPr>
    </w:p>
    <w:p w14:paraId="058773DA" w14:textId="2986AA98" w:rsidR="00393DDA" w:rsidRDefault="00EE575A" w:rsidP="00A35DD2">
      <w:pPr>
        <w:pStyle w:val="PointManual2"/>
        <w:spacing w:after="120"/>
        <w:rPr>
          <w:b/>
        </w:rPr>
      </w:pPr>
      <w:r w:rsidRPr="001F1669">
        <w:rPr>
          <w:b/>
        </w:rPr>
        <w:t>i</w:t>
      </w:r>
      <w:r w:rsidR="00BA1BA3" w:rsidRPr="001F1669">
        <w:rPr>
          <w:b/>
        </w:rPr>
        <w:t>ii</w:t>
      </w:r>
      <w:r w:rsidRPr="001F1669">
        <w:rPr>
          <w:b/>
        </w:rPr>
        <w:t>)</w:t>
      </w:r>
      <w:r w:rsidRPr="001F1669">
        <w:rPr>
          <w:b/>
        </w:rPr>
        <w:tab/>
        <w:t>ANO/EEK Konvencijas par rūpniecisko avāriju pārrobežu iedarbību Pušu konferences 9. sanāksme (</w:t>
      </w:r>
      <w:r w:rsidRPr="001F1669">
        <w:rPr>
          <w:b/>
          <w:i/>
        </w:rPr>
        <w:t>COP</w:t>
      </w:r>
      <w:r w:rsidRPr="001F1669">
        <w:rPr>
          <w:b/>
        </w:rPr>
        <w:t> 9)</w:t>
      </w:r>
      <w:r w:rsidR="00A35DD2">
        <w:rPr>
          <w:b/>
        </w:rPr>
        <w:t xml:space="preserve"> </w:t>
      </w:r>
      <w:r w:rsidRPr="001F1669">
        <w:rPr>
          <w:b/>
        </w:rPr>
        <w:t>(Ļubļana, 2016, gada 28.–30. novembris)</w:t>
      </w:r>
    </w:p>
    <w:p w14:paraId="5B0CA6B3" w14:textId="60F93667" w:rsidR="00393DDA" w:rsidRDefault="00393DDA" w:rsidP="00580BAC">
      <w:pPr>
        <w:pStyle w:val="Text3"/>
        <w:spacing w:after="120"/>
        <w:ind w:left="0"/>
        <w:jc w:val="both"/>
      </w:pPr>
      <w:r>
        <w:rPr>
          <w:b/>
        </w:rPr>
        <w:tab/>
      </w:r>
      <w:r w:rsidR="00580BAC">
        <w:t>Š.g. 28.–</w:t>
      </w:r>
      <w:r w:rsidRPr="00EB4915">
        <w:t>30.</w:t>
      </w:r>
      <w:r w:rsidR="00580BAC">
        <w:t> </w:t>
      </w:r>
      <w:r w:rsidRPr="00EB4915">
        <w:t>no</w:t>
      </w:r>
      <w:r w:rsidR="003E42E3" w:rsidRPr="00EB4915">
        <w:t>v</w:t>
      </w:r>
      <w:r w:rsidRPr="00EB4915">
        <w:t>embr</w:t>
      </w:r>
      <w:r w:rsidR="003E42E3" w:rsidRPr="00EB4915">
        <w:t>ī</w:t>
      </w:r>
      <w:r w:rsidRPr="00EB4915">
        <w:t xml:space="preserve"> Ļubļanā (Slovēnija) notika konvencijas par rūpniecisko avāriju pārrobežu iedarbību </w:t>
      </w:r>
      <w:r w:rsidR="003E42E3" w:rsidRPr="00EB4915">
        <w:rPr>
          <w:rStyle w:val="IntenseEmphasis"/>
          <w:color w:val="auto"/>
        </w:rPr>
        <w:t>COP</w:t>
      </w:r>
      <w:r w:rsidR="00580BAC">
        <w:rPr>
          <w:rStyle w:val="IntenseEmphasis"/>
          <w:color w:val="auto"/>
        </w:rPr>
        <w:t> </w:t>
      </w:r>
      <w:r w:rsidR="003E42E3" w:rsidRPr="00EB4915">
        <w:rPr>
          <w:rStyle w:val="IntenseEmphasis"/>
          <w:color w:val="auto"/>
        </w:rPr>
        <w:t>9</w:t>
      </w:r>
      <w:r w:rsidRPr="00EB4915">
        <w:t>. Tajā piedalījās 38 valstu delegācijas (</w:t>
      </w:r>
      <w:r w:rsidR="003E42E3" w:rsidRPr="00EB4915">
        <w:t>no</w:t>
      </w:r>
      <w:r w:rsidRPr="00EB4915">
        <w:t xml:space="preserve"> 41 valsts</w:t>
      </w:r>
      <w:r w:rsidR="003E42E3" w:rsidRPr="00EB4915">
        <w:t xml:space="preserve"> kopumā</w:t>
      </w:r>
      <w:r w:rsidRPr="00EB4915">
        <w:t xml:space="preserve">). </w:t>
      </w:r>
      <w:r w:rsidRPr="00EB4915">
        <w:rPr>
          <w:rStyle w:val="Emphasis"/>
        </w:rPr>
        <w:t>COP</w:t>
      </w:r>
      <w:r w:rsidR="00580BAC">
        <w:rPr>
          <w:rStyle w:val="Emphasis"/>
        </w:rPr>
        <w:t> </w:t>
      </w:r>
      <w:r w:rsidRPr="00EB4915">
        <w:rPr>
          <w:rStyle w:val="Emphasis"/>
        </w:rPr>
        <w:t>9</w:t>
      </w:r>
      <w:r w:rsidRPr="00EB4915">
        <w:t xml:space="preserve"> tika atklāts ar semināru “</w:t>
      </w:r>
      <w:r w:rsidR="00F53172" w:rsidRPr="00EB4915">
        <w:t>Ilgtspējīgas attīstības mērķu (līdz 2030.</w:t>
      </w:r>
      <w:r w:rsidR="00580BAC">
        <w:t> </w:t>
      </w:r>
      <w:r w:rsidR="00F53172" w:rsidRPr="00EB4915">
        <w:t>gadam) un Sendai ietvardokumenta par avāriju riska novēršanu 2015.-2030.</w:t>
      </w:r>
      <w:r w:rsidR="00580BAC">
        <w:t> </w:t>
      </w:r>
      <w:r w:rsidR="00F53172" w:rsidRPr="00EB4915">
        <w:t>gadam ieviešanas veicināšana”</w:t>
      </w:r>
      <w:r w:rsidR="00F53172" w:rsidRPr="00EB4915">
        <w:rPr>
          <w:i/>
        </w:rPr>
        <w:t>.</w:t>
      </w:r>
      <w:r w:rsidR="00F53172" w:rsidRPr="00EB4915">
        <w:t xml:space="preserve"> </w:t>
      </w:r>
      <w:r w:rsidR="00F53172" w:rsidRPr="00EB4915">
        <w:rPr>
          <w:rStyle w:val="Emphasis"/>
        </w:rPr>
        <w:t>COP</w:t>
      </w:r>
      <w:r w:rsidR="00580BAC">
        <w:rPr>
          <w:rStyle w:val="Emphasis"/>
        </w:rPr>
        <w:t> </w:t>
      </w:r>
      <w:r w:rsidR="00F53172" w:rsidRPr="00EB4915">
        <w:rPr>
          <w:rStyle w:val="Emphasis"/>
        </w:rPr>
        <w:t>9</w:t>
      </w:r>
      <w:r w:rsidR="00F53172" w:rsidRPr="00EB4915">
        <w:t xml:space="preserve"> </w:t>
      </w:r>
      <w:r w:rsidR="003E42E3" w:rsidRPr="00EB4915">
        <w:t xml:space="preserve">galvenā atziņa, </w:t>
      </w:r>
      <w:r w:rsidR="00F53172" w:rsidRPr="00EB4915">
        <w:t>ņemot vērā</w:t>
      </w:r>
      <w:r w:rsidR="003E42E3" w:rsidRPr="00EB4915">
        <w:t xml:space="preserve"> joprojām notiekošo un iespējamo</w:t>
      </w:r>
      <w:r w:rsidR="00F53172" w:rsidRPr="00EB4915">
        <w:t xml:space="preserve"> rūpniecisko avāriju postošo ietekmi uz vidi un cilvēkiem, kā arī </w:t>
      </w:r>
      <w:r w:rsidR="003E42E3" w:rsidRPr="00EB4915">
        <w:t xml:space="preserve">avāriju seku </w:t>
      </w:r>
      <w:r w:rsidR="00F53172" w:rsidRPr="00EB4915">
        <w:t xml:space="preserve">iespējamo pārrobežu ietekmi, </w:t>
      </w:r>
      <w:r w:rsidR="003E42E3" w:rsidRPr="00EB4915">
        <w:t xml:space="preserve">ir nepieciešams veltīt nopietnas pūles preventīvu pasākumu īstenošanai, valstu savstarpējai sadarbībai, kā arī efektīvu saskares mehānismu ar citām konvencijām meklēšanai. </w:t>
      </w:r>
      <w:r w:rsidR="003E42E3" w:rsidRPr="00EB4915">
        <w:rPr>
          <w:rStyle w:val="IntenseEmphasis"/>
          <w:color w:val="auto"/>
        </w:rPr>
        <w:t>COP</w:t>
      </w:r>
      <w:r w:rsidR="00580BAC">
        <w:rPr>
          <w:rStyle w:val="IntenseEmphasis"/>
          <w:color w:val="auto"/>
        </w:rPr>
        <w:t> </w:t>
      </w:r>
      <w:r w:rsidR="003E42E3" w:rsidRPr="00EB4915">
        <w:rPr>
          <w:rStyle w:val="IntenseEmphasis"/>
          <w:color w:val="auto"/>
        </w:rPr>
        <w:t>9</w:t>
      </w:r>
      <w:r w:rsidR="003E42E3" w:rsidRPr="00EB4915">
        <w:t xml:space="preserve"> nevarēja vienoties lēmuma pieņemšanā par konvencijas atvēršanu jaunām pušēm. Vienošanās netika panākta jautājumā, kas attiecas uz sabiedrības informēšanu, iesaisti un piekļuvi tiesu varai, līdzīgi kā to nosaka Orhūsas konvencija</w:t>
      </w:r>
      <w:r w:rsidR="003E42E3" w:rsidRPr="00EB4915">
        <w:rPr>
          <w:rStyle w:val="FootnoteReference"/>
        </w:rPr>
        <w:footnoteReference w:id="5"/>
      </w:r>
      <w:r w:rsidR="003E42E3" w:rsidRPr="00EB4915">
        <w:t xml:space="preserve">. </w:t>
      </w:r>
    </w:p>
    <w:p w14:paraId="125AB98A" w14:textId="77777777" w:rsidR="00A35DD2" w:rsidRDefault="00A35DD2" w:rsidP="00A35DD2">
      <w:pPr>
        <w:pStyle w:val="PointManual1"/>
        <w:spacing w:after="120"/>
        <w:ind w:left="0" w:firstLine="0"/>
        <w:jc w:val="both"/>
        <w:rPr>
          <w:lang w:eastAsia="en-US" w:bidi="ar-SA"/>
        </w:rPr>
      </w:pPr>
    </w:p>
    <w:p w14:paraId="3F8EF2DD" w14:textId="5962E4F6" w:rsidR="004C2DB7" w:rsidRPr="00A26197" w:rsidRDefault="00EE575A" w:rsidP="00A35DD2">
      <w:pPr>
        <w:pStyle w:val="PointManual1"/>
        <w:spacing w:after="120"/>
        <w:ind w:left="0" w:firstLine="0"/>
        <w:jc w:val="both"/>
      </w:pPr>
      <w:r w:rsidRPr="00A26197">
        <w:rPr>
          <w:b/>
          <w:szCs w:val="22"/>
        </w:rPr>
        <w:t>7</w:t>
      </w:r>
      <w:r w:rsidR="00A35DD2">
        <w:rPr>
          <w:szCs w:val="22"/>
        </w:rPr>
        <w:t>) </w:t>
      </w:r>
      <w:r w:rsidRPr="00A26197">
        <w:rPr>
          <w:b/>
        </w:rPr>
        <w:t xml:space="preserve">ES ekomarķējuma </w:t>
      </w:r>
      <w:r w:rsidRPr="00A26197">
        <w:rPr>
          <w:b/>
          <w:i/>
        </w:rPr>
        <w:t>REFIT</w:t>
      </w:r>
      <w:r w:rsidRPr="00A26197">
        <w:rPr>
          <w:b/>
        </w:rPr>
        <w:t xml:space="preserve"> novērtējums</w:t>
      </w:r>
      <w:r w:rsidRPr="00A26197">
        <w:t xml:space="preserve"> (Čehijas Republikas delegācijas sniegta informācija)</w:t>
      </w:r>
    </w:p>
    <w:p w14:paraId="1EF8E5DF" w14:textId="065E591F" w:rsidR="00603080" w:rsidRPr="00A26197" w:rsidRDefault="00603080" w:rsidP="00580BAC">
      <w:pPr>
        <w:spacing w:after="120"/>
        <w:ind w:firstLine="567"/>
        <w:jc w:val="both"/>
      </w:pPr>
      <w:r w:rsidRPr="00A26197">
        <w:t xml:space="preserve">ES ekomarķējums ir oficiāls simbols – </w:t>
      </w:r>
      <w:r w:rsidRPr="00580BAC">
        <w:t>augsta vides standartu izpildes kvalitātes zīme</w:t>
      </w:r>
      <w:r w:rsidRPr="00A26197">
        <w:t xml:space="preserve">, kas parāda, ka konkrētais produkts ir ar samazinātu ietekmi uz vidi (t.sk. cilvēku), salīdzinot ar citiem tās pašas produktu grupas produktiem. Produkti, kam piešķirts ekomarķējums atbilst stingrām kvalitātes prasībām un labi veic savu funkciju. Ekomarķējums ir brīvprātīgi iegūstams un to piešķir tikai konkrētajam produktam un uz noteiktu laiku. Tas ir rīks virzībai uz cirkulārās aprites ekonomiku. Latvijā Ekomarķējums šobrīd piešķirts septiņiem </w:t>
      </w:r>
      <w:r w:rsidRPr="00A26197">
        <w:lastRenderedPageBreak/>
        <w:t xml:space="preserve">produktiem - uzņēmuma AS </w:t>
      </w:r>
      <w:r w:rsidRPr="00A26197">
        <w:rPr>
          <w:i/>
        </w:rPr>
        <w:t>Spodrība</w:t>
      </w:r>
      <w:r w:rsidRPr="00A26197">
        <w:t xml:space="preserve"> pieciem produktiem un </w:t>
      </w:r>
      <w:r w:rsidRPr="00A26197">
        <w:rPr>
          <w:i/>
        </w:rPr>
        <w:t>Sonata Enterprise Inc</w:t>
      </w:r>
      <w:r w:rsidR="00580BAC">
        <w:t>.</w:t>
      </w:r>
      <w:r w:rsidRPr="00A26197">
        <w:t xml:space="preserve"> Latvijas filiāles diviem produktiem.</w:t>
      </w:r>
    </w:p>
    <w:p w14:paraId="2C368071" w14:textId="5DB9C965" w:rsidR="00E22BA6" w:rsidRPr="00A26197" w:rsidRDefault="00E22BA6" w:rsidP="00580BAC">
      <w:pPr>
        <w:spacing w:after="120"/>
        <w:ind w:firstLine="567"/>
        <w:jc w:val="both"/>
      </w:pPr>
      <w:r w:rsidRPr="00A26197">
        <w:t>Saistībā ar ES Ekomarķējuma regulējošās komitejas sēdē izskanējušajiem EK plāniem par atteikšanos no atsevišķām Ekomarķējuma produktu grupām</w:t>
      </w:r>
      <w:r w:rsidR="00B5578C">
        <w:t>,</w:t>
      </w:r>
      <w:r w:rsidRPr="00A26197">
        <w:t xml:space="preserve"> Čehija norāda uz Ekomarķējuma būtiskumu un lūdz EK publicēt viedokli par tālāku ekomarķēto produktu grupu nākotni. </w:t>
      </w:r>
    </w:p>
    <w:p w14:paraId="41EA3C87" w14:textId="70EB5EF4" w:rsidR="00E22BA6" w:rsidRPr="00A26197" w:rsidRDefault="00E22BA6" w:rsidP="00580BAC">
      <w:pPr>
        <w:spacing w:after="120"/>
        <w:ind w:firstLine="567"/>
        <w:jc w:val="both"/>
      </w:pPr>
      <w:r w:rsidRPr="00A26197">
        <w:t>Latvija pieņem zināšani Čehijas Republikas sniegto informāciju.</w:t>
      </w:r>
    </w:p>
    <w:p w14:paraId="48A3F7C6" w14:textId="77777777" w:rsidR="00E22BA6" w:rsidRPr="00A26197" w:rsidRDefault="00E22BA6" w:rsidP="00580BAC">
      <w:pPr>
        <w:spacing w:after="120"/>
        <w:ind w:firstLine="567"/>
        <w:jc w:val="both"/>
      </w:pPr>
    </w:p>
    <w:p w14:paraId="155A6FB1" w14:textId="77777777" w:rsidR="00761B93" w:rsidRPr="00A26197" w:rsidRDefault="00761B93" w:rsidP="00580BAC">
      <w:pPr>
        <w:spacing w:after="120"/>
        <w:jc w:val="both"/>
      </w:pPr>
    </w:p>
    <w:p w14:paraId="497B9EC2" w14:textId="77777777" w:rsidR="00EF59CC" w:rsidRPr="00A26197" w:rsidRDefault="00EF59CC" w:rsidP="00580BAC">
      <w:pPr>
        <w:spacing w:after="120"/>
        <w:ind w:firstLine="720"/>
        <w:jc w:val="both"/>
      </w:pPr>
    </w:p>
    <w:p w14:paraId="268660EE" w14:textId="77777777" w:rsidR="00B7472F" w:rsidRPr="00A26197" w:rsidRDefault="00B7472F" w:rsidP="00580BAC">
      <w:pPr>
        <w:spacing w:after="120"/>
      </w:pPr>
      <w:r w:rsidRPr="00A26197">
        <w:rPr>
          <w:b/>
        </w:rPr>
        <w:t>Latvijas delegācija</w:t>
      </w:r>
      <w:r w:rsidRPr="00A26197">
        <w:t>:</w:t>
      </w:r>
    </w:p>
    <w:p w14:paraId="0C4145E2" w14:textId="794BFCE3" w:rsidR="00B7472F" w:rsidRPr="00A26197" w:rsidRDefault="00B7472F" w:rsidP="00580BAC">
      <w:pPr>
        <w:tabs>
          <w:tab w:val="left" w:pos="2835"/>
        </w:tabs>
        <w:spacing w:after="120"/>
        <w:ind w:left="2835" w:hanging="2835"/>
        <w:jc w:val="both"/>
      </w:pPr>
      <w:r w:rsidRPr="00A26197">
        <w:t>Delegācij</w:t>
      </w:r>
      <w:r w:rsidR="00526471" w:rsidRPr="00A26197">
        <w:t>as vadītājs</w:t>
      </w:r>
      <w:r w:rsidRPr="00A26197">
        <w:t xml:space="preserve"> -</w:t>
      </w:r>
      <w:r w:rsidR="007B2E76" w:rsidRPr="00A26197">
        <w:t xml:space="preserve"> </w:t>
      </w:r>
      <w:r w:rsidR="007B2E76" w:rsidRPr="00A26197">
        <w:tab/>
      </w:r>
      <w:r w:rsidR="00B6611E" w:rsidRPr="00A26197">
        <w:rPr>
          <w:b/>
        </w:rPr>
        <w:t>Juris Štālmeistars</w:t>
      </w:r>
      <w:r w:rsidR="00B6611E" w:rsidRPr="00A26197">
        <w:t>, vēstnieks, Latvijas Republikas Pastāvīgā pārstāvja vietnieks Eiropas Savienībā</w:t>
      </w:r>
      <w:r w:rsidR="00831BFB" w:rsidRPr="00A26197">
        <w:t>.</w:t>
      </w:r>
    </w:p>
    <w:p w14:paraId="2F0036B9" w14:textId="6A441B16" w:rsidR="00600076" w:rsidRPr="00A26197" w:rsidRDefault="00B6611E" w:rsidP="00580BAC">
      <w:pPr>
        <w:spacing w:after="120"/>
        <w:ind w:left="2880" w:hanging="2880"/>
        <w:jc w:val="both"/>
      </w:pPr>
      <w:r w:rsidRPr="00A26197">
        <w:t>Delegācijas dalībnieki -</w:t>
      </w:r>
      <w:r w:rsidRPr="00A26197">
        <w:tab/>
      </w:r>
      <w:r w:rsidR="00600076" w:rsidRPr="00A26197">
        <w:rPr>
          <w:b/>
        </w:rPr>
        <w:t>Alda Ozola</w:t>
      </w:r>
      <w:r w:rsidR="00600076" w:rsidRPr="00A26197">
        <w:t>,</w:t>
      </w:r>
      <w:r w:rsidR="00F64E5B" w:rsidRPr="00A26197">
        <w:t xml:space="preserve"> </w:t>
      </w:r>
      <w:r w:rsidR="00600076" w:rsidRPr="00A26197">
        <w:t>Vides aizsardzības un reģionālās attīstības ministrijas valsts sekretāra vietniece;</w:t>
      </w:r>
    </w:p>
    <w:p w14:paraId="364026C8" w14:textId="77777777" w:rsidR="00600076" w:rsidRPr="00A26197" w:rsidRDefault="00931124" w:rsidP="00580BAC">
      <w:pPr>
        <w:spacing w:after="120"/>
        <w:ind w:left="2835"/>
        <w:jc w:val="both"/>
      </w:pPr>
      <w:r w:rsidRPr="00A26197">
        <w:rPr>
          <w:b/>
        </w:rPr>
        <w:t>Ilze Prūse</w:t>
      </w:r>
      <w:r w:rsidR="00600076" w:rsidRPr="00A26197">
        <w:rPr>
          <w:b/>
        </w:rPr>
        <w:t xml:space="preserve">, </w:t>
      </w:r>
      <w:r w:rsidR="00600076" w:rsidRPr="00A26197">
        <w:t xml:space="preserve">Vides aizsardzības un reģionālās attīstības ministrijas </w:t>
      </w:r>
      <w:r w:rsidRPr="00A26197">
        <w:t>Klimata pārmaiņu departamenta direktore</w:t>
      </w:r>
      <w:r w:rsidR="00600076" w:rsidRPr="00A26197">
        <w:t>;</w:t>
      </w:r>
    </w:p>
    <w:p w14:paraId="05523E9E" w14:textId="2D2EE038" w:rsidR="002450BD" w:rsidRPr="00A26197" w:rsidRDefault="00B6611E" w:rsidP="00580BAC">
      <w:pPr>
        <w:spacing w:after="120"/>
        <w:ind w:left="2835"/>
        <w:jc w:val="both"/>
      </w:pPr>
      <w:r w:rsidRPr="00A26197">
        <w:rPr>
          <w:b/>
        </w:rPr>
        <w:t>Rudīte Vesere</w:t>
      </w:r>
      <w:r w:rsidR="002450BD" w:rsidRPr="00A26197">
        <w:rPr>
          <w:b/>
        </w:rPr>
        <w:t xml:space="preserve">, </w:t>
      </w:r>
      <w:r w:rsidR="002450BD" w:rsidRPr="00A26197">
        <w:t xml:space="preserve">Vides aizsardzības reģionālās attīstības ministrijas </w:t>
      </w:r>
      <w:r w:rsidRPr="00A26197">
        <w:t>Vides</w:t>
      </w:r>
      <w:r w:rsidR="002450BD" w:rsidRPr="00A26197">
        <w:t xml:space="preserve"> aizsardzības departamenta direktore;</w:t>
      </w:r>
    </w:p>
    <w:p w14:paraId="22B64047" w14:textId="77777777" w:rsidR="00704D02" w:rsidRPr="00A26197" w:rsidRDefault="007C76DF" w:rsidP="00580BAC">
      <w:pPr>
        <w:spacing w:after="120"/>
        <w:ind w:left="2835"/>
        <w:jc w:val="both"/>
      </w:pPr>
      <w:r w:rsidRPr="00A26197">
        <w:rPr>
          <w:b/>
        </w:rPr>
        <w:t>Anita Drondina</w:t>
      </w:r>
      <w:r w:rsidR="007B2E76" w:rsidRPr="00A26197">
        <w:rPr>
          <w:b/>
        </w:rPr>
        <w:t xml:space="preserve">, </w:t>
      </w:r>
      <w:r w:rsidR="007B2E76" w:rsidRPr="00A26197">
        <w:t>Vides</w:t>
      </w:r>
      <w:r w:rsidR="000211C7" w:rsidRPr="00A26197">
        <w:t xml:space="preserve"> aizsardzības</w:t>
      </w:r>
      <w:r w:rsidR="007B2E76" w:rsidRPr="00A26197">
        <w:t xml:space="preserve"> un reģ</w:t>
      </w:r>
      <w:r w:rsidR="00E71632" w:rsidRPr="00A26197">
        <w:t xml:space="preserve">ionālās attīstības ministrijas </w:t>
      </w:r>
      <w:r w:rsidR="00647AC6" w:rsidRPr="00A26197">
        <w:t>nozares padomniece</w:t>
      </w:r>
      <w:r w:rsidR="00F64E5B" w:rsidRPr="00A26197">
        <w:t>;</w:t>
      </w:r>
    </w:p>
    <w:p w14:paraId="44CCA50E" w14:textId="77777777" w:rsidR="00B7472F" w:rsidRPr="00A26197" w:rsidRDefault="00704D02" w:rsidP="00580BAC">
      <w:pPr>
        <w:spacing w:after="120"/>
        <w:ind w:left="2835"/>
        <w:jc w:val="both"/>
      </w:pPr>
      <w:r w:rsidRPr="00A26197">
        <w:rPr>
          <w:b/>
        </w:rPr>
        <w:t xml:space="preserve">Linda Leja, </w:t>
      </w:r>
      <w:r w:rsidRPr="00A26197">
        <w:t>Vides aizsardzības un reģionālās attīstības ministrijas nozares padomniece</w:t>
      </w:r>
      <w:r w:rsidR="001D4A7C" w:rsidRPr="00A26197">
        <w:t>.</w:t>
      </w:r>
    </w:p>
    <w:p w14:paraId="79E4EBF0" w14:textId="77777777" w:rsidR="00117A7B" w:rsidRPr="00A26197" w:rsidRDefault="00117A7B" w:rsidP="00580BAC">
      <w:pPr>
        <w:spacing w:after="120"/>
      </w:pPr>
    </w:p>
    <w:p w14:paraId="5E3C5EEE" w14:textId="77777777" w:rsidR="00F64E5B" w:rsidRPr="00A26197" w:rsidRDefault="00F64E5B" w:rsidP="00580BAC">
      <w:pPr>
        <w:spacing w:after="120"/>
      </w:pPr>
    </w:p>
    <w:p w14:paraId="4D12BD55" w14:textId="4D38276E" w:rsidR="00444D94" w:rsidRPr="00A26197" w:rsidRDefault="00444D94" w:rsidP="00580BAC">
      <w:pPr>
        <w:spacing w:after="120"/>
      </w:pPr>
      <w:r w:rsidRPr="00A26197">
        <w:t>Vides aizsardzības un</w:t>
      </w:r>
      <w:r w:rsidR="00F06E3A" w:rsidRPr="00A26197">
        <w:br/>
      </w:r>
      <w:r w:rsidRPr="00A26197">
        <w:t>reģionālās attīstības ministr</w:t>
      </w:r>
      <w:r w:rsidR="007C5075" w:rsidRPr="00A26197">
        <w:t>s</w:t>
      </w:r>
      <w:r w:rsidRPr="00A26197">
        <w:tab/>
      </w:r>
      <w:r w:rsidRPr="00A26197">
        <w:tab/>
      </w:r>
      <w:r w:rsidRPr="00A26197">
        <w:tab/>
      </w:r>
      <w:r w:rsidRPr="00A26197">
        <w:tab/>
      </w:r>
      <w:r w:rsidRPr="00A26197">
        <w:tab/>
      </w:r>
      <w:r w:rsidRPr="00A26197">
        <w:tab/>
      </w:r>
      <w:r w:rsidRPr="00A26197">
        <w:tab/>
      </w:r>
      <w:r w:rsidR="002D44B5" w:rsidRPr="00A26197">
        <w:tab/>
      </w:r>
      <w:r w:rsidR="007C5075" w:rsidRPr="00A26197">
        <w:t>K.Gerhards</w:t>
      </w:r>
    </w:p>
    <w:p w14:paraId="1A6B31F3" w14:textId="77777777" w:rsidR="00326302" w:rsidRPr="00A26197" w:rsidRDefault="00326302" w:rsidP="00580BAC">
      <w:pPr>
        <w:spacing w:after="120"/>
        <w:jc w:val="both"/>
      </w:pPr>
    </w:p>
    <w:p w14:paraId="62F63CCB" w14:textId="77777777" w:rsidR="00444D94" w:rsidRPr="00A26197" w:rsidRDefault="00444D94" w:rsidP="00580BAC">
      <w:pPr>
        <w:spacing w:after="120"/>
        <w:jc w:val="both"/>
      </w:pPr>
      <w:r w:rsidRPr="00A26197">
        <w:t>Vīza:</w:t>
      </w:r>
    </w:p>
    <w:p w14:paraId="2BC54A9C" w14:textId="30680754" w:rsidR="00444D94" w:rsidRPr="00A26197" w:rsidRDefault="00326302" w:rsidP="00580BAC">
      <w:pPr>
        <w:spacing w:after="120"/>
      </w:pPr>
      <w:r w:rsidRPr="00A26197">
        <w:br/>
      </w:r>
      <w:r w:rsidR="00BD2F1B" w:rsidRPr="00A26197">
        <w:t>v</w:t>
      </w:r>
      <w:r w:rsidR="00D2551B" w:rsidRPr="00A26197">
        <w:t>alsts sekretārs</w:t>
      </w:r>
      <w:r w:rsidR="00D2551B" w:rsidRPr="00A26197">
        <w:tab/>
      </w:r>
      <w:r w:rsidR="00D2551B" w:rsidRPr="00A26197">
        <w:tab/>
      </w:r>
      <w:r w:rsidR="00D2551B" w:rsidRPr="00A26197">
        <w:tab/>
      </w:r>
      <w:r w:rsidR="00D2551B" w:rsidRPr="00A26197">
        <w:tab/>
      </w:r>
      <w:r w:rsidR="00D2551B" w:rsidRPr="00A26197">
        <w:tab/>
      </w:r>
      <w:r w:rsidR="00D2551B" w:rsidRPr="00A26197">
        <w:tab/>
      </w:r>
      <w:r w:rsidR="00D2551B" w:rsidRPr="00A26197">
        <w:tab/>
      </w:r>
      <w:r w:rsidR="00D2551B" w:rsidRPr="00A26197">
        <w:tab/>
      </w:r>
      <w:r w:rsidR="00D2551B" w:rsidRPr="00A26197">
        <w:tab/>
        <w:t>R.</w:t>
      </w:r>
      <w:r w:rsidR="000D3C0E" w:rsidRPr="00A26197">
        <w:t> </w:t>
      </w:r>
      <w:r w:rsidR="00D2551B" w:rsidRPr="00A26197">
        <w:t>Muciņš</w:t>
      </w:r>
      <w:r w:rsidR="00F06E3A" w:rsidRPr="00A26197">
        <w:br/>
      </w:r>
    </w:p>
    <w:p w14:paraId="4ACC0249" w14:textId="77777777" w:rsidR="00903090" w:rsidRPr="00A26197" w:rsidRDefault="00903090" w:rsidP="00580BAC">
      <w:pPr>
        <w:spacing w:after="120"/>
      </w:pPr>
    </w:p>
    <w:p w14:paraId="0F808C87" w14:textId="2D49DA7D" w:rsidR="009D09F1" w:rsidRPr="00A26197" w:rsidRDefault="008B3011" w:rsidP="00A35DD2">
      <w:pPr>
        <w:rPr>
          <w:sz w:val="20"/>
          <w:szCs w:val="20"/>
        </w:rPr>
      </w:pPr>
      <w:r>
        <w:rPr>
          <w:sz w:val="20"/>
          <w:szCs w:val="20"/>
        </w:rPr>
        <w:t>12</w:t>
      </w:r>
      <w:r w:rsidR="00603C46" w:rsidRPr="00A26197">
        <w:rPr>
          <w:sz w:val="20"/>
          <w:szCs w:val="20"/>
        </w:rPr>
        <w:t>.</w:t>
      </w:r>
      <w:r w:rsidR="00CE1C30" w:rsidRPr="00A26197">
        <w:rPr>
          <w:sz w:val="20"/>
          <w:szCs w:val="20"/>
        </w:rPr>
        <w:t>1</w:t>
      </w:r>
      <w:r>
        <w:rPr>
          <w:sz w:val="20"/>
          <w:szCs w:val="20"/>
        </w:rPr>
        <w:t>2</w:t>
      </w:r>
      <w:r w:rsidR="009D09F1" w:rsidRPr="00A26197">
        <w:rPr>
          <w:sz w:val="20"/>
          <w:szCs w:val="20"/>
        </w:rPr>
        <w:t>.201</w:t>
      </w:r>
      <w:r w:rsidR="00603C46" w:rsidRPr="00A26197">
        <w:rPr>
          <w:sz w:val="20"/>
          <w:szCs w:val="20"/>
        </w:rPr>
        <w:t>6</w:t>
      </w:r>
      <w:r w:rsidR="009D09F1" w:rsidRPr="00A26197">
        <w:rPr>
          <w:sz w:val="20"/>
          <w:szCs w:val="20"/>
        </w:rPr>
        <w:t xml:space="preserve">. </w:t>
      </w:r>
      <w:r w:rsidR="00213939" w:rsidRPr="00A26197">
        <w:rPr>
          <w:sz w:val="20"/>
          <w:szCs w:val="20"/>
        </w:rPr>
        <w:t>09</w:t>
      </w:r>
      <w:r w:rsidR="009D09F1" w:rsidRPr="00A26197">
        <w:rPr>
          <w:sz w:val="20"/>
          <w:szCs w:val="20"/>
        </w:rPr>
        <w:t>:30</w:t>
      </w:r>
    </w:p>
    <w:p w14:paraId="70236369" w14:textId="1931F1C6" w:rsidR="00687F48" w:rsidRPr="00A26197" w:rsidRDefault="00FF0105" w:rsidP="00A35DD2">
      <w:pPr>
        <w:rPr>
          <w:sz w:val="20"/>
          <w:szCs w:val="20"/>
        </w:rPr>
      </w:pPr>
      <w:r>
        <w:rPr>
          <w:sz w:val="20"/>
          <w:szCs w:val="20"/>
        </w:rPr>
        <w:t>30</w:t>
      </w:r>
      <w:r w:rsidR="00867AAF">
        <w:rPr>
          <w:sz w:val="20"/>
          <w:szCs w:val="20"/>
        </w:rPr>
        <w:t>41</w:t>
      </w:r>
      <w:bookmarkStart w:id="0" w:name="_GoBack"/>
      <w:bookmarkEnd w:id="0"/>
    </w:p>
    <w:p w14:paraId="64137B30" w14:textId="67A2EF97" w:rsidR="00140408" w:rsidRPr="00A26197" w:rsidRDefault="00C47871" w:rsidP="00A35DD2">
      <w:pPr>
        <w:rPr>
          <w:sz w:val="20"/>
          <w:szCs w:val="20"/>
        </w:rPr>
      </w:pPr>
      <w:r w:rsidRPr="00A26197">
        <w:rPr>
          <w:sz w:val="20"/>
          <w:szCs w:val="20"/>
        </w:rPr>
        <w:t>S.Ķipēna</w:t>
      </w:r>
    </w:p>
    <w:p w14:paraId="5A69D77F" w14:textId="2AA0CD6D" w:rsidR="00FA3F75" w:rsidRPr="00A26197" w:rsidRDefault="00C47871" w:rsidP="00A35DD2">
      <w:pPr>
        <w:rPr>
          <w:sz w:val="20"/>
          <w:szCs w:val="20"/>
        </w:rPr>
      </w:pPr>
      <w:r w:rsidRPr="00A26197">
        <w:rPr>
          <w:sz w:val="20"/>
          <w:szCs w:val="20"/>
        </w:rPr>
        <w:t>67026452</w:t>
      </w:r>
      <w:r w:rsidR="00FA3F75" w:rsidRPr="00A26197">
        <w:rPr>
          <w:sz w:val="20"/>
          <w:szCs w:val="20"/>
        </w:rPr>
        <w:t xml:space="preserve">, </w:t>
      </w:r>
      <w:hyperlink r:id="rId8" w:history="1">
        <w:r w:rsidRPr="00A26197">
          <w:rPr>
            <w:rStyle w:val="Hyperlink"/>
            <w:sz w:val="20"/>
            <w:szCs w:val="20"/>
          </w:rPr>
          <w:t>santa.kipena@varam.gov.lv</w:t>
        </w:r>
      </w:hyperlink>
    </w:p>
    <w:sectPr w:rsidR="00FA3F75" w:rsidRPr="00A26197" w:rsidSect="00A53A92">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467B" w14:textId="77777777" w:rsidR="00E278C2" w:rsidRDefault="00E278C2" w:rsidP="00AE6879">
      <w:r>
        <w:separator/>
      </w:r>
    </w:p>
  </w:endnote>
  <w:endnote w:type="continuationSeparator" w:id="0">
    <w:p w14:paraId="2B9EF2D2" w14:textId="77777777" w:rsidR="00E278C2" w:rsidRDefault="00E278C2" w:rsidP="00A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ohit Hind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756B" w14:textId="6B80C450" w:rsidR="00141A1B" w:rsidRPr="003810BA" w:rsidRDefault="004B6CC5" w:rsidP="00580BAC">
    <w:pPr>
      <w:pStyle w:val="Footer"/>
      <w:spacing w:before="120"/>
      <w:ind w:right="-1"/>
      <w:jc w:val="both"/>
      <w:rPr>
        <w:sz w:val="22"/>
        <w:szCs w:val="22"/>
      </w:rPr>
    </w:pPr>
    <w:r w:rsidRPr="002F1A3F">
      <w:rPr>
        <w:sz w:val="22"/>
        <w:szCs w:val="22"/>
      </w:rPr>
      <w:fldChar w:fldCharType="begin"/>
    </w:r>
    <w:r w:rsidR="00704D02" w:rsidRPr="002F1A3F">
      <w:rPr>
        <w:sz w:val="22"/>
        <w:szCs w:val="22"/>
      </w:rPr>
      <w:instrText xml:space="preserve"> FILENAME </w:instrText>
    </w:r>
    <w:r w:rsidRPr="002F1A3F">
      <w:rPr>
        <w:sz w:val="22"/>
        <w:szCs w:val="22"/>
      </w:rPr>
      <w:fldChar w:fldCharType="separate"/>
    </w:r>
    <w:r w:rsidR="00704D02">
      <w:rPr>
        <w:noProof/>
        <w:sz w:val="22"/>
        <w:szCs w:val="22"/>
      </w:rPr>
      <w:t>VARAMzino_</w:t>
    </w:r>
    <w:r w:rsidR="00A72B5A">
      <w:rPr>
        <w:noProof/>
        <w:sz w:val="22"/>
        <w:szCs w:val="22"/>
      </w:rPr>
      <w:t>1212</w:t>
    </w:r>
    <w:r w:rsidR="006B7B9F">
      <w:rPr>
        <w:noProof/>
        <w:sz w:val="22"/>
        <w:szCs w:val="22"/>
      </w:rPr>
      <w:t>16</w:t>
    </w:r>
    <w:r w:rsidRPr="002F1A3F">
      <w:rPr>
        <w:sz w:val="22"/>
        <w:szCs w:val="22"/>
      </w:rPr>
      <w:fldChar w:fldCharType="end"/>
    </w:r>
    <w:r w:rsidR="00704D02">
      <w:rPr>
        <w:sz w:val="22"/>
        <w:szCs w:val="22"/>
      </w:rPr>
      <w:t>_VidesPadome</w:t>
    </w:r>
    <w:r w:rsidR="00704D02" w:rsidRPr="002F1A3F">
      <w:rPr>
        <w:sz w:val="22"/>
        <w:szCs w:val="22"/>
      </w:rPr>
      <w:t>;</w:t>
    </w:r>
    <w:r w:rsidR="00704D02">
      <w:rPr>
        <w:sz w:val="22"/>
        <w:szCs w:val="22"/>
      </w:rPr>
      <w:t xml:space="preserve"> </w:t>
    </w:r>
    <w:r w:rsidR="00704D02" w:rsidRPr="002F1A3F">
      <w:rPr>
        <w:sz w:val="22"/>
        <w:szCs w:val="22"/>
      </w:rPr>
      <w:t>Informatīvais ziņojums „</w:t>
    </w:r>
    <w:r w:rsidR="00704D02" w:rsidRPr="00444D94">
      <w:rPr>
        <w:sz w:val="22"/>
        <w:szCs w:val="22"/>
      </w:rPr>
      <w:t>Par 20</w:t>
    </w:r>
    <w:r w:rsidR="00704D02">
      <w:rPr>
        <w:sz w:val="22"/>
        <w:szCs w:val="22"/>
      </w:rPr>
      <w:t>1</w:t>
    </w:r>
    <w:r w:rsidR="006B7B9F">
      <w:rPr>
        <w:sz w:val="22"/>
        <w:szCs w:val="22"/>
      </w:rPr>
      <w:t>6</w:t>
    </w:r>
    <w:r w:rsidR="00704D02" w:rsidRPr="00444D94">
      <w:rPr>
        <w:sz w:val="22"/>
        <w:szCs w:val="22"/>
      </w:rPr>
      <w:t>.</w:t>
    </w:r>
    <w:r w:rsidR="00542CE4">
      <w:rPr>
        <w:sz w:val="22"/>
        <w:szCs w:val="22"/>
      </w:rPr>
      <w:t> </w:t>
    </w:r>
    <w:r w:rsidR="00704D02" w:rsidRPr="00444D94">
      <w:rPr>
        <w:sz w:val="22"/>
        <w:szCs w:val="22"/>
      </w:rPr>
      <w:t xml:space="preserve">gada </w:t>
    </w:r>
    <w:r w:rsidR="00A72B5A">
      <w:rPr>
        <w:sz w:val="22"/>
        <w:szCs w:val="22"/>
      </w:rPr>
      <w:t>19</w:t>
    </w:r>
    <w:r w:rsidR="00CE1C30">
      <w:rPr>
        <w:sz w:val="22"/>
        <w:szCs w:val="22"/>
      </w:rPr>
      <w:t>.</w:t>
    </w:r>
    <w:r w:rsidR="001E5EFB">
      <w:rPr>
        <w:sz w:val="22"/>
        <w:szCs w:val="22"/>
      </w:rPr>
      <w:t> </w:t>
    </w:r>
    <w:r w:rsidR="00596743">
      <w:rPr>
        <w:sz w:val="22"/>
        <w:szCs w:val="22"/>
      </w:rPr>
      <w:t>decembra</w:t>
    </w:r>
    <w:r w:rsidR="00704D02" w:rsidRPr="00444D94">
      <w:rPr>
        <w:sz w:val="22"/>
        <w:szCs w:val="22"/>
      </w:rPr>
      <w:t xml:space="preserve"> Eiropas Savienības Vides ministru padom</w:t>
    </w:r>
    <w:r w:rsidR="006E35B5">
      <w:rPr>
        <w:sz w:val="22"/>
        <w:szCs w:val="22"/>
      </w:rPr>
      <w:t>es sanāksm</w:t>
    </w:r>
    <w:r w:rsidR="00704D02" w:rsidRPr="00444D94">
      <w:rPr>
        <w:sz w:val="22"/>
        <w:szCs w:val="22"/>
      </w:rPr>
      <w:t>ē izskatāmajiem jautājumiem</w:t>
    </w:r>
    <w:r w:rsidR="00704D02" w:rsidRPr="002F1A3F">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B31E" w14:textId="77777777" w:rsidR="003C793A" w:rsidRPr="00A53A92" w:rsidRDefault="006B7B9F" w:rsidP="00A53A92">
    <w:pPr>
      <w:pStyle w:val="Footer"/>
      <w:spacing w:before="120"/>
      <w:ind w:right="357"/>
      <w:jc w:val="both"/>
      <w:rPr>
        <w:sz w:val="22"/>
        <w:szCs w:val="22"/>
      </w:rPr>
    </w:pPr>
    <w:r w:rsidRPr="002F1A3F">
      <w:rPr>
        <w:sz w:val="22"/>
        <w:szCs w:val="22"/>
      </w:rPr>
      <w:fldChar w:fldCharType="begin"/>
    </w:r>
    <w:r w:rsidRPr="002F1A3F">
      <w:rPr>
        <w:sz w:val="22"/>
        <w:szCs w:val="22"/>
      </w:rPr>
      <w:instrText xml:space="preserve"> FILENAME </w:instrText>
    </w:r>
    <w:r w:rsidRPr="002F1A3F">
      <w:rPr>
        <w:sz w:val="22"/>
        <w:szCs w:val="22"/>
      </w:rPr>
      <w:fldChar w:fldCharType="separate"/>
    </w:r>
    <w:r>
      <w:rPr>
        <w:noProof/>
        <w:sz w:val="22"/>
        <w:szCs w:val="22"/>
      </w:rPr>
      <w:t>VARAMzino_26022016</w:t>
    </w:r>
    <w:r w:rsidRPr="002F1A3F">
      <w:rPr>
        <w:sz w:val="22"/>
        <w:szCs w:val="22"/>
      </w:rPr>
      <w:fldChar w:fldCharType="end"/>
    </w:r>
    <w:r>
      <w:rPr>
        <w:sz w:val="22"/>
        <w:szCs w:val="22"/>
      </w:rPr>
      <w:t>_VidesPadome</w:t>
    </w:r>
    <w:r w:rsidRPr="002F1A3F">
      <w:rPr>
        <w:sz w:val="22"/>
        <w:szCs w:val="22"/>
      </w:rPr>
      <w:t>;</w:t>
    </w:r>
    <w:r>
      <w:rPr>
        <w:sz w:val="22"/>
        <w:szCs w:val="22"/>
      </w:rPr>
      <w:t xml:space="preserve"> </w:t>
    </w:r>
    <w:r w:rsidRPr="002F1A3F">
      <w:rPr>
        <w:sz w:val="22"/>
        <w:szCs w:val="22"/>
      </w:rPr>
      <w:t>Informatīvais ziņojums „</w:t>
    </w:r>
    <w:r w:rsidRPr="00444D94">
      <w:rPr>
        <w:sz w:val="22"/>
        <w:szCs w:val="22"/>
      </w:rPr>
      <w:t>Par 20</w:t>
    </w:r>
    <w:r>
      <w:rPr>
        <w:sz w:val="22"/>
        <w:szCs w:val="22"/>
      </w:rPr>
      <w:t>16</w:t>
    </w:r>
    <w:r w:rsidRPr="00444D94">
      <w:rPr>
        <w:sz w:val="22"/>
        <w:szCs w:val="22"/>
      </w:rPr>
      <w:t xml:space="preserve">.gada </w:t>
    </w:r>
    <w:r>
      <w:rPr>
        <w:sz w:val="22"/>
        <w:szCs w:val="22"/>
      </w:rPr>
      <w:t>4.marta</w:t>
    </w:r>
    <w:r w:rsidRPr="00444D94">
      <w:rPr>
        <w:sz w:val="22"/>
        <w:szCs w:val="22"/>
      </w:rPr>
      <w:t xml:space="preserve"> Eiropas Savienības Vides ministru padomē izskatāmajiem jautājumiem</w:t>
    </w:r>
    <w:r w:rsidRPr="002F1A3F">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30A6" w14:textId="77777777" w:rsidR="00E278C2" w:rsidRDefault="00E278C2" w:rsidP="00AE6879">
      <w:r>
        <w:separator/>
      </w:r>
    </w:p>
  </w:footnote>
  <w:footnote w:type="continuationSeparator" w:id="0">
    <w:p w14:paraId="797606DF" w14:textId="77777777" w:rsidR="00E278C2" w:rsidRDefault="00E278C2" w:rsidP="00AE6879">
      <w:r>
        <w:continuationSeparator/>
      </w:r>
    </w:p>
  </w:footnote>
  <w:footnote w:id="1">
    <w:p w14:paraId="6D4456B3" w14:textId="77777777" w:rsidR="00273C14" w:rsidRPr="00F52555" w:rsidRDefault="00273C14" w:rsidP="00273C14">
      <w:pPr>
        <w:pStyle w:val="FootnoteText"/>
        <w:spacing w:after="0" w:line="240" w:lineRule="auto"/>
        <w:ind w:left="142" w:hanging="142"/>
        <w:jc w:val="both"/>
        <w:rPr>
          <w:rFonts w:ascii="Times New Roman" w:hAnsi="Times New Roman" w:cs="Times New Roman"/>
          <w:sz w:val="18"/>
          <w:szCs w:val="18"/>
        </w:rPr>
      </w:pPr>
      <w:r w:rsidRPr="00F52555">
        <w:rPr>
          <w:rStyle w:val="FootnoteReference"/>
          <w:sz w:val="18"/>
          <w:szCs w:val="18"/>
        </w:rPr>
        <w:footnoteRef/>
      </w:r>
      <w:r w:rsidRPr="00F52555">
        <w:rPr>
          <w:rFonts w:ascii="Times New Roman" w:hAnsi="Times New Roman" w:cs="Times New Roman"/>
          <w:sz w:val="18"/>
          <w:szCs w:val="18"/>
        </w:rPr>
        <w:t xml:space="preserve"> </w:t>
      </w:r>
      <w:hyperlink r:id="rId1" w:history="1">
        <w:r w:rsidRPr="006304CB">
          <w:rPr>
            <w:rStyle w:val="Hyperlink"/>
            <w:rFonts w:ascii="Times New Roman" w:hAnsi="Times New Roman" w:cs="Times New Roman"/>
            <w:sz w:val="18"/>
            <w:szCs w:val="18"/>
          </w:rPr>
          <w:t>http://europa.eu/rapid/press-release_IP-15-5358_lv.htm</w:t>
        </w:r>
      </w:hyperlink>
      <w:r>
        <w:rPr>
          <w:rFonts w:ascii="Times New Roman" w:hAnsi="Times New Roman" w:cs="Times New Roman"/>
          <w:sz w:val="18"/>
          <w:szCs w:val="18"/>
        </w:rPr>
        <w:t xml:space="preserve"> </w:t>
      </w:r>
    </w:p>
  </w:footnote>
  <w:footnote w:id="2">
    <w:p w14:paraId="71BF132D" w14:textId="77777777" w:rsidR="00273C14" w:rsidRPr="00055C0D" w:rsidRDefault="00273C14" w:rsidP="00273C14">
      <w:pPr>
        <w:pStyle w:val="FootnoteText"/>
        <w:spacing w:after="0" w:line="240" w:lineRule="auto"/>
        <w:ind w:left="142" w:hanging="142"/>
        <w:rPr>
          <w:rFonts w:ascii="Times New Roman" w:hAnsi="Times New Roman" w:cs="Times New Roman"/>
          <w:sz w:val="18"/>
          <w:szCs w:val="18"/>
        </w:rPr>
      </w:pPr>
      <w:r w:rsidRPr="00055C0D">
        <w:rPr>
          <w:rStyle w:val="FootnoteReference"/>
          <w:sz w:val="18"/>
          <w:szCs w:val="18"/>
        </w:rPr>
        <w:footnoteRef/>
      </w:r>
      <w:r w:rsidRPr="00055C0D">
        <w:rPr>
          <w:rFonts w:ascii="Times New Roman" w:hAnsi="Times New Roman" w:cs="Times New Roman"/>
          <w:sz w:val="18"/>
          <w:szCs w:val="18"/>
        </w:rPr>
        <w:t xml:space="preserve"> </w:t>
      </w:r>
      <w:hyperlink r:id="rId2" w:anchor="tab-0" w:history="1">
        <w:r w:rsidRPr="00055C0D">
          <w:rPr>
            <w:rStyle w:val="Hyperlink"/>
            <w:rFonts w:ascii="Times New Roman" w:hAnsi="Times New Roman" w:cs="Times New Roman"/>
            <w:sz w:val="18"/>
            <w:szCs w:val="18"/>
          </w:rPr>
          <w:t>http://www.europarl.europa.eu/oeil/popups/ficheprocedure.do?lang=en&amp;reference=2015/0148(OLP)#tab-0</w:t>
        </w:r>
      </w:hyperlink>
      <w:r w:rsidRPr="00055C0D">
        <w:rPr>
          <w:rFonts w:ascii="Times New Roman" w:hAnsi="Times New Roman" w:cs="Times New Roman"/>
          <w:sz w:val="18"/>
          <w:szCs w:val="18"/>
        </w:rPr>
        <w:t xml:space="preserve"> </w:t>
      </w:r>
    </w:p>
  </w:footnote>
  <w:footnote w:id="3">
    <w:p w14:paraId="4A4F92D1" w14:textId="77777777" w:rsidR="00273C14" w:rsidRPr="0080002C" w:rsidRDefault="00273C14" w:rsidP="00273C14">
      <w:pPr>
        <w:pStyle w:val="FootnoteText"/>
        <w:spacing w:after="0" w:line="240" w:lineRule="auto"/>
        <w:rPr>
          <w:rFonts w:ascii="Times New Roman" w:hAnsi="Times New Roman" w:cs="Times New Roman"/>
          <w:sz w:val="18"/>
          <w:szCs w:val="18"/>
        </w:rPr>
      </w:pPr>
      <w:r w:rsidRPr="0080002C">
        <w:rPr>
          <w:rStyle w:val="FootnoteReference"/>
          <w:sz w:val="18"/>
          <w:szCs w:val="18"/>
        </w:rPr>
        <w:footnoteRef/>
      </w:r>
      <w:r w:rsidRPr="0080002C">
        <w:rPr>
          <w:rFonts w:ascii="Times New Roman" w:hAnsi="Times New Roman" w:cs="Times New Roman"/>
          <w:sz w:val="18"/>
          <w:szCs w:val="18"/>
        </w:rPr>
        <w:t xml:space="preserve"> Saskaņā ar Eiropas Vides aģentūras apkopojumu (</w:t>
      </w:r>
      <w:hyperlink r:id="rId3" w:history="1">
        <w:r w:rsidRPr="0080002C">
          <w:rPr>
            <w:rStyle w:val="Hyperlink"/>
            <w:rFonts w:ascii="Times New Roman" w:hAnsi="Times New Roman" w:cs="Times New Roman"/>
            <w:sz w:val="18"/>
            <w:szCs w:val="18"/>
          </w:rPr>
          <w:t>http://www.eea.europa.eu/highlights/surplus-emission-permits-start-decreasing</w:t>
        </w:r>
      </w:hyperlink>
      <w:r w:rsidRPr="0080002C">
        <w:rPr>
          <w:rFonts w:ascii="Times New Roman" w:hAnsi="Times New Roman" w:cs="Times New Roman"/>
          <w:sz w:val="18"/>
          <w:szCs w:val="18"/>
        </w:rPr>
        <w:t>) jau 2015.gadā ir sācis samazināties emisijas kvotu pārpalikums</w:t>
      </w:r>
    </w:p>
  </w:footnote>
  <w:footnote w:id="4">
    <w:p w14:paraId="5669673F" w14:textId="77777777" w:rsidR="00D4513D" w:rsidRDefault="00D4513D" w:rsidP="00B6611E">
      <w:pPr>
        <w:pStyle w:val="FootnoteText"/>
        <w:jc w:val="both"/>
      </w:pPr>
      <w:r>
        <w:rPr>
          <w:rStyle w:val="FootnoteReference"/>
        </w:rPr>
        <w:footnoteRef/>
      </w:r>
      <w:r>
        <w:t xml:space="preserve"> </w:t>
      </w:r>
      <w:r w:rsidRPr="00B6611E">
        <w:rPr>
          <w:rFonts w:ascii="Times New Roman" w:hAnsi="Times New Roman" w:cs="Times New Roman"/>
        </w:rPr>
        <w:t>Pieņemta 2014. gada janvārī. Programmā ir sniegts vides politikas vispārējs satvars laikposmam līdz 2020. gadam un redzējums uz 2050. gadu. Tā ir cieši saistīta ar stratēģiju "Eiropa 2020". Programmā ir noteikti deviņi mērķi, kas jāsasniedz ES un tās dalībvalstīm, atgādinot, ka daudzas no šīm prioritātēm ir mērķi, kas jau ir iekļauti ES vides politikā.</w:t>
      </w:r>
    </w:p>
  </w:footnote>
  <w:footnote w:id="5">
    <w:p w14:paraId="01952518" w14:textId="7219D9EA" w:rsidR="003E42E3" w:rsidRPr="00EB4915" w:rsidRDefault="003E42E3" w:rsidP="00026757">
      <w:pPr>
        <w:pStyle w:val="FootnoteText"/>
        <w:jc w:val="both"/>
        <w:rPr>
          <w:rFonts w:ascii="Times New Roman" w:hAnsi="Times New Roman" w:cs="Times New Roman"/>
        </w:rPr>
      </w:pPr>
      <w:r w:rsidRPr="00EB4915">
        <w:rPr>
          <w:rStyle w:val="FootnoteReference"/>
          <w:rFonts w:ascii="Times New Roman" w:hAnsi="Times New Roman" w:cs="Times New Roman"/>
        </w:rPr>
        <w:footnoteRef/>
      </w:r>
      <w:r w:rsidRPr="00EB4915">
        <w:rPr>
          <w:rFonts w:ascii="Times New Roman" w:hAnsi="Times New Roman" w:cs="Times New Roman"/>
        </w:rPr>
        <w:t xml:space="preserve"> </w:t>
      </w:r>
      <w:r w:rsidRPr="00026757">
        <w:rPr>
          <w:rFonts w:ascii="Times New Roman" w:hAnsi="Times New Roman" w:cs="Times New Roman"/>
        </w:rPr>
        <w:t>Apvienoto Nāciju Organizācijas Eiropas Ekonomikas komisijas konvencija „Par pieeju informācijai, sabiedrības dalību lēmumu pieņemšanā un iespēju griezties tiesu iestādēs saistībā ar vides jautājumiem”,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2FB0" w14:textId="77777777" w:rsidR="00141A1B" w:rsidRDefault="004B6CC5"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end"/>
    </w:r>
  </w:p>
  <w:p w14:paraId="5A972AE8" w14:textId="77777777" w:rsidR="00141A1B" w:rsidRDefault="00141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4C98B" w14:textId="77777777" w:rsidR="00141A1B" w:rsidRDefault="004B6CC5" w:rsidP="00B7472F">
    <w:pPr>
      <w:pStyle w:val="Header"/>
      <w:framePr w:wrap="around" w:vAnchor="text" w:hAnchor="margin" w:xAlign="center" w:y="1"/>
      <w:rPr>
        <w:rStyle w:val="PageNumber"/>
      </w:rPr>
    </w:pPr>
    <w:r>
      <w:rPr>
        <w:rStyle w:val="PageNumber"/>
      </w:rPr>
      <w:fldChar w:fldCharType="begin"/>
    </w:r>
    <w:r w:rsidR="00141A1B">
      <w:rPr>
        <w:rStyle w:val="PageNumber"/>
      </w:rPr>
      <w:instrText xml:space="preserve">PAGE  </w:instrText>
    </w:r>
    <w:r>
      <w:rPr>
        <w:rStyle w:val="PageNumber"/>
      </w:rPr>
      <w:fldChar w:fldCharType="separate"/>
    </w:r>
    <w:r w:rsidR="00867AAF">
      <w:rPr>
        <w:rStyle w:val="PageNumber"/>
        <w:noProof/>
      </w:rPr>
      <w:t>7</w:t>
    </w:r>
    <w:r>
      <w:rPr>
        <w:rStyle w:val="PageNumber"/>
      </w:rPr>
      <w:fldChar w:fldCharType="end"/>
    </w:r>
  </w:p>
  <w:p w14:paraId="186497EA" w14:textId="77777777" w:rsidR="00141A1B" w:rsidRDefault="00141A1B" w:rsidP="00B747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68DB" w14:textId="77777777" w:rsidR="00141A1B" w:rsidRDefault="00141A1B" w:rsidP="00B747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4188C"/>
    <w:multiLevelType w:val="hybridMultilevel"/>
    <w:tmpl w:val="9BD2382A"/>
    <w:lvl w:ilvl="0" w:tplc="F4420816">
      <w:start w:val="1"/>
      <w:numFmt w:val="lowerLetter"/>
      <w:lvlText w:val="%1)"/>
      <w:lvlJc w:val="left"/>
      <w:pPr>
        <w:ind w:left="720" w:hanging="360"/>
      </w:pPr>
      <w:rPr>
        <w:rFonts w:eastAsia="Calibr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C901B5"/>
    <w:multiLevelType w:val="hybridMultilevel"/>
    <w:tmpl w:val="61DCD1A2"/>
    <w:lvl w:ilvl="0" w:tplc="051EB180">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B2022"/>
    <w:multiLevelType w:val="hybridMultilevel"/>
    <w:tmpl w:val="06926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15:restartNumberingAfterBreak="0">
    <w:nsid w:val="09331B67"/>
    <w:multiLevelType w:val="hybridMultilevel"/>
    <w:tmpl w:val="0E6C89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4A385B"/>
    <w:multiLevelType w:val="hybridMultilevel"/>
    <w:tmpl w:val="89E6D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04804"/>
    <w:multiLevelType w:val="hybridMultilevel"/>
    <w:tmpl w:val="AD30B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E52873"/>
    <w:multiLevelType w:val="multilevel"/>
    <w:tmpl w:val="04547F5A"/>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4764EE"/>
    <w:multiLevelType w:val="hybridMultilevel"/>
    <w:tmpl w:val="9A5E8E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734344"/>
    <w:multiLevelType w:val="hybridMultilevel"/>
    <w:tmpl w:val="A460A2A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120B76"/>
    <w:multiLevelType w:val="hybridMultilevel"/>
    <w:tmpl w:val="D21E89D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273C6EE7"/>
    <w:multiLevelType w:val="hybridMultilevel"/>
    <w:tmpl w:val="44E20634"/>
    <w:lvl w:ilvl="0" w:tplc="4D7E31B4">
      <w:start w:val="1"/>
      <w:numFmt w:val="decimal"/>
      <w:lvlText w:val="%1)"/>
      <w:lvlJc w:val="left"/>
      <w:pPr>
        <w:ind w:left="720" w:hanging="360"/>
      </w:pPr>
      <w:rPr>
        <w:rFonts w:hint="default"/>
        <w:b/>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1610D1"/>
    <w:multiLevelType w:val="hybridMultilevel"/>
    <w:tmpl w:val="E6AC0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B56F6B"/>
    <w:multiLevelType w:val="hybridMultilevel"/>
    <w:tmpl w:val="77D6E788"/>
    <w:lvl w:ilvl="0" w:tplc="0C6CCF98">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D140E3B"/>
    <w:multiLevelType w:val="singleLevel"/>
    <w:tmpl w:val="A78C1CA0"/>
    <w:name w:val="Dash 2"/>
    <w:lvl w:ilvl="0">
      <w:start w:val="1"/>
      <w:numFmt w:val="bullet"/>
      <w:pStyle w:val="Dash2"/>
      <w:lvlText w:val="–"/>
      <w:lvlJc w:val="left"/>
      <w:pPr>
        <w:tabs>
          <w:tab w:val="num" w:pos="1701"/>
        </w:tabs>
        <w:ind w:left="1701" w:hanging="567"/>
      </w:pPr>
    </w:lvl>
  </w:abstractNum>
  <w:abstractNum w:abstractNumId="16" w15:restartNumberingAfterBreak="0">
    <w:nsid w:val="31EB3E54"/>
    <w:multiLevelType w:val="hybridMultilevel"/>
    <w:tmpl w:val="A4DE4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73363C"/>
    <w:multiLevelType w:val="hybridMultilevel"/>
    <w:tmpl w:val="C868B232"/>
    <w:lvl w:ilvl="0" w:tplc="0EFE7DDE">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B2417"/>
    <w:multiLevelType w:val="hybridMultilevel"/>
    <w:tmpl w:val="EE2EE9A8"/>
    <w:lvl w:ilvl="0" w:tplc="051EB180">
      <w:numFmt w:val="bullet"/>
      <w:lvlText w:val="-"/>
      <w:lvlJc w:val="left"/>
      <w:pPr>
        <w:ind w:left="420" w:hanging="360"/>
      </w:pPr>
      <w:rPr>
        <w:rFonts w:ascii="Times New Roman" w:eastAsiaTheme="minorHAnsi" w:hAnsi="Times New Roman" w:cs="Times New Roman"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4FBA4B5F"/>
    <w:multiLevelType w:val="hybridMultilevel"/>
    <w:tmpl w:val="78724280"/>
    <w:lvl w:ilvl="0" w:tplc="12CC74C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22" w15:restartNumberingAfterBreak="0">
    <w:nsid w:val="51C952EF"/>
    <w:multiLevelType w:val="hybridMultilevel"/>
    <w:tmpl w:val="3C12CF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58441E"/>
    <w:multiLevelType w:val="hybridMultilevel"/>
    <w:tmpl w:val="430A4EFA"/>
    <w:lvl w:ilvl="0" w:tplc="579201C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7F793D"/>
    <w:multiLevelType w:val="hybridMultilevel"/>
    <w:tmpl w:val="18BE8CD4"/>
    <w:lvl w:ilvl="0" w:tplc="04260011">
      <w:start w:val="1"/>
      <w:numFmt w:val="decimal"/>
      <w:lvlText w:val="%1)"/>
      <w:lvlJc w:val="left"/>
      <w:pPr>
        <w:ind w:left="720" w:hanging="360"/>
      </w:pPr>
      <w:rPr>
        <w:rFonts w:hint="default"/>
      </w:rPr>
    </w:lvl>
    <w:lvl w:ilvl="1" w:tplc="43E65BE8">
      <w:start w:val="1"/>
      <w:numFmt w:val="decimal"/>
      <w:lvlText w:val="%2)"/>
      <w:lvlJc w:val="left"/>
      <w:pPr>
        <w:ind w:left="2085" w:hanging="100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18735C"/>
    <w:multiLevelType w:val="hybridMultilevel"/>
    <w:tmpl w:val="51CC9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227889"/>
    <w:multiLevelType w:val="singleLevel"/>
    <w:tmpl w:val="B83C732C"/>
    <w:lvl w:ilvl="0">
      <w:start w:val="1"/>
      <w:numFmt w:val="bullet"/>
      <w:lvlText w:val="="/>
      <w:lvlJc w:val="left"/>
      <w:pPr>
        <w:tabs>
          <w:tab w:val="num" w:pos="1701"/>
        </w:tabs>
        <w:ind w:left="1701" w:hanging="567"/>
      </w:pPr>
      <w:rPr>
        <w:bdr w:val="none" w:sz="0" w:space="0" w:color="auto" w:frame="1"/>
      </w:rPr>
    </w:lvl>
  </w:abstractNum>
  <w:abstractNum w:abstractNumId="27" w15:restartNumberingAfterBreak="0">
    <w:nsid w:val="5C016A55"/>
    <w:multiLevelType w:val="hybridMultilevel"/>
    <w:tmpl w:val="00AAD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rPr>
        <w:bdr w:val="none" w:sz="0" w:space="0" w:color="auto" w:frame="1"/>
      </w:rPr>
    </w:lvl>
  </w:abstractNum>
  <w:abstractNum w:abstractNumId="29" w15:restartNumberingAfterBreak="0">
    <w:nsid w:val="5FFA4857"/>
    <w:multiLevelType w:val="hybridMultilevel"/>
    <w:tmpl w:val="2EB8AA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672A7E"/>
    <w:multiLevelType w:val="hybridMultilevel"/>
    <w:tmpl w:val="FA505D34"/>
    <w:lvl w:ilvl="0" w:tplc="9D58B50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A451CD3"/>
    <w:multiLevelType w:val="hybridMultilevel"/>
    <w:tmpl w:val="306E47C2"/>
    <w:lvl w:ilvl="0" w:tplc="3692D94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3"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34" w15:restartNumberingAfterBreak="0">
    <w:nsid w:val="78534C02"/>
    <w:multiLevelType w:val="multilevel"/>
    <w:tmpl w:val="758E2656"/>
    <w:lvl w:ilvl="0">
      <w:start w:val="1"/>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78B80C66"/>
    <w:multiLevelType w:val="hybridMultilevel"/>
    <w:tmpl w:val="86F02A52"/>
    <w:lvl w:ilvl="0" w:tplc="FA261454">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A4F7EE9"/>
    <w:multiLevelType w:val="hybridMultilevel"/>
    <w:tmpl w:val="D7D479B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7A53261B"/>
    <w:multiLevelType w:val="hybridMultilevel"/>
    <w:tmpl w:val="2794CDA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D21140"/>
    <w:multiLevelType w:val="hybridMultilevel"/>
    <w:tmpl w:val="447EF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2D2838"/>
    <w:multiLevelType w:val="hybridMultilevel"/>
    <w:tmpl w:val="2DEE6A3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8A4133"/>
    <w:multiLevelType w:val="hybridMultilevel"/>
    <w:tmpl w:val="D3667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num>
  <w:num w:numId="4">
    <w:abstractNumId w:val="31"/>
  </w:num>
  <w:num w:numId="5">
    <w:abstractNumId w:val="13"/>
  </w:num>
  <w:num w:numId="6">
    <w:abstractNumId w:val="41"/>
  </w:num>
  <w:num w:numId="7">
    <w:abstractNumId w:val="37"/>
  </w:num>
  <w:num w:numId="8">
    <w:abstractNumId w:val="2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1"/>
  </w:num>
  <w:num w:numId="13">
    <w:abstractNumId w:val="6"/>
  </w:num>
  <w:num w:numId="14">
    <w:abstractNumId w:val="15"/>
  </w:num>
  <w:num w:numId="15">
    <w:abstractNumId w:val="27"/>
  </w:num>
  <w:num w:numId="16">
    <w:abstractNumId w:val="19"/>
  </w:num>
  <w:num w:numId="17">
    <w:abstractNumId w:val="2"/>
  </w:num>
  <w:num w:numId="18">
    <w:abstractNumId w:val="30"/>
  </w:num>
  <w:num w:numId="19">
    <w:abstractNumId w:val="38"/>
  </w:num>
  <w:num w:numId="20">
    <w:abstractNumId w:val="5"/>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 w:numId="24">
    <w:abstractNumId w:val="21"/>
    <w:lvlOverride w:ilvl="0">
      <w:startOverride w:val="1"/>
    </w:lvlOverride>
  </w:num>
  <w:num w:numId="25">
    <w:abstractNumId w:val="21"/>
  </w:num>
  <w:num w:numId="26">
    <w:abstractNumId w:val="8"/>
  </w:num>
  <w:num w:numId="27">
    <w:abstractNumId w:val="7"/>
  </w:num>
  <w:num w:numId="28">
    <w:abstractNumId w:val="25"/>
  </w:num>
  <w:num w:numId="29">
    <w:abstractNumId w:val="29"/>
  </w:num>
  <w:num w:numId="30">
    <w:abstractNumId w:val="39"/>
  </w:num>
  <w:num w:numId="31">
    <w:abstractNumId w:val="40"/>
  </w:num>
  <w:num w:numId="32">
    <w:abstractNumId w:val="24"/>
  </w:num>
  <w:num w:numId="33">
    <w:abstractNumId w:val="4"/>
  </w:num>
  <w:num w:numId="34">
    <w:abstractNumId w:val="10"/>
  </w:num>
  <w:num w:numId="35">
    <w:abstractNumId w:val="14"/>
  </w:num>
  <w:num w:numId="36">
    <w:abstractNumId w:val="34"/>
  </w:num>
  <w:num w:numId="37">
    <w:abstractNumId w:val="0"/>
  </w:num>
  <w:num w:numId="38">
    <w:abstractNumId w:val="1"/>
  </w:num>
  <w:num w:numId="39">
    <w:abstractNumId w:val="32"/>
  </w:num>
  <w:num w:numId="40">
    <w:abstractNumId w:val="36"/>
  </w:num>
  <w:num w:numId="41">
    <w:abstractNumId w:val="12"/>
  </w:num>
  <w:num w:numId="42">
    <w:abstractNumId w:val="28"/>
  </w:num>
  <w:num w:numId="43">
    <w:abstractNumId w:val="26"/>
  </w:num>
  <w:num w:numId="44">
    <w:abstractNumId w:val="28"/>
  </w:num>
  <w:num w:numId="45">
    <w:abstractNumId w:val="3"/>
  </w:num>
  <w:num w:numId="46">
    <w:abstractNumId w:val="18"/>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77"/>
    <w:rsid w:val="00010BAC"/>
    <w:rsid w:val="00010F5F"/>
    <w:rsid w:val="0001676B"/>
    <w:rsid w:val="000211C7"/>
    <w:rsid w:val="00021789"/>
    <w:rsid w:val="00026128"/>
    <w:rsid w:val="00026757"/>
    <w:rsid w:val="0002777D"/>
    <w:rsid w:val="00027D57"/>
    <w:rsid w:val="0003192C"/>
    <w:rsid w:val="00032497"/>
    <w:rsid w:val="000367E7"/>
    <w:rsid w:val="000418C2"/>
    <w:rsid w:val="000423C7"/>
    <w:rsid w:val="000465FB"/>
    <w:rsid w:val="00054E9B"/>
    <w:rsid w:val="000624D3"/>
    <w:rsid w:val="0007524B"/>
    <w:rsid w:val="00081150"/>
    <w:rsid w:val="00082CAF"/>
    <w:rsid w:val="00084BF2"/>
    <w:rsid w:val="00085A18"/>
    <w:rsid w:val="0009606E"/>
    <w:rsid w:val="00096389"/>
    <w:rsid w:val="000A775D"/>
    <w:rsid w:val="000B3314"/>
    <w:rsid w:val="000C05E1"/>
    <w:rsid w:val="000D3C0E"/>
    <w:rsid w:val="000E199A"/>
    <w:rsid w:val="000E36E2"/>
    <w:rsid w:val="000E4480"/>
    <w:rsid w:val="000E7107"/>
    <w:rsid w:val="000E76EB"/>
    <w:rsid w:val="000E7E02"/>
    <w:rsid w:val="000F2AC6"/>
    <w:rsid w:val="000F4052"/>
    <w:rsid w:val="000F5231"/>
    <w:rsid w:val="000F5AF8"/>
    <w:rsid w:val="0010158C"/>
    <w:rsid w:val="00103744"/>
    <w:rsid w:val="001075CE"/>
    <w:rsid w:val="001101EE"/>
    <w:rsid w:val="00112ADC"/>
    <w:rsid w:val="0011554A"/>
    <w:rsid w:val="0011611D"/>
    <w:rsid w:val="00116304"/>
    <w:rsid w:val="00117A7B"/>
    <w:rsid w:val="001201A8"/>
    <w:rsid w:val="00126786"/>
    <w:rsid w:val="00135321"/>
    <w:rsid w:val="00140408"/>
    <w:rsid w:val="0014059B"/>
    <w:rsid w:val="00140606"/>
    <w:rsid w:val="00141A1B"/>
    <w:rsid w:val="0014432C"/>
    <w:rsid w:val="00147A94"/>
    <w:rsid w:val="001500F9"/>
    <w:rsid w:val="0015025C"/>
    <w:rsid w:val="00151ADB"/>
    <w:rsid w:val="00152835"/>
    <w:rsid w:val="00156831"/>
    <w:rsid w:val="00160030"/>
    <w:rsid w:val="00170CF7"/>
    <w:rsid w:val="001729E9"/>
    <w:rsid w:val="00172B3C"/>
    <w:rsid w:val="001741A0"/>
    <w:rsid w:val="0018726C"/>
    <w:rsid w:val="0019130F"/>
    <w:rsid w:val="0019242A"/>
    <w:rsid w:val="00195426"/>
    <w:rsid w:val="001A125F"/>
    <w:rsid w:val="001B1C84"/>
    <w:rsid w:val="001D2C00"/>
    <w:rsid w:val="001D4A7C"/>
    <w:rsid w:val="001D59F3"/>
    <w:rsid w:val="001E0CD8"/>
    <w:rsid w:val="001E2297"/>
    <w:rsid w:val="001E4454"/>
    <w:rsid w:val="001E5E37"/>
    <w:rsid w:val="001E5EFB"/>
    <w:rsid w:val="001E5F42"/>
    <w:rsid w:val="001F1502"/>
    <w:rsid w:val="001F1669"/>
    <w:rsid w:val="001F3DE8"/>
    <w:rsid w:val="001F46C7"/>
    <w:rsid w:val="00200684"/>
    <w:rsid w:val="00200839"/>
    <w:rsid w:val="002018FC"/>
    <w:rsid w:val="002024B9"/>
    <w:rsid w:val="0020742E"/>
    <w:rsid w:val="00212C60"/>
    <w:rsid w:val="00213939"/>
    <w:rsid w:val="00214E0D"/>
    <w:rsid w:val="00221E03"/>
    <w:rsid w:val="00225058"/>
    <w:rsid w:val="00225222"/>
    <w:rsid w:val="00225FAF"/>
    <w:rsid w:val="00226C5D"/>
    <w:rsid w:val="00232CD1"/>
    <w:rsid w:val="00233987"/>
    <w:rsid w:val="00234ACB"/>
    <w:rsid w:val="00235999"/>
    <w:rsid w:val="0023605B"/>
    <w:rsid w:val="00241AB8"/>
    <w:rsid w:val="00242BC6"/>
    <w:rsid w:val="002450BD"/>
    <w:rsid w:val="0025098F"/>
    <w:rsid w:val="002714FF"/>
    <w:rsid w:val="00273C14"/>
    <w:rsid w:val="00275433"/>
    <w:rsid w:val="00276B92"/>
    <w:rsid w:val="002808C2"/>
    <w:rsid w:val="00285A15"/>
    <w:rsid w:val="00293098"/>
    <w:rsid w:val="00293E75"/>
    <w:rsid w:val="002953CB"/>
    <w:rsid w:val="00295C09"/>
    <w:rsid w:val="00297EE1"/>
    <w:rsid w:val="002A58E6"/>
    <w:rsid w:val="002A78E0"/>
    <w:rsid w:val="002B04DF"/>
    <w:rsid w:val="002B06CB"/>
    <w:rsid w:val="002B0771"/>
    <w:rsid w:val="002B15E2"/>
    <w:rsid w:val="002B771D"/>
    <w:rsid w:val="002C1EE4"/>
    <w:rsid w:val="002C24B6"/>
    <w:rsid w:val="002C375C"/>
    <w:rsid w:val="002C3AEB"/>
    <w:rsid w:val="002C70E4"/>
    <w:rsid w:val="002D0B77"/>
    <w:rsid w:val="002D2741"/>
    <w:rsid w:val="002D44B5"/>
    <w:rsid w:val="002D6429"/>
    <w:rsid w:val="002E3276"/>
    <w:rsid w:val="002E613F"/>
    <w:rsid w:val="002E6290"/>
    <w:rsid w:val="002F1A3F"/>
    <w:rsid w:val="003028E8"/>
    <w:rsid w:val="003060E9"/>
    <w:rsid w:val="003147AD"/>
    <w:rsid w:val="00316C59"/>
    <w:rsid w:val="00317EEF"/>
    <w:rsid w:val="00326302"/>
    <w:rsid w:val="00330A33"/>
    <w:rsid w:val="00337232"/>
    <w:rsid w:val="00341220"/>
    <w:rsid w:val="00342A14"/>
    <w:rsid w:val="00342E1E"/>
    <w:rsid w:val="00351715"/>
    <w:rsid w:val="00351A83"/>
    <w:rsid w:val="0035645E"/>
    <w:rsid w:val="003635BB"/>
    <w:rsid w:val="0036388B"/>
    <w:rsid w:val="00377744"/>
    <w:rsid w:val="003810BA"/>
    <w:rsid w:val="00382BB7"/>
    <w:rsid w:val="00393DDA"/>
    <w:rsid w:val="003968DC"/>
    <w:rsid w:val="003A3BD6"/>
    <w:rsid w:val="003A51E8"/>
    <w:rsid w:val="003A64A4"/>
    <w:rsid w:val="003A7550"/>
    <w:rsid w:val="003B0ED4"/>
    <w:rsid w:val="003B43B9"/>
    <w:rsid w:val="003B646B"/>
    <w:rsid w:val="003C2499"/>
    <w:rsid w:val="003C35D3"/>
    <w:rsid w:val="003C5BF3"/>
    <w:rsid w:val="003C650F"/>
    <w:rsid w:val="003C793A"/>
    <w:rsid w:val="003D62BF"/>
    <w:rsid w:val="003E1536"/>
    <w:rsid w:val="003E2AC5"/>
    <w:rsid w:val="003E420B"/>
    <w:rsid w:val="003E42E3"/>
    <w:rsid w:val="003E4D54"/>
    <w:rsid w:val="00404E96"/>
    <w:rsid w:val="0040646B"/>
    <w:rsid w:val="00407037"/>
    <w:rsid w:val="00415825"/>
    <w:rsid w:val="004208C1"/>
    <w:rsid w:val="00423468"/>
    <w:rsid w:val="004310CF"/>
    <w:rsid w:val="00431207"/>
    <w:rsid w:val="00433DE3"/>
    <w:rsid w:val="00436ED5"/>
    <w:rsid w:val="00441D12"/>
    <w:rsid w:val="00443170"/>
    <w:rsid w:val="00444D94"/>
    <w:rsid w:val="00445722"/>
    <w:rsid w:val="0044650B"/>
    <w:rsid w:val="0044664C"/>
    <w:rsid w:val="00451829"/>
    <w:rsid w:val="004527F6"/>
    <w:rsid w:val="00452D3D"/>
    <w:rsid w:val="00455306"/>
    <w:rsid w:val="00455C2B"/>
    <w:rsid w:val="0046320D"/>
    <w:rsid w:val="004701C8"/>
    <w:rsid w:val="0047080A"/>
    <w:rsid w:val="004721BE"/>
    <w:rsid w:val="00472EB0"/>
    <w:rsid w:val="004759AF"/>
    <w:rsid w:val="0048578C"/>
    <w:rsid w:val="00491A92"/>
    <w:rsid w:val="004924B2"/>
    <w:rsid w:val="00494EE2"/>
    <w:rsid w:val="00496221"/>
    <w:rsid w:val="004A1116"/>
    <w:rsid w:val="004A3817"/>
    <w:rsid w:val="004A566A"/>
    <w:rsid w:val="004A605F"/>
    <w:rsid w:val="004B566F"/>
    <w:rsid w:val="004B6625"/>
    <w:rsid w:val="004B6CC5"/>
    <w:rsid w:val="004B7424"/>
    <w:rsid w:val="004C1694"/>
    <w:rsid w:val="004C1748"/>
    <w:rsid w:val="004C2DB7"/>
    <w:rsid w:val="004C3AB5"/>
    <w:rsid w:val="004C6A01"/>
    <w:rsid w:val="004D7221"/>
    <w:rsid w:val="004E2037"/>
    <w:rsid w:val="004E20F4"/>
    <w:rsid w:val="004E5DCB"/>
    <w:rsid w:val="004E6076"/>
    <w:rsid w:val="004E6A71"/>
    <w:rsid w:val="004E6DD3"/>
    <w:rsid w:val="004F2540"/>
    <w:rsid w:val="00501754"/>
    <w:rsid w:val="00506E9A"/>
    <w:rsid w:val="0051198A"/>
    <w:rsid w:val="00511F25"/>
    <w:rsid w:val="00513F70"/>
    <w:rsid w:val="00524468"/>
    <w:rsid w:val="00524A1D"/>
    <w:rsid w:val="00524AD3"/>
    <w:rsid w:val="00525A9A"/>
    <w:rsid w:val="00526471"/>
    <w:rsid w:val="00526745"/>
    <w:rsid w:val="0052692D"/>
    <w:rsid w:val="00527871"/>
    <w:rsid w:val="005305B8"/>
    <w:rsid w:val="0053481C"/>
    <w:rsid w:val="00534F74"/>
    <w:rsid w:val="005361DD"/>
    <w:rsid w:val="00542CE4"/>
    <w:rsid w:val="00543942"/>
    <w:rsid w:val="00552058"/>
    <w:rsid w:val="005520E0"/>
    <w:rsid w:val="0055327F"/>
    <w:rsid w:val="00554B70"/>
    <w:rsid w:val="00557DE4"/>
    <w:rsid w:val="00563292"/>
    <w:rsid w:val="00563FAB"/>
    <w:rsid w:val="0057554A"/>
    <w:rsid w:val="00580BAC"/>
    <w:rsid w:val="0058170D"/>
    <w:rsid w:val="00582E81"/>
    <w:rsid w:val="00586C32"/>
    <w:rsid w:val="00586FF0"/>
    <w:rsid w:val="00587B09"/>
    <w:rsid w:val="00590314"/>
    <w:rsid w:val="00591CA2"/>
    <w:rsid w:val="00592457"/>
    <w:rsid w:val="0059310C"/>
    <w:rsid w:val="00596743"/>
    <w:rsid w:val="00597624"/>
    <w:rsid w:val="005B3515"/>
    <w:rsid w:val="005C1858"/>
    <w:rsid w:val="005C2437"/>
    <w:rsid w:val="005C27B8"/>
    <w:rsid w:val="005C5CA5"/>
    <w:rsid w:val="005D09FF"/>
    <w:rsid w:val="005D346E"/>
    <w:rsid w:val="005D37B2"/>
    <w:rsid w:val="005D542F"/>
    <w:rsid w:val="005E14BB"/>
    <w:rsid w:val="005F55B5"/>
    <w:rsid w:val="005F60C2"/>
    <w:rsid w:val="005F6491"/>
    <w:rsid w:val="00600076"/>
    <w:rsid w:val="00603080"/>
    <w:rsid w:val="00603C46"/>
    <w:rsid w:val="00610C03"/>
    <w:rsid w:val="00611CB4"/>
    <w:rsid w:val="00623198"/>
    <w:rsid w:val="00630E2F"/>
    <w:rsid w:val="006335DF"/>
    <w:rsid w:val="00633F0B"/>
    <w:rsid w:val="006359B0"/>
    <w:rsid w:val="00641B04"/>
    <w:rsid w:val="00641F54"/>
    <w:rsid w:val="00645226"/>
    <w:rsid w:val="00647AC6"/>
    <w:rsid w:val="00647DBB"/>
    <w:rsid w:val="0065173C"/>
    <w:rsid w:val="00653551"/>
    <w:rsid w:val="0065786D"/>
    <w:rsid w:val="0066660F"/>
    <w:rsid w:val="006677A3"/>
    <w:rsid w:val="00670737"/>
    <w:rsid w:val="00670B39"/>
    <w:rsid w:val="006755C4"/>
    <w:rsid w:val="00680A67"/>
    <w:rsid w:val="00687F48"/>
    <w:rsid w:val="00695ABA"/>
    <w:rsid w:val="00696244"/>
    <w:rsid w:val="0069686B"/>
    <w:rsid w:val="006A1E64"/>
    <w:rsid w:val="006A3161"/>
    <w:rsid w:val="006B7B28"/>
    <w:rsid w:val="006B7B9F"/>
    <w:rsid w:val="006D38BD"/>
    <w:rsid w:val="006D5407"/>
    <w:rsid w:val="006E35B5"/>
    <w:rsid w:val="006E61C1"/>
    <w:rsid w:val="006F279A"/>
    <w:rsid w:val="006F598C"/>
    <w:rsid w:val="007007DD"/>
    <w:rsid w:val="00703F12"/>
    <w:rsid w:val="00704D02"/>
    <w:rsid w:val="00707FEC"/>
    <w:rsid w:val="007124F7"/>
    <w:rsid w:val="0071379A"/>
    <w:rsid w:val="00714672"/>
    <w:rsid w:val="0072158E"/>
    <w:rsid w:val="00722E4F"/>
    <w:rsid w:val="0073421B"/>
    <w:rsid w:val="00734575"/>
    <w:rsid w:val="0073526A"/>
    <w:rsid w:val="00735394"/>
    <w:rsid w:val="0074397B"/>
    <w:rsid w:val="007439BA"/>
    <w:rsid w:val="00746F06"/>
    <w:rsid w:val="00750F12"/>
    <w:rsid w:val="007554E6"/>
    <w:rsid w:val="00756A2D"/>
    <w:rsid w:val="00757373"/>
    <w:rsid w:val="00761B93"/>
    <w:rsid w:val="00764DEE"/>
    <w:rsid w:val="00765547"/>
    <w:rsid w:val="007745DA"/>
    <w:rsid w:val="007778EB"/>
    <w:rsid w:val="00784403"/>
    <w:rsid w:val="00785764"/>
    <w:rsid w:val="0078674C"/>
    <w:rsid w:val="00797523"/>
    <w:rsid w:val="007A25A9"/>
    <w:rsid w:val="007A3F24"/>
    <w:rsid w:val="007A489E"/>
    <w:rsid w:val="007A52AF"/>
    <w:rsid w:val="007A7CBD"/>
    <w:rsid w:val="007B2E76"/>
    <w:rsid w:val="007C2B05"/>
    <w:rsid w:val="007C5075"/>
    <w:rsid w:val="007C76DF"/>
    <w:rsid w:val="007D4DDE"/>
    <w:rsid w:val="007D77B2"/>
    <w:rsid w:val="007E0A56"/>
    <w:rsid w:val="007E4062"/>
    <w:rsid w:val="007E4133"/>
    <w:rsid w:val="007E4AF3"/>
    <w:rsid w:val="007E7390"/>
    <w:rsid w:val="007F247E"/>
    <w:rsid w:val="008047C6"/>
    <w:rsid w:val="00806DE0"/>
    <w:rsid w:val="00812070"/>
    <w:rsid w:val="00812D9D"/>
    <w:rsid w:val="00814117"/>
    <w:rsid w:val="00814D32"/>
    <w:rsid w:val="00815E33"/>
    <w:rsid w:val="00825F1B"/>
    <w:rsid w:val="00826462"/>
    <w:rsid w:val="00826F03"/>
    <w:rsid w:val="00831649"/>
    <w:rsid w:val="008317D6"/>
    <w:rsid w:val="00831BFB"/>
    <w:rsid w:val="00832A1E"/>
    <w:rsid w:val="008331FE"/>
    <w:rsid w:val="00843C49"/>
    <w:rsid w:val="00850469"/>
    <w:rsid w:val="00853C03"/>
    <w:rsid w:val="00854BB0"/>
    <w:rsid w:val="00854CA9"/>
    <w:rsid w:val="0085658D"/>
    <w:rsid w:val="00865E8A"/>
    <w:rsid w:val="0086760A"/>
    <w:rsid w:val="00867AAF"/>
    <w:rsid w:val="00867D64"/>
    <w:rsid w:val="00875073"/>
    <w:rsid w:val="00876CC7"/>
    <w:rsid w:val="00882359"/>
    <w:rsid w:val="00883CA9"/>
    <w:rsid w:val="00885DE3"/>
    <w:rsid w:val="00891102"/>
    <w:rsid w:val="008925A0"/>
    <w:rsid w:val="00893C3A"/>
    <w:rsid w:val="008B1D44"/>
    <w:rsid w:val="008B3011"/>
    <w:rsid w:val="008B7301"/>
    <w:rsid w:val="008C02FF"/>
    <w:rsid w:val="008E13C4"/>
    <w:rsid w:val="008E2311"/>
    <w:rsid w:val="008E4F23"/>
    <w:rsid w:val="008E56AF"/>
    <w:rsid w:val="008E5BEF"/>
    <w:rsid w:val="008E702F"/>
    <w:rsid w:val="00903090"/>
    <w:rsid w:val="00904529"/>
    <w:rsid w:val="00906678"/>
    <w:rsid w:val="00920798"/>
    <w:rsid w:val="00922CE2"/>
    <w:rsid w:val="00931124"/>
    <w:rsid w:val="00933CE0"/>
    <w:rsid w:val="00935DF3"/>
    <w:rsid w:val="00940F3D"/>
    <w:rsid w:val="0094499D"/>
    <w:rsid w:val="0095278B"/>
    <w:rsid w:val="00955B73"/>
    <w:rsid w:val="00960EE2"/>
    <w:rsid w:val="00963C2C"/>
    <w:rsid w:val="0096541F"/>
    <w:rsid w:val="009748AE"/>
    <w:rsid w:val="0097635D"/>
    <w:rsid w:val="00976B34"/>
    <w:rsid w:val="009772E2"/>
    <w:rsid w:val="00986327"/>
    <w:rsid w:val="0098664E"/>
    <w:rsid w:val="00992CC1"/>
    <w:rsid w:val="00996203"/>
    <w:rsid w:val="00996F2C"/>
    <w:rsid w:val="009A227A"/>
    <w:rsid w:val="009A27F6"/>
    <w:rsid w:val="009A5437"/>
    <w:rsid w:val="009B0928"/>
    <w:rsid w:val="009B6B55"/>
    <w:rsid w:val="009C01FA"/>
    <w:rsid w:val="009C2A7E"/>
    <w:rsid w:val="009C5A4E"/>
    <w:rsid w:val="009C7683"/>
    <w:rsid w:val="009D056B"/>
    <w:rsid w:val="009D09F1"/>
    <w:rsid w:val="009D689F"/>
    <w:rsid w:val="009E453C"/>
    <w:rsid w:val="009E7D9E"/>
    <w:rsid w:val="009F0A82"/>
    <w:rsid w:val="009F1A98"/>
    <w:rsid w:val="00A0033E"/>
    <w:rsid w:val="00A02374"/>
    <w:rsid w:val="00A03229"/>
    <w:rsid w:val="00A0537B"/>
    <w:rsid w:val="00A06159"/>
    <w:rsid w:val="00A07872"/>
    <w:rsid w:val="00A147A1"/>
    <w:rsid w:val="00A16B91"/>
    <w:rsid w:val="00A26197"/>
    <w:rsid w:val="00A35DD2"/>
    <w:rsid w:val="00A3654D"/>
    <w:rsid w:val="00A4017F"/>
    <w:rsid w:val="00A40853"/>
    <w:rsid w:val="00A422F9"/>
    <w:rsid w:val="00A4308D"/>
    <w:rsid w:val="00A46333"/>
    <w:rsid w:val="00A46922"/>
    <w:rsid w:val="00A47C07"/>
    <w:rsid w:val="00A52A93"/>
    <w:rsid w:val="00A53A92"/>
    <w:rsid w:val="00A53C06"/>
    <w:rsid w:val="00A54E53"/>
    <w:rsid w:val="00A60EBA"/>
    <w:rsid w:val="00A626C6"/>
    <w:rsid w:val="00A63E8B"/>
    <w:rsid w:val="00A65475"/>
    <w:rsid w:val="00A70AE0"/>
    <w:rsid w:val="00A72B5A"/>
    <w:rsid w:val="00A739D7"/>
    <w:rsid w:val="00A75A7D"/>
    <w:rsid w:val="00A85D16"/>
    <w:rsid w:val="00A86D9A"/>
    <w:rsid w:val="00A91365"/>
    <w:rsid w:val="00AA3DCE"/>
    <w:rsid w:val="00AA43A3"/>
    <w:rsid w:val="00AB40B1"/>
    <w:rsid w:val="00AB5419"/>
    <w:rsid w:val="00AC0DFE"/>
    <w:rsid w:val="00AC3C29"/>
    <w:rsid w:val="00AC57C9"/>
    <w:rsid w:val="00AC5A28"/>
    <w:rsid w:val="00AD05AD"/>
    <w:rsid w:val="00AE1DC6"/>
    <w:rsid w:val="00AE4386"/>
    <w:rsid w:val="00AE6879"/>
    <w:rsid w:val="00AF1DDD"/>
    <w:rsid w:val="00B001A0"/>
    <w:rsid w:val="00B031CA"/>
    <w:rsid w:val="00B048CA"/>
    <w:rsid w:val="00B115C0"/>
    <w:rsid w:val="00B20981"/>
    <w:rsid w:val="00B2155A"/>
    <w:rsid w:val="00B2502E"/>
    <w:rsid w:val="00B37A3A"/>
    <w:rsid w:val="00B40722"/>
    <w:rsid w:val="00B40935"/>
    <w:rsid w:val="00B41A5A"/>
    <w:rsid w:val="00B458D6"/>
    <w:rsid w:val="00B47BB2"/>
    <w:rsid w:val="00B5578C"/>
    <w:rsid w:val="00B619CC"/>
    <w:rsid w:val="00B63C05"/>
    <w:rsid w:val="00B6611E"/>
    <w:rsid w:val="00B66A17"/>
    <w:rsid w:val="00B7472F"/>
    <w:rsid w:val="00B758F6"/>
    <w:rsid w:val="00B77D7E"/>
    <w:rsid w:val="00B81191"/>
    <w:rsid w:val="00B8197E"/>
    <w:rsid w:val="00B87BA0"/>
    <w:rsid w:val="00B90DAB"/>
    <w:rsid w:val="00B91520"/>
    <w:rsid w:val="00B95A2F"/>
    <w:rsid w:val="00B961C8"/>
    <w:rsid w:val="00BA1BA3"/>
    <w:rsid w:val="00BA2226"/>
    <w:rsid w:val="00BA3758"/>
    <w:rsid w:val="00BA4956"/>
    <w:rsid w:val="00BA5B1D"/>
    <w:rsid w:val="00BA781E"/>
    <w:rsid w:val="00BB0B13"/>
    <w:rsid w:val="00BB2691"/>
    <w:rsid w:val="00BB3913"/>
    <w:rsid w:val="00BB5262"/>
    <w:rsid w:val="00BC2063"/>
    <w:rsid w:val="00BC50C4"/>
    <w:rsid w:val="00BD2F1B"/>
    <w:rsid w:val="00BD6E49"/>
    <w:rsid w:val="00BE6EF7"/>
    <w:rsid w:val="00BF19FE"/>
    <w:rsid w:val="00BF4711"/>
    <w:rsid w:val="00C030AF"/>
    <w:rsid w:val="00C218D8"/>
    <w:rsid w:val="00C36C99"/>
    <w:rsid w:val="00C40544"/>
    <w:rsid w:val="00C43CA0"/>
    <w:rsid w:val="00C4595C"/>
    <w:rsid w:val="00C462EE"/>
    <w:rsid w:val="00C47871"/>
    <w:rsid w:val="00C502A4"/>
    <w:rsid w:val="00C73079"/>
    <w:rsid w:val="00C743A8"/>
    <w:rsid w:val="00C7609E"/>
    <w:rsid w:val="00C87E08"/>
    <w:rsid w:val="00C90189"/>
    <w:rsid w:val="00C94449"/>
    <w:rsid w:val="00C94691"/>
    <w:rsid w:val="00C94B01"/>
    <w:rsid w:val="00CA1990"/>
    <w:rsid w:val="00CA7E80"/>
    <w:rsid w:val="00CB03AE"/>
    <w:rsid w:val="00CC659E"/>
    <w:rsid w:val="00CC65B1"/>
    <w:rsid w:val="00CD62A7"/>
    <w:rsid w:val="00CD79CA"/>
    <w:rsid w:val="00CE1C30"/>
    <w:rsid w:val="00CE26A2"/>
    <w:rsid w:val="00CE2D7E"/>
    <w:rsid w:val="00CE3A13"/>
    <w:rsid w:val="00CE59CC"/>
    <w:rsid w:val="00D027CE"/>
    <w:rsid w:val="00D0377F"/>
    <w:rsid w:val="00D113AA"/>
    <w:rsid w:val="00D145F5"/>
    <w:rsid w:val="00D23877"/>
    <w:rsid w:val="00D24B09"/>
    <w:rsid w:val="00D2551B"/>
    <w:rsid w:val="00D25D02"/>
    <w:rsid w:val="00D25EE5"/>
    <w:rsid w:val="00D275B5"/>
    <w:rsid w:val="00D40C2B"/>
    <w:rsid w:val="00D4513D"/>
    <w:rsid w:val="00D54B1F"/>
    <w:rsid w:val="00D57BA3"/>
    <w:rsid w:val="00D60719"/>
    <w:rsid w:val="00D656BA"/>
    <w:rsid w:val="00D713B8"/>
    <w:rsid w:val="00D7150C"/>
    <w:rsid w:val="00D7165E"/>
    <w:rsid w:val="00D81D6F"/>
    <w:rsid w:val="00D833F7"/>
    <w:rsid w:val="00D93E83"/>
    <w:rsid w:val="00D94607"/>
    <w:rsid w:val="00D967EB"/>
    <w:rsid w:val="00DA5E58"/>
    <w:rsid w:val="00DA7125"/>
    <w:rsid w:val="00DB5743"/>
    <w:rsid w:val="00DC49E3"/>
    <w:rsid w:val="00DD4467"/>
    <w:rsid w:val="00DD4D4B"/>
    <w:rsid w:val="00DE1BA0"/>
    <w:rsid w:val="00DE23A1"/>
    <w:rsid w:val="00DE57FA"/>
    <w:rsid w:val="00DE5E04"/>
    <w:rsid w:val="00DE68F1"/>
    <w:rsid w:val="00DE71CE"/>
    <w:rsid w:val="00DF009D"/>
    <w:rsid w:val="00DF56B7"/>
    <w:rsid w:val="00DF69DD"/>
    <w:rsid w:val="00DF6BAA"/>
    <w:rsid w:val="00DF6E8B"/>
    <w:rsid w:val="00E07205"/>
    <w:rsid w:val="00E07B4C"/>
    <w:rsid w:val="00E14CFC"/>
    <w:rsid w:val="00E21848"/>
    <w:rsid w:val="00E222E4"/>
    <w:rsid w:val="00E22BA6"/>
    <w:rsid w:val="00E26DF8"/>
    <w:rsid w:val="00E278C2"/>
    <w:rsid w:val="00E2797E"/>
    <w:rsid w:val="00E35CF5"/>
    <w:rsid w:val="00E4113B"/>
    <w:rsid w:val="00E4195D"/>
    <w:rsid w:val="00E454D7"/>
    <w:rsid w:val="00E462C4"/>
    <w:rsid w:val="00E46F55"/>
    <w:rsid w:val="00E50116"/>
    <w:rsid w:val="00E5228F"/>
    <w:rsid w:val="00E551A5"/>
    <w:rsid w:val="00E6041B"/>
    <w:rsid w:val="00E64DF9"/>
    <w:rsid w:val="00E6598A"/>
    <w:rsid w:val="00E71632"/>
    <w:rsid w:val="00E733B0"/>
    <w:rsid w:val="00E760EF"/>
    <w:rsid w:val="00E807E7"/>
    <w:rsid w:val="00E825F7"/>
    <w:rsid w:val="00E83949"/>
    <w:rsid w:val="00E83EDE"/>
    <w:rsid w:val="00E85F68"/>
    <w:rsid w:val="00E93014"/>
    <w:rsid w:val="00E942FF"/>
    <w:rsid w:val="00EA10DA"/>
    <w:rsid w:val="00EA1C80"/>
    <w:rsid w:val="00EA4470"/>
    <w:rsid w:val="00EA4BCC"/>
    <w:rsid w:val="00EA5411"/>
    <w:rsid w:val="00EA7C9E"/>
    <w:rsid w:val="00EB158C"/>
    <w:rsid w:val="00EB435B"/>
    <w:rsid w:val="00EB4915"/>
    <w:rsid w:val="00EC0385"/>
    <w:rsid w:val="00EC16AD"/>
    <w:rsid w:val="00EC2F09"/>
    <w:rsid w:val="00EC3B8A"/>
    <w:rsid w:val="00EC6B2E"/>
    <w:rsid w:val="00EC73EF"/>
    <w:rsid w:val="00ED0495"/>
    <w:rsid w:val="00ED1D95"/>
    <w:rsid w:val="00ED2779"/>
    <w:rsid w:val="00ED2DB7"/>
    <w:rsid w:val="00ED5CBB"/>
    <w:rsid w:val="00EE18F6"/>
    <w:rsid w:val="00EE2F57"/>
    <w:rsid w:val="00EE33CE"/>
    <w:rsid w:val="00EE4935"/>
    <w:rsid w:val="00EE575A"/>
    <w:rsid w:val="00EF0628"/>
    <w:rsid w:val="00EF3586"/>
    <w:rsid w:val="00EF59CC"/>
    <w:rsid w:val="00F0031A"/>
    <w:rsid w:val="00F0548A"/>
    <w:rsid w:val="00F06424"/>
    <w:rsid w:val="00F06725"/>
    <w:rsid w:val="00F06E3A"/>
    <w:rsid w:val="00F12098"/>
    <w:rsid w:val="00F12D91"/>
    <w:rsid w:val="00F135C2"/>
    <w:rsid w:val="00F179AD"/>
    <w:rsid w:val="00F2387A"/>
    <w:rsid w:val="00F27376"/>
    <w:rsid w:val="00F3089F"/>
    <w:rsid w:val="00F37DC0"/>
    <w:rsid w:val="00F44075"/>
    <w:rsid w:val="00F44F45"/>
    <w:rsid w:val="00F47B41"/>
    <w:rsid w:val="00F51C0E"/>
    <w:rsid w:val="00F52903"/>
    <w:rsid w:val="00F53172"/>
    <w:rsid w:val="00F54973"/>
    <w:rsid w:val="00F55478"/>
    <w:rsid w:val="00F57B52"/>
    <w:rsid w:val="00F57D67"/>
    <w:rsid w:val="00F64E5B"/>
    <w:rsid w:val="00F656A7"/>
    <w:rsid w:val="00F71827"/>
    <w:rsid w:val="00F72BF4"/>
    <w:rsid w:val="00F73EBE"/>
    <w:rsid w:val="00F75078"/>
    <w:rsid w:val="00F77249"/>
    <w:rsid w:val="00F80B1B"/>
    <w:rsid w:val="00F81925"/>
    <w:rsid w:val="00FA0676"/>
    <w:rsid w:val="00FA3F75"/>
    <w:rsid w:val="00FB064E"/>
    <w:rsid w:val="00FB1C26"/>
    <w:rsid w:val="00FB4C04"/>
    <w:rsid w:val="00FC3039"/>
    <w:rsid w:val="00FC7346"/>
    <w:rsid w:val="00FC7EA8"/>
    <w:rsid w:val="00FD4180"/>
    <w:rsid w:val="00FE394D"/>
    <w:rsid w:val="00FE47FA"/>
    <w:rsid w:val="00FE7EDA"/>
    <w:rsid w:val="00FF0105"/>
    <w:rsid w:val="00FF25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C2F42F"/>
  <w15:docId w15:val="{396ABCDB-4D9C-438E-BD01-11E31BD0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9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rsid w:val="00920798"/>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uiPriority w:val="99"/>
    <w:semiHidden/>
    <w:unhideWhenUsed/>
    <w:rsid w:val="0085658D"/>
    <w:rPr>
      <w:sz w:val="16"/>
      <w:szCs w:val="16"/>
    </w:rPr>
  </w:style>
  <w:style w:type="paragraph" w:styleId="CommentText">
    <w:name w:val="annotation text"/>
    <w:basedOn w:val="Normal"/>
    <w:link w:val="CommentTextChar"/>
    <w:uiPriority w:val="99"/>
    <w:semiHidden/>
    <w:unhideWhenUsed/>
    <w:rsid w:val="0085658D"/>
    <w:rPr>
      <w:sz w:val="20"/>
      <w:szCs w:val="20"/>
    </w:rPr>
  </w:style>
  <w:style w:type="character" w:customStyle="1" w:styleId="CommentTextChar">
    <w:name w:val="Comment Text Char"/>
    <w:basedOn w:val="DefaultParagraphFont"/>
    <w:link w:val="CommentText"/>
    <w:uiPriority w:val="99"/>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E199A"/>
    <w:rPr>
      <w:rFonts w:asciiTheme="minorHAnsi" w:hAnsiTheme="minorHAnsi" w:cs="Tahoma"/>
      <w:sz w:val="22"/>
      <w:szCs w:val="16"/>
    </w:rPr>
  </w:style>
  <w:style w:type="character" w:customStyle="1" w:styleId="BalloonTextChar">
    <w:name w:val="Balloon Text Char"/>
    <w:basedOn w:val="DefaultParagraphFont"/>
    <w:link w:val="BalloonText"/>
    <w:uiPriority w:val="99"/>
    <w:semiHidden/>
    <w:rsid w:val="000E199A"/>
    <w:rPr>
      <w:rFonts w:eastAsia="Times New Roman" w:cs="Tahoma"/>
      <w:szCs w:val="16"/>
      <w:lang w:eastAsia="lv-LV"/>
    </w:rPr>
  </w:style>
  <w:style w:type="paragraph" w:styleId="NoSpacing">
    <w:name w:val="No Spacing"/>
    <w:uiPriority w:val="1"/>
    <w:qFormat/>
    <w:rsid w:val="002C70E4"/>
    <w:pPr>
      <w:spacing w:after="0" w:line="240" w:lineRule="auto"/>
    </w:pPr>
  </w:style>
  <w:style w:type="character" w:customStyle="1" w:styleId="apple-converted-space">
    <w:name w:val="apple-converted-space"/>
    <w:basedOn w:val="DefaultParagraphFont"/>
    <w:rsid w:val="002C70E4"/>
  </w:style>
  <w:style w:type="paragraph" w:customStyle="1" w:styleId="Default">
    <w:name w:val="Default"/>
    <w:rsid w:val="002C70E4"/>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FD4180"/>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D54B1F"/>
    <w:pPr>
      <w:spacing w:after="120" w:line="480" w:lineRule="auto"/>
    </w:pPr>
  </w:style>
  <w:style w:type="character" w:customStyle="1" w:styleId="BodyText2Char">
    <w:name w:val="Body Text 2 Char"/>
    <w:basedOn w:val="DefaultParagraphFont"/>
    <w:link w:val="BodyText2"/>
    <w:uiPriority w:val="99"/>
    <w:rsid w:val="00D54B1F"/>
    <w:rPr>
      <w:rFonts w:ascii="Times New Roman" w:eastAsia="Times New Roman" w:hAnsi="Times New Roman" w:cs="Times New Roman"/>
      <w:sz w:val="24"/>
      <w:szCs w:val="24"/>
      <w:lang w:eastAsia="lv-LV"/>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qFormat/>
    <w:locked/>
    <w:rsid w:val="00D54B1F"/>
    <w:rPr>
      <w:rFonts w:ascii="Times New Roman" w:eastAsia="Times New Roman" w:hAnsi="Times New Roman" w:cs="Times New Roman"/>
      <w:sz w:val="24"/>
      <w:szCs w:val="24"/>
      <w:lang w:eastAsia="lv-LV"/>
    </w:rPr>
  </w:style>
  <w:style w:type="paragraph" w:customStyle="1" w:styleId="PointManual">
    <w:name w:val="Point Manual"/>
    <w:basedOn w:val="Normal"/>
    <w:rsid w:val="00F81925"/>
    <w:pPr>
      <w:spacing w:before="200"/>
      <w:ind w:left="567" w:hanging="567"/>
    </w:pPr>
    <w:rPr>
      <w:lang w:bidi="lv-LV"/>
    </w:rPr>
  </w:style>
  <w:style w:type="paragraph" w:customStyle="1" w:styleId="Dash1">
    <w:name w:val="Dash 1"/>
    <w:basedOn w:val="Normal"/>
    <w:rsid w:val="002B04DF"/>
    <w:pPr>
      <w:numPr>
        <w:numId w:val="3"/>
      </w:numPr>
      <w:outlineLvl w:val="0"/>
    </w:pPr>
    <w:rPr>
      <w:lang w:bidi="lv-LV"/>
    </w:rPr>
  </w:style>
  <w:style w:type="paragraph" w:customStyle="1" w:styleId="FinalLineLandscape">
    <w:name w:val="Final Line (Landscape)"/>
    <w:basedOn w:val="Normal"/>
    <w:next w:val="Normal"/>
    <w:rsid w:val="002B04DF"/>
    <w:pPr>
      <w:pBdr>
        <w:bottom w:val="single" w:sz="4" w:space="0" w:color="000000"/>
      </w:pBdr>
      <w:spacing w:before="360" w:after="120"/>
      <w:ind w:left="5868" w:right="5868"/>
      <w:jc w:val="center"/>
    </w:pPr>
    <w:rPr>
      <w:b/>
      <w:lang w:bidi="lv-LV"/>
    </w:rPr>
  </w:style>
  <w:style w:type="paragraph" w:customStyle="1" w:styleId="FinalLine">
    <w:name w:val="Final Line"/>
    <w:basedOn w:val="Normal"/>
    <w:next w:val="Normal"/>
    <w:rsid w:val="002B04DF"/>
    <w:pPr>
      <w:pBdr>
        <w:bottom w:val="single" w:sz="4" w:space="0" w:color="000000"/>
      </w:pBdr>
      <w:spacing w:before="360" w:after="120"/>
      <w:ind w:left="3400" w:right="3400"/>
      <w:jc w:val="center"/>
    </w:pPr>
    <w:rPr>
      <w:b/>
      <w:lang w:bidi="lv-LV"/>
    </w:rPr>
  </w:style>
  <w:style w:type="paragraph" w:customStyle="1" w:styleId="FootnoteRefernece">
    <w:name w:val="Footnote Refernece"/>
    <w:aliases w:val="ftref,Odwołanie przypisu,Footnotes refss,Ref,de nota al pie,E,E FNZ"/>
    <w:basedOn w:val="Normal"/>
    <w:next w:val="Normal"/>
    <w:link w:val="FootnoteReference"/>
    <w:uiPriority w:val="99"/>
    <w:rsid w:val="0071379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ointManual1">
    <w:name w:val="Point Manual (1)"/>
    <w:basedOn w:val="Normal"/>
    <w:rsid w:val="00557DE4"/>
    <w:pPr>
      <w:ind w:left="1134" w:hanging="567"/>
      <w:outlineLvl w:val="0"/>
    </w:pPr>
    <w:rPr>
      <w:lang w:bidi="lv-LV"/>
    </w:rPr>
  </w:style>
  <w:style w:type="paragraph" w:customStyle="1" w:styleId="Dash2">
    <w:name w:val="Dash 2"/>
    <w:basedOn w:val="Normal"/>
    <w:rsid w:val="00557DE4"/>
    <w:pPr>
      <w:numPr>
        <w:numId w:val="14"/>
      </w:numPr>
      <w:outlineLvl w:val="1"/>
    </w:pPr>
    <w:rPr>
      <w:lang w:bidi="lv-LV"/>
    </w:rPr>
  </w:style>
  <w:style w:type="character" w:customStyle="1" w:styleId="Heading1Char">
    <w:name w:val="Heading 1 Char"/>
    <w:basedOn w:val="DefaultParagraphFont"/>
    <w:link w:val="Heading1"/>
    <w:uiPriority w:val="9"/>
    <w:rsid w:val="00920798"/>
    <w:rPr>
      <w:rFonts w:ascii="Times New Roman" w:eastAsia="Times New Roman" w:hAnsi="Times New Roman" w:cs="Times New Roman"/>
      <w:b/>
      <w:bCs/>
      <w:kern w:val="36"/>
      <w:sz w:val="48"/>
      <w:szCs w:val="48"/>
      <w:lang w:val="en-US" w:eastAsia="lv-LV"/>
    </w:rPr>
  </w:style>
  <w:style w:type="paragraph" w:customStyle="1" w:styleId="Text1">
    <w:name w:val="Text 1"/>
    <w:basedOn w:val="Normal"/>
    <w:rsid w:val="00A65475"/>
    <w:pPr>
      <w:ind w:left="567"/>
      <w:outlineLvl w:val="0"/>
    </w:pPr>
    <w:rPr>
      <w:lang w:bidi="lv-LV"/>
    </w:rPr>
  </w:style>
  <w:style w:type="paragraph" w:customStyle="1" w:styleId="Text2">
    <w:name w:val="Text 2"/>
    <w:basedOn w:val="Normal"/>
    <w:rsid w:val="00761B93"/>
    <w:pPr>
      <w:ind w:left="1134"/>
      <w:outlineLvl w:val="1"/>
    </w:pPr>
    <w:rPr>
      <w:lang w:eastAsia="en-US"/>
    </w:rPr>
  </w:style>
  <w:style w:type="paragraph" w:customStyle="1" w:styleId="Text3">
    <w:name w:val="Text 3"/>
    <w:basedOn w:val="Normal"/>
    <w:rsid w:val="00761B93"/>
    <w:pPr>
      <w:ind w:left="1701"/>
      <w:outlineLvl w:val="2"/>
    </w:pPr>
    <w:rPr>
      <w:lang w:eastAsia="en-US"/>
    </w:rPr>
  </w:style>
  <w:style w:type="paragraph" w:customStyle="1" w:styleId="Pointivx">
    <w:name w:val="Point ivx"/>
    <w:basedOn w:val="Normal"/>
    <w:rsid w:val="00761B93"/>
    <w:pPr>
      <w:numPr>
        <w:numId w:val="22"/>
      </w:numPr>
      <w:spacing w:before="200"/>
    </w:pPr>
    <w:rPr>
      <w:lang w:eastAsia="en-US"/>
    </w:rPr>
  </w:style>
  <w:style w:type="paragraph" w:customStyle="1" w:styleId="Pointivx1">
    <w:name w:val="Point ivx (1)"/>
    <w:basedOn w:val="Normal"/>
    <w:rsid w:val="00761B93"/>
    <w:pPr>
      <w:numPr>
        <w:ilvl w:val="1"/>
        <w:numId w:val="22"/>
      </w:numPr>
      <w:outlineLvl w:val="0"/>
    </w:pPr>
    <w:rPr>
      <w:lang w:eastAsia="en-US"/>
    </w:rPr>
  </w:style>
  <w:style w:type="paragraph" w:customStyle="1" w:styleId="Pointivx2">
    <w:name w:val="Point ivx (2)"/>
    <w:basedOn w:val="Normal"/>
    <w:rsid w:val="00761B93"/>
    <w:pPr>
      <w:numPr>
        <w:ilvl w:val="2"/>
        <w:numId w:val="22"/>
      </w:numPr>
      <w:outlineLvl w:val="1"/>
    </w:pPr>
    <w:rPr>
      <w:lang w:eastAsia="en-US"/>
    </w:rPr>
  </w:style>
  <w:style w:type="paragraph" w:customStyle="1" w:styleId="Pointivx3">
    <w:name w:val="Point ivx (3)"/>
    <w:basedOn w:val="Normal"/>
    <w:rsid w:val="00761B93"/>
    <w:pPr>
      <w:numPr>
        <w:ilvl w:val="3"/>
        <w:numId w:val="22"/>
      </w:numPr>
      <w:outlineLvl w:val="2"/>
    </w:pPr>
    <w:rPr>
      <w:lang w:eastAsia="en-US"/>
    </w:rPr>
  </w:style>
  <w:style w:type="paragraph" w:customStyle="1" w:styleId="Pointivx4">
    <w:name w:val="Point ivx (4)"/>
    <w:basedOn w:val="Normal"/>
    <w:rsid w:val="00761B93"/>
    <w:pPr>
      <w:numPr>
        <w:ilvl w:val="4"/>
        <w:numId w:val="22"/>
      </w:numPr>
      <w:outlineLvl w:val="3"/>
    </w:pPr>
    <w:rPr>
      <w:lang w:eastAsia="en-US"/>
    </w:rPr>
  </w:style>
  <w:style w:type="paragraph" w:customStyle="1" w:styleId="DashEqual2">
    <w:name w:val="Dash Equal 2"/>
    <w:basedOn w:val="Dash2"/>
    <w:rsid w:val="00761B93"/>
    <w:pPr>
      <w:numPr>
        <w:numId w:val="23"/>
      </w:numPr>
    </w:pPr>
    <w:rPr>
      <w:lang w:eastAsia="en-US" w:bidi="ar-SA"/>
    </w:rPr>
  </w:style>
  <w:style w:type="paragraph" w:customStyle="1" w:styleId="Bullet1">
    <w:name w:val="Bullet 1"/>
    <w:basedOn w:val="Normal"/>
    <w:rsid w:val="00806DE0"/>
    <w:pPr>
      <w:numPr>
        <w:numId w:val="33"/>
      </w:numPr>
      <w:spacing w:before="120" w:after="120" w:line="360" w:lineRule="auto"/>
      <w:outlineLvl w:val="0"/>
    </w:pPr>
    <w:rPr>
      <w:lang w:val="en-GB" w:eastAsia="en-US"/>
    </w:rPr>
  </w:style>
  <w:style w:type="paragraph" w:styleId="List">
    <w:name w:val="List"/>
    <w:basedOn w:val="BodyText"/>
    <w:rsid w:val="0066660F"/>
    <w:pPr>
      <w:suppressAutoHyphens/>
    </w:pPr>
    <w:rPr>
      <w:rFonts w:cs="Lohit Hindi"/>
      <w:lang w:eastAsia="zh-CN"/>
    </w:rPr>
  </w:style>
  <w:style w:type="paragraph" w:styleId="BodyText">
    <w:name w:val="Body Text"/>
    <w:basedOn w:val="Normal"/>
    <w:link w:val="BodyTextChar"/>
    <w:uiPriority w:val="99"/>
    <w:semiHidden/>
    <w:unhideWhenUsed/>
    <w:rsid w:val="0066660F"/>
    <w:pPr>
      <w:spacing w:after="120"/>
    </w:pPr>
  </w:style>
  <w:style w:type="character" w:customStyle="1" w:styleId="BodyTextChar">
    <w:name w:val="Body Text Char"/>
    <w:basedOn w:val="DefaultParagraphFont"/>
    <w:link w:val="BodyText"/>
    <w:uiPriority w:val="99"/>
    <w:semiHidden/>
    <w:rsid w:val="0066660F"/>
    <w:rPr>
      <w:rFonts w:ascii="Times New Roman" w:eastAsia="Times New Roman" w:hAnsi="Times New Roman" w:cs="Times New Roman"/>
      <w:sz w:val="24"/>
      <w:szCs w:val="24"/>
      <w:lang w:eastAsia="lv-LV"/>
    </w:rPr>
  </w:style>
  <w:style w:type="paragraph" w:customStyle="1" w:styleId="Bullet">
    <w:name w:val="Bullet"/>
    <w:basedOn w:val="Normal"/>
    <w:rsid w:val="00351A83"/>
    <w:pPr>
      <w:numPr>
        <w:numId w:val="39"/>
      </w:numPr>
      <w:spacing w:before="120" w:after="120" w:line="360" w:lineRule="auto"/>
    </w:pPr>
    <w:rPr>
      <w:lang w:val="en-GB" w:eastAsia="en-US"/>
    </w:rPr>
  </w:style>
  <w:style w:type="paragraph" w:customStyle="1" w:styleId="PointDoubleManual1">
    <w:name w:val="Point Double Manual (1)"/>
    <w:basedOn w:val="Normal"/>
    <w:rsid w:val="00200839"/>
    <w:pPr>
      <w:tabs>
        <w:tab w:val="left" w:pos="1134"/>
      </w:tabs>
      <w:ind w:left="1701" w:hanging="1134"/>
      <w:outlineLvl w:val="0"/>
    </w:pPr>
    <w:rPr>
      <w:lang w:eastAsia="en-US"/>
    </w:rPr>
  </w:style>
  <w:style w:type="character" w:customStyle="1" w:styleId="tableentry">
    <w:name w:val="tableentry"/>
    <w:basedOn w:val="DefaultParagraphFont"/>
    <w:rsid w:val="00EA10DA"/>
    <w:rPr>
      <w:rFonts w:ascii="Helvetica" w:hAnsi="Helvetica" w:cs="Helvetica" w:hint="default"/>
      <w:sz w:val="21"/>
      <w:szCs w:val="21"/>
    </w:rPr>
  </w:style>
  <w:style w:type="paragraph" w:customStyle="1" w:styleId="PointDoubleManual">
    <w:name w:val="Point Double Manual"/>
    <w:basedOn w:val="Normal"/>
    <w:rsid w:val="00AC57C9"/>
    <w:pPr>
      <w:tabs>
        <w:tab w:val="left" w:pos="567"/>
      </w:tabs>
      <w:spacing w:before="200"/>
      <w:ind w:left="1134" w:hanging="1134"/>
    </w:pPr>
    <w:rPr>
      <w:rFonts w:eastAsiaTheme="minorHAnsi"/>
      <w:szCs w:val="22"/>
      <w:lang w:eastAsia="en-US"/>
    </w:rPr>
  </w:style>
  <w:style w:type="paragraph" w:customStyle="1" w:styleId="Text4">
    <w:name w:val="Text 4"/>
    <w:basedOn w:val="Normal"/>
    <w:rsid w:val="00EE575A"/>
    <w:pPr>
      <w:ind w:left="2268"/>
    </w:pPr>
    <w:rPr>
      <w:rFonts w:eastAsiaTheme="minorHAnsi"/>
      <w:szCs w:val="22"/>
      <w:lang w:eastAsia="en-US"/>
    </w:rPr>
  </w:style>
  <w:style w:type="paragraph" w:customStyle="1" w:styleId="PointManual2">
    <w:name w:val="Point Manual (2)"/>
    <w:basedOn w:val="Normal"/>
    <w:rsid w:val="00EE575A"/>
    <w:pPr>
      <w:ind w:left="1701" w:hanging="567"/>
    </w:pPr>
    <w:rPr>
      <w:rFonts w:eastAsiaTheme="minorHAnsi"/>
      <w:szCs w:val="22"/>
      <w:lang w:eastAsia="en-US"/>
    </w:rPr>
  </w:style>
  <w:style w:type="paragraph" w:customStyle="1" w:styleId="Dash3">
    <w:name w:val="Dash 3"/>
    <w:basedOn w:val="Normal"/>
    <w:rsid w:val="00EE575A"/>
    <w:pPr>
      <w:numPr>
        <w:numId w:val="42"/>
      </w:numPr>
    </w:pPr>
    <w:rPr>
      <w:rFonts w:eastAsiaTheme="minorHAnsi"/>
      <w:szCs w:val="22"/>
      <w:lang w:eastAsia="en-US"/>
    </w:rPr>
  </w:style>
  <w:style w:type="character" w:styleId="Emphasis">
    <w:name w:val="Emphasis"/>
    <w:basedOn w:val="DefaultParagraphFont"/>
    <w:uiPriority w:val="20"/>
    <w:qFormat/>
    <w:rsid w:val="003E42E3"/>
    <w:rPr>
      <w:i/>
      <w:iCs/>
    </w:rPr>
  </w:style>
  <w:style w:type="character" w:styleId="IntenseEmphasis">
    <w:name w:val="Intense Emphasis"/>
    <w:basedOn w:val="DefaultParagraphFont"/>
    <w:uiPriority w:val="21"/>
    <w:qFormat/>
    <w:rsid w:val="003E42E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646">
      <w:bodyDiv w:val="1"/>
      <w:marLeft w:val="0"/>
      <w:marRight w:val="0"/>
      <w:marTop w:val="0"/>
      <w:marBottom w:val="0"/>
      <w:divBdr>
        <w:top w:val="none" w:sz="0" w:space="0" w:color="auto"/>
        <w:left w:val="none" w:sz="0" w:space="0" w:color="auto"/>
        <w:bottom w:val="none" w:sz="0" w:space="0" w:color="auto"/>
        <w:right w:val="none" w:sz="0" w:space="0" w:color="auto"/>
      </w:divBdr>
    </w:div>
    <w:div w:id="59713334">
      <w:bodyDiv w:val="1"/>
      <w:marLeft w:val="0"/>
      <w:marRight w:val="0"/>
      <w:marTop w:val="0"/>
      <w:marBottom w:val="0"/>
      <w:divBdr>
        <w:top w:val="none" w:sz="0" w:space="0" w:color="auto"/>
        <w:left w:val="none" w:sz="0" w:space="0" w:color="auto"/>
        <w:bottom w:val="none" w:sz="0" w:space="0" w:color="auto"/>
        <w:right w:val="none" w:sz="0" w:space="0" w:color="auto"/>
      </w:divBdr>
    </w:div>
    <w:div w:id="197279904">
      <w:bodyDiv w:val="1"/>
      <w:marLeft w:val="0"/>
      <w:marRight w:val="0"/>
      <w:marTop w:val="0"/>
      <w:marBottom w:val="0"/>
      <w:divBdr>
        <w:top w:val="none" w:sz="0" w:space="0" w:color="auto"/>
        <w:left w:val="none" w:sz="0" w:space="0" w:color="auto"/>
        <w:bottom w:val="none" w:sz="0" w:space="0" w:color="auto"/>
        <w:right w:val="none" w:sz="0" w:space="0" w:color="auto"/>
      </w:divBdr>
    </w:div>
    <w:div w:id="332415495">
      <w:bodyDiv w:val="1"/>
      <w:marLeft w:val="0"/>
      <w:marRight w:val="0"/>
      <w:marTop w:val="0"/>
      <w:marBottom w:val="0"/>
      <w:divBdr>
        <w:top w:val="none" w:sz="0" w:space="0" w:color="auto"/>
        <w:left w:val="none" w:sz="0" w:space="0" w:color="auto"/>
        <w:bottom w:val="none" w:sz="0" w:space="0" w:color="auto"/>
        <w:right w:val="none" w:sz="0" w:space="0" w:color="auto"/>
      </w:divBdr>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02145086">
      <w:bodyDiv w:val="1"/>
      <w:marLeft w:val="0"/>
      <w:marRight w:val="0"/>
      <w:marTop w:val="0"/>
      <w:marBottom w:val="0"/>
      <w:divBdr>
        <w:top w:val="none" w:sz="0" w:space="0" w:color="auto"/>
        <w:left w:val="none" w:sz="0" w:space="0" w:color="auto"/>
        <w:bottom w:val="none" w:sz="0" w:space="0" w:color="auto"/>
        <w:right w:val="none" w:sz="0" w:space="0" w:color="auto"/>
      </w:divBdr>
    </w:div>
    <w:div w:id="428622996">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550388602">
      <w:bodyDiv w:val="1"/>
      <w:marLeft w:val="0"/>
      <w:marRight w:val="0"/>
      <w:marTop w:val="0"/>
      <w:marBottom w:val="0"/>
      <w:divBdr>
        <w:top w:val="none" w:sz="0" w:space="0" w:color="auto"/>
        <w:left w:val="none" w:sz="0" w:space="0" w:color="auto"/>
        <w:bottom w:val="none" w:sz="0" w:space="0" w:color="auto"/>
        <w:right w:val="none" w:sz="0" w:space="0" w:color="auto"/>
      </w:divBdr>
    </w:div>
    <w:div w:id="649552802">
      <w:bodyDiv w:val="1"/>
      <w:marLeft w:val="0"/>
      <w:marRight w:val="0"/>
      <w:marTop w:val="0"/>
      <w:marBottom w:val="0"/>
      <w:divBdr>
        <w:top w:val="none" w:sz="0" w:space="0" w:color="auto"/>
        <w:left w:val="none" w:sz="0" w:space="0" w:color="auto"/>
        <w:bottom w:val="none" w:sz="0" w:space="0" w:color="auto"/>
        <w:right w:val="none" w:sz="0" w:space="0" w:color="auto"/>
      </w:divBdr>
      <w:divsChild>
        <w:div w:id="633103540">
          <w:marLeft w:val="0"/>
          <w:marRight w:val="0"/>
          <w:marTop w:val="0"/>
          <w:marBottom w:val="0"/>
          <w:divBdr>
            <w:top w:val="none" w:sz="0" w:space="0" w:color="auto"/>
            <w:left w:val="none" w:sz="0" w:space="0" w:color="auto"/>
            <w:bottom w:val="none" w:sz="0" w:space="0" w:color="auto"/>
            <w:right w:val="none" w:sz="0" w:space="0" w:color="auto"/>
          </w:divBdr>
        </w:div>
        <w:div w:id="1925607847">
          <w:marLeft w:val="0"/>
          <w:marRight w:val="0"/>
          <w:marTop w:val="0"/>
          <w:marBottom w:val="0"/>
          <w:divBdr>
            <w:top w:val="none" w:sz="0" w:space="0" w:color="auto"/>
            <w:left w:val="none" w:sz="0" w:space="0" w:color="auto"/>
            <w:bottom w:val="none" w:sz="0" w:space="0" w:color="auto"/>
            <w:right w:val="none" w:sz="0" w:space="0" w:color="auto"/>
          </w:divBdr>
        </w:div>
        <w:div w:id="990131705">
          <w:marLeft w:val="0"/>
          <w:marRight w:val="0"/>
          <w:marTop w:val="0"/>
          <w:marBottom w:val="0"/>
          <w:divBdr>
            <w:top w:val="none" w:sz="0" w:space="0" w:color="auto"/>
            <w:left w:val="none" w:sz="0" w:space="0" w:color="auto"/>
            <w:bottom w:val="none" w:sz="0" w:space="0" w:color="auto"/>
            <w:right w:val="none" w:sz="0" w:space="0" w:color="auto"/>
          </w:divBdr>
        </w:div>
      </w:divsChild>
    </w:div>
    <w:div w:id="660085468">
      <w:bodyDiv w:val="1"/>
      <w:marLeft w:val="0"/>
      <w:marRight w:val="0"/>
      <w:marTop w:val="0"/>
      <w:marBottom w:val="0"/>
      <w:divBdr>
        <w:top w:val="none" w:sz="0" w:space="0" w:color="auto"/>
        <w:left w:val="none" w:sz="0" w:space="0" w:color="auto"/>
        <w:bottom w:val="none" w:sz="0" w:space="0" w:color="auto"/>
        <w:right w:val="none" w:sz="0" w:space="0" w:color="auto"/>
      </w:divBdr>
    </w:div>
    <w:div w:id="667640473">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736395073">
      <w:bodyDiv w:val="1"/>
      <w:marLeft w:val="0"/>
      <w:marRight w:val="0"/>
      <w:marTop w:val="0"/>
      <w:marBottom w:val="0"/>
      <w:divBdr>
        <w:top w:val="none" w:sz="0" w:space="0" w:color="auto"/>
        <w:left w:val="none" w:sz="0" w:space="0" w:color="auto"/>
        <w:bottom w:val="none" w:sz="0" w:space="0" w:color="auto"/>
        <w:right w:val="none" w:sz="0" w:space="0" w:color="auto"/>
      </w:divBdr>
    </w:div>
    <w:div w:id="831288751">
      <w:bodyDiv w:val="1"/>
      <w:marLeft w:val="0"/>
      <w:marRight w:val="0"/>
      <w:marTop w:val="0"/>
      <w:marBottom w:val="0"/>
      <w:divBdr>
        <w:top w:val="none" w:sz="0" w:space="0" w:color="auto"/>
        <w:left w:val="none" w:sz="0" w:space="0" w:color="auto"/>
        <w:bottom w:val="none" w:sz="0" w:space="0" w:color="auto"/>
        <w:right w:val="none" w:sz="0" w:space="0" w:color="auto"/>
      </w:divBdr>
    </w:div>
    <w:div w:id="838347500">
      <w:bodyDiv w:val="1"/>
      <w:marLeft w:val="0"/>
      <w:marRight w:val="0"/>
      <w:marTop w:val="0"/>
      <w:marBottom w:val="0"/>
      <w:divBdr>
        <w:top w:val="none" w:sz="0" w:space="0" w:color="auto"/>
        <w:left w:val="none" w:sz="0" w:space="0" w:color="auto"/>
        <w:bottom w:val="none" w:sz="0" w:space="0" w:color="auto"/>
        <w:right w:val="none" w:sz="0" w:space="0" w:color="auto"/>
      </w:divBdr>
    </w:div>
    <w:div w:id="928729660">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83451695">
      <w:bodyDiv w:val="1"/>
      <w:marLeft w:val="0"/>
      <w:marRight w:val="0"/>
      <w:marTop w:val="0"/>
      <w:marBottom w:val="0"/>
      <w:divBdr>
        <w:top w:val="none" w:sz="0" w:space="0" w:color="auto"/>
        <w:left w:val="none" w:sz="0" w:space="0" w:color="auto"/>
        <w:bottom w:val="none" w:sz="0" w:space="0" w:color="auto"/>
        <w:right w:val="none" w:sz="0" w:space="0" w:color="auto"/>
      </w:divBdr>
    </w:div>
    <w:div w:id="1106580840">
      <w:bodyDiv w:val="1"/>
      <w:marLeft w:val="0"/>
      <w:marRight w:val="0"/>
      <w:marTop w:val="0"/>
      <w:marBottom w:val="0"/>
      <w:divBdr>
        <w:top w:val="none" w:sz="0" w:space="0" w:color="auto"/>
        <w:left w:val="none" w:sz="0" w:space="0" w:color="auto"/>
        <w:bottom w:val="none" w:sz="0" w:space="0" w:color="auto"/>
        <w:right w:val="none" w:sz="0" w:space="0" w:color="auto"/>
      </w:divBdr>
      <w:divsChild>
        <w:div w:id="1736276154">
          <w:marLeft w:val="0"/>
          <w:marRight w:val="0"/>
          <w:marTop w:val="0"/>
          <w:marBottom w:val="0"/>
          <w:divBdr>
            <w:top w:val="none" w:sz="0" w:space="0" w:color="auto"/>
            <w:left w:val="none" w:sz="0" w:space="0" w:color="auto"/>
            <w:bottom w:val="none" w:sz="0" w:space="0" w:color="auto"/>
            <w:right w:val="none" w:sz="0" w:space="0" w:color="auto"/>
          </w:divBdr>
        </w:div>
      </w:divsChild>
    </w:div>
    <w:div w:id="1170288879">
      <w:bodyDiv w:val="1"/>
      <w:marLeft w:val="0"/>
      <w:marRight w:val="0"/>
      <w:marTop w:val="0"/>
      <w:marBottom w:val="0"/>
      <w:divBdr>
        <w:top w:val="none" w:sz="0" w:space="0" w:color="auto"/>
        <w:left w:val="none" w:sz="0" w:space="0" w:color="auto"/>
        <w:bottom w:val="none" w:sz="0" w:space="0" w:color="auto"/>
        <w:right w:val="none" w:sz="0" w:space="0" w:color="auto"/>
      </w:divBdr>
    </w:div>
    <w:div w:id="1412388558">
      <w:bodyDiv w:val="1"/>
      <w:marLeft w:val="0"/>
      <w:marRight w:val="0"/>
      <w:marTop w:val="0"/>
      <w:marBottom w:val="0"/>
      <w:divBdr>
        <w:top w:val="none" w:sz="0" w:space="0" w:color="auto"/>
        <w:left w:val="none" w:sz="0" w:space="0" w:color="auto"/>
        <w:bottom w:val="none" w:sz="0" w:space="0" w:color="auto"/>
        <w:right w:val="none" w:sz="0" w:space="0" w:color="auto"/>
      </w:divBdr>
    </w:div>
    <w:div w:id="1455369707">
      <w:bodyDiv w:val="1"/>
      <w:marLeft w:val="0"/>
      <w:marRight w:val="0"/>
      <w:marTop w:val="0"/>
      <w:marBottom w:val="0"/>
      <w:divBdr>
        <w:top w:val="none" w:sz="0" w:space="0" w:color="auto"/>
        <w:left w:val="none" w:sz="0" w:space="0" w:color="auto"/>
        <w:bottom w:val="none" w:sz="0" w:space="0" w:color="auto"/>
        <w:right w:val="none" w:sz="0" w:space="0" w:color="auto"/>
      </w:divBdr>
    </w:div>
    <w:div w:id="1572079364">
      <w:bodyDiv w:val="1"/>
      <w:marLeft w:val="0"/>
      <w:marRight w:val="0"/>
      <w:marTop w:val="0"/>
      <w:marBottom w:val="0"/>
      <w:divBdr>
        <w:top w:val="none" w:sz="0" w:space="0" w:color="auto"/>
        <w:left w:val="none" w:sz="0" w:space="0" w:color="auto"/>
        <w:bottom w:val="none" w:sz="0" w:space="0" w:color="auto"/>
        <w:right w:val="none" w:sz="0" w:space="0" w:color="auto"/>
      </w:divBdr>
    </w:div>
    <w:div w:id="1580629943">
      <w:bodyDiv w:val="1"/>
      <w:marLeft w:val="0"/>
      <w:marRight w:val="0"/>
      <w:marTop w:val="0"/>
      <w:marBottom w:val="0"/>
      <w:divBdr>
        <w:top w:val="none" w:sz="0" w:space="0" w:color="auto"/>
        <w:left w:val="none" w:sz="0" w:space="0" w:color="auto"/>
        <w:bottom w:val="none" w:sz="0" w:space="0" w:color="auto"/>
        <w:right w:val="none" w:sz="0" w:space="0" w:color="auto"/>
      </w:divBdr>
    </w:div>
    <w:div w:id="1616643618">
      <w:bodyDiv w:val="1"/>
      <w:marLeft w:val="0"/>
      <w:marRight w:val="0"/>
      <w:marTop w:val="0"/>
      <w:marBottom w:val="0"/>
      <w:divBdr>
        <w:top w:val="none" w:sz="0" w:space="0" w:color="auto"/>
        <w:left w:val="none" w:sz="0" w:space="0" w:color="auto"/>
        <w:bottom w:val="none" w:sz="0" w:space="0" w:color="auto"/>
        <w:right w:val="none" w:sz="0" w:space="0" w:color="auto"/>
      </w:divBdr>
    </w:div>
    <w:div w:id="1786921303">
      <w:bodyDiv w:val="1"/>
      <w:marLeft w:val="0"/>
      <w:marRight w:val="0"/>
      <w:marTop w:val="0"/>
      <w:marBottom w:val="0"/>
      <w:divBdr>
        <w:top w:val="none" w:sz="0" w:space="0" w:color="auto"/>
        <w:left w:val="none" w:sz="0" w:space="0" w:color="auto"/>
        <w:bottom w:val="none" w:sz="0" w:space="0" w:color="auto"/>
        <w:right w:val="none" w:sz="0" w:space="0" w:color="auto"/>
      </w:divBdr>
    </w:div>
    <w:div w:id="1825395034">
      <w:bodyDiv w:val="1"/>
      <w:marLeft w:val="0"/>
      <w:marRight w:val="0"/>
      <w:marTop w:val="0"/>
      <w:marBottom w:val="0"/>
      <w:divBdr>
        <w:top w:val="none" w:sz="0" w:space="0" w:color="auto"/>
        <w:left w:val="none" w:sz="0" w:space="0" w:color="auto"/>
        <w:bottom w:val="none" w:sz="0" w:space="0" w:color="auto"/>
        <w:right w:val="none" w:sz="0" w:space="0" w:color="auto"/>
      </w:divBdr>
    </w:div>
    <w:div w:id="1870491755">
      <w:bodyDiv w:val="1"/>
      <w:marLeft w:val="0"/>
      <w:marRight w:val="0"/>
      <w:marTop w:val="0"/>
      <w:marBottom w:val="0"/>
      <w:divBdr>
        <w:top w:val="none" w:sz="0" w:space="0" w:color="auto"/>
        <w:left w:val="none" w:sz="0" w:space="0" w:color="auto"/>
        <w:bottom w:val="none" w:sz="0" w:space="0" w:color="auto"/>
        <w:right w:val="none" w:sz="0" w:space="0" w:color="auto"/>
      </w:divBdr>
    </w:div>
    <w:div w:id="1958247810">
      <w:bodyDiv w:val="1"/>
      <w:marLeft w:val="0"/>
      <w:marRight w:val="0"/>
      <w:marTop w:val="0"/>
      <w:marBottom w:val="0"/>
      <w:divBdr>
        <w:top w:val="none" w:sz="0" w:space="0" w:color="auto"/>
        <w:left w:val="none" w:sz="0" w:space="0" w:color="auto"/>
        <w:bottom w:val="none" w:sz="0" w:space="0" w:color="auto"/>
        <w:right w:val="none" w:sz="0" w:space="0" w:color="auto"/>
      </w:divBdr>
    </w:div>
    <w:div w:id="2006588122">
      <w:bodyDiv w:val="1"/>
      <w:marLeft w:val="0"/>
      <w:marRight w:val="0"/>
      <w:marTop w:val="0"/>
      <w:marBottom w:val="0"/>
      <w:divBdr>
        <w:top w:val="none" w:sz="0" w:space="0" w:color="auto"/>
        <w:left w:val="none" w:sz="0" w:space="0" w:color="auto"/>
        <w:bottom w:val="none" w:sz="0" w:space="0" w:color="auto"/>
        <w:right w:val="none" w:sz="0" w:space="0" w:color="auto"/>
      </w:divBdr>
    </w:div>
    <w:div w:id="2015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kipe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a.europa.eu/highlights/surplus-emission-permits-start-decreasing" TargetMode="External"/><Relationship Id="rId2" Type="http://schemas.openxmlformats.org/officeDocument/2006/relationships/hyperlink" Target="http://www.europarl.europa.eu/oeil/popups/ficheprocedure.do?lang=en&amp;reference=2015/0148(OLP)" TargetMode="External"/><Relationship Id="rId1" Type="http://schemas.openxmlformats.org/officeDocument/2006/relationships/hyperlink" Target="http://europa.eu/rapid/press-release_IP-15-5358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4F0-34C1-4C28-AF80-D4C1F350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14761</Words>
  <Characters>8414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Par Latvijas informatīvo ziņojumu par 2014.gada 16.-17.jūlijā neformālajā Eiropas Savienības Vides ministru padomē izskatāmajiem jautājumiem</vt:lpstr>
    </vt:vector>
  </TitlesOfParts>
  <Company>Windows User</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informatīvo ziņojumu par 2014.gada 16.-17.jūlijā neformālajā Eiropas Savienības Vides ministru padomē izskatāmajiem jautājumiem</dc:title>
  <dc:subject>Informatīvais ziņojums</dc:subject>
  <dc:creator>Evita Stanga</dc:creator>
  <dc:description>67026582, Laura.Klimbe@varam.gov.lv</dc:description>
  <cp:lastModifiedBy>Santa Ķipēna</cp:lastModifiedBy>
  <cp:revision>15</cp:revision>
  <cp:lastPrinted>2014-07-10T13:29:00Z</cp:lastPrinted>
  <dcterms:created xsi:type="dcterms:W3CDTF">2016-12-09T09:39:00Z</dcterms:created>
  <dcterms:modified xsi:type="dcterms:W3CDTF">2016-12-12T07:16:00Z</dcterms:modified>
</cp:coreProperties>
</file>