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6728" w14:textId="77777777" w:rsidR="00D73985" w:rsidRPr="00D73985" w:rsidRDefault="00D73985" w:rsidP="00D7398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76A916EF" w14:textId="77777777" w:rsidR="00D73985" w:rsidRPr="00D73985" w:rsidRDefault="00D73985" w:rsidP="00D7398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E1D1E0" w14:textId="77777777" w:rsidR="00D73985" w:rsidRPr="00D73985" w:rsidRDefault="00D73985" w:rsidP="00D7398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73985" w:rsidRPr="00D73985" w14:paraId="3D866CA3" w14:textId="77777777" w:rsidTr="00294981">
        <w:trPr>
          <w:cantSplit/>
        </w:trPr>
        <w:tc>
          <w:tcPr>
            <w:tcW w:w="3967" w:type="dxa"/>
          </w:tcPr>
          <w:p w14:paraId="253D4C61" w14:textId="77777777" w:rsidR="00D73985" w:rsidRPr="00D73985" w:rsidRDefault="00D73985" w:rsidP="00D73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985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3BA7DC16" w14:textId="77777777" w:rsidR="00D73985" w:rsidRPr="00D73985" w:rsidRDefault="00D73985" w:rsidP="00D73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98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31B31055" w14:textId="1500F4FD" w:rsidR="00D73985" w:rsidRPr="00D73985" w:rsidRDefault="00D73985" w:rsidP="00D739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3985">
              <w:rPr>
                <w:rFonts w:ascii="Times New Roman" w:hAnsi="Times New Roman"/>
                <w:sz w:val="28"/>
                <w:szCs w:val="28"/>
              </w:rPr>
              <w:t>2016.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73985">
              <w:rPr>
                <w:rFonts w:ascii="Times New Roman" w:hAnsi="Times New Roman"/>
                <w:sz w:val="28"/>
                <w:szCs w:val="28"/>
              </w:rPr>
              <w:t>gada                        </w:t>
            </w:r>
          </w:p>
        </w:tc>
      </w:tr>
    </w:tbl>
    <w:p w14:paraId="6902884C" w14:textId="77777777" w:rsidR="00D73985" w:rsidRPr="00D73985" w:rsidRDefault="00D73985" w:rsidP="00D7398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133B8B5" w14:textId="77777777" w:rsidR="00D73985" w:rsidRPr="00D73985" w:rsidRDefault="00D73985" w:rsidP="00D7398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841BD36" w14:textId="77777777" w:rsidR="00D73985" w:rsidRPr="00D73985" w:rsidRDefault="00D73985" w:rsidP="00D73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985">
        <w:rPr>
          <w:rFonts w:ascii="Times New Roman" w:hAnsi="Times New Roman"/>
          <w:b/>
          <w:sz w:val="28"/>
          <w:szCs w:val="28"/>
        </w:rPr>
        <w:t>. §</w:t>
      </w:r>
    </w:p>
    <w:p w14:paraId="5ADA0513" w14:textId="77777777" w:rsidR="00D73985" w:rsidRPr="001B6463" w:rsidRDefault="00D73985" w:rsidP="00D73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BD88D4" w14:textId="097DB2DA" w:rsidR="009C05F8" w:rsidRPr="00ED5C33" w:rsidRDefault="009C05F8" w:rsidP="00D73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 xml:space="preserve">Informatīvais ziņojums </w:t>
      </w:r>
      <w:r w:rsidR="00D73985">
        <w:rPr>
          <w:rFonts w:ascii="Times New Roman" w:hAnsi="Times New Roman"/>
          <w:b/>
          <w:sz w:val="28"/>
          <w:szCs w:val="28"/>
        </w:rPr>
        <w:t>"</w:t>
      </w:r>
      <w:r w:rsidR="0003545F" w:rsidRPr="00ED5C33">
        <w:rPr>
          <w:rFonts w:ascii="Times New Roman" w:hAnsi="Times New Roman"/>
          <w:b/>
          <w:sz w:val="28"/>
          <w:szCs w:val="28"/>
        </w:rPr>
        <w:t>Par ve</w:t>
      </w:r>
      <w:r w:rsidRPr="00ED5C33">
        <w:rPr>
          <w:rFonts w:ascii="Times New Roman" w:hAnsi="Times New Roman"/>
          <w:b/>
          <w:sz w:val="28"/>
          <w:szCs w:val="28"/>
        </w:rPr>
        <w:t>selības reformas pasākumu īstenošan</w:t>
      </w:r>
      <w:r w:rsidR="0003545F" w:rsidRPr="00ED5C33">
        <w:rPr>
          <w:rFonts w:ascii="Times New Roman" w:hAnsi="Times New Roman"/>
          <w:b/>
          <w:sz w:val="28"/>
          <w:szCs w:val="28"/>
        </w:rPr>
        <w:t>u</w:t>
      </w:r>
      <w:r w:rsidRPr="00ED5C33">
        <w:rPr>
          <w:rFonts w:ascii="Times New Roman" w:hAnsi="Times New Roman"/>
          <w:b/>
          <w:sz w:val="28"/>
          <w:szCs w:val="28"/>
        </w:rPr>
        <w:t xml:space="preserve"> 2017.</w:t>
      </w:r>
      <w:r w:rsidR="00006A71">
        <w:rPr>
          <w:rFonts w:ascii="Times New Roman" w:hAnsi="Times New Roman"/>
          <w:b/>
          <w:sz w:val="28"/>
          <w:szCs w:val="28"/>
        </w:rPr>
        <w:t> </w:t>
      </w:r>
      <w:r w:rsidRPr="00ED5C33">
        <w:rPr>
          <w:rFonts w:ascii="Times New Roman" w:hAnsi="Times New Roman"/>
          <w:b/>
          <w:sz w:val="28"/>
          <w:szCs w:val="28"/>
        </w:rPr>
        <w:t>gadā</w:t>
      </w:r>
      <w:r w:rsidR="00D73985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p w14:paraId="0F83834B" w14:textId="2708E73C" w:rsidR="00FA7904" w:rsidRPr="00FA7904" w:rsidRDefault="00FA7904" w:rsidP="00D7398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A7904">
        <w:rPr>
          <w:rFonts w:ascii="Times New Roman" w:hAnsi="Times New Roman"/>
          <w:b/>
          <w:sz w:val="24"/>
          <w:szCs w:val="24"/>
        </w:rPr>
        <w:t>TA-2790</w:t>
      </w:r>
    </w:p>
    <w:p w14:paraId="435085C6" w14:textId="77777777" w:rsidR="00FA7904" w:rsidRPr="00FA7904" w:rsidRDefault="00FA7904" w:rsidP="00D73985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7904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14:paraId="0328D93F" w14:textId="77777777" w:rsidR="00FA7904" w:rsidRPr="00FA7904" w:rsidRDefault="00FA7904" w:rsidP="00D73985">
      <w:pPr>
        <w:pStyle w:val="ListParagraph"/>
        <w:tabs>
          <w:tab w:val="left" w:pos="382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(...)</w:t>
      </w:r>
    </w:p>
    <w:p w14:paraId="23118D1F" w14:textId="77777777" w:rsidR="00D73985" w:rsidRDefault="00D73985" w:rsidP="00D73985">
      <w:pPr>
        <w:pStyle w:val="BodyText2"/>
        <w:tabs>
          <w:tab w:val="left" w:pos="-5387"/>
          <w:tab w:val="left" w:pos="993"/>
        </w:tabs>
        <w:ind w:left="1080"/>
        <w:rPr>
          <w:szCs w:val="28"/>
        </w:rPr>
      </w:pPr>
    </w:p>
    <w:p w14:paraId="5BBD88D7" w14:textId="4E2C79A3" w:rsidR="00FF4DC1" w:rsidRPr="007C54AB" w:rsidRDefault="009C05F8" w:rsidP="00006A71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left="0" w:firstLine="720"/>
        <w:rPr>
          <w:szCs w:val="28"/>
        </w:rPr>
      </w:pPr>
      <w:r w:rsidRPr="007C54AB">
        <w:rPr>
          <w:szCs w:val="28"/>
        </w:rPr>
        <w:t xml:space="preserve">Pieņemt </w:t>
      </w:r>
      <w:r w:rsidR="00FF28D3" w:rsidRPr="007C54AB">
        <w:rPr>
          <w:szCs w:val="28"/>
        </w:rPr>
        <w:t xml:space="preserve">zināšanai </w:t>
      </w:r>
      <w:r w:rsidR="000618B4" w:rsidRPr="007C54AB">
        <w:rPr>
          <w:szCs w:val="28"/>
        </w:rPr>
        <w:t>v</w:t>
      </w:r>
      <w:r w:rsidR="00FF28D3" w:rsidRPr="007C54AB">
        <w:rPr>
          <w:szCs w:val="28"/>
        </w:rPr>
        <w:t>eselības ministra</w:t>
      </w:r>
      <w:r w:rsidRPr="007C54AB">
        <w:rPr>
          <w:szCs w:val="28"/>
        </w:rPr>
        <w:t xml:space="preserve"> iesniegto informatīvo ziņojumu</w:t>
      </w:r>
      <w:r w:rsidR="00740B1F" w:rsidRPr="007C54AB">
        <w:rPr>
          <w:szCs w:val="28"/>
        </w:rPr>
        <w:t xml:space="preserve"> </w:t>
      </w:r>
      <w:r w:rsidR="00D73985">
        <w:rPr>
          <w:szCs w:val="28"/>
        </w:rPr>
        <w:t>"</w:t>
      </w:r>
      <w:r w:rsidR="004F0D54" w:rsidRPr="007C54AB">
        <w:rPr>
          <w:szCs w:val="28"/>
        </w:rPr>
        <w:t>Par veselības reformas pasākumu īstenošanu 2017.</w:t>
      </w:r>
      <w:r w:rsidR="00BF0C64">
        <w:rPr>
          <w:szCs w:val="28"/>
        </w:rPr>
        <w:t> </w:t>
      </w:r>
      <w:r w:rsidR="004F0D54" w:rsidRPr="007C54AB">
        <w:rPr>
          <w:szCs w:val="28"/>
        </w:rPr>
        <w:t>gadā</w:t>
      </w:r>
      <w:r w:rsidR="00D73985">
        <w:rPr>
          <w:szCs w:val="28"/>
        </w:rPr>
        <w:t>"</w:t>
      </w:r>
      <w:r w:rsidR="004F0D54" w:rsidRPr="007C54AB">
        <w:rPr>
          <w:szCs w:val="28"/>
        </w:rPr>
        <w:t xml:space="preserve"> </w:t>
      </w:r>
      <w:r w:rsidR="00740B1F" w:rsidRPr="007C54AB">
        <w:rPr>
          <w:szCs w:val="28"/>
        </w:rPr>
        <w:t xml:space="preserve">un atbalstīt </w:t>
      </w:r>
      <w:r w:rsidR="004F0D54" w:rsidRPr="007C54AB">
        <w:rPr>
          <w:szCs w:val="28"/>
        </w:rPr>
        <w:t>tajā minētās reformas</w:t>
      </w:r>
      <w:r w:rsidR="007C54AB" w:rsidRPr="007C54AB">
        <w:rPr>
          <w:szCs w:val="28"/>
        </w:rPr>
        <w:t xml:space="preserve"> onkoloģijas jomā</w:t>
      </w:r>
      <w:r w:rsidR="00765669" w:rsidRPr="007C54AB">
        <w:rPr>
          <w:szCs w:val="28"/>
        </w:rPr>
        <w:t xml:space="preserve">, kā arī </w:t>
      </w:r>
      <w:r w:rsidR="00076EFC">
        <w:rPr>
          <w:szCs w:val="28"/>
        </w:rPr>
        <w:t xml:space="preserve">no </w:t>
      </w:r>
      <w:r w:rsidR="00765669" w:rsidRPr="007C54AB">
        <w:rPr>
          <w:szCs w:val="28"/>
        </w:rPr>
        <w:t xml:space="preserve">budžeta </w:t>
      </w:r>
      <w:r w:rsidR="0019611F" w:rsidRPr="007C54AB">
        <w:rPr>
          <w:szCs w:val="28"/>
        </w:rPr>
        <w:t>resor</w:t>
      </w:r>
      <w:r w:rsidR="0019611F">
        <w:rPr>
          <w:szCs w:val="28"/>
        </w:rPr>
        <w:t>a</w:t>
      </w:r>
      <w:r w:rsidR="0019611F" w:rsidRPr="007C54AB">
        <w:rPr>
          <w:szCs w:val="28"/>
        </w:rPr>
        <w:t xml:space="preserve"> </w:t>
      </w:r>
      <w:r w:rsidR="00D73985">
        <w:rPr>
          <w:szCs w:val="28"/>
        </w:rPr>
        <w:t>"</w:t>
      </w:r>
      <w:r w:rsidR="00765669" w:rsidRPr="007C54AB">
        <w:rPr>
          <w:szCs w:val="28"/>
        </w:rPr>
        <w:t>74.</w:t>
      </w:r>
      <w:r w:rsidR="00BF0C64">
        <w:rPr>
          <w:szCs w:val="28"/>
        </w:rPr>
        <w:t> </w:t>
      </w:r>
      <w:r w:rsidR="00765669" w:rsidRPr="007C54AB">
        <w:rPr>
          <w:szCs w:val="28"/>
        </w:rPr>
        <w:t>Gadskārtējā valsts budžeta izpildes procesā pārdalāmais finansējums</w:t>
      </w:r>
      <w:r w:rsidR="00D73985">
        <w:rPr>
          <w:szCs w:val="28"/>
        </w:rPr>
        <w:t>"</w:t>
      </w:r>
      <w:r w:rsidR="00765669" w:rsidRPr="007C54AB">
        <w:rPr>
          <w:szCs w:val="28"/>
        </w:rPr>
        <w:t xml:space="preserve"> 08.00.00</w:t>
      </w:r>
      <w:r w:rsidR="00BF0C64">
        <w:rPr>
          <w:szCs w:val="28"/>
        </w:rPr>
        <w:t> </w:t>
      </w:r>
      <w:r w:rsidR="00765669" w:rsidRPr="007C54AB">
        <w:rPr>
          <w:szCs w:val="28"/>
        </w:rPr>
        <w:t xml:space="preserve">programmā </w:t>
      </w:r>
      <w:r w:rsidR="00D73985">
        <w:rPr>
          <w:szCs w:val="28"/>
        </w:rPr>
        <w:t>"</w:t>
      </w:r>
      <w:r w:rsidR="00765669" w:rsidRPr="007C54AB">
        <w:rPr>
          <w:szCs w:val="28"/>
        </w:rPr>
        <w:t>Veselības aprūpes sistēmas reformas ieviešanas finansējums</w:t>
      </w:r>
      <w:r w:rsidR="00D73985">
        <w:rPr>
          <w:szCs w:val="28"/>
        </w:rPr>
        <w:t>"</w:t>
      </w:r>
      <w:r w:rsidR="00765669" w:rsidRPr="007C54AB">
        <w:rPr>
          <w:szCs w:val="28"/>
        </w:rPr>
        <w:t xml:space="preserve"> </w:t>
      </w:r>
      <w:r w:rsidR="00076EFC" w:rsidRPr="007C54AB">
        <w:rPr>
          <w:szCs w:val="28"/>
        </w:rPr>
        <w:t>rezervēt</w:t>
      </w:r>
      <w:r w:rsidR="00076EFC">
        <w:rPr>
          <w:szCs w:val="28"/>
        </w:rPr>
        <w:t>ā</w:t>
      </w:r>
      <w:r w:rsidR="00076EFC" w:rsidRPr="007C54AB">
        <w:rPr>
          <w:szCs w:val="28"/>
        </w:rPr>
        <w:t xml:space="preserve"> finansējum</w:t>
      </w:r>
      <w:r w:rsidR="00076EFC">
        <w:rPr>
          <w:szCs w:val="28"/>
        </w:rPr>
        <w:t>a</w:t>
      </w:r>
      <w:r w:rsidR="00076EFC" w:rsidRPr="007C54AB">
        <w:rPr>
          <w:szCs w:val="28"/>
        </w:rPr>
        <w:t xml:space="preserve"> </w:t>
      </w:r>
      <w:r w:rsidR="00076EFC">
        <w:rPr>
          <w:szCs w:val="28"/>
        </w:rPr>
        <w:t xml:space="preserve">atļaut izmantot </w:t>
      </w:r>
      <w:r w:rsidR="007C54AB" w:rsidRPr="007C54AB">
        <w:rPr>
          <w:szCs w:val="28"/>
        </w:rPr>
        <w:t>12 262</w:t>
      </w:r>
      <w:r w:rsidR="00BF0C64">
        <w:rPr>
          <w:szCs w:val="28"/>
        </w:rPr>
        <w:t> </w:t>
      </w:r>
      <w:r w:rsidR="007C54AB" w:rsidRPr="007C54AB">
        <w:rPr>
          <w:szCs w:val="28"/>
        </w:rPr>
        <w:t>260</w:t>
      </w:r>
      <w:r w:rsidR="00BF0C64">
        <w:rPr>
          <w:szCs w:val="28"/>
        </w:rPr>
        <w:t> </w:t>
      </w:r>
      <w:r w:rsidR="007C362C" w:rsidRPr="007C54AB">
        <w:rPr>
          <w:i/>
          <w:szCs w:val="28"/>
        </w:rPr>
        <w:t>euro</w:t>
      </w:r>
      <w:r w:rsidR="007C362C" w:rsidRPr="007C54AB">
        <w:rPr>
          <w:szCs w:val="28"/>
        </w:rPr>
        <w:t xml:space="preserve"> </w:t>
      </w:r>
      <w:r w:rsidR="00076EFC">
        <w:rPr>
          <w:szCs w:val="28"/>
        </w:rPr>
        <w:t xml:space="preserve">reformu īstenošanai, lai uzlabotu </w:t>
      </w:r>
      <w:r w:rsidR="00BF0C64">
        <w:rPr>
          <w:szCs w:val="28"/>
        </w:rPr>
        <w:t>o</w:t>
      </w:r>
      <w:r w:rsidR="001B41BD" w:rsidRPr="007C54AB">
        <w:rPr>
          <w:szCs w:val="28"/>
        </w:rPr>
        <w:t xml:space="preserve">nkoloģisko saslimšanu diagnostikas un ārstēšanas </w:t>
      </w:r>
      <w:r w:rsidR="00076EFC" w:rsidRPr="007C54AB">
        <w:rPr>
          <w:szCs w:val="28"/>
        </w:rPr>
        <w:t>pieejamīb</w:t>
      </w:r>
      <w:r w:rsidR="00076EFC">
        <w:rPr>
          <w:szCs w:val="28"/>
        </w:rPr>
        <w:t>u</w:t>
      </w:r>
      <w:r w:rsidR="00FF4DC1" w:rsidRPr="007C54AB">
        <w:rPr>
          <w:szCs w:val="28"/>
        </w:rPr>
        <w:t xml:space="preserve">, pārdalot finansējumu uz </w:t>
      </w:r>
      <w:r w:rsidR="00BF0C64">
        <w:rPr>
          <w:szCs w:val="28"/>
        </w:rPr>
        <w:t xml:space="preserve">šādām </w:t>
      </w:r>
      <w:r w:rsidR="007A34F0" w:rsidRPr="007C54AB">
        <w:rPr>
          <w:szCs w:val="28"/>
        </w:rPr>
        <w:t xml:space="preserve">Veselības ministrijas </w:t>
      </w:r>
      <w:r w:rsidR="00FF4DC1" w:rsidRPr="007C54AB">
        <w:rPr>
          <w:szCs w:val="28"/>
        </w:rPr>
        <w:t>valsts budžeta apakšprogrammām:</w:t>
      </w:r>
    </w:p>
    <w:p w14:paraId="5BBD88D8" w14:textId="2E9E370C" w:rsidR="00FF4DC1" w:rsidRPr="00ED5C33" w:rsidRDefault="002900CC" w:rsidP="002900CC">
      <w:pPr>
        <w:pStyle w:val="BodyText2"/>
        <w:tabs>
          <w:tab w:val="left" w:pos="-5387"/>
          <w:tab w:val="left" w:pos="142"/>
          <w:tab w:val="left" w:pos="1560"/>
        </w:tabs>
        <w:ind w:firstLine="709"/>
        <w:rPr>
          <w:szCs w:val="28"/>
        </w:rPr>
      </w:pPr>
      <w:r>
        <w:rPr>
          <w:szCs w:val="28"/>
        </w:rPr>
        <w:t>1.1.  </w:t>
      </w:r>
      <w:r w:rsidR="00FF4DC1" w:rsidRPr="00ED5C33">
        <w:rPr>
          <w:szCs w:val="28"/>
        </w:rPr>
        <w:t xml:space="preserve">33.16.00 </w:t>
      </w:r>
      <w:r w:rsidR="00D73985">
        <w:rPr>
          <w:szCs w:val="28"/>
        </w:rPr>
        <w:t>"</w:t>
      </w:r>
      <w:r w:rsidR="00FF4DC1" w:rsidRPr="00ED5C33">
        <w:rPr>
          <w:szCs w:val="28"/>
        </w:rPr>
        <w:t>Pārējo ambulatoro veselības aprūpes pakalpojumu nodrošināšana</w:t>
      </w:r>
      <w:r w:rsidR="00D73985">
        <w:rPr>
          <w:szCs w:val="28"/>
        </w:rPr>
        <w:t>"</w:t>
      </w:r>
      <w:r w:rsidR="00FF4DC1" w:rsidRPr="00ED5C33">
        <w:rPr>
          <w:szCs w:val="28"/>
        </w:rPr>
        <w:t xml:space="preserve"> </w:t>
      </w:r>
      <w:r w:rsidR="00BF0C64">
        <w:rPr>
          <w:szCs w:val="28"/>
        </w:rPr>
        <w:t xml:space="preserve">– </w:t>
      </w:r>
      <w:r w:rsidR="00FF4DC1" w:rsidRPr="00ED5C33">
        <w:rPr>
          <w:szCs w:val="28"/>
        </w:rPr>
        <w:t>5 660</w:t>
      </w:r>
      <w:r w:rsidR="00BF0C64">
        <w:rPr>
          <w:szCs w:val="28"/>
        </w:rPr>
        <w:t> </w:t>
      </w:r>
      <w:r w:rsidR="00FF4DC1" w:rsidRPr="00ED5C33">
        <w:rPr>
          <w:szCs w:val="28"/>
        </w:rPr>
        <w:t>407</w:t>
      </w:r>
      <w:r w:rsidR="00BF0C64">
        <w:rPr>
          <w:szCs w:val="28"/>
        </w:rPr>
        <w:t> </w:t>
      </w:r>
      <w:r w:rsidR="00FF4DC1" w:rsidRPr="00ED5C33">
        <w:rPr>
          <w:i/>
          <w:szCs w:val="28"/>
        </w:rPr>
        <w:t>euro</w:t>
      </w:r>
      <w:r w:rsidR="00FF4DC1" w:rsidRPr="00ED5C33">
        <w:rPr>
          <w:szCs w:val="28"/>
        </w:rPr>
        <w:t>;</w:t>
      </w:r>
    </w:p>
    <w:p w14:paraId="5BBD88D9" w14:textId="0E2C9B36" w:rsidR="00FF4DC1" w:rsidRPr="00ED5C33" w:rsidRDefault="002900CC" w:rsidP="002900CC">
      <w:pPr>
        <w:pStyle w:val="BodyText2"/>
        <w:tabs>
          <w:tab w:val="left" w:pos="-5387"/>
          <w:tab w:val="left" w:pos="142"/>
          <w:tab w:val="left" w:pos="1560"/>
        </w:tabs>
        <w:ind w:firstLine="709"/>
        <w:rPr>
          <w:szCs w:val="28"/>
        </w:rPr>
      </w:pPr>
      <w:r>
        <w:rPr>
          <w:szCs w:val="28"/>
        </w:rPr>
        <w:t>1.2.  </w:t>
      </w:r>
      <w:r w:rsidR="00FF4DC1" w:rsidRPr="00ED5C33">
        <w:rPr>
          <w:szCs w:val="28"/>
        </w:rPr>
        <w:t xml:space="preserve">33.18.00 </w:t>
      </w:r>
      <w:r w:rsidR="00D73985">
        <w:rPr>
          <w:szCs w:val="28"/>
        </w:rPr>
        <w:t>"</w:t>
      </w:r>
      <w:r w:rsidR="00FF4DC1" w:rsidRPr="00ED5C33">
        <w:rPr>
          <w:szCs w:val="28"/>
        </w:rPr>
        <w:t>Plānveida stacionāro veselības aprūpes pakalpojumu nodrošināšana</w:t>
      </w:r>
      <w:r w:rsidR="00D73985">
        <w:rPr>
          <w:szCs w:val="28"/>
        </w:rPr>
        <w:t>"</w:t>
      </w:r>
      <w:r w:rsidR="00FF4DC1" w:rsidRPr="00ED5C33">
        <w:rPr>
          <w:szCs w:val="28"/>
        </w:rPr>
        <w:t xml:space="preserve"> </w:t>
      </w:r>
      <w:r w:rsidR="00BF0C64">
        <w:rPr>
          <w:szCs w:val="28"/>
        </w:rPr>
        <w:t xml:space="preserve">– </w:t>
      </w:r>
      <w:r w:rsidR="00FF4DC1" w:rsidRPr="00ED5C33">
        <w:rPr>
          <w:szCs w:val="28"/>
        </w:rPr>
        <w:t>2 463</w:t>
      </w:r>
      <w:r w:rsidR="00BF0C64">
        <w:rPr>
          <w:szCs w:val="28"/>
        </w:rPr>
        <w:t> </w:t>
      </w:r>
      <w:r w:rsidR="00FF4DC1" w:rsidRPr="00ED5C33">
        <w:rPr>
          <w:szCs w:val="28"/>
        </w:rPr>
        <w:t>058</w:t>
      </w:r>
      <w:r w:rsidR="00BF0C64">
        <w:rPr>
          <w:i/>
          <w:szCs w:val="28"/>
        </w:rPr>
        <w:t> </w:t>
      </w:r>
      <w:r w:rsidR="00FF4DC1" w:rsidRPr="00ED5C33">
        <w:rPr>
          <w:i/>
          <w:szCs w:val="28"/>
        </w:rPr>
        <w:t>euro</w:t>
      </w:r>
      <w:r w:rsidR="00FF4DC1" w:rsidRPr="00ED5C33">
        <w:rPr>
          <w:szCs w:val="28"/>
        </w:rPr>
        <w:t>;</w:t>
      </w:r>
    </w:p>
    <w:p w14:paraId="5BBD88DA" w14:textId="4417A032" w:rsidR="00765669" w:rsidRPr="00ED5C33" w:rsidRDefault="002900CC" w:rsidP="002900CC">
      <w:pPr>
        <w:pStyle w:val="BodyText2"/>
        <w:tabs>
          <w:tab w:val="left" w:pos="-5387"/>
          <w:tab w:val="left" w:pos="142"/>
          <w:tab w:val="left" w:pos="1560"/>
        </w:tabs>
        <w:ind w:firstLine="709"/>
        <w:rPr>
          <w:szCs w:val="28"/>
        </w:rPr>
      </w:pPr>
      <w:r>
        <w:rPr>
          <w:szCs w:val="28"/>
        </w:rPr>
        <w:t>1.3.  </w:t>
      </w:r>
      <w:r w:rsidR="00FF4DC1" w:rsidRPr="00ED5C33">
        <w:rPr>
          <w:szCs w:val="28"/>
        </w:rPr>
        <w:t xml:space="preserve">33.03.00 </w:t>
      </w:r>
      <w:r w:rsidR="00D73985">
        <w:rPr>
          <w:szCs w:val="28"/>
        </w:rPr>
        <w:t>"</w:t>
      </w:r>
      <w:r w:rsidR="00FF4DC1" w:rsidRPr="00ED5C33">
        <w:rPr>
          <w:szCs w:val="28"/>
        </w:rPr>
        <w:t>Kompensējamo medikamentu un materiālu apmak</w:t>
      </w:r>
      <w:r>
        <w:rPr>
          <w:szCs w:val="28"/>
        </w:rPr>
        <w:softHyphen/>
      </w:r>
      <w:bookmarkStart w:id="4" w:name="_GoBack"/>
      <w:bookmarkEnd w:id="4"/>
      <w:r w:rsidR="00FF4DC1" w:rsidRPr="00ED5C33">
        <w:rPr>
          <w:szCs w:val="28"/>
        </w:rPr>
        <w:t>sāšana</w:t>
      </w:r>
      <w:r w:rsidR="00D73985">
        <w:rPr>
          <w:szCs w:val="28"/>
        </w:rPr>
        <w:t>"</w:t>
      </w:r>
      <w:r>
        <w:rPr>
          <w:szCs w:val="28"/>
        </w:rPr>
        <w:t> </w:t>
      </w:r>
      <w:r w:rsidR="00BF0C64">
        <w:rPr>
          <w:szCs w:val="28"/>
        </w:rPr>
        <w:t xml:space="preserve">– </w:t>
      </w:r>
      <w:r w:rsidR="00FF4DC1" w:rsidRPr="00ED5C33">
        <w:rPr>
          <w:szCs w:val="28"/>
        </w:rPr>
        <w:t>4 138</w:t>
      </w:r>
      <w:r w:rsidR="00BF0C64">
        <w:rPr>
          <w:szCs w:val="28"/>
        </w:rPr>
        <w:t> </w:t>
      </w:r>
      <w:r w:rsidR="00FF4DC1" w:rsidRPr="00ED5C33">
        <w:rPr>
          <w:szCs w:val="28"/>
        </w:rPr>
        <w:t>795</w:t>
      </w:r>
      <w:r w:rsidR="00BF0C64">
        <w:rPr>
          <w:szCs w:val="28"/>
        </w:rPr>
        <w:t> </w:t>
      </w:r>
      <w:proofErr w:type="spellStart"/>
      <w:r w:rsidR="00FF4DC1" w:rsidRPr="00ED5C33">
        <w:rPr>
          <w:i/>
          <w:szCs w:val="28"/>
        </w:rPr>
        <w:t>euro</w:t>
      </w:r>
      <w:proofErr w:type="spellEnd"/>
      <w:r w:rsidR="007C54AB">
        <w:rPr>
          <w:szCs w:val="28"/>
        </w:rPr>
        <w:t>.</w:t>
      </w:r>
    </w:p>
    <w:p w14:paraId="5BBD88DC" w14:textId="76262449" w:rsidR="00740B1F" w:rsidRPr="00ED5C33" w:rsidRDefault="00740B1F" w:rsidP="00006A71">
      <w:pPr>
        <w:pStyle w:val="BodyText2"/>
        <w:numPr>
          <w:ilvl w:val="0"/>
          <w:numId w:val="2"/>
        </w:numPr>
        <w:tabs>
          <w:tab w:val="left" w:pos="993"/>
        </w:tabs>
        <w:ind w:left="0" w:firstLine="720"/>
        <w:rPr>
          <w:szCs w:val="28"/>
        </w:rPr>
      </w:pPr>
      <w:r w:rsidRPr="00ED5C33">
        <w:rPr>
          <w:rFonts w:hint="cs"/>
          <w:szCs w:val="28"/>
        </w:rPr>
        <w:t xml:space="preserve">Veselības ministrijai sagatavot un </w:t>
      </w:r>
      <w:r w:rsidR="00BF0C64" w:rsidRPr="00ED5C33">
        <w:rPr>
          <w:rFonts w:hint="cs"/>
          <w:szCs w:val="28"/>
        </w:rPr>
        <w:t xml:space="preserve">normatīvajos aktos noteiktajā kārtībā </w:t>
      </w:r>
      <w:r w:rsidRPr="00ED5C33">
        <w:rPr>
          <w:rFonts w:hint="cs"/>
          <w:szCs w:val="28"/>
        </w:rPr>
        <w:t>iesniegt Finanšu ministrijā pieprasījumu valsts budžeta apropriācijas pārdal</w:t>
      </w:r>
      <w:r w:rsidR="005A4126">
        <w:rPr>
          <w:szCs w:val="28"/>
        </w:rPr>
        <w:t>e</w:t>
      </w:r>
      <w:r w:rsidRPr="00ED5C33">
        <w:rPr>
          <w:rFonts w:hint="cs"/>
          <w:szCs w:val="28"/>
        </w:rPr>
        <w:t>i atbilstoši š</w:t>
      </w:r>
      <w:r w:rsidR="00BF0C64">
        <w:rPr>
          <w:szCs w:val="28"/>
        </w:rPr>
        <w:t>ā</w:t>
      </w:r>
      <w:r w:rsidRPr="00ED5C33">
        <w:rPr>
          <w:rFonts w:hint="cs"/>
          <w:szCs w:val="28"/>
        </w:rPr>
        <w:t xml:space="preserve"> </w:t>
      </w:r>
      <w:r w:rsidRPr="00ED5C33">
        <w:rPr>
          <w:szCs w:val="28"/>
        </w:rPr>
        <w:t>protokollēmu</w:t>
      </w:r>
      <w:r w:rsidRPr="00ED5C33">
        <w:rPr>
          <w:rFonts w:hint="cs"/>
          <w:szCs w:val="28"/>
        </w:rPr>
        <w:t xml:space="preserve">ma </w:t>
      </w:r>
      <w:r w:rsidR="004F0D54" w:rsidRPr="00ED5C33">
        <w:rPr>
          <w:szCs w:val="28"/>
        </w:rPr>
        <w:t>1</w:t>
      </w:r>
      <w:r w:rsidRPr="00ED5C33">
        <w:rPr>
          <w:rFonts w:hint="cs"/>
          <w:szCs w:val="28"/>
        </w:rPr>
        <w:t>.</w:t>
      </w:r>
      <w:r w:rsidR="00BF0C64">
        <w:rPr>
          <w:rFonts w:hint="eastAsia"/>
          <w:szCs w:val="28"/>
        </w:rPr>
        <w:t> </w:t>
      </w:r>
      <w:r w:rsidRPr="00ED5C33">
        <w:rPr>
          <w:rFonts w:hint="cs"/>
          <w:szCs w:val="28"/>
        </w:rPr>
        <w:t>punktam.</w:t>
      </w:r>
    </w:p>
    <w:p w14:paraId="5BBD88DE" w14:textId="7A5EFB28" w:rsidR="009C05F8" w:rsidRPr="00ED5C33" w:rsidRDefault="00740B1F" w:rsidP="00006A71">
      <w:pPr>
        <w:pStyle w:val="BodyText2"/>
        <w:numPr>
          <w:ilvl w:val="0"/>
          <w:numId w:val="2"/>
        </w:numPr>
        <w:tabs>
          <w:tab w:val="left" w:pos="993"/>
        </w:tabs>
        <w:ind w:left="0" w:firstLine="720"/>
        <w:rPr>
          <w:szCs w:val="28"/>
        </w:rPr>
      </w:pPr>
      <w:r w:rsidRPr="00ED5C33">
        <w:rPr>
          <w:szCs w:val="28"/>
        </w:rPr>
        <w:t>F</w:t>
      </w:r>
      <w:r w:rsidR="00B202D0" w:rsidRPr="00ED5C33">
        <w:rPr>
          <w:szCs w:val="28"/>
        </w:rPr>
        <w:t xml:space="preserve">inanšu ministram </w:t>
      </w:r>
      <w:r w:rsidR="001E06C7" w:rsidRPr="00ED5C33">
        <w:rPr>
          <w:szCs w:val="28"/>
        </w:rPr>
        <w:t>atbilstoši š</w:t>
      </w:r>
      <w:r w:rsidR="00BF0C64">
        <w:rPr>
          <w:szCs w:val="28"/>
        </w:rPr>
        <w:t>ā</w:t>
      </w:r>
      <w:r w:rsidR="001E06C7" w:rsidRPr="00ED5C33">
        <w:rPr>
          <w:szCs w:val="28"/>
        </w:rPr>
        <w:t xml:space="preserve"> protokollēmuma 1.</w:t>
      </w:r>
      <w:r w:rsidR="00BF0C64">
        <w:rPr>
          <w:szCs w:val="28"/>
        </w:rPr>
        <w:t> </w:t>
      </w:r>
      <w:r w:rsidR="001E06C7" w:rsidRPr="00ED5C33">
        <w:rPr>
          <w:szCs w:val="28"/>
        </w:rPr>
        <w:t xml:space="preserve">punktam </w:t>
      </w:r>
      <w:r w:rsidR="00B202D0" w:rsidRPr="00ED5C33">
        <w:rPr>
          <w:szCs w:val="28"/>
        </w:rPr>
        <w:t xml:space="preserve">pārdalīt Veselības ministrijai veselības aprūpes sistēmas reformas ieviešanai budžeta resora </w:t>
      </w:r>
      <w:r w:rsidR="00D73985">
        <w:rPr>
          <w:szCs w:val="28"/>
        </w:rPr>
        <w:t>"</w:t>
      </w:r>
      <w:r w:rsidR="00B202D0" w:rsidRPr="00ED5C33">
        <w:rPr>
          <w:szCs w:val="28"/>
        </w:rPr>
        <w:t>74.</w:t>
      </w:r>
      <w:r w:rsidR="000618B4">
        <w:rPr>
          <w:szCs w:val="28"/>
        </w:rPr>
        <w:t> </w:t>
      </w:r>
      <w:r w:rsidR="00B202D0" w:rsidRPr="00ED5C33">
        <w:rPr>
          <w:szCs w:val="28"/>
        </w:rPr>
        <w:t>Gadskārtējā valsts budžeta izpildes procesā pārdalāmais finansējums</w:t>
      </w:r>
      <w:r w:rsidR="00D73985">
        <w:rPr>
          <w:szCs w:val="28"/>
        </w:rPr>
        <w:t>"</w:t>
      </w:r>
      <w:r w:rsidR="00B202D0" w:rsidRPr="00ED5C33">
        <w:rPr>
          <w:szCs w:val="28"/>
        </w:rPr>
        <w:t xml:space="preserve"> 08.00.00 programmā </w:t>
      </w:r>
      <w:r w:rsidR="00D73985">
        <w:rPr>
          <w:szCs w:val="28"/>
        </w:rPr>
        <w:t>"</w:t>
      </w:r>
      <w:r w:rsidR="00B202D0" w:rsidRPr="00ED5C33">
        <w:rPr>
          <w:szCs w:val="28"/>
        </w:rPr>
        <w:t>Veselības aprūpes sistēmas reformas ieviešanas finansējums</w:t>
      </w:r>
      <w:r w:rsidR="00D73985">
        <w:rPr>
          <w:szCs w:val="28"/>
        </w:rPr>
        <w:t>"</w:t>
      </w:r>
      <w:r w:rsidR="00B202D0" w:rsidRPr="00ED5C33">
        <w:rPr>
          <w:szCs w:val="28"/>
        </w:rPr>
        <w:t xml:space="preserve"> rezervēto finansējumu </w:t>
      </w:r>
      <w:r w:rsidR="007C54AB">
        <w:rPr>
          <w:szCs w:val="28"/>
        </w:rPr>
        <w:t>12 262</w:t>
      </w:r>
      <w:r w:rsidR="00BF0C64">
        <w:rPr>
          <w:szCs w:val="28"/>
        </w:rPr>
        <w:t> </w:t>
      </w:r>
      <w:r w:rsidR="007C54AB">
        <w:rPr>
          <w:szCs w:val="28"/>
        </w:rPr>
        <w:t>260</w:t>
      </w:r>
      <w:r w:rsidR="00BF0C64">
        <w:rPr>
          <w:szCs w:val="28"/>
        </w:rPr>
        <w:t> </w:t>
      </w:r>
      <w:r w:rsidR="00B202D0" w:rsidRPr="00ED5C33">
        <w:rPr>
          <w:i/>
          <w:szCs w:val="28"/>
        </w:rPr>
        <w:t>euro</w:t>
      </w:r>
      <w:r w:rsidR="00B202D0" w:rsidRPr="00ED5C33">
        <w:rPr>
          <w:szCs w:val="28"/>
        </w:rPr>
        <w:t xml:space="preserve"> apmērā</w:t>
      </w:r>
      <w:r w:rsidR="00BF0C64">
        <w:rPr>
          <w:szCs w:val="28"/>
        </w:rPr>
        <w:t>, lai</w:t>
      </w:r>
      <w:r w:rsidR="00B202D0" w:rsidRPr="00ED5C33">
        <w:rPr>
          <w:szCs w:val="28"/>
        </w:rPr>
        <w:t xml:space="preserve"> </w:t>
      </w:r>
      <w:r w:rsidR="00BF0C64" w:rsidRPr="00ED5C33">
        <w:rPr>
          <w:szCs w:val="28"/>
        </w:rPr>
        <w:t>2017.</w:t>
      </w:r>
      <w:r w:rsidR="00BF0C64">
        <w:rPr>
          <w:szCs w:val="28"/>
        </w:rPr>
        <w:t> </w:t>
      </w:r>
      <w:r w:rsidR="00BF0C64" w:rsidRPr="00ED5C33">
        <w:rPr>
          <w:szCs w:val="28"/>
        </w:rPr>
        <w:t>gadā īsteno</w:t>
      </w:r>
      <w:r w:rsidR="00BF0C64">
        <w:rPr>
          <w:szCs w:val="28"/>
        </w:rPr>
        <w:t>tu</w:t>
      </w:r>
      <w:r w:rsidR="00BF0C64" w:rsidRPr="00ED5C33">
        <w:rPr>
          <w:szCs w:val="28"/>
        </w:rPr>
        <w:t xml:space="preserve"> </w:t>
      </w:r>
      <w:r w:rsidR="00B202D0" w:rsidRPr="00ED5C33">
        <w:rPr>
          <w:szCs w:val="28"/>
        </w:rPr>
        <w:t>veselības aprūpes sistēmas reformas pasākumu</w:t>
      </w:r>
      <w:r w:rsidR="00BF0C64">
        <w:rPr>
          <w:szCs w:val="28"/>
        </w:rPr>
        <w:t>s</w:t>
      </w:r>
      <w:r w:rsidR="00B202D0" w:rsidRPr="00ED5C33">
        <w:rPr>
          <w:szCs w:val="28"/>
        </w:rPr>
        <w:t xml:space="preserve"> </w:t>
      </w:r>
      <w:r w:rsidR="007C54AB">
        <w:rPr>
          <w:szCs w:val="28"/>
        </w:rPr>
        <w:t>onkoloģijas jomā</w:t>
      </w:r>
      <w:r w:rsidR="00B202D0" w:rsidRPr="00ED5C33">
        <w:rPr>
          <w:szCs w:val="28"/>
        </w:rPr>
        <w:t>.</w:t>
      </w:r>
    </w:p>
    <w:p w14:paraId="5BBD88E0" w14:textId="5615414D" w:rsidR="00765669" w:rsidRDefault="00765669" w:rsidP="00006A71">
      <w:pPr>
        <w:pStyle w:val="BodyText2"/>
        <w:numPr>
          <w:ilvl w:val="0"/>
          <w:numId w:val="2"/>
        </w:numPr>
        <w:tabs>
          <w:tab w:val="left" w:pos="993"/>
        </w:tabs>
        <w:ind w:left="0" w:firstLine="720"/>
        <w:rPr>
          <w:szCs w:val="28"/>
        </w:rPr>
      </w:pPr>
      <w:r w:rsidRPr="00ED5C33">
        <w:rPr>
          <w:szCs w:val="28"/>
        </w:rPr>
        <w:t>Veselības ministrijai kontrolēt i</w:t>
      </w:r>
      <w:r w:rsidR="000618B4">
        <w:rPr>
          <w:szCs w:val="28"/>
        </w:rPr>
        <w:t xml:space="preserve">nformatīvajā ziņojumā </w:t>
      </w:r>
      <w:r w:rsidRPr="00ED5C33">
        <w:rPr>
          <w:szCs w:val="28"/>
        </w:rPr>
        <w:t>noteikto iznākuma rādītāju</w:t>
      </w:r>
      <w:r w:rsidR="000618B4">
        <w:rPr>
          <w:szCs w:val="28"/>
        </w:rPr>
        <w:t xml:space="preserve"> izpildi un līdz 2017.</w:t>
      </w:r>
      <w:r w:rsidR="00BF0C64">
        <w:rPr>
          <w:szCs w:val="28"/>
        </w:rPr>
        <w:t> </w:t>
      </w:r>
      <w:r w:rsidR="000618B4">
        <w:rPr>
          <w:szCs w:val="28"/>
        </w:rPr>
        <w:t>gada 1. </w:t>
      </w:r>
      <w:r w:rsidRPr="00ED5C33">
        <w:rPr>
          <w:szCs w:val="28"/>
        </w:rPr>
        <w:t>septembrim iesniegt Finanšu ministrij</w:t>
      </w:r>
      <w:r w:rsidR="00BF0C64">
        <w:rPr>
          <w:szCs w:val="28"/>
        </w:rPr>
        <w:t>ā</w:t>
      </w:r>
      <w:r w:rsidRPr="00ED5C33">
        <w:rPr>
          <w:szCs w:val="28"/>
        </w:rPr>
        <w:t xml:space="preserve"> ziņojumu par progresu iznākuma rādītāju sasniegšanā 2017.</w:t>
      </w:r>
      <w:r w:rsidR="00BF0C64">
        <w:rPr>
          <w:szCs w:val="28"/>
        </w:rPr>
        <w:t> </w:t>
      </w:r>
      <w:r w:rsidRPr="00ED5C33">
        <w:rPr>
          <w:szCs w:val="28"/>
        </w:rPr>
        <w:t>gada pirm</w:t>
      </w:r>
      <w:r w:rsidR="00BF0C64">
        <w:rPr>
          <w:szCs w:val="28"/>
        </w:rPr>
        <w:t>ajā</w:t>
      </w:r>
      <w:r w:rsidRPr="00ED5C33">
        <w:rPr>
          <w:szCs w:val="28"/>
        </w:rPr>
        <w:t xml:space="preserve"> pusgad</w:t>
      </w:r>
      <w:r w:rsidR="00BF0C64">
        <w:rPr>
          <w:szCs w:val="28"/>
        </w:rPr>
        <w:t>ā</w:t>
      </w:r>
      <w:r w:rsidRPr="00ED5C33">
        <w:rPr>
          <w:szCs w:val="28"/>
        </w:rPr>
        <w:t xml:space="preserve"> un līdz 2018.</w:t>
      </w:r>
      <w:r w:rsidR="001C3080">
        <w:rPr>
          <w:szCs w:val="28"/>
        </w:rPr>
        <w:t> </w:t>
      </w:r>
      <w:r w:rsidRPr="00ED5C33">
        <w:rPr>
          <w:szCs w:val="28"/>
        </w:rPr>
        <w:t>gada 1.</w:t>
      </w:r>
      <w:r w:rsidR="00BF0C64">
        <w:rPr>
          <w:szCs w:val="28"/>
        </w:rPr>
        <w:t> </w:t>
      </w:r>
      <w:r w:rsidRPr="00ED5C33">
        <w:rPr>
          <w:szCs w:val="28"/>
        </w:rPr>
        <w:t xml:space="preserve">martam </w:t>
      </w:r>
      <w:r w:rsidR="00BF0C64">
        <w:rPr>
          <w:szCs w:val="28"/>
        </w:rPr>
        <w:t xml:space="preserve">– </w:t>
      </w:r>
      <w:r w:rsidRPr="00ED5C33">
        <w:rPr>
          <w:szCs w:val="28"/>
        </w:rPr>
        <w:t xml:space="preserve">par iznākuma rādītāju izpildi </w:t>
      </w:r>
      <w:r w:rsidRPr="00ED5C33">
        <w:rPr>
          <w:szCs w:val="28"/>
        </w:rPr>
        <w:lastRenderedPageBreak/>
        <w:t>2017.</w:t>
      </w:r>
      <w:r w:rsidR="00BF0C64">
        <w:rPr>
          <w:szCs w:val="28"/>
        </w:rPr>
        <w:t> </w:t>
      </w:r>
      <w:r w:rsidRPr="00ED5C33">
        <w:rPr>
          <w:szCs w:val="28"/>
        </w:rPr>
        <w:t xml:space="preserve">gadā. Veselības ministrijai </w:t>
      </w:r>
      <w:r w:rsidR="00BF0C64">
        <w:rPr>
          <w:szCs w:val="28"/>
        </w:rPr>
        <w:t xml:space="preserve">veikt minēto </w:t>
      </w:r>
      <w:r w:rsidR="00B86004" w:rsidRPr="00ED5C33">
        <w:rPr>
          <w:szCs w:val="28"/>
        </w:rPr>
        <w:t xml:space="preserve">datu uzkrāšanu, lai </w:t>
      </w:r>
      <w:r w:rsidR="00BF0C64" w:rsidRPr="00ED5C33">
        <w:rPr>
          <w:szCs w:val="28"/>
        </w:rPr>
        <w:t>nodrošināt</w:t>
      </w:r>
      <w:r w:rsidR="00BF0C64">
        <w:rPr>
          <w:szCs w:val="28"/>
        </w:rPr>
        <w:t>u</w:t>
      </w:r>
      <w:r w:rsidR="00BF0C64" w:rsidRPr="00ED5C33">
        <w:rPr>
          <w:szCs w:val="28"/>
        </w:rPr>
        <w:t xml:space="preserve"> audita izsekojamīb</w:t>
      </w:r>
      <w:r w:rsidR="00BF0C64">
        <w:rPr>
          <w:szCs w:val="28"/>
        </w:rPr>
        <w:t>u</w:t>
      </w:r>
      <w:r w:rsidR="00BF0C64" w:rsidRPr="00ED5C33">
        <w:rPr>
          <w:szCs w:val="28"/>
        </w:rPr>
        <w:t xml:space="preserve"> </w:t>
      </w:r>
      <w:r w:rsidR="00B86004" w:rsidRPr="00ED5C33">
        <w:rPr>
          <w:szCs w:val="28"/>
        </w:rPr>
        <w:t>iznākuma rādītāju izpildei.</w:t>
      </w:r>
    </w:p>
    <w:p w14:paraId="5BBD88E2" w14:textId="2B74DDC8" w:rsidR="007C54AB" w:rsidRPr="00ED5C33" w:rsidRDefault="007C54AB" w:rsidP="00BF0C64">
      <w:pPr>
        <w:pStyle w:val="BodyText2"/>
        <w:numPr>
          <w:ilvl w:val="0"/>
          <w:numId w:val="2"/>
        </w:numPr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>Veselības ministrijai līdz 2017.</w:t>
      </w:r>
      <w:r w:rsidR="00F46326">
        <w:rPr>
          <w:szCs w:val="28"/>
        </w:rPr>
        <w:t> </w:t>
      </w:r>
      <w:r>
        <w:rPr>
          <w:szCs w:val="28"/>
        </w:rPr>
        <w:t>gada 15.</w:t>
      </w:r>
      <w:r w:rsidR="00F46326">
        <w:rPr>
          <w:szCs w:val="28"/>
        </w:rPr>
        <w:t> </w:t>
      </w:r>
      <w:r>
        <w:rPr>
          <w:szCs w:val="28"/>
        </w:rPr>
        <w:t>februārim iesniegt izskatīšanai Ministru kabinetā informatīvo ziņojumu par pārējiem reform</w:t>
      </w:r>
      <w:r w:rsidR="001B6463">
        <w:rPr>
          <w:szCs w:val="28"/>
        </w:rPr>
        <w:t>as</w:t>
      </w:r>
      <w:r>
        <w:rPr>
          <w:szCs w:val="28"/>
        </w:rPr>
        <w:t xml:space="preserve"> </w:t>
      </w:r>
      <w:r w:rsidRPr="00FA7904">
        <w:rPr>
          <w:szCs w:val="28"/>
        </w:rPr>
        <w:t>pasākumiem</w:t>
      </w:r>
      <w:r w:rsidR="00FA7904" w:rsidRPr="00FA7904">
        <w:rPr>
          <w:szCs w:val="28"/>
        </w:rPr>
        <w:t xml:space="preserve"> un finansējuma </w:t>
      </w:r>
      <w:r w:rsidR="00553B76" w:rsidRPr="00FA7904">
        <w:rPr>
          <w:szCs w:val="28"/>
        </w:rPr>
        <w:t>(22</w:t>
      </w:r>
      <w:r w:rsidR="00553B76">
        <w:rPr>
          <w:szCs w:val="28"/>
        </w:rPr>
        <w:t> </w:t>
      </w:r>
      <w:r w:rsidR="00553B76" w:rsidRPr="00FA7904">
        <w:rPr>
          <w:szCs w:val="28"/>
        </w:rPr>
        <w:t>062</w:t>
      </w:r>
      <w:r w:rsidR="00553B76">
        <w:rPr>
          <w:szCs w:val="28"/>
        </w:rPr>
        <w:t> </w:t>
      </w:r>
      <w:r w:rsidR="00553B76" w:rsidRPr="00FA7904">
        <w:rPr>
          <w:szCs w:val="28"/>
        </w:rPr>
        <w:t>190</w:t>
      </w:r>
      <w:r w:rsidR="00553B76">
        <w:rPr>
          <w:szCs w:val="28"/>
        </w:rPr>
        <w:t> </w:t>
      </w:r>
      <w:r w:rsidR="00553B76" w:rsidRPr="00FA7904">
        <w:rPr>
          <w:i/>
          <w:szCs w:val="28"/>
        </w:rPr>
        <w:t>euro</w:t>
      </w:r>
      <w:r w:rsidR="00553B76" w:rsidRPr="00FA7904">
        <w:rPr>
          <w:szCs w:val="28"/>
        </w:rPr>
        <w:t>)</w:t>
      </w:r>
      <w:r w:rsidR="00553B76">
        <w:rPr>
          <w:szCs w:val="28"/>
        </w:rPr>
        <w:t xml:space="preserve"> </w:t>
      </w:r>
      <w:r w:rsidR="00FA7904" w:rsidRPr="00FA7904">
        <w:rPr>
          <w:szCs w:val="28"/>
        </w:rPr>
        <w:t xml:space="preserve">sadalījumu </w:t>
      </w:r>
      <w:r>
        <w:rPr>
          <w:szCs w:val="28"/>
        </w:rPr>
        <w:t>2017.</w:t>
      </w:r>
      <w:r w:rsidR="00F46326">
        <w:rPr>
          <w:szCs w:val="28"/>
        </w:rPr>
        <w:t> </w:t>
      </w:r>
      <w:r>
        <w:rPr>
          <w:szCs w:val="28"/>
        </w:rPr>
        <w:t>gad</w:t>
      </w:r>
      <w:r w:rsidR="00F46326">
        <w:rPr>
          <w:szCs w:val="28"/>
        </w:rPr>
        <w:t>am</w:t>
      </w:r>
      <w:r>
        <w:rPr>
          <w:szCs w:val="28"/>
        </w:rPr>
        <w:t xml:space="preserve">, </w:t>
      </w:r>
      <w:r w:rsidR="00F46326">
        <w:rPr>
          <w:szCs w:val="28"/>
        </w:rPr>
        <w:t xml:space="preserve">norādot pasākumus, </w:t>
      </w:r>
      <w:r>
        <w:rPr>
          <w:szCs w:val="28"/>
        </w:rPr>
        <w:t>k</w:t>
      </w:r>
      <w:r w:rsidR="00F46326">
        <w:rPr>
          <w:szCs w:val="28"/>
        </w:rPr>
        <w:t>urus</w:t>
      </w:r>
      <w:r>
        <w:rPr>
          <w:szCs w:val="28"/>
        </w:rPr>
        <w:t xml:space="preserve"> plānots finansēt no </w:t>
      </w:r>
      <w:r w:rsidRPr="007C54AB">
        <w:rPr>
          <w:szCs w:val="28"/>
        </w:rPr>
        <w:t xml:space="preserve">budžeta resora </w:t>
      </w:r>
      <w:r w:rsidR="00D73985">
        <w:rPr>
          <w:szCs w:val="28"/>
        </w:rPr>
        <w:t>"</w:t>
      </w:r>
      <w:r w:rsidRPr="007C54AB">
        <w:rPr>
          <w:szCs w:val="28"/>
        </w:rPr>
        <w:t>74. Gadskārtējā valsts budžeta izpildes procesā pārdalāmais finansējums</w:t>
      </w:r>
      <w:r w:rsidR="00D73985">
        <w:rPr>
          <w:szCs w:val="28"/>
        </w:rPr>
        <w:t>"</w:t>
      </w:r>
      <w:r w:rsidRPr="007C54AB">
        <w:rPr>
          <w:szCs w:val="28"/>
        </w:rPr>
        <w:t xml:space="preserve"> 08.00.00 programmā </w:t>
      </w:r>
      <w:r w:rsidR="00D73985">
        <w:rPr>
          <w:szCs w:val="28"/>
        </w:rPr>
        <w:t>"</w:t>
      </w:r>
      <w:r w:rsidRPr="007C54AB">
        <w:rPr>
          <w:szCs w:val="28"/>
        </w:rPr>
        <w:t>Veselības aprūpes sistēmas reformas ieviešanas finansējums</w:t>
      </w:r>
      <w:r w:rsidR="00D73985">
        <w:rPr>
          <w:szCs w:val="28"/>
        </w:rPr>
        <w:t>"</w:t>
      </w:r>
      <w:r w:rsidRPr="007C54AB">
        <w:rPr>
          <w:szCs w:val="28"/>
        </w:rPr>
        <w:t xml:space="preserve"> rezervēt</w:t>
      </w:r>
      <w:r>
        <w:rPr>
          <w:szCs w:val="28"/>
        </w:rPr>
        <w:t>ā finansējuma veselības nozares reform</w:t>
      </w:r>
      <w:r w:rsidR="001B6463">
        <w:rPr>
          <w:szCs w:val="28"/>
        </w:rPr>
        <w:t>as</w:t>
      </w:r>
      <w:r>
        <w:rPr>
          <w:szCs w:val="28"/>
        </w:rPr>
        <w:t xml:space="preserve"> īstenošanai.</w:t>
      </w:r>
    </w:p>
    <w:p w14:paraId="5BBD88E4" w14:textId="0CA39096" w:rsidR="001E5926" w:rsidRPr="00ED5C33" w:rsidRDefault="001E06C7" w:rsidP="00BF0C64">
      <w:pPr>
        <w:pStyle w:val="BodyText2"/>
        <w:numPr>
          <w:ilvl w:val="0"/>
          <w:numId w:val="2"/>
        </w:numPr>
        <w:tabs>
          <w:tab w:val="left" w:pos="993"/>
        </w:tabs>
        <w:ind w:left="0" w:firstLine="720"/>
        <w:rPr>
          <w:szCs w:val="28"/>
        </w:rPr>
      </w:pPr>
      <w:r w:rsidRPr="00ED5C33">
        <w:rPr>
          <w:szCs w:val="28"/>
        </w:rPr>
        <w:t xml:space="preserve">Noteikt, ka finansējums </w:t>
      </w:r>
      <w:r w:rsidR="000618B4">
        <w:rPr>
          <w:szCs w:val="28"/>
        </w:rPr>
        <w:t>v</w:t>
      </w:r>
      <w:r w:rsidRPr="00ED5C33">
        <w:rPr>
          <w:szCs w:val="28"/>
        </w:rPr>
        <w:t xml:space="preserve">eselības aprūpes sistēmas reformas </w:t>
      </w:r>
      <w:r w:rsidR="001B6463">
        <w:rPr>
          <w:szCs w:val="28"/>
        </w:rPr>
        <w:t>īsteno</w:t>
      </w:r>
      <w:r w:rsidRPr="00ED5C33">
        <w:rPr>
          <w:szCs w:val="28"/>
        </w:rPr>
        <w:t>šanai 2018.</w:t>
      </w:r>
      <w:r w:rsidR="000618B4">
        <w:rPr>
          <w:szCs w:val="28"/>
        </w:rPr>
        <w:t> </w:t>
      </w:r>
      <w:r w:rsidRPr="00ED5C33">
        <w:rPr>
          <w:szCs w:val="28"/>
        </w:rPr>
        <w:t>gad</w:t>
      </w:r>
      <w:r w:rsidR="00803C92">
        <w:rPr>
          <w:szCs w:val="28"/>
        </w:rPr>
        <w:t>ā</w:t>
      </w:r>
      <w:r w:rsidRPr="00ED5C33">
        <w:rPr>
          <w:szCs w:val="28"/>
        </w:rPr>
        <w:t xml:space="preserve"> tiek ieplānots </w:t>
      </w:r>
      <w:r w:rsidR="00542713" w:rsidRPr="00ED5C33">
        <w:rPr>
          <w:szCs w:val="28"/>
        </w:rPr>
        <w:t xml:space="preserve">Veselības ministrijas </w:t>
      </w:r>
      <w:r w:rsidRPr="00ED5C33">
        <w:rPr>
          <w:szCs w:val="28"/>
        </w:rPr>
        <w:t xml:space="preserve">budžetā likumprojekta </w:t>
      </w:r>
      <w:r w:rsidR="00D73985">
        <w:rPr>
          <w:szCs w:val="28"/>
        </w:rPr>
        <w:t>"</w:t>
      </w:r>
      <w:r w:rsidRPr="00ED5C33">
        <w:rPr>
          <w:szCs w:val="28"/>
        </w:rPr>
        <w:t>Par valsts budžetu 2018.</w:t>
      </w:r>
      <w:r w:rsidR="00803C92">
        <w:rPr>
          <w:szCs w:val="28"/>
        </w:rPr>
        <w:t> </w:t>
      </w:r>
      <w:r w:rsidRPr="00ED5C33">
        <w:rPr>
          <w:szCs w:val="28"/>
        </w:rPr>
        <w:t>gadam</w:t>
      </w:r>
      <w:r w:rsidR="00D73985">
        <w:rPr>
          <w:szCs w:val="28"/>
        </w:rPr>
        <w:t>"</w:t>
      </w:r>
      <w:r w:rsidRPr="00ED5C33">
        <w:rPr>
          <w:szCs w:val="28"/>
        </w:rPr>
        <w:t xml:space="preserve"> sagatavošanas procesā</w:t>
      </w:r>
      <w:r w:rsidR="00F92521" w:rsidRPr="00ED5C33">
        <w:rPr>
          <w:szCs w:val="28"/>
        </w:rPr>
        <w:t>,</w:t>
      </w:r>
      <w:r w:rsidRPr="00ED5C33">
        <w:rPr>
          <w:szCs w:val="28"/>
        </w:rPr>
        <w:t xml:space="preserve"> ņemot vērā </w:t>
      </w:r>
      <w:r w:rsidR="00803C92">
        <w:rPr>
          <w:szCs w:val="28"/>
        </w:rPr>
        <w:t xml:space="preserve">šā </w:t>
      </w:r>
      <w:r w:rsidRPr="00ED5C33">
        <w:rPr>
          <w:szCs w:val="28"/>
        </w:rPr>
        <w:t>protokollēmuma 4.</w:t>
      </w:r>
      <w:r w:rsidR="0074102C">
        <w:rPr>
          <w:szCs w:val="28"/>
        </w:rPr>
        <w:t> </w:t>
      </w:r>
      <w:r w:rsidRPr="00ED5C33">
        <w:rPr>
          <w:szCs w:val="28"/>
        </w:rPr>
        <w:t xml:space="preserve">punktā minēto progresu iznākuma rādītāju sasniegšanā. </w:t>
      </w:r>
    </w:p>
    <w:p w14:paraId="5BBD88E5" w14:textId="77777777" w:rsidR="001E5926" w:rsidRDefault="001E5926" w:rsidP="00BF0C64">
      <w:pPr>
        <w:pStyle w:val="BodyText2"/>
        <w:tabs>
          <w:tab w:val="left" w:pos="993"/>
        </w:tabs>
        <w:ind w:firstLine="720"/>
        <w:rPr>
          <w:szCs w:val="28"/>
        </w:rPr>
      </w:pPr>
    </w:p>
    <w:p w14:paraId="32656018" w14:textId="77777777" w:rsidR="00D73985" w:rsidRPr="00ED5C33" w:rsidRDefault="00D73985" w:rsidP="00D73985">
      <w:pPr>
        <w:pStyle w:val="BodyText2"/>
        <w:tabs>
          <w:tab w:val="left" w:pos="993"/>
        </w:tabs>
        <w:ind w:firstLine="709"/>
        <w:rPr>
          <w:szCs w:val="28"/>
        </w:rPr>
      </w:pPr>
    </w:p>
    <w:p w14:paraId="5BBD88E6" w14:textId="77777777" w:rsidR="00B202D0" w:rsidRPr="00ED5C33" w:rsidRDefault="00B202D0" w:rsidP="00D73985">
      <w:pPr>
        <w:pStyle w:val="BodyText2"/>
        <w:tabs>
          <w:tab w:val="num" w:pos="-5387"/>
        </w:tabs>
        <w:ind w:firstLine="720"/>
        <w:rPr>
          <w:szCs w:val="28"/>
        </w:rPr>
      </w:pPr>
    </w:p>
    <w:p w14:paraId="5BBD88E7" w14:textId="78E98A23" w:rsidR="009C05F8" w:rsidRPr="00ED5C33" w:rsidRDefault="00D73985" w:rsidP="00BF0C64">
      <w:pPr>
        <w:tabs>
          <w:tab w:val="left" w:pos="6804"/>
        </w:tabs>
        <w:spacing w:after="0" w:line="240" w:lineRule="auto"/>
        <w:ind w:right="-766"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Ministru prezidents</w:t>
      </w:r>
      <w:r>
        <w:rPr>
          <w:rFonts w:ascii="Times New Roman" w:eastAsia="Calibri" w:hAnsi="Times New Roman"/>
          <w:sz w:val="28"/>
          <w:szCs w:val="28"/>
        </w:rPr>
        <w:tab/>
      </w:r>
      <w:r w:rsidR="009C05F8"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14:paraId="735FA12B" w14:textId="77777777" w:rsidR="00D73985" w:rsidRDefault="00D73985" w:rsidP="00BF0C64">
      <w:pPr>
        <w:pStyle w:val="Heading2"/>
        <w:tabs>
          <w:tab w:val="left" w:pos="6804"/>
        </w:tabs>
        <w:ind w:firstLine="709"/>
        <w:rPr>
          <w:szCs w:val="28"/>
        </w:rPr>
      </w:pPr>
    </w:p>
    <w:p w14:paraId="36B6F6B1" w14:textId="77777777" w:rsidR="00D73985" w:rsidRDefault="00D73985" w:rsidP="00BF0C64">
      <w:pPr>
        <w:pStyle w:val="Heading2"/>
        <w:tabs>
          <w:tab w:val="left" w:pos="6804"/>
        </w:tabs>
        <w:ind w:firstLine="709"/>
        <w:rPr>
          <w:szCs w:val="28"/>
        </w:rPr>
      </w:pPr>
    </w:p>
    <w:p w14:paraId="2422B8BF" w14:textId="77777777" w:rsidR="00D73985" w:rsidRDefault="00D73985" w:rsidP="00BF0C64">
      <w:pPr>
        <w:pStyle w:val="Heading2"/>
        <w:tabs>
          <w:tab w:val="left" w:pos="6804"/>
        </w:tabs>
        <w:ind w:firstLine="709"/>
        <w:rPr>
          <w:szCs w:val="28"/>
        </w:rPr>
      </w:pPr>
    </w:p>
    <w:p w14:paraId="5BBD88E8" w14:textId="430E3FE5" w:rsidR="009C05F8" w:rsidRPr="00ED5C33" w:rsidRDefault="009C05F8" w:rsidP="00BF0C64">
      <w:pPr>
        <w:pStyle w:val="Heading2"/>
        <w:tabs>
          <w:tab w:val="left" w:pos="6804"/>
        </w:tabs>
        <w:ind w:firstLine="709"/>
        <w:rPr>
          <w:szCs w:val="28"/>
        </w:rPr>
      </w:pPr>
      <w:r w:rsidRPr="00ED5C33">
        <w:rPr>
          <w:szCs w:val="28"/>
        </w:rPr>
        <w:t>Valsts kancelejas direktors</w:t>
      </w:r>
      <w:r w:rsidRPr="00ED5C33">
        <w:rPr>
          <w:szCs w:val="28"/>
        </w:rPr>
        <w:tab/>
        <w:t>Mārtiņš Krieviņš</w:t>
      </w:r>
    </w:p>
    <w:sectPr w:rsidR="009C05F8" w:rsidRPr="00ED5C33" w:rsidSect="00006A7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88F0" w14:textId="77777777" w:rsidR="006B78AF" w:rsidRDefault="006B78AF" w:rsidP="001E776B">
      <w:pPr>
        <w:spacing w:after="0" w:line="240" w:lineRule="auto"/>
      </w:pPr>
      <w:r>
        <w:separator/>
      </w:r>
    </w:p>
  </w:endnote>
  <w:endnote w:type="continuationSeparator" w:id="0">
    <w:p w14:paraId="5BBD88F1" w14:textId="77777777" w:rsidR="006B78AF" w:rsidRDefault="006B78AF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D5FC" w14:textId="77777777" w:rsidR="00D73985" w:rsidRPr="00D73985" w:rsidRDefault="00D73985" w:rsidP="00D7398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2790z6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DCC7B" w14:textId="5A25218B" w:rsidR="00D73985" w:rsidRPr="00D73985" w:rsidRDefault="00D7398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2790z6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D88EE" w14:textId="77777777" w:rsidR="006B78AF" w:rsidRDefault="006B78AF" w:rsidP="001E776B">
      <w:pPr>
        <w:spacing w:after="0" w:line="240" w:lineRule="auto"/>
      </w:pPr>
      <w:r>
        <w:separator/>
      </w:r>
    </w:p>
  </w:footnote>
  <w:footnote w:type="continuationSeparator" w:id="0">
    <w:p w14:paraId="5BBD88EF" w14:textId="77777777" w:rsidR="006B78AF" w:rsidRDefault="006B78AF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2622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D0417D8" w14:textId="6934CD48" w:rsidR="00D73985" w:rsidRPr="00D73985" w:rsidRDefault="00D7398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73985">
          <w:rPr>
            <w:rFonts w:ascii="Times New Roman" w:hAnsi="Times New Roman"/>
            <w:sz w:val="24"/>
            <w:szCs w:val="24"/>
          </w:rPr>
          <w:fldChar w:fldCharType="begin"/>
        </w:r>
        <w:r w:rsidRPr="00D7398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73985">
          <w:rPr>
            <w:rFonts w:ascii="Times New Roman" w:hAnsi="Times New Roman"/>
            <w:sz w:val="24"/>
            <w:szCs w:val="24"/>
          </w:rPr>
          <w:fldChar w:fldCharType="separate"/>
        </w:r>
        <w:r w:rsidR="002900CC">
          <w:rPr>
            <w:rFonts w:ascii="Times New Roman" w:hAnsi="Times New Roman"/>
            <w:noProof/>
            <w:sz w:val="24"/>
            <w:szCs w:val="24"/>
          </w:rPr>
          <w:t>2</w:t>
        </w:r>
        <w:r w:rsidRPr="00D7398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1FBC483" w14:textId="30BE90B8" w:rsidR="00D73985" w:rsidRPr="00D73985" w:rsidRDefault="00D73985" w:rsidP="00D73985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BE1D3" w14:textId="77777777" w:rsidR="00D73985" w:rsidRPr="00D73985" w:rsidRDefault="00D73985">
    <w:pPr>
      <w:pStyle w:val="Header"/>
      <w:rPr>
        <w:rFonts w:ascii="Times New Roman" w:hAnsi="Times New Roman"/>
        <w:sz w:val="28"/>
        <w:szCs w:val="28"/>
      </w:rPr>
    </w:pPr>
  </w:p>
  <w:p w14:paraId="0AA30053" w14:textId="77777777" w:rsidR="00D73985" w:rsidRPr="00D73985" w:rsidRDefault="00D73985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D73985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2A501FF5" w14:textId="77777777" w:rsidR="00D73985" w:rsidRPr="00D73985" w:rsidRDefault="00D73985">
    <w:pPr>
      <w:pStyle w:val="Header"/>
      <w:rPr>
        <w:rFonts w:ascii="Times New Roman" w:hAnsi="Times New Roman"/>
        <w:sz w:val="28"/>
        <w:szCs w:val="28"/>
      </w:rPr>
    </w:pPr>
  </w:p>
  <w:p w14:paraId="17653001" w14:textId="5ADA7AB9" w:rsidR="00D73985" w:rsidRPr="00D73985" w:rsidRDefault="00D73985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E6"/>
    <w:rsid w:val="00006A71"/>
    <w:rsid w:val="000154E3"/>
    <w:rsid w:val="0003545F"/>
    <w:rsid w:val="000618B4"/>
    <w:rsid w:val="00066C9E"/>
    <w:rsid w:val="000755A6"/>
    <w:rsid w:val="00076EFC"/>
    <w:rsid w:val="00077B61"/>
    <w:rsid w:val="000D44C9"/>
    <w:rsid w:val="001220E6"/>
    <w:rsid w:val="0015153B"/>
    <w:rsid w:val="00165295"/>
    <w:rsid w:val="0019611F"/>
    <w:rsid w:val="001B41BD"/>
    <w:rsid w:val="001B6463"/>
    <w:rsid w:val="001B6BDE"/>
    <w:rsid w:val="001C3080"/>
    <w:rsid w:val="001E06C7"/>
    <w:rsid w:val="001E5926"/>
    <w:rsid w:val="001E776B"/>
    <w:rsid w:val="00204B87"/>
    <w:rsid w:val="002900CC"/>
    <w:rsid w:val="002B09F8"/>
    <w:rsid w:val="0037686E"/>
    <w:rsid w:val="003965DE"/>
    <w:rsid w:val="00407A38"/>
    <w:rsid w:val="00430819"/>
    <w:rsid w:val="004F0D54"/>
    <w:rsid w:val="004F1BBF"/>
    <w:rsid w:val="004F6E47"/>
    <w:rsid w:val="005161B7"/>
    <w:rsid w:val="0051685B"/>
    <w:rsid w:val="00542713"/>
    <w:rsid w:val="00553B76"/>
    <w:rsid w:val="005A4126"/>
    <w:rsid w:val="006B78AF"/>
    <w:rsid w:val="00740B1F"/>
    <w:rsid w:val="0074102C"/>
    <w:rsid w:val="00765669"/>
    <w:rsid w:val="00782F35"/>
    <w:rsid w:val="007A34F0"/>
    <w:rsid w:val="007C362C"/>
    <w:rsid w:val="007C54AB"/>
    <w:rsid w:val="007E1FA5"/>
    <w:rsid w:val="00803C92"/>
    <w:rsid w:val="00836378"/>
    <w:rsid w:val="00854702"/>
    <w:rsid w:val="00917F2E"/>
    <w:rsid w:val="009201A9"/>
    <w:rsid w:val="00947359"/>
    <w:rsid w:val="009668E9"/>
    <w:rsid w:val="009C05F8"/>
    <w:rsid w:val="009F0838"/>
    <w:rsid w:val="00B202D0"/>
    <w:rsid w:val="00B463FA"/>
    <w:rsid w:val="00B86004"/>
    <w:rsid w:val="00BF0C64"/>
    <w:rsid w:val="00C32646"/>
    <w:rsid w:val="00C5321C"/>
    <w:rsid w:val="00C61F07"/>
    <w:rsid w:val="00CA15F8"/>
    <w:rsid w:val="00CE44CF"/>
    <w:rsid w:val="00D203FA"/>
    <w:rsid w:val="00D73985"/>
    <w:rsid w:val="00ED5C33"/>
    <w:rsid w:val="00ED6BF3"/>
    <w:rsid w:val="00EE3A8E"/>
    <w:rsid w:val="00F46326"/>
    <w:rsid w:val="00F92521"/>
    <w:rsid w:val="00FA7904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BD8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9473-9493-44B6-8B4C-DDDB3F00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veselības reformas pasākumu īstenošanu 2017.gadā</vt:lpstr>
    </vt:vector>
  </TitlesOfParts>
  <Company>Veselības ministrija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veselības reformas pasākumu īstenošanu 2017.gadā</dc:title>
  <dc:subject>Protokollēmums</dc:subject>
  <dc:creator>Āris Kasparāns</dc:creator>
  <cp:keywords/>
  <dc:description>Āris Kasparāns
Veselības ministrijas
Resursu vadības departamenta direktors 
Tālr. Nr. 67876043
Aris.Kasparans@vm.gov.lv</dc:description>
  <cp:lastModifiedBy>Lilija Kampāne</cp:lastModifiedBy>
  <cp:revision>12</cp:revision>
  <cp:lastPrinted>2016-12-19T13:35:00Z</cp:lastPrinted>
  <dcterms:created xsi:type="dcterms:W3CDTF">2016-12-15T15:04:00Z</dcterms:created>
  <dcterms:modified xsi:type="dcterms:W3CDTF">2016-12-19T13:35:00Z</dcterms:modified>
</cp:coreProperties>
</file>