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1D" w:rsidRPr="00032F15" w:rsidRDefault="002C3F1D" w:rsidP="002C3F1D">
      <w:pPr>
        <w:ind w:right="-625"/>
        <w:jc w:val="center"/>
        <w:rPr>
          <w:rFonts w:cs="Times New Roman"/>
          <w:b/>
          <w:sz w:val="24"/>
          <w:szCs w:val="24"/>
        </w:rPr>
      </w:pPr>
      <w:bookmarkStart w:id="0" w:name="468683"/>
      <w:bookmarkStart w:id="1" w:name="_GoBack"/>
      <w:bookmarkEnd w:id="0"/>
      <w:bookmarkEnd w:id="1"/>
      <w:r w:rsidRPr="00032F15">
        <w:rPr>
          <w:rFonts w:cs="Times New Roman"/>
          <w:b/>
          <w:sz w:val="24"/>
          <w:szCs w:val="24"/>
          <w:lang w:val="lv-LV"/>
        </w:rPr>
        <w:t>Ministru kabineta noteikumu projekta „</w:t>
      </w:r>
      <w:r w:rsidRPr="00032F15">
        <w:rPr>
          <w:rFonts w:cs="Times New Roman"/>
          <w:b/>
          <w:sz w:val="24"/>
          <w:szCs w:val="24"/>
        </w:rPr>
        <w:t xml:space="preserve">Par </w:t>
      </w:r>
      <w:r w:rsidRPr="00032F15">
        <w:rPr>
          <w:rFonts w:cs="Times New Roman"/>
          <w:b/>
          <w:sz w:val="24"/>
          <w:szCs w:val="24"/>
          <w:lang w:val="lv-LV"/>
        </w:rPr>
        <w:t xml:space="preserve">Latvijas Republikas valdības un Amerikas Savienoto Valstu valdības </w:t>
      </w:r>
      <w:r w:rsidR="0018498A" w:rsidRPr="00032F15">
        <w:rPr>
          <w:rFonts w:cs="Times New Roman"/>
          <w:b/>
          <w:sz w:val="24"/>
          <w:szCs w:val="24"/>
          <w:lang w:val="lv-LV"/>
        </w:rPr>
        <w:t>savstarpējo līgumu</w:t>
      </w:r>
      <w:r w:rsidRPr="00032F15">
        <w:rPr>
          <w:rFonts w:cs="Times New Roman"/>
          <w:b/>
          <w:sz w:val="24"/>
          <w:szCs w:val="24"/>
          <w:lang w:val="lv-LV"/>
        </w:rPr>
        <w:t xml:space="preserve"> par iepirkumiem aizsardzības vajadzībām</w:t>
      </w:r>
      <w:r w:rsidRPr="00032F15">
        <w:rPr>
          <w:rFonts w:cs="Times New Roman"/>
          <w:sz w:val="24"/>
          <w:szCs w:val="24"/>
          <w:lang w:val="lv-LV"/>
        </w:rPr>
        <w:t xml:space="preserve">” </w:t>
      </w:r>
      <w:r w:rsidRPr="00032F15">
        <w:rPr>
          <w:rFonts w:cs="Times New Roman"/>
          <w:b/>
          <w:bCs/>
          <w:sz w:val="24"/>
          <w:szCs w:val="24"/>
          <w:lang w:val="lv-LV" w:eastAsia="lv-LV"/>
        </w:rPr>
        <w:t>sākotnējās ietekmes novērtējuma ziņojums (anotācija)</w:t>
      </w:r>
    </w:p>
    <w:p w:rsidR="0026236D" w:rsidRPr="00032F15" w:rsidRDefault="0026236D">
      <w:pPr>
        <w:rPr>
          <w:rFonts w:cs="Times New Roman"/>
          <w:sz w:val="24"/>
          <w:szCs w:val="24"/>
          <w:lang w:val="lv-LV"/>
        </w:rPr>
      </w:pPr>
    </w:p>
    <w:p w:rsidR="002C3F1D" w:rsidRPr="00032F15" w:rsidRDefault="002C3F1D">
      <w:pPr>
        <w:rPr>
          <w:rFonts w:cs="Times New Roman"/>
          <w:sz w:val="24"/>
          <w:szCs w:val="24"/>
          <w:lang w:val="lv-LV"/>
        </w:rPr>
      </w:pPr>
    </w:p>
    <w:tbl>
      <w:tblPr>
        <w:tblW w:w="5482"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3"/>
        <w:gridCol w:w="412"/>
        <w:gridCol w:w="1739"/>
        <w:gridCol w:w="505"/>
        <w:gridCol w:w="5699"/>
      </w:tblGrid>
      <w:tr w:rsidR="002C3F1D" w:rsidRPr="00905145" w:rsidTr="0080789E">
        <w:trPr>
          <w:trHeight w:val="391"/>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rsidR="002C3F1D" w:rsidRPr="00032F15" w:rsidRDefault="002C3F1D" w:rsidP="00FB2182">
            <w:pPr>
              <w:spacing w:before="100" w:beforeAutospacing="1" w:after="100" w:afterAutospacing="1" w:line="360" w:lineRule="auto"/>
              <w:ind w:firstLine="300"/>
              <w:jc w:val="center"/>
              <w:rPr>
                <w:rFonts w:cs="Times New Roman"/>
                <w:b/>
                <w:bCs/>
                <w:sz w:val="24"/>
                <w:szCs w:val="24"/>
                <w:lang w:val="lv-LV" w:eastAsia="lv-LV"/>
              </w:rPr>
            </w:pPr>
            <w:r w:rsidRPr="00032F15">
              <w:rPr>
                <w:rFonts w:cs="Times New Roman"/>
                <w:b/>
                <w:bCs/>
                <w:sz w:val="24"/>
                <w:szCs w:val="24"/>
                <w:lang w:val="lv-LV" w:eastAsia="lv-LV"/>
              </w:rPr>
              <w:t>I. Tiesību akta projekta izstrādes nepieciešamība</w:t>
            </w:r>
          </w:p>
        </w:tc>
      </w:tr>
      <w:tr w:rsidR="002C3F1D" w:rsidRPr="00905145" w:rsidTr="0080789E">
        <w:trPr>
          <w:trHeight w:val="391"/>
          <w:tblCellSpacing w:w="15" w:type="dxa"/>
        </w:trPr>
        <w:tc>
          <w:tcPr>
            <w:tcW w:w="785" w:type="pct"/>
            <w:gridSpan w:val="2"/>
            <w:tcBorders>
              <w:top w:val="outset" w:sz="6" w:space="0" w:color="auto"/>
              <w:left w:val="outset" w:sz="6" w:space="0" w:color="auto"/>
              <w:bottom w:val="outset" w:sz="6" w:space="0" w:color="auto"/>
              <w:right w:val="outset" w:sz="6" w:space="0" w:color="auto"/>
            </w:tcBorders>
            <w:hideMark/>
          </w:tcPr>
          <w:p w:rsidR="002C3F1D" w:rsidRPr="00032F15" w:rsidRDefault="002C3F1D" w:rsidP="0080789E">
            <w:pPr>
              <w:spacing w:before="100" w:beforeAutospacing="1" w:after="100" w:afterAutospacing="1" w:line="360" w:lineRule="auto"/>
              <w:ind w:firstLine="300"/>
              <w:jc w:val="center"/>
              <w:rPr>
                <w:rFonts w:cs="Times New Roman"/>
                <w:sz w:val="24"/>
                <w:szCs w:val="24"/>
                <w:lang w:val="lv-LV" w:eastAsia="lv-LV"/>
              </w:rPr>
            </w:pPr>
            <w:r w:rsidRPr="00032F15">
              <w:rPr>
                <w:rFonts w:cs="Times New Roman"/>
                <w:sz w:val="24"/>
                <w:szCs w:val="24"/>
                <w:lang w:val="lv-LV" w:eastAsia="lv-LV"/>
              </w:rPr>
              <w:t>1.</w:t>
            </w:r>
          </w:p>
        </w:tc>
        <w:tc>
          <w:tcPr>
            <w:tcW w:w="912" w:type="pct"/>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rPr>
            </w:pPr>
            <w:r w:rsidRPr="00032F15">
              <w:rPr>
                <w:rFonts w:cs="Times New Roman"/>
                <w:sz w:val="24"/>
                <w:szCs w:val="24"/>
                <w:lang w:val="lv-LV" w:eastAsia="lv-LV"/>
              </w:rPr>
              <w:t>Pamatojums</w:t>
            </w:r>
          </w:p>
        </w:tc>
        <w:tc>
          <w:tcPr>
            <w:tcW w:w="3240" w:type="pct"/>
            <w:gridSpan w:val="2"/>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jc w:val="both"/>
              <w:rPr>
                <w:rFonts w:cs="Times New Roman"/>
                <w:sz w:val="24"/>
                <w:szCs w:val="24"/>
                <w:lang w:val="lv-LV" w:eastAsia="lv-LV"/>
              </w:rPr>
            </w:pPr>
            <w:r w:rsidRPr="00032F15">
              <w:rPr>
                <w:rFonts w:cs="Times New Roman"/>
                <w:sz w:val="24"/>
                <w:szCs w:val="24"/>
                <w:lang w:val="lv-LV" w:eastAsia="lv-LV" w:bidi="ar-SA"/>
              </w:rPr>
              <w:t xml:space="preserve">Noteikumu projekts izstrādāts pēc Aizsardzības ministrijas iniciatīvas, lai īstenotu Valsts aizsardzības koncepcijā </w:t>
            </w:r>
            <w:r w:rsidRPr="00032F15">
              <w:rPr>
                <w:rFonts w:cs="Times New Roman"/>
                <w:sz w:val="24"/>
                <w:szCs w:val="24"/>
                <w:lang w:val="lv-LV"/>
              </w:rPr>
              <w:t xml:space="preserve">(apstiprināta MK 2016. gada 24. maijā un Saeimā 2016. gada 16. jūnijā) </w:t>
            </w:r>
            <w:r w:rsidRPr="00032F15">
              <w:rPr>
                <w:rFonts w:cs="Times New Roman"/>
                <w:sz w:val="24"/>
                <w:szCs w:val="24"/>
                <w:lang w:val="lv-LV" w:eastAsia="lv-LV" w:bidi="ar-SA"/>
              </w:rPr>
              <w:t>iestrādāto principu efektīvākai Amerikas Savienoto valstu (turpmāk – ASV) iesaistei drošības stiprināšanā – ar iepirkumu palīdzību attīstīt militāri industriālo sadarbību starp Latvijas Republiku un ASV (65. punkts).</w:t>
            </w:r>
          </w:p>
        </w:tc>
      </w:tr>
      <w:tr w:rsidR="002C3F1D" w:rsidRPr="00905145" w:rsidTr="0080789E">
        <w:trPr>
          <w:trHeight w:val="2916"/>
          <w:tblCellSpacing w:w="15" w:type="dxa"/>
        </w:trPr>
        <w:tc>
          <w:tcPr>
            <w:tcW w:w="785" w:type="pct"/>
            <w:gridSpan w:val="2"/>
            <w:tcBorders>
              <w:top w:val="outset" w:sz="6" w:space="0" w:color="auto"/>
              <w:left w:val="outset" w:sz="6" w:space="0" w:color="auto"/>
              <w:bottom w:val="outset" w:sz="6" w:space="0" w:color="auto"/>
              <w:right w:val="outset" w:sz="6" w:space="0" w:color="auto"/>
            </w:tcBorders>
            <w:hideMark/>
          </w:tcPr>
          <w:p w:rsidR="002C3F1D" w:rsidRPr="00032F15" w:rsidRDefault="002C3F1D" w:rsidP="0080789E">
            <w:pPr>
              <w:spacing w:before="100" w:beforeAutospacing="1" w:after="100" w:afterAutospacing="1" w:line="360" w:lineRule="auto"/>
              <w:ind w:firstLine="300"/>
              <w:jc w:val="center"/>
              <w:rPr>
                <w:rFonts w:cs="Times New Roman"/>
                <w:sz w:val="24"/>
                <w:szCs w:val="24"/>
                <w:lang w:val="lv-LV" w:eastAsia="lv-LV"/>
              </w:rPr>
            </w:pPr>
            <w:r w:rsidRPr="00032F15">
              <w:rPr>
                <w:rFonts w:cs="Times New Roman"/>
                <w:sz w:val="24"/>
                <w:szCs w:val="24"/>
                <w:lang w:val="lv-LV" w:eastAsia="lv-LV"/>
              </w:rPr>
              <w:t>2.</w:t>
            </w:r>
          </w:p>
        </w:tc>
        <w:tc>
          <w:tcPr>
            <w:tcW w:w="912" w:type="pct"/>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rPr>
            </w:pPr>
            <w:r w:rsidRPr="00032F15">
              <w:rPr>
                <w:rFonts w:cs="Times New Roman"/>
                <w:sz w:val="24"/>
                <w:szCs w:val="24"/>
                <w:lang w:val="lv-LV" w:eastAsia="lv-LV"/>
              </w:rPr>
              <w:t>Pašreizējā situācija un problēmas, kuru risināšanai tiesību akta projekts izstrādāts, tiesiskā regulējuma mērķis un būtība</w:t>
            </w:r>
          </w:p>
        </w:tc>
        <w:tc>
          <w:tcPr>
            <w:tcW w:w="3240" w:type="pct"/>
            <w:gridSpan w:val="2"/>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pStyle w:val="tvhtmlmktable"/>
              <w:spacing w:before="0" w:beforeAutospacing="0" w:after="0" w:afterAutospacing="0"/>
              <w:jc w:val="both"/>
              <w:rPr>
                <w:lang w:eastAsia="en-US"/>
              </w:rPr>
            </w:pPr>
            <w:r w:rsidRPr="00032F15">
              <w:rPr>
                <w:lang w:eastAsia="en-US"/>
              </w:rPr>
              <w:t xml:space="preserve">ASV normatīvais akts </w:t>
            </w:r>
            <w:proofErr w:type="spellStart"/>
            <w:r w:rsidRPr="00032F15">
              <w:rPr>
                <w:i/>
                <w:lang w:eastAsia="en-US"/>
              </w:rPr>
              <w:t>Buy</w:t>
            </w:r>
            <w:proofErr w:type="spellEnd"/>
            <w:r w:rsidRPr="00032F15">
              <w:rPr>
                <w:i/>
                <w:lang w:eastAsia="en-US"/>
              </w:rPr>
              <w:t xml:space="preserve"> </w:t>
            </w:r>
            <w:proofErr w:type="spellStart"/>
            <w:r w:rsidRPr="00032F15">
              <w:rPr>
                <w:i/>
                <w:lang w:eastAsia="en-US"/>
              </w:rPr>
              <w:t>American</w:t>
            </w:r>
            <w:proofErr w:type="spellEnd"/>
            <w:r w:rsidRPr="00032F15">
              <w:rPr>
                <w:i/>
                <w:lang w:eastAsia="en-US"/>
              </w:rPr>
              <w:t xml:space="preserve"> </w:t>
            </w:r>
            <w:proofErr w:type="spellStart"/>
            <w:r w:rsidRPr="00032F15">
              <w:rPr>
                <w:i/>
                <w:lang w:eastAsia="en-US"/>
              </w:rPr>
              <w:t>Act</w:t>
            </w:r>
            <w:proofErr w:type="spellEnd"/>
            <w:r w:rsidRPr="00032F15">
              <w:rPr>
                <w:i/>
                <w:lang w:eastAsia="en-US"/>
              </w:rPr>
              <w:t xml:space="preserve"> </w:t>
            </w:r>
            <w:r w:rsidRPr="00032F15">
              <w:rPr>
                <w:lang w:eastAsia="en-US"/>
              </w:rPr>
              <w:t>nosaka, ka ASV valdībai, veicot iepirkumus, priekšroku jādod ASV uzņēmumu ražotajai produkcijai.</w:t>
            </w:r>
            <w:r w:rsidRPr="00032F15">
              <w:rPr>
                <w:i/>
                <w:lang w:eastAsia="en-US"/>
              </w:rPr>
              <w:t xml:space="preserve"> </w:t>
            </w:r>
            <w:r w:rsidRPr="00032F15">
              <w:rPr>
                <w:lang w:eastAsia="en-US"/>
              </w:rPr>
              <w:t xml:space="preserve">Līdz ar to Latvijas uzņēmumu dalība ASV iepirkumos ir ierobežota, kavējot </w:t>
            </w:r>
            <w:r w:rsidR="005C123C">
              <w:rPr>
                <w:lang w:eastAsia="en-US"/>
              </w:rPr>
              <w:t xml:space="preserve">Latvijas kā </w:t>
            </w:r>
            <w:r w:rsidRPr="00032F15">
              <w:t xml:space="preserve">Ziemeļatlantijas līguma organizācijas </w:t>
            </w:r>
            <w:r w:rsidR="005C123C" w:rsidRPr="00032F15">
              <w:t>dalībvalst</w:t>
            </w:r>
            <w:r w:rsidR="005C123C">
              <w:t>s</w:t>
            </w:r>
            <w:r w:rsidR="005C123C" w:rsidRPr="00032F15">
              <w:t xml:space="preserve"> </w:t>
            </w:r>
            <w:r w:rsidRPr="00032F15">
              <w:t>apņemšanās nodrošināt aizsardzības spēju savie</w:t>
            </w:r>
            <w:r w:rsidR="005C123C">
              <w:t>t</w:t>
            </w:r>
            <w:r w:rsidRPr="00032F15">
              <w:t xml:space="preserve">ojamības, savstarpējas aizstājamības un </w:t>
            </w:r>
            <w:proofErr w:type="spellStart"/>
            <w:r w:rsidRPr="00032F15">
              <w:t>koplietojamības</w:t>
            </w:r>
            <w:proofErr w:type="spellEnd"/>
            <w:r w:rsidRPr="00032F15">
              <w:t xml:space="preserve"> principu ievērošanu izpildi.</w:t>
            </w:r>
            <w:r w:rsidRPr="00032F15">
              <w:rPr>
                <w:lang w:eastAsia="en-US"/>
              </w:rPr>
              <w:t xml:space="preserve"> Lai novērstu šo situāciju, nepieciešama divpusēja Latvijas un ASV valdību līguma</w:t>
            </w:r>
            <w:r w:rsidRPr="00032F15">
              <w:rPr>
                <w:b/>
              </w:rPr>
              <w:t xml:space="preserve"> </w:t>
            </w:r>
            <w:r w:rsidRPr="00032F15">
              <w:t>par iepirkumiem aizsardzības vajadzībām</w:t>
            </w:r>
            <w:r w:rsidRPr="00032F15">
              <w:rPr>
                <w:lang w:eastAsia="en-US"/>
              </w:rPr>
              <w:t xml:space="preserve"> noslēgšana.</w:t>
            </w:r>
          </w:p>
          <w:p w:rsidR="002C3F1D" w:rsidRPr="00032F15" w:rsidRDefault="002C3F1D" w:rsidP="00FB2182">
            <w:pPr>
              <w:pStyle w:val="tvhtmlmktable"/>
              <w:spacing w:before="0" w:beforeAutospacing="0" w:after="0" w:afterAutospacing="0"/>
              <w:jc w:val="both"/>
              <w:rPr>
                <w:lang w:eastAsia="en-US"/>
              </w:rPr>
            </w:pPr>
            <w:r w:rsidRPr="00032F15">
              <w:rPr>
                <w:lang w:eastAsia="en-US"/>
              </w:rPr>
              <w:t>Līdz ar to Aizsardzības ministrija ar ASV Aizsardzības departamentu izstrādājuši starptautiskā līguma “</w:t>
            </w:r>
            <w:r w:rsidRPr="00032F15">
              <w:t>Latvijas Republikas valdības un Ameri</w:t>
            </w:r>
            <w:r w:rsidR="0018498A" w:rsidRPr="00032F15">
              <w:t xml:space="preserve">kas Savienoto Valstu valdības savstarpējais </w:t>
            </w:r>
            <w:r w:rsidRPr="00032F15">
              <w:t>līgums par iepirkumiem aizsardzības vajadzībām” (turpmāk – Līgums) projektu.</w:t>
            </w:r>
          </w:p>
          <w:p w:rsidR="002C3F1D" w:rsidRPr="00032F15" w:rsidRDefault="002C3F1D" w:rsidP="00FB2182">
            <w:pPr>
              <w:pStyle w:val="tvhtmlmktable"/>
              <w:spacing w:before="0" w:beforeAutospacing="0" w:after="0" w:afterAutospacing="0"/>
              <w:jc w:val="both"/>
              <w:rPr>
                <w:lang w:eastAsia="en-US"/>
              </w:rPr>
            </w:pPr>
            <w:r w:rsidRPr="00032F15">
              <w:rPr>
                <w:lang w:eastAsia="en-US"/>
              </w:rPr>
              <w:t xml:space="preserve">Līguma noslēgšana atvieglos ne tikai Latvijas uzņēmumu dalību ASV puses organizētajos iepirkumos, bet nodrošinās vienādotas iespējas abu valstu uzņēmējiem piedalīties otras valsts iepirkumu procedūrās. </w:t>
            </w:r>
            <w:r w:rsidRPr="00DD1E92">
              <w:rPr>
                <w:lang w:eastAsia="en-US"/>
              </w:rPr>
              <w:t>Līguma noslēgšana veicinās</w:t>
            </w:r>
            <w:r w:rsidR="008E71D8" w:rsidRPr="00DD1E92">
              <w:rPr>
                <w:lang w:eastAsia="en-US"/>
              </w:rPr>
              <w:t xml:space="preserve"> </w:t>
            </w:r>
            <w:r w:rsidR="008E71D8" w:rsidRPr="00DD1E92">
              <w:t xml:space="preserve">Ziemeļatlantijas līguma organizācijas dalībvalstu vairākkārt (tai skaitā NATO dalībvalstu Varšavas samitā) pausto apņemšanos nodrošināt aizsardzības spēju savietojamības, savstarpējās aizstājamības un </w:t>
            </w:r>
            <w:proofErr w:type="spellStart"/>
            <w:r w:rsidR="008E71D8" w:rsidRPr="00DD1E92">
              <w:t>koplietojamības</w:t>
            </w:r>
            <w:proofErr w:type="spellEnd"/>
            <w:r w:rsidR="008E71D8" w:rsidRPr="00DD1E92">
              <w:t xml:space="preserve"> principu ievērošanu,</w:t>
            </w:r>
            <w:r w:rsidRPr="00DD1E92">
              <w:rPr>
                <w:lang w:eastAsia="en-US"/>
              </w:rPr>
              <w:t xml:space="preserve"> Latvijas drošības un aizsardzības indus</w:t>
            </w:r>
            <w:r w:rsidRPr="00032F15">
              <w:rPr>
                <w:lang w:eastAsia="en-US"/>
              </w:rPr>
              <w:t xml:space="preserve">trijas rūpnieciskās bāzes attīstību, kā arī standartizācijas militārajā jomā nodrošināšanu abu valstu kā Ziemeļatlantijas līguma organizācijas dalībvalstu starpā. </w:t>
            </w:r>
          </w:p>
          <w:p w:rsidR="002C3F1D" w:rsidRDefault="002C3F1D" w:rsidP="00FB2182">
            <w:pPr>
              <w:pStyle w:val="BodyText"/>
              <w:tabs>
                <w:tab w:val="left" w:pos="503"/>
              </w:tabs>
              <w:ind w:left="23"/>
              <w:jc w:val="both"/>
              <w:rPr>
                <w:rFonts w:cs="Times New Roman"/>
                <w:noProof/>
                <w:sz w:val="24"/>
                <w:szCs w:val="24"/>
              </w:rPr>
            </w:pPr>
            <w:r w:rsidRPr="00032F15">
              <w:rPr>
                <w:rFonts w:cs="Times New Roman"/>
                <w:sz w:val="24"/>
                <w:szCs w:val="24"/>
                <w:lang w:eastAsia="en-US"/>
              </w:rPr>
              <w:t xml:space="preserve">Līgums </w:t>
            </w:r>
            <w:r w:rsidRPr="00032F15">
              <w:rPr>
                <w:rFonts w:cs="Times New Roman"/>
                <w:noProof/>
                <w:sz w:val="24"/>
                <w:szCs w:val="24"/>
              </w:rPr>
              <w:t xml:space="preserve">attiecas uz ASV Aizsardzības departamenta un Latvijas Republikas Aizsardzības ministrijas aizsardzības spējas iegūšanu, īstenojot izpēti un attīstību, izejvielu un materiālu, tostarp aizsardzības priekšmetu, iepirkumus un aizsardzības priekšmetu atbalsta pakalpojumu iepirkumus. Līgums nosaka procedūras savstarpēju iepirkumu realizācijai. Līgums neattiecas uz būvniecību un būvmateriāliem, kas tiek </w:t>
            </w:r>
            <w:r w:rsidRPr="00032F15">
              <w:rPr>
                <w:rFonts w:cs="Times New Roman"/>
                <w:noProof/>
                <w:sz w:val="24"/>
                <w:szCs w:val="24"/>
              </w:rPr>
              <w:lastRenderedPageBreak/>
              <w:t xml:space="preserve">piegādāti saskaņā ar būvlīgumiem. </w:t>
            </w:r>
            <w:r w:rsidR="003872E5" w:rsidRPr="00032F15">
              <w:rPr>
                <w:rFonts w:cs="Times New Roman"/>
                <w:noProof/>
                <w:sz w:val="24"/>
                <w:szCs w:val="24"/>
              </w:rPr>
              <w:t xml:space="preserve">Jāuzsver, ka šādu līgumu </w:t>
            </w:r>
            <w:r w:rsidR="00D771E1" w:rsidRPr="00032F15">
              <w:rPr>
                <w:rFonts w:cs="Times New Roman"/>
                <w:noProof/>
                <w:sz w:val="24"/>
                <w:szCs w:val="24"/>
              </w:rPr>
              <w:t xml:space="preserve">ar ASV 2016.gada 23.septembrī ir parakstījusi arī Igaunija un līguma teksts ir identisks </w:t>
            </w:r>
            <w:r w:rsidR="0018498A" w:rsidRPr="00032F15">
              <w:rPr>
                <w:rFonts w:cs="Times New Roman"/>
                <w:noProof/>
                <w:sz w:val="24"/>
                <w:szCs w:val="24"/>
              </w:rPr>
              <w:t xml:space="preserve">parakstāmajam Latvijas un ASV valdību </w:t>
            </w:r>
            <w:r w:rsidR="00D771E1" w:rsidRPr="00032F15">
              <w:rPr>
                <w:rFonts w:cs="Times New Roman"/>
                <w:noProof/>
                <w:sz w:val="24"/>
                <w:szCs w:val="24"/>
              </w:rPr>
              <w:t>līgumam.</w:t>
            </w:r>
          </w:p>
          <w:p w:rsidR="00B20CFD" w:rsidRPr="00DD1E92" w:rsidRDefault="00B20CFD" w:rsidP="00FB2182">
            <w:pPr>
              <w:pStyle w:val="BodyText"/>
              <w:tabs>
                <w:tab w:val="left" w:pos="503"/>
              </w:tabs>
              <w:ind w:left="23"/>
              <w:jc w:val="both"/>
              <w:rPr>
                <w:rFonts w:cs="Times New Roman"/>
                <w:noProof/>
                <w:sz w:val="24"/>
                <w:szCs w:val="24"/>
              </w:rPr>
            </w:pPr>
            <w:r w:rsidRPr="00010FCE">
              <w:t>Būtiska ir ASV puses prasība, kas izriet no pieņemtās prakses iepirkumu organizēšanā, kur iepirkuma organizētājs nepieciešamības gadījumā veic pārbaudi uzņēmēja, kas piedalās iepirkumā, telpās. Katrā atsevišķā gadījumā šādi nosacījumi tiek izvirzīti arī dalībai iepirkumā un iesniedzot piedāvājumu komersants arī apliecina, ka piekrīt šo prasību izpildei. Attiecīgi šāds nosacījums ir ietverts līgumā ar mērķi noteikt, ka Latvijas valsts institūcijas uz šādiem gadījumiem neattiecina industriālās aizsardzības politiku un nerada šķēršļus otras puses iepirkumu veicēja pārstāvjiem apmeklēt Latvijas uzņēmumu telpas</w:t>
            </w:r>
            <w:r w:rsidRPr="00DD1E92">
              <w:t>.</w:t>
            </w:r>
          </w:p>
          <w:p w:rsidR="005C123C" w:rsidRPr="00DD1E92" w:rsidRDefault="00D771E1" w:rsidP="007C1674">
            <w:pPr>
              <w:pStyle w:val="BodyText"/>
              <w:tabs>
                <w:tab w:val="left" w:pos="503"/>
              </w:tabs>
              <w:ind w:left="23"/>
              <w:jc w:val="both"/>
              <w:rPr>
                <w:rFonts w:cs="Times New Roman"/>
                <w:noProof/>
                <w:sz w:val="24"/>
                <w:szCs w:val="24"/>
              </w:rPr>
            </w:pPr>
            <w:r w:rsidRPr="00DD1E92">
              <w:rPr>
                <w:rFonts w:cs="Times New Roman"/>
                <w:noProof/>
                <w:sz w:val="24"/>
                <w:szCs w:val="24"/>
              </w:rPr>
              <w:t>Papildus jānorāda, ka līgums tiek noslēgts angļu valodā</w:t>
            </w:r>
            <w:r w:rsidR="005C123C" w:rsidRPr="00DD1E92">
              <w:rPr>
                <w:rFonts w:cs="Times New Roman"/>
                <w:noProof/>
                <w:sz w:val="24"/>
                <w:szCs w:val="24"/>
              </w:rPr>
              <w:t>.</w:t>
            </w:r>
            <w:r w:rsidRPr="00DD1E92">
              <w:rPr>
                <w:rFonts w:cs="Times New Roman"/>
                <w:noProof/>
                <w:sz w:val="24"/>
                <w:szCs w:val="24"/>
              </w:rPr>
              <w:t xml:space="preserve"> </w:t>
            </w:r>
            <w:r w:rsidR="008761DF">
              <w:rPr>
                <w:rFonts w:cs="Times New Roman"/>
                <w:noProof/>
                <w:sz w:val="24"/>
                <w:szCs w:val="24"/>
              </w:rPr>
              <w:t>T</w:t>
            </w:r>
            <w:r w:rsidR="005C123C" w:rsidRPr="00DD1E92">
              <w:rPr>
                <w:rFonts w:cs="Times New Roman"/>
                <w:noProof/>
                <w:sz w:val="24"/>
                <w:szCs w:val="24"/>
              </w:rPr>
              <w:t>iesību aktu projektam pievienots tulkojums</w:t>
            </w:r>
            <w:r w:rsidR="008761DF">
              <w:rPr>
                <w:rFonts w:cs="Times New Roman"/>
                <w:noProof/>
                <w:sz w:val="24"/>
                <w:szCs w:val="24"/>
              </w:rPr>
              <w:t xml:space="preserve"> latviešu valodā.</w:t>
            </w:r>
            <w:r w:rsidRPr="00DD1E92">
              <w:rPr>
                <w:rFonts w:cs="Times New Roman"/>
                <w:noProof/>
                <w:sz w:val="24"/>
                <w:szCs w:val="24"/>
              </w:rPr>
              <w:t xml:space="preserve"> </w:t>
            </w:r>
          </w:p>
          <w:p w:rsidR="005C123C" w:rsidRPr="00DD1E92" w:rsidRDefault="00EF6C60" w:rsidP="007C1674">
            <w:pPr>
              <w:pStyle w:val="BodyText"/>
              <w:tabs>
                <w:tab w:val="left" w:pos="503"/>
              </w:tabs>
              <w:ind w:left="23"/>
              <w:jc w:val="both"/>
              <w:rPr>
                <w:rFonts w:cs="Times New Roman"/>
                <w:noProof/>
                <w:sz w:val="24"/>
                <w:szCs w:val="24"/>
              </w:rPr>
            </w:pPr>
            <w:r w:rsidRPr="00DD1E92">
              <w:rPr>
                <w:rFonts w:cs="Times New Roman"/>
                <w:noProof/>
                <w:sz w:val="24"/>
                <w:szCs w:val="24"/>
              </w:rPr>
              <w:t>Tā kā l</w:t>
            </w:r>
            <w:r w:rsidR="003B0463" w:rsidRPr="00DD1E92">
              <w:rPr>
                <w:rFonts w:cs="Times New Roman"/>
                <w:noProof/>
                <w:sz w:val="24"/>
                <w:szCs w:val="24"/>
              </w:rPr>
              <w:t>īgums skar ne tikai</w:t>
            </w:r>
            <w:r w:rsidRPr="00DD1E92">
              <w:rPr>
                <w:rFonts w:cs="Times New Roman"/>
                <w:noProof/>
                <w:sz w:val="24"/>
                <w:szCs w:val="24"/>
              </w:rPr>
              <w:t xml:space="preserve"> </w:t>
            </w:r>
            <w:r w:rsidR="005C123C" w:rsidRPr="00DD1E92">
              <w:rPr>
                <w:rFonts w:cs="Times New Roman"/>
                <w:noProof/>
                <w:sz w:val="24"/>
                <w:szCs w:val="24"/>
              </w:rPr>
              <w:t xml:space="preserve"> Aizsardzība ministrijas komptenci, bet arī Latvijas uzņēmējus</w:t>
            </w:r>
            <w:r w:rsidRPr="00DD1E92">
              <w:rPr>
                <w:rFonts w:cs="Times New Roman"/>
                <w:noProof/>
                <w:sz w:val="24"/>
                <w:szCs w:val="24"/>
              </w:rPr>
              <w:t>,</w:t>
            </w:r>
            <w:r w:rsidR="005C123C" w:rsidRPr="00DD1E92">
              <w:rPr>
                <w:rFonts w:cs="Times New Roman"/>
                <w:noProof/>
                <w:sz w:val="24"/>
                <w:szCs w:val="24"/>
              </w:rPr>
              <w:t xml:space="preserve"> un ASV noteiktā puse šāda veida līguma noslēgšanai ir valsts valdība,</w:t>
            </w:r>
            <w:r w:rsidRPr="00DD1E92">
              <w:rPr>
                <w:rFonts w:cs="Times New Roman"/>
                <w:noProof/>
                <w:sz w:val="24"/>
                <w:szCs w:val="24"/>
              </w:rPr>
              <w:t xml:space="preserve"> tad</w:t>
            </w:r>
            <w:r w:rsidR="005C123C" w:rsidRPr="00DD1E92">
              <w:rPr>
                <w:rFonts w:cs="Times New Roman"/>
                <w:noProof/>
                <w:sz w:val="24"/>
                <w:szCs w:val="24"/>
              </w:rPr>
              <w:t xml:space="preserve"> attiecīgi</w:t>
            </w:r>
            <w:r w:rsidRPr="00DD1E92">
              <w:rPr>
                <w:rFonts w:cs="Times New Roman"/>
                <w:noProof/>
                <w:sz w:val="24"/>
                <w:szCs w:val="24"/>
              </w:rPr>
              <w:t xml:space="preserve"> </w:t>
            </w:r>
            <w:r w:rsidR="005C123C" w:rsidRPr="00DD1E92">
              <w:rPr>
                <w:rFonts w:cs="Times New Roman"/>
                <w:noProof/>
                <w:sz w:val="24"/>
                <w:szCs w:val="24"/>
              </w:rPr>
              <w:t xml:space="preserve">līgumu </w:t>
            </w:r>
            <w:r w:rsidRPr="00DD1E92">
              <w:rPr>
                <w:rFonts w:cs="Times New Roman"/>
                <w:noProof/>
                <w:sz w:val="24"/>
                <w:szCs w:val="24"/>
              </w:rPr>
              <w:t>paredzēts slēgt starp abu valstu valdībām.</w:t>
            </w:r>
          </w:p>
          <w:p w:rsidR="00602F43" w:rsidRPr="00DD1E92" w:rsidRDefault="00EF6C60" w:rsidP="007C1674">
            <w:pPr>
              <w:pStyle w:val="BodyText"/>
              <w:tabs>
                <w:tab w:val="left" w:pos="503"/>
              </w:tabs>
              <w:ind w:left="23"/>
              <w:jc w:val="both"/>
              <w:rPr>
                <w:rFonts w:cs="Times New Roman"/>
                <w:noProof/>
                <w:sz w:val="24"/>
                <w:szCs w:val="24"/>
              </w:rPr>
            </w:pPr>
            <w:r w:rsidRPr="00DD1E92">
              <w:rPr>
                <w:rFonts w:cs="Times New Roman"/>
                <w:noProof/>
                <w:sz w:val="24"/>
                <w:szCs w:val="24"/>
              </w:rPr>
              <w:t>Līgums neparedz atšķirīgu regulējumu no spēkā esošajiem nacionālajiem tiesību aktiem iepirkumu jomā.</w:t>
            </w:r>
          </w:p>
          <w:p w:rsidR="002C3F1D" w:rsidRPr="00DD1E92" w:rsidRDefault="00602F43" w:rsidP="007C1674">
            <w:pPr>
              <w:pStyle w:val="BodyText"/>
              <w:tabs>
                <w:tab w:val="left" w:pos="503"/>
              </w:tabs>
              <w:ind w:left="23"/>
              <w:jc w:val="both"/>
              <w:rPr>
                <w:rFonts w:cs="Times New Roman"/>
                <w:noProof/>
                <w:sz w:val="24"/>
                <w:szCs w:val="24"/>
              </w:rPr>
            </w:pPr>
            <w:r w:rsidRPr="00DD1E92">
              <w:t>Līguma pielikumos varētu tikt iekļauta līguma nosacījumus precizējoša, bet ne tos būtiski mainoša informācija. Līdz ar to</w:t>
            </w:r>
            <w:r w:rsidR="005C123C" w:rsidRPr="00DD1E92">
              <w:t>, lai to nodrošinātu,</w:t>
            </w:r>
            <w:r w:rsidRPr="00DD1E92">
              <w:t xml:space="preserve"> </w:t>
            </w:r>
            <w:r w:rsidR="005C123C" w:rsidRPr="00DD1E92">
              <w:t>paredzēts nosacījums</w:t>
            </w:r>
            <w:r w:rsidR="00D72FBC" w:rsidRPr="00DD1E92">
              <w:t xml:space="preserve">, ka gadījumā, ja rodas pretrunas starp līguma un tā pielikumu noteikumiem, tad </w:t>
            </w:r>
            <w:r w:rsidRPr="00DD1E92">
              <w:t>līguma pamatteksts būs noteicošais attiecībā pret pielikumu. Grozījumi tiks veikti ar atsevišķu vienošanos un kļūs par līguma neatņemamu sastāvdaļu.</w:t>
            </w:r>
            <w:r w:rsidR="0080789E" w:rsidRPr="00DD1E92">
              <w:rPr>
                <w:rFonts w:cs="Times New Roman"/>
                <w:noProof/>
                <w:sz w:val="24"/>
                <w:szCs w:val="24"/>
              </w:rPr>
              <w:t xml:space="preserve"> </w:t>
            </w:r>
          </w:p>
          <w:p w:rsidR="0080789E" w:rsidRPr="00032F15" w:rsidRDefault="0080789E" w:rsidP="0080789E">
            <w:pPr>
              <w:pStyle w:val="BodyText"/>
              <w:tabs>
                <w:tab w:val="left" w:pos="503"/>
              </w:tabs>
              <w:ind w:left="23"/>
              <w:jc w:val="both"/>
              <w:rPr>
                <w:rFonts w:cs="Times New Roman"/>
                <w:noProof/>
                <w:sz w:val="24"/>
                <w:szCs w:val="24"/>
              </w:rPr>
            </w:pPr>
            <w:r w:rsidRPr="00DD1E92">
              <w:rPr>
                <w:rFonts w:cs="Times New Roman"/>
                <w:noProof/>
                <w:sz w:val="24"/>
              </w:rPr>
              <w:t>Šis līgums stājas spēkā tad, kad to ir parakstījušas abas Puses, paliek spēkā piecus gadus un tiek automātiski pagarināts uz nākamajiem piecu gadu periodiem, ja vien kāda no Pusēm to neizbeidz, par to sešus mēnešus iepriekš rakstiski paziņojot otrai Pusei. Vienlaikus jānorāda, ka</w:t>
            </w:r>
            <w:r w:rsidR="00D72FBC" w:rsidRPr="00DD1E92">
              <w:rPr>
                <w:rFonts w:cs="Times New Roman"/>
                <w:noProof/>
                <w:sz w:val="24"/>
              </w:rPr>
              <w:t xml:space="preserve"> šāds</w:t>
            </w:r>
            <w:r w:rsidRPr="00DD1E92">
              <w:rPr>
                <w:rFonts w:cs="Times New Roman"/>
                <w:noProof/>
                <w:sz w:val="24"/>
              </w:rPr>
              <w:t xml:space="preserve"> rakstisks paziņojums līguma izbeigšanas gadījumā tiks nodots, izmantojot diplomātiskos kanālus.</w:t>
            </w:r>
          </w:p>
        </w:tc>
      </w:tr>
      <w:tr w:rsidR="002C3F1D" w:rsidRPr="00032F15" w:rsidTr="0080789E">
        <w:trPr>
          <w:trHeight w:val="449"/>
          <w:tblCellSpacing w:w="15" w:type="dxa"/>
        </w:trPr>
        <w:tc>
          <w:tcPr>
            <w:tcW w:w="785" w:type="pct"/>
            <w:gridSpan w:val="2"/>
            <w:tcBorders>
              <w:top w:val="outset" w:sz="6" w:space="0" w:color="auto"/>
              <w:left w:val="outset" w:sz="6" w:space="0" w:color="auto"/>
              <w:bottom w:val="outset" w:sz="6" w:space="0" w:color="auto"/>
              <w:right w:val="outset" w:sz="6" w:space="0" w:color="auto"/>
            </w:tcBorders>
            <w:hideMark/>
          </w:tcPr>
          <w:p w:rsidR="002C3F1D" w:rsidRPr="00032F15" w:rsidRDefault="002C3F1D" w:rsidP="0080789E">
            <w:pPr>
              <w:spacing w:before="100" w:beforeAutospacing="1" w:after="100" w:afterAutospacing="1" w:line="360" w:lineRule="auto"/>
              <w:ind w:firstLine="300"/>
              <w:jc w:val="center"/>
              <w:rPr>
                <w:rFonts w:cs="Times New Roman"/>
                <w:sz w:val="24"/>
                <w:szCs w:val="24"/>
                <w:lang w:val="lv-LV" w:eastAsia="lv-LV"/>
              </w:rPr>
            </w:pPr>
            <w:r w:rsidRPr="00032F15">
              <w:rPr>
                <w:rFonts w:cs="Times New Roman"/>
                <w:sz w:val="24"/>
                <w:szCs w:val="24"/>
                <w:lang w:val="lv-LV" w:eastAsia="lv-LV"/>
              </w:rPr>
              <w:lastRenderedPageBreak/>
              <w:t>3.</w:t>
            </w:r>
          </w:p>
        </w:tc>
        <w:tc>
          <w:tcPr>
            <w:tcW w:w="912" w:type="pct"/>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rPr>
            </w:pPr>
            <w:r w:rsidRPr="00032F15">
              <w:rPr>
                <w:rFonts w:cs="Times New Roman"/>
                <w:sz w:val="24"/>
                <w:szCs w:val="24"/>
                <w:lang w:val="lv-LV" w:eastAsia="lv-LV"/>
              </w:rPr>
              <w:t>Projekta izstrādē iesaistītās institūcijas</w:t>
            </w:r>
          </w:p>
        </w:tc>
        <w:tc>
          <w:tcPr>
            <w:tcW w:w="3240" w:type="pct"/>
            <w:gridSpan w:val="2"/>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rPr>
            </w:pPr>
            <w:r w:rsidRPr="00032F15">
              <w:rPr>
                <w:rFonts w:cs="Times New Roman"/>
                <w:sz w:val="24"/>
                <w:szCs w:val="24"/>
                <w:lang w:val="lv-LV" w:eastAsia="lv-LV"/>
              </w:rPr>
              <w:t>Aizsardzības ministrija, ASV Aizsardzības departaments.</w:t>
            </w:r>
          </w:p>
        </w:tc>
      </w:tr>
      <w:tr w:rsidR="002C3F1D" w:rsidRPr="00905145" w:rsidTr="0080789E">
        <w:trPr>
          <w:trHeight w:val="1736"/>
          <w:tblCellSpacing w:w="15" w:type="dxa"/>
        </w:trPr>
        <w:tc>
          <w:tcPr>
            <w:tcW w:w="785" w:type="pct"/>
            <w:gridSpan w:val="2"/>
            <w:tcBorders>
              <w:top w:val="outset" w:sz="6" w:space="0" w:color="auto"/>
              <w:left w:val="outset" w:sz="6" w:space="0" w:color="auto"/>
              <w:bottom w:val="outset" w:sz="6" w:space="0" w:color="auto"/>
              <w:right w:val="outset" w:sz="6" w:space="0" w:color="auto"/>
            </w:tcBorders>
            <w:hideMark/>
          </w:tcPr>
          <w:p w:rsidR="002C3F1D" w:rsidRPr="00032F15" w:rsidRDefault="002C3F1D" w:rsidP="0080789E">
            <w:pPr>
              <w:spacing w:before="100" w:beforeAutospacing="1" w:after="100" w:afterAutospacing="1" w:line="360" w:lineRule="auto"/>
              <w:ind w:firstLine="300"/>
              <w:jc w:val="center"/>
              <w:rPr>
                <w:rFonts w:cs="Times New Roman"/>
                <w:sz w:val="24"/>
                <w:szCs w:val="24"/>
                <w:lang w:val="lv-LV" w:eastAsia="lv-LV"/>
              </w:rPr>
            </w:pPr>
            <w:r w:rsidRPr="00032F15">
              <w:rPr>
                <w:rFonts w:cs="Times New Roman"/>
                <w:sz w:val="24"/>
                <w:szCs w:val="24"/>
                <w:lang w:val="lv-LV" w:eastAsia="lv-LV"/>
              </w:rPr>
              <w:t>4.</w:t>
            </w:r>
          </w:p>
        </w:tc>
        <w:tc>
          <w:tcPr>
            <w:tcW w:w="912" w:type="pct"/>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rPr>
            </w:pPr>
            <w:r w:rsidRPr="00032F15">
              <w:rPr>
                <w:rFonts w:cs="Times New Roman"/>
                <w:sz w:val="24"/>
                <w:szCs w:val="24"/>
                <w:lang w:val="lv-LV" w:eastAsia="lv-LV"/>
              </w:rPr>
              <w:t>Cita informācija</w:t>
            </w:r>
          </w:p>
        </w:tc>
        <w:tc>
          <w:tcPr>
            <w:tcW w:w="3240" w:type="pct"/>
            <w:gridSpan w:val="2"/>
            <w:tcBorders>
              <w:top w:val="outset" w:sz="6" w:space="0" w:color="auto"/>
              <w:left w:val="outset" w:sz="6" w:space="0" w:color="auto"/>
              <w:bottom w:val="outset" w:sz="6" w:space="0" w:color="auto"/>
              <w:right w:val="outset" w:sz="6" w:space="0" w:color="auto"/>
            </w:tcBorders>
            <w:hideMark/>
          </w:tcPr>
          <w:p w:rsidR="002C3F1D" w:rsidRDefault="002C3F1D" w:rsidP="00FB2182">
            <w:pPr>
              <w:spacing w:before="100" w:beforeAutospacing="1" w:after="100" w:afterAutospacing="1"/>
              <w:jc w:val="both"/>
              <w:rPr>
                <w:rFonts w:cs="Times New Roman"/>
                <w:sz w:val="24"/>
                <w:szCs w:val="24"/>
                <w:lang w:val="lv-LV" w:eastAsia="lv-LV"/>
              </w:rPr>
            </w:pPr>
            <w:r w:rsidRPr="00032F15">
              <w:rPr>
                <w:rFonts w:cs="Times New Roman"/>
                <w:sz w:val="24"/>
                <w:szCs w:val="24"/>
                <w:lang w:val="lv-LV" w:eastAsia="lv-LV"/>
              </w:rPr>
              <w:t>Standartizācijas</w:t>
            </w:r>
            <w:r w:rsidR="008E71D8" w:rsidRPr="00032F15">
              <w:rPr>
                <w:rFonts w:cs="Times New Roman"/>
                <w:sz w:val="24"/>
                <w:szCs w:val="24"/>
                <w:lang w:val="lv-LV" w:eastAsia="lv-LV"/>
              </w:rPr>
              <w:t>,</w:t>
            </w:r>
            <w:r w:rsidRPr="00032F15">
              <w:rPr>
                <w:rFonts w:cs="Times New Roman"/>
                <w:sz w:val="24"/>
                <w:szCs w:val="24"/>
                <w:lang w:val="lv-LV" w:eastAsia="lv-LV"/>
              </w:rPr>
              <w:t xml:space="preserve"> </w:t>
            </w:r>
            <w:r w:rsidR="008E71D8" w:rsidRPr="00032F15">
              <w:rPr>
                <w:rFonts w:cs="Times New Roman"/>
                <w:sz w:val="24"/>
                <w:szCs w:val="24"/>
                <w:lang w:val="lv-LV"/>
              </w:rPr>
              <w:t xml:space="preserve">aizsardzības spēju savietojamības, savstarpējās aizstājamības un </w:t>
            </w:r>
            <w:proofErr w:type="spellStart"/>
            <w:r w:rsidR="008E71D8" w:rsidRPr="00032F15">
              <w:rPr>
                <w:rFonts w:cs="Times New Roman"/>
                <w:sz w:val="24"/>
                <w:szCs w:val="24"/>
                <w:lang w:val="lv-LV"/>
              </w:rPr>
              <w:t>koplietojamības</w:t>
            </w:r>
            <w:proofErr w:type="spellEnd"/>
            <w:r w:rsidR="008E71D8" w:rsidRPr="00032F15">
              <w:rPr>
                <w:rFonts w:cs="Times New Roman"/>
                <w:sz w:val="24"/>
                <w:szCs w:val="24"/>
                <w:lang w:val="lv-LV"/>
              </w:rPr>
              <w:t xml:space="preserve"> principu ievērošanu</w:t>
            </w:r>
            <w:r w:rsidR="008E71D8" w:rsidRPr="00032F15">
              <w:rPr>
                <w:rFonts w:cs="Times New Roman"/>
                <w:sz w:val="24"/>
                <w:szCs w:val="24"/>
                <w:lang w:val="lv-LV" w:eastAsia="lv-LV"/>
              </w:rPr>
              <w:t xml:space="preserve"> </w:t>
            </w:r>
            <w:r w:rsidRPr="00032F15">
              <w:rPr>
                <w:rFonts w:cs="Times New Roman"/>
                <w:sz w:val="24"/>
                <w:szCs w:val="24"/>
                <w:lang w:val="lv-LV" w:eastAsia="lv-LV"/>
              </w:rPr>
              <w:t xml:space="preserve">īstenošanu pamato </w:t>
            </w:r>
            <w:r w:rsidRPr="00032F15">
              <w:rPr>
                <w:rFonts w:cs="Times New Roman"/>
                <w:sz w:val="24"/>
                <w:szCs w:val="24"/>
                <w:lang w:val="lv-LV"/>
              </w:rPr>
              <w:t>Ziemeļatlantijas līguma organizācijas politiskie, plānošanas un standartizācijas dokumenti,</w:t>
            </w:r>
            <w:r w:rsidRPr="00032F15">
              <w:rPr>
                <w:rFonts w:cs="Times New Roman"/>
                <w:sz w:val="24"/>
                <w:szCs w:val="24"/>
                <w:lang w:val="lv-LV" w:eastAsia="lv-LV"/>
              </w:rPr>
              <w:t xml:space="preserve"> Standartizācijas likums, Ministru kabineta 2012.gada 27.novembra noteikumi Nr.804 ”Standartizācijas noteikumi militārajā jomā”.</w:t>
            </w:r>
          </w:p>
          <w:p w:rsidR="00D72FBC" w:rsidRPr="00032F15" w:rsidRDefault="00D72FBC" w:rsidP="00D72FBC">
            <w:pPr>
              <w:spacing w:before="100" w:beforeAutospacing="1" w:after="100" w:afterAutospacing="1"/>
              <w:jc w:val="both"/>
              <w:rPr>
                <w:rFonts w:cs="Times New Roman"/>
                <w:sz w:val="24"/>
                <w:szCs w:val="24"/>
                <w:lang w:val="lv-LV" w:eastAsia="lv-LV"/>
              </w:rPr>
            </w:pPr>
            <w:r>
              <w:rPr>
                <w:rFonts w:cs="Times New Roman"/>
                <w:sz w:val="24"/>
                <w:szCs w:val="24"/>
                <w:lang w:val="lv-LV"/>
              </w:rPr>
              <w:t xml:space="preserve">Aizsardzības spēju savietojamība, savstarpējā aizstājamība un </w:t>
            </w:r>
            <w:proofErr w:type="spellStart"/>
            <w:r>
              <w:rPr>
                <w:rFonts w:cs="Times New Roman"/>
                <w:sz w:val="24"/>
                <w:szCs w:val="24"/>
                <w:lang w:val="lv-LV"/>
              </w:rPr>
              <w:lastRenderedPageBreak/>
              <w:t>koplietojamība</w:t>
            </w:r>
            <w:proofErr w:type="spellEnd"/>
            <w:r w:rsidRPr="00032F15">
              <w:rPr>
                <w:rFonts w:cs="Times New Roman"/>
                <w:sz w:val="24"/>
                <w:szCs w:val="24"/>
                <w:lang w:val="lv-LV"/>
              </w:rPr>
              <w:t xml:space="preserve"> </w:t>
            </w:r>
            <w:r>
              <w:rPr>
                <w:rFonts w:cs="Times New Roman"/>
                <w:sz w:val="24"/>
                <w:szCs w:val="24"/>
                <w:lang w:val="lv-LV"/>
              </w:rPr>
              <w:t>ir kolektīvās aizsardzības un NATO kā sabiedroto apvienības darbības pamat</w:t>
            </w:r>
            <w:r w:rsidRPr="00032F15">
              <w:rPr>
                <w:rFonts w:cs="Times New Roman"/>
                <w:sz w:val="24"/>
                <w:szCs w:val="24"/>
                <w:lang w:val="lv-LV"/>
              </w:rPr>
              <w:t>princip</w:t>
            </w:r>
            <w:r>
              <w:rPr>
                <w:rFonts w:cs="Times New Roman"/>
                <w:sz w:val="24"/>
                <w:szCs w:val="24"/>
                <w:lang w:val="lv-LV"/>
              </w:rPr>
              <w:t>i, kas iedibināti jau izveidojot NATO, un nenogurstoši tiek apliecināti joprojām (skatīt 2016.gada NATO dalībvalstu Varšavas samita komunikē).</w:t>
            </w:r>
          </w:p>
        </w:tc>
      </w:tr>
      <w:tr w:rsidR="002C3F1D" w:rsidRPr="00905145" w:rsidTr="0080789E">
        <w:trPr>
          <w:trHeight w:val="536"/>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rsidR="002C3F1D" w:rsidRPr="00032F15" w:rsidRDefault="002C3F1D" w:rsidP="00FB2182">
            <w:pPr>
              <w:spacing w:before="100" w:beforeAutospacing="1" w:after="100" w:afterAutospacing="1" w:line="360" w:lineRule="auto"/>
              <w:ind w:firstLine="300"/>
              <w:jc w:val="center"/>
              <w:rPr>
                <w:rFonts w:cs="Times New Roman"/>
                <w:b/>
                <w:bCs/>
                <w:sz w:val="24"/>
                <w:szCs w:val="24"/>
                <w:lang w:val="lv-LV" w:eastAsia="lv-LV" w:bidi="ar-SA"/>
              </w:rPr>
            </w:pPr>
            <w:r w:rsidRPr="00032F15">
              <w:rPr>
                <w:rFonts w:cs="Times New Roman"/>
                <w:b/>
                <w:bCs/>
                <w:sz w:val="24"/>
                <w:szCs w:val="24"/>
                <w:lang w:val="lv-LV" w:eastAsia="lv-LV" w:bidi="ar-SA"/>
              </w:rPr>
              <w:lastRenderedPageBreak/>
              <w:t>II. Tiesību akta projekta ietekme uz sabiedrību, tautsaimniecības attīstību un administratīvo slogu</w:t>
            </w:r>
          </w:p>
        </w:tc>
      </w:tr>
      <w:tr w:rsidR="002C3F1D" w:rsidRPr="00905145" w:rsidTr="0080789E">
        <w:trPr>
          <w:trHeight w:val="449"/>
          <w:tblCellSpacing w:w="15" w:type="dxa"/>
        </w:trPr>
        <w:tc>
          <w:tcPr>
            <w:tcW w:w="581" w:type="pct"/>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bidi="ar-SA"/>
              </w:rPr>
            </w:pPr>
            <w:r w:rsidRPr="00032F15">
              <w:rPr>
                <w:rFonts w:cs="Times New Roman"/>
                <w:sz w:val="24"/>
                <w:szCs w:val="24"/>
                <w:lang w:val="lv-LV" w:eastAsia="lv-LV" w:bidi="ar-SA"/>
              </w:rPr>
              <w:t>1.</w:t>
            </w:r>
          </w:p>
        </w:tc>
        <w:tc>
          <w:tcPr>
            <w:tcW w:w="1369" w:type="pct"/>
            <w:gridSpan w:val="3"/>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bidi="ar-SA"/>
              </w:rPr>
            </w:pPr>
            <w:r w:rsidRPr="00032F15">
              <w:rPr>
                <w:rFonts w:cs="Times New Roman"/>
                <w:sz w:val="24"/>
                <w:szCs w:val="24"/>
                <w:lang w:val="lv-LV" w:eastAsia="lv-LV" w:bidi="ar-SA"/>
              </w:rPr>
              <w:t>Sabiedrības mērķgrupas, kuras tiesiskais regulējums ietekmē vai varētu ietekmēt</w:t>
            </w:r>
          </w:p>
        </w:tc>
        <w:tc>
          <w:tcPr>
            <w:tcW w:w="2986" w:type="pct"/>
            <w:tcBorders>
              <w:top w:val="outset" w:sz="6" w:space="0" w:color="auto"/>
              <w:left w:val="outset" w:sz="6" w:space="0" w:color="auto"/>
              <w:bottom w:val="outset" w:sz="6" w:space="0" w:color="auto"/>
              <w:right w:val="outset" w:sz="6" w:space="0" w:color="auto"/>
            </w:tcBorders>
          </w:tcPr>
          <w:p w:rsidR="002C3F1D" w:rsidRPr="00AA341E" w:rsidRDefault="002C3F1D" w:rsidP="00FB2182">
            <w:pPr>
              <w:rPr>
                <w:rFonts w:cs="Times New Roman"/>
                <w:sz w:val="24"/>
                <w:szCs w:val="24"/>
                <w:lang w:val="lv-LV" w:eastAsia="lv-LV" w:bidi="ar-SA"/>
              </w:rPr>
            </w:pPr>
            <w:r w:rsidRPr="00AA341E">
              <w:rPr>
                <w:rFonts w:cs="Times New Roman"/>
                <w:sz w:val="24"/>
                <w:szCs w:val="24"/>
                <w:lang w:val="lv-LV" w:eastAsia="lv-LV" w:bidi="ar-SA"/>
              </w:rPr>
              <w:t xml:space="preserve">Uzņēmumi, kas specializējas preču ražošanā vai pakalpojumu sniegšanā aizsardzības un drošības jomā un ir ieinteresēti piedalīties ASV valsts institūciju organizētos iepirkumos. </w:t>
            </w:r>
          </w:p>
        </w:tc>
      </w:tr>
      <w:tr w:rsidR="002C3F1D" w:rsidRPr="00905145" w:rsidTr="0080789E">
        <w:trPr>
          <w:trHeight w:val="492"/>
          <w:tblCellSpacing w:w="15" w:type="dxa"/>
        </w:trPr>
        <w:tc>
          <w:tcPr>
            <w:tcW w:w="581" w:type="pct"/>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bidi="ar-SA"/>
              </w:rPr>
            </w:pPr>
            <w:r w:rsidRPr="00032F15">
              <w:rPr>
                <w:rFonts w:cs="Times New Roman"/>
                <w:sz w:val="24"/>
                <w:szCs w:val="24"/>
                <w:lang w:val="lv-LV" w:eastAsia="lv-LV" w:bidi="ar-SA"/>
              </w:rPr>
              <w:t>2.</w:t>
            </w:r>
          </w:p>
        </w:tc>
        <w:tc>
          <w:tcPr>
            <w:tcW w:w="1369" w:type="pct"/>
            <w:gridSpan w:val="3"/>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bidi="ar-SA"/>
              </w:rPr>
            </w:pPr>
            <w:r w:rsidRPr="00032F15">
              <w:rPr>
                <w:rFonts w:cs="Times New Roman"/>
                <w:sz w:val="24"/>
                <w:szCs w:val="24"/>
                <w:lang w:val="lv-LV" w:eastAsia="lv-LV" w:bidi="ar-SA"/>
              </w:rPr>
              <w:t>Tiesiskā regulējuma ietekme uz tautsaimniecību un administratīvo slogu</w:t>
            </w:r>
          </w:p>
        </w:tc>
        <w:tc>
          <w:tcPr>
            <w:tcW w:w="2986" w:type="pct"/>
            <w:tcBorders>
              <w:top w:val="outset" w:sz="6" w:space="0" w:color="auto"/>
              <w:left w:val="outset" w:sz="6" w:space="0" w:color="auto"/>
              <w:bottom w:val="outset" w:sz="6" w:space="0" w:color="auto"/>
              <w:right w:val="outset" w:sz="6" w:space="0" w:color="auto"/>
            </w:tcBorders>
          </w:tcPr>
          <w:p w:rsidR="002C3F1D" w:rsidRPr="00AA341E" w:rsidRDefault="002C3F1D" w:rsidP="00D771E1">
            <w:pPr>
              <w:rPr>
                <w:rFonts w:cs="Times New Roman"/>
                <w:sz w:val="24"/>
                <w:szCs w:val="24"/>
                <w:lang w:val="lv-LV" w:eastAsia="lv-LV" w:bidi="ar-SA"/>
              </w:rPr>
            </w:pPr>
            <w:r w:rsidRPr="00AA341E">
              <w:rPr>
                <w:rFonts w:cs="Times New Roman"/>
                <w:sz w:val="24"/>
                <w:szCs w:val="24"/>
                <w:lang w:val="lv-LV" w:eastAsia="lv-LV" w:bidi="ar-SA"/>
              </w:rPr>
              <w:t xml:space="preserve">Iespējama ASV noieta tirgus atvēršana Latvijas uzņēmējiem. Tiesību akta ietekme uz administratīvo slogu </w:t>
            </w:r>
            <w:r w:rsidR="00D771E1" w:rsidRPr="00AA341E">
              <w:rPr>
                <w:rFonts w:cs="Times New Roman"/>
                <w:sz w:val="24"/>
                <w:szCs w:val="24"/>
                <w:lang w:val="lv-LV" w:eastAsia="lv-LV" w:bidi="ar-SA"/>
              </w:rPr>
              <w:t>nav saskatāma.</w:t>
            </w:r>
          </w:p>
        </w:tc>
      </w:tr>
      <w:tr w:rsidR="002C3F1D" w:rsidRPr="00032F15" w:rsidTr="0080789E">
        <w:trPr>
          <w:trHeight w:val="492"/>
          <w:tblCellSpacing w:w="15" w:type="dxa"/>
        </w:trPr>
        <w:tc>
          <w:tcPr>
            <w:tcW w:w="581" w:type="pct"/>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bidi="ar-SA"/>
              </w:rPr>
            </w:pPr>
            <w:r w:rsidRPr="00032F15">
              <w:rPr>
                <w:rFonts w:cs="Times New Roman"/>
                <w:sz w:val="24"/>
                <w:szCs w:val="24"/>
                <w:lang w:val="lv-LV" w:eastAsia="lv-LV" w:bidi="ar-SA"/>
              </w:rPr>
              <w:t>3.</w:t>
            </w:r>
          </w:p>
        </w:tc>
        <w:tc>
          <w:tcPr>
            <w:tcW w:w="1369" w:type="pct"/>
            <w:gridSpan w:val="3"/>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bidi="ar-SA"/>
              </w:rPr>
            </w:pPr>
            <w:r w:rsidRPr="00032F15">
              <w:rPr>
                <w:rFonts w:cs="Times New Roman"/>
                <w:sz w:val="24"/>
                <w:szCs w:val="24"/>
                <w:lang w:val="lv-LV" w:eastAsia="lv-LV" w:bidi="ar-SA"/>
              </w:rPr>
              <w:t>Administratīvo izmaksu monetārs novērtējums</w:t>
            </w:r>
          </w:p>
        </w:tc>
        <w:tc>
          <w:tcPr>
            <w:tcW w:w="2986" w:type="pct"/>
            <w:tcBorders>
              <w:top w:val="outset" w:sz="6" w:space="0" w:color="auto"/>
              <w:left w:val="outset" w:sz="6" w:space="0" w:color="auto"/>
              <w:bottom w:val="outset" w:sz="6" w:space="0" w:color="auto"/>
              <w:right w:val="outset" w:sz="6" w:space="0" w:color="auto"/>
            </w:tcBorders>
          </w:tcPr>
          <w:p w:rsidR="002C3F1D" w:rsidRPr="00032F15" w:rsidRDefault="002C3F1D" w:rsidP="00FB2182">
            <w:pPr>
              <w:rPr>
                <w:rFonts w:cs="Times New Roman"/>
                <w:sz w:val="24"/>
                <w:szCs w:val="24"/>
                <w:lang w:val="lv-LV" w:eastAsia="lv-LV" w:bidi="ar-SA"/>
              </w:rPr>
            </w:pPr>
            <w:r w:rsidRPr="00032F15">
              <w:rPr>
                <w:rFonts w:cs="Times New Roman"/>
                <w:sz w:val="24"/>
                <w:szCs w:val="24"/>
                <w:lang w:val="lv-LV" w:eastAsia="lv-LV" w:bidi="ar-SA"/>
              </w:rPr>
              <w:t>Nav</w:t>
            </w:r>
            <w:r w:rsidR="00797B91">
              <w:rPr>
                <w:rFonts w:cs="Times New Roman"/>
                <w:sz w:val="24"/>
                <w:szCs w:val="24"/>
                <w:lang w:val="lv-LV" w:eastAsia="lv-LV" w:bidi="ar-SA"/>
              </w:rPr>
              <w:t>.</w:t>
            </w:r>
          </w:p>
        </w:tc>
      </w:tr>
      <w:tr w:rsidR="002C3F1D" w:rsidRPr="00032F15" w:rsidTr="0080789E">
        <w:trPr>
          <w:trHeight w:val="333"/>
          <w:tblCellSpacing w:w="15" w:type="dxa"/>
        </w:trPr>
        <w:tc>
          <w:tcPr>
            <w:tcW w:w="581" w:type="pct"/>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bidi="ar-SA"/>
              </w:rPr>
            </w:pPr>
            <w:r w:rsidRPr="00032F15">
              <w:rPr>
                <w:rFonts w:cs="Times New Roman"/>
                <w:sz w:val="24"/>
                <w:szCs w:val="24"/>
                <w:lang w:val="lv-LV" w:eastAsia="lv-LV" w:bidi="ar-SA"/>
              </w:rPr>
              <w:t>4.</w:t>
            </w:r>
          </w:p>
        </w:tc>
        <w:tc>
          <w:tcPr>
            <w:tcW w:w="1369" w:type="pct"/>
            <w:gridSpan w:val="3"/>
            <w:tcBorders>
              <w:top w:val="outset" w:sz="6" w:space="0" w:color="auto"/>
              <w:left w:val="outset" w:sz="6" w:space="0" w:color="auto"/>
              <w:bottom w:val="outset" w:sz="6" w:space="0" w:color="auto"/>
              <w:right w:val="outset" w:sz="6" w:space="0" w:color="auto"/>
            </w:tcBorders>
            <w:hideMark/>
          </w:tcPr>
          <w:p w:rsidR="002C3F1D" w:rsidRPr="00032F15" w:rsidRDefault="002C3F1D" w:rsidP="00FB2182">
            <w:pPr>
              <w:rPr>
                <w:rFonts w:cs="Times New Roman"/>
                <w:sz w:val="24"/>
                <w:szCs w:val="24"/>
                <w:lang w:val="lv-LV" w:eastAsia="lv-LV" w:bidi="ar-SA"/>
              </w:rPr>
            </w:pPr>
            <w:r w:rsidRPr="00032F15">
              <w:rPr>
                <w:rFonts w:cs="Times New Roman"/>
                <w:sz w:val="24"/>
                <w:szCs w:val="24"/>
                <w:lang w:val="lv-LV" w:eastAsia="lv-LV" w:bidi="ar-SA"/>
              </w:rPr>
              <w:t>Cita informācija</w:t>
            </w:r>
          </w:p>
        </w:tc>
        <w:tc>
          <w:tcPr>
            <w:tcW w:w="2986" w:type="pct"/>
            <w:tcBorders>
              <w:top w:val="outset" w:sz="6" w:space="0" w:color="auto"/>
              <w:left w:val="outset" w:sz="6" w:space="0" w:color="auto"/>
              <w:bottom w:val="outset" w:sz="6" w:space="0" w:color="auto"/>
              <w:right w:val="outset" w:sz="6" w:space="0" w:color="auto"/>
            </w:tcBorders>
            <w:hideMark/>
          </w:tcPr>
          <w:p w:rsidR="002C3F1D" w:rsidRPr="00032F15" w:rsidRDefault="002C3F1D" w:rsidP="002C3F1D">
            <w:pPr>
              <w:spacing w:before="100" w:beforeAutospacing="1" w:after="100" w:afterAutospacing="1" w:line="360" w:lineRule="auto"/>
              <w:rPr>
                <w:rFonts w:cs="Times New Roman"/>
                <w:sz w:val="24"/>
                <w:szCs w:val="24"/>
                <w:lang w:val="lv-LV" w:eastAsia="lv-LV" w:bidi="ar-SA"/>
              </w:rPr>
            </w:pPr>
            <w:r w:rsidRPr="00032F15">
              <w:rPr>
                <w:rFonts w:cs="Times New Roman"/>
                <w:sz w:val="24"/>
                <w:szCs w:val="24"/>
                <w:lang w:val="lv-LV" w:eastAsia="lv-LV" w:bidi="ar-SA"/>
              </w:rPr>
              <w:t>Nav</w:t>
            </w:r>
            <w:r w:rsidR="00797B91">
              <w:rPr>
                <w:rFonts w:cs="Times New Roman"/>
                <w:sz w:val="24"/>
                <w:szCs w:val="24"/>
                <w:lang w:val="lv-LV" w:eastAsia="lv-LV" w:bidi="ar-SA"/>
              </w:rPr>
              <w:t>.</w:t>
            </w:r>
          </w:p>
        </w:tc>
      </w:tr>
      <w:tr w:rsidR="002C3F1D" w:rsidRPr="00032F15" w:rsidTr="0080789E">
        <w:trPr>
          <w:trHeight w:val="333"/>
          <w:tblCellSpacing w:w="15" w:type="dxa"/>
        </w:trPr>
        <w:tc>
          <w:tcPr>
            <w:tcW w:w="4968" w:type="pct"/>
            <w:gridSpan w:val="5"/>
            <w:tcBorders>
              <w:top w:val="outset" w:sz="6" w:space="0" w:color="auto"/>
              <w:left w:val="outset" w:sz="6" w:space="0" w:color="auto"/>
              <w:bottom w:val="outset" w:sz="6" w:space="0" w:color="auto"/>
              <w:right w:val="outset" w:sz="6" w:space="0" w:color="auto"/>
            </w:tcBorders>
          </w:tcPr>
          <w:p w:rsidR="002C3F1D" w:rsidRPr="00032F15" w:rsidRDefault="002C3F1D" w:rsidP="002C3F1D">
            <w:pPr>
              <w:spacing w:before="100" w:beforeAutospacing="1" w:after="100" w:afterAutospacing="1" w:line="360" w:lineRule="auto"/>
              <w:jc w:val="center"/>
              <w:rPr>
                <w:rFonts w:cs="Times New Roman"/>
                <w:sz w:val="24"/>
                <w:szCs w:val="24"/>
                <w:lang w:val="lv-LV" w:eastAsia="lv-LV" w:bidi="ar-SA"/>
              </w:rPr>
            </w:pPr>
            <w:r w:rsidRPr="00032F15">
              <w:rPr>
                <w:rFonts w:cs="Times New Roman"/>
                <w:b/>
                <w:bCs/>
                <w:sz w:val="24"/>
                <w:szCs w:val="24"/>
                <w:lang w:val="lv-LV" w:eastAsia="lv-LV"/>
              </w:rPr>
              <w:t>V. Tiesību akta projekta atbilstība Latvijas Republikas starptautiskajām saistībām</w:t>
            </w:r>
          </w:p>
        </w:tc>
      </w:tr>
      <w:tr w:rsidR="002C3F1D" w:rsidRPr="00032F15" w:rsidTr="0080789E">
        <w:trPr>
          <w:trHeight w:val="333"/>
          <w:tblCellSpacing w:w="15" w:type="dxa"/>
        </w:trPr>
        <w:tc>
          <w:tcPr>
            <w:tcW w:w="581"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1.</w:t>
            </w:r>
          </w:p>
        </w:tc>
        <w:tc>
          <w:tcPr>
            <w:tcW w:w="1369" w:type="pct"/>
            <w:gridSpan w:val="3"/>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Saistības pret Eiropas Savienību</w:t>
            </w:r>
          </w:p>
        </w:tc>
        <w:tc>
          <w:tcPr>
            <w:tcW w:w="2986"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Nav.</w:t>
            </w:r>
          </w:p>
        </w:tc>
      </w:tr>
      <w:tr w:rsidR="002C3F1D" w:rsidRPr="00032F15" w:rsidTr="0080789E">
        <w:trPr>
          <w:trHeight w:val="333"/>
          <w:tblCellSpacing w:w="15" w:type="dxa"/>
        </w:trPr>
        <w:tc>
          <w:tcPr>
            <w:tcW w:w="581"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2.</w:t>
            </w:r>
          </w:p>
        </w:tc>
        <w:tc>
          <w:tcPr>
            <w:tcW w:w="1369" w:type="pct"/>
            <w:gridSpan w:val="3"/>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Citas starptautiskās saistības</w:t>
            </w:r>
          </w:p>
        </w:tc>
        <w:tc>
          <w:tcPr>
            <w:tcW w:w="2986"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jc w:val="both"/>
              <w:rPr>
                <w:rFonts w:cs="Times New Roman"/>
                <w:sz w:val="24"/>
                <w:szCs w:val="24"/>
                <w:lang w:val="lv-LV" w:eastAsia="lv-LV"/>
              </w:rPr>
            </w:pPr>
            <w:r w:rsidRPr="00032F15">
              <w:rPr>
                <w:rFonts w:cs="Times New Roman"/>
                <w:sz w:val="24"/>
                <w:szCs w:val="24"/>
                <w:lang w:val="lv-LV" w:eastAsia="lv-LV"/>
              </w:rPr>
              <w:t>1949.gada 4.aprīļa Ziemeļatlantijas līgums.</w:t>
            </w:r>
          </w:p>
          <w:p w:rsidR="002C3F1D" w:rsidRPr="00032F15" w:rsidRDefault="002C3F1D" w:rsidP="002C3F1D">
            <w:pPr>
              <w:jc w:val="both"/>
              <w:rPr>
                <w:rFonts w:cs="Times New Roman"/>
                <w:sz w:val="24"/>
                <w:szCs w:val="24"/>
                <w:lang w:val="lv-LV" w:eastAsia="lv-LV"/>
              </w:rPr>
            </w:pPr>
          </w:p>
        </w:tc>
      </w:tr>
      <w:tr w:rsidR="00797B91" w:rsidRPr="00032F15" w:rsidTr="0080789E">
        <w:trPr>
          <w:trHeight w:val="333"/>
          <w:tblCellSpacing w:w="15" w:type="dxa"/>
        </w:trPr>
        <w:tc>
          <w:tcPr>
            <w:tcW w:w="581" w:type="pct"/>
            <w:tcBorders>
              <w:top w:val="outset" w:sz="6" w:space="0" w:color="auto"/>
              <w:left w:val="outset" w:sz="6" w:space="0" w:color="auto"/>
              <w:bottom w:val="outset" w:sz="6" w:space="0" w:color="auto"/>
              <w:right w:val="outset" w:sz="6" w:space="0" w:color="auto"/>
            </w:tcBorders>
          </w:tcPr>
          <w:p w:rsidR="00797B91" w:rsidRPr="00032F15" w:rsidRDefault="00797B91" w:rsidP="002C3F1D">
            <w:pPr>
              <w:rPr>
                <w:rFonts w:cs="Times New Roman"/>
                <w:sz w:val="24"/>
                <w:szCs w:val="24"/>
                <w:lang w:val="lv-LV" w:eastAsia="lv-LV"/>
              </w:rPr>
            </w:pPr>
            <w:r>
              <w:rPr>
                <w:rFonts w:cs="Times New Roman"/>
                <w:sz w:val="24"/>
                <w:szCs w:val="24"/>
                <w:lang w:val="lv-LV" w:eastAsia="lv-LV"/>
              </w:rPr>
              <w:t>3.</w:t>
            </w:r>
          </w:p>
        </w:tc>
        <w:tc>
          <w:tcPr>
            <w:tcW w:w="1369" w:type="pct"/>
            <w:gridSpan w:val="3"/>
            <w:tcBorders>
              <w:top w:val="outset" w:sz="6" w:space="0" w:color="auto"/>
              <w:left w:val="outset" w:sz="6" w:space="0" w:color="auto"/>
              <w:bottom w:val="outset" w:sz="6" w:space="0" w:color="auto"/>
              <w:right w:val="outset" w:sz="6" w:space="0" w:color="auto"/>
            </w:tcBorders>
          </w:tcPr>
          <w:p w:rsidR="00797B91" w:rsidRPr="00032F15" w:rsidRDefault="00797B91" w:rsidP="002C3F1D">
            <w:pPr>
              <w:rPr>
                <w:rFonts w:cs="Times New Roman"/>
                <w:sz w:val="24"/>
                <w:szCs w:val="24"/>
                <w:lang w:val="lv-LV" w:eastAsia="lv-LV"/>
              </w:rPr>
            </w:pPr>
            <w:r>
              <w:rPr>
                <w:rFonts w:cs="Times New Roman"/>
                <w:sz w:val="24"/>
                <w:szCs w:val="24"/>
                <w:lang w:val="lv-LV" w:eastAsia="lv-LV"/>
              </w:rPr>
              <w:t>Cita informācija</w:t>
            </w:r>
          </w:p>
        </w:tc>
        <w:tc>
          <w:tcPr>
            <w:tcW w:w="2986" w:type="pct"/>
            <w:tcBorders>
              <w:top w:val="outset" w:sz="6" w:space="0" w:color="auto"/>
              <w:left w:val="outset" w:sz="6" w:space="0" w:color="auto"/>
              <w:bottom w:val="outset" w:sz="6" w:space="0" w:color="auto"/>
              <w:right w:val="outset" w:sz="6" w:space="0" w:color="auto"/>
            </w:tcBorders>
          </w:tcPr>
          <w:p w:rsidR="00797B91" w:rsidRPr="00032F15" w:rsidRDefault="00797B91" w:rsidP="002C3F1D">
            <w:pPr>
              <w:jc w:val="both"/>
              <w:rPr>
                <w:rFonts w:cs="Times New Roman"/>
                <w:sz w:val="24"/>
                <w:szCs w:val="24"/>
                <w:lang w:val="lv-LV" w:eastAsia="lv-LV"/>
              </w:rPr>
            </w:pPr>
            <w:r>
              <w:rPr>
                <w:rFonts w:cs="Times New Roman"/>
                <w:sz w:val="24"/>
                <w:szCs w:val="24"/>
                <w:lang w:val="lv-LV" w:eastAsia="lv-LV"/>
              </w:rPr>
              <w:t>Nav.</w:t>
            </w:r>
          </w:p>
        </w:tc>
      </w:tr>
    </w:tbl>
    <w:p w:rsidR="00032F15" w:rsidRDefault="00032F15" w:rsidP="00032F15">
      <w:pPr>
        <w:shd w:val="clear" w:color="auto" w:fill="FFFFFF"/>
        <w:rPr>
          <w:rFonts w:cs="Times New Roman"/>
          <w:b/>
          <w:bCs/>
          <w:sz w:val="24"/>
          <w:szCs w:val="24"/>
          <w:lang w:val="lv-LV"/>
        </w:rPr>
      </w:pPr>
    </w:p>
    <w:p w:rsidR="00032F15" w:rsidRPr="00032F15" w:rsidRDefault="00032F15" w:rsidP="00032F15">
      <w:pPr>
        <w:shd w:val="clear" w:color="auto" w:fill="FFFFFF"/>
        <w:rPr>
          <w:rFonts w:cs="Times New Roman"/>
          <w:b/>
          <w:bCs/>
          <w:sz w:val="24"/>
          <w:szCs w:val="24"/>
          <w:lang w:val="lv-LV"/>
        </w:rPr>
      </w:pPr>
      <w:r w:rsidRPr="00032F15">
        <w:rPr>
          <w:rFonts w:cs="Times New Roman"/>
          <w:b/>
          <w:bCs/>
          <w:sz w:val="24"/>
          <w:szCs w:val="24"/>
          <w:lang w:val="lv-LV"/>
        </w:rPr>
        <w:t>V sadaļas 1.tabula Tiesību akta projekta atbilstība ES tiesību aktiem – nav attiecināms.</w:t>
      </w:r>
    </w:p>
    <w:p w:rsidR="00032F15" w:rsidRPr="00032F15" w:rsidRDefault="00032F15" w:rsidP="00032F15">
      <w:pPr>
        <w:shd w:val="clear" w:color="auto" w:fill="FFFFFF"/>
        <w:jc w:val="center"/>
        <w:rPr>
          <w:rFonts w:cs="Times New Roman"/>
          <w:sz w:val="24"/>
          <w:szCs w:val="24"/>
          <w:lang w:val="lv-LV" w:eastAsia="lv-LV" w:bidi="ar-SA"/>
        </w:rPr>
      </w:pPr>
    </w:p>
    <w:tbl>
      <w:tblPr>
        <w:tblW w:w="5458" w:type="pct"/>
        <w:jc w:val="center"/>
        <w:tblCellSpacing w:w="15" w:type="dxa"/>
        <w:tblInd w:w="74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2598"/>
        <w:gridCol w:w="5141"/>
      </w:tblGrid>
      <w:tr w:rsidR="00032F15" w:rsidRPr="00032F15" w:rsidTr="0080789E">
        <w:trPr>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32F15" w:rsidRPr="00032F15" w:rsidRDefault="00032F15" w:rsidP="00A27507">
            <w:pPr>
              <w:suppressAutoHyphens/>
              <w:spacing w:before="100" w:beforeAutospacing="1" w:after="100" w:afterAutospacing="1"/>
              <w:ind w:firstLine="300"/>
              <w:jc w:val="center"/>
              <w:rPr>
                <w:rFonts w:cs="Times New Roman"/>
                <w:b/>
                <w:bCs/>
                <w:sz w:val="24"/>
                <w:szCs w:val="24"/>
                <w:lang w:val="lv-LV" w:eastAsia="lv-LV" w:bidi="ar-SA"/>
              </w:rPr>
            </w:pPr>
            <w:r w:rsidRPr="00032F15">
              <w:rPr>
                <w:rFonts w:cs="Times New Roman"/>
                <w:b/>
                <w:bCs/>
                <w:sz w:val="24"/>
                <w:szCs w:val="24"/>
                <w:lang w:val="lv-LV" w:eastAsia="lv-LV" w:bidi="ar-SA"/>
              </w:rPr>
              <w:t>2.tabula</w:t>
            </w:r>
            <w:r w:rsidRPr="00032F15">
              <w:rPr>
                <w:rFonts w:cs="Times New Roman"/>
                <w:b/>
                <w:bCs/>
                <w:sz w:val="24"/>
                <w:szCs w:val="24"/>
                <w:lang w:val="lv-LV" w:eastAsia="lv-LV" w:bidi="ar-SA"/>
              </w:rPr>
              <w:br/>
              <w:t>Ar tiesību akta projektu izpildītās vai uzņemtās saistības, kas izriet no starptautiskajiem tiesību aktiem vai starptautiskas institūcijas vai organizācijas dokumentiem.</w:t>
            </w:r>
            <w:r w:rsidRPr="00032F15">
              <w:rPr>
                <w:rFonts w:cs="Times New Roman"/>
                <w:b/>
                <w:bCs/>
                <w:sz w:val="24"/>
                <w:szCs w:val="24"/>
                <w:lang w:val="lv-LV" w:eastAsia="lv-LV" w:bidi="ar-SA"/>
              </w:rPr>
              <w:br/>
              <w:t>Pasākumi šo saistību izpildei</w:t>
            </w:r>
          </w:p>
        </w:tc>
      </w:tr>
      <w:tr w:rsidR="00032F15" w:rsidRPr="00DD1E92" w:rsidTr="0080789E">
        <w:trPr>
          <w:tblCellSpacing w:w="15" w:type="dxa"/>
          <w:jc w:val="center"/>
        </w:trPr>
        <w:tc>
          <w:tcPr>
            <w:tcW w:w="880" w:type="pct"/>
            <w:tcBorders>
              <w:top w:val="outset" w:sz="6" w:space="0" w:color="auto"/>
              <w:left w:val="outset" w:sz="6" w:space="0" w:color="auto"/>
              <w:bottom w:val="outset" w:sz="6" w:space="0" w:color="auto"/>
              <w:right w:val="outset" w:sz="6" w:space="0" w:color="auto"/>
            </w:tcBorders>
            <w:vAlign w:val="center"/>
            <w:hideMark/>
          </w:tcPr>
          <w:p w:rsidR="00032F15" w:rsidRPr="00DD1E92" w:rsidRDefault="00032F15" w:rsidP="00A27507">
            <w:pPr>
              <w:suppressAutoHyphens/>
              <w:rPr>
                <w:rFonts w:cs="Times New Roman"/>
                <w:sz w:val="24"/>
                <w:szCs w:val="24"/>
                <w:lang w:val="lv-LV" w:eastAsia="lv-LV" w:bidi="ar-SA"/>
              </w:rPr>
            </w:pPr>
            <w:r w:rsidRPr="00DD1E92">
              <w:rPr>
                <w:rFonts w:cs="Times New Roman"/>
                <w:sz w:val="24"/>
                <w:szCs w:val="24"/>
                <w:lang w:val="lv-LV" w:eastAsia="lv-LV" w:bidi="ar-SA"/>
              </w:rPr>
              <w:t xml:space="preserve">Attiecīgā starptautiskā tiesību akta vai starptautiskas institūcijas vai organizācijas dokumenta (turpmāk – </w:t>
            </w:r>
            <w:r w:rsidRPr="00DD1E92">
              <w:rPr>
                <w:rFonts w:cs="Times New Roman"/>
                <w:sz w:val="24"/>
                <w:szCs w:val="24"/>
                <w:lang w:val="lv-LV" w:eastAsia="lv-LV" w:bidi="ar-SA"/>
              </w:rPr>
              <w:lastRenderedPageBreak/>
              <w:t>starptautiskais dokuments) datums, numurs un nosaukums</w:t>
            </w:r>
          </w:p>
        </w:tc>
        <w:tc>
          <w:tcPr>
            <w:tcW w:w="4072" w:type="pct"/>
            <w:gridSpan w:val="2"/>
            <w:tcBorders>
              <w:top w:val="outset" w:sz="6" w:space="0" w:color="auto"/>
              <w:left w:val="outset" w:sz="6" w:space="0" w:color="auto"/>
              <w:bottom w:val="outset" w:sz="6" w:space="0" w:color="auto"/>
              <w:right w:val="outset" w:sz="6" w:space="0" w:color="auto"/>
            </w:tcBorders>
            <w:hideMark/>
          </w:tcPr>
          <w:p w:rsidR="00032F15" w:rsidRPr="00DD1E92" w:rsidRDefault="00032F15" w:rsidP="00A27507">
            <w:pPr>
              <w:suppressAutoHyphens/>
              <w:rPr>
                <w:rFonts w:cs="Times New Roman"/>
                <w:sz w:val="24"/>
                <w:szCs w:val="24"/>
                <w:lang w:val="lv-LV" w:eastAsia="lv-LV" w:bidi="ar-SA"/>
              </w:rPr>
            </w:pPr>
            <w:r w:rsidRPr="00DD1E92">
              <w:rPr>
                <w:rFonts w:cs="Times New Roman"/>
                <w:sz w:val="24"/>
                <w:szCs w:val="24"/>
                <w:lang w:val="lv-LV" w:eastAsia="ar-SA" w:bidi="ar-SA"/>
              </w:rPr>
              <w:lastRenderedPageBreak/>
              <w:t>1949.gada 4.aprīļa Ziemeļatlantijas līgums</w:t>
            </w:r>
          </w:p>
          <w:p w:rsidR="00032F15" w:rsidRPr="00DD1E92" w:rsidRDefault="00032F15" w:rsidP="00A27507">
            <w:pPr>
              <w:suppressAutoHyphens/>
              <w:rPr>
                <w:rFonts w:cs="Times New Roman"/>
                <w:sz w:val="24"/>
                <w:szCs w:val="24"/>
                <w:lang w:val="lv-LV" w:eastAsia="lv-LV" w:bidi="ar-SA"/>
              </w:rPr>
            </w:pPr>
          </w:p>
          <w:p w:rsidR="00032F15" w:rsidRPr="00DD1E92" w:rsidRDefault="00032F15" w:rsidP="00A27507">
            <w:pPr>
              <w:suppressAutoHyphens/>
              <w:rPr>
                <w:rFonts w:cs="Times New Roman"/>
                <w:sz w:val="24"/>
                <w:szCs w:val="24"/>
                <w:lang w:val="lv-LV" w:eastAsia="lv-LV" w:bidi="ar-SA"/>
              </w:rPr>
            </w:pPr>
          </w:p>
        </w:tc>
      </w:tr>
      <w:tr w:rsidR="00032F15" w:rsidRPr="00032F15" w:rsidTr="0080789E">
        <w:trPr>
          <w:tblCellSpacing w:w="15" w:type="dxa"/>
          <w:jc w:val="center"/>
        </w:trPr>
        <w:tc>
          <w:tcPr>
            <w:tcW w:w="880" w:type="pct"/>
            <w:tcBorders>
              <w:top w:val="outset" w:sz="6" w:space="0" w:color="auto"/>
              <w:left w:val="outset" w:sz="6" w:space="0" w:color="auto"/>
              <w:bottom w:val="outset" w:sz="6" w:space="0" w:color="auto"/>
              <w:right w:val="outset" w:sz="6" w:space="0" w:color="auto"/>
            </w:tcBorders>
            <w:vAlign w:val="center"/>
            <w:hideMark/>
          </w:tcPr>
          <w:p w:rsidR="00032F15" w:rsidRPr="00DD1E92" w:rsidRDefault="00032F15" w:rsidP="00A27507">
            <w:pPr>
              <w:suppressAutoHyphens/>
              <w:spacing w:before="100" w:beforeAutospacing="1" w:after="100" w:afterAutospacing="1" w:line="360" w:lineRule="auto"/>
              <w:ind w:firstLine="300"/>
              <w:jc w:val="center"/>
              <w:rPr>
                <w:rFonts w:cs="Times New Roman"/>
                <w:sz w:val="24"/>
                <w:szCs w:val="24"/>
                <w:lang w:val="lv-LV" w:eastAsia="lv-LV" w:bidi="ar-SA"/>
              </w:rPr>
            </w:pPr>
            <w:r w:rsidRPr="00DD1E92">
              <w:rPr>
                <w:rFonts w:cs="Times New Roman"/>
                <w:sz w:val="24"/>
                <w:szCs w:val="24"/>
                <w:lang w:val="lv-LV" w:eastAsia="lv-LV" w:bidi="ar-SA"/>
              </w:rPr>
              <w:lastRenderedPageBreak/>
              <w:t>A</w:t>
            </w:r>
          </w:p>
        </w:tc>
        <w:tc>
          <w:tcPr>
            <w:tcW w:w="1371" w:type="pct"/>
            <w:tcBorders>
              <w:top w:val="outset" w:sz="6" w:space="0" w:color="auto"/>
              <w:left w:val="outset" w:sz="6" w:space="0" w:color="auto"/>
              <w:bottom w:val="outset" w:sz="6" w:space="0" w:color="auto"/>
              <w:right w:val="outset" w:sz="6" w:space="0" w:color="auto"/>
            </w:tcBorders>
            <w:vAlign w:val="center"/>
            <w:hideMark/>
          </w:tcPr>
          <w:p w:rsidR="00032F15" w:rsidRPr="00DD1E92" w:rsidRDefault="00032F15" w:rsidP="00A27507">
            <w:pPr>
              <w:suppressAutoHyphens/>
              <w:spacing w:before="100" w:beforeAutospacing="1" w:after="100" w:afterAutospacing="1" w:line="360" w:lineRule="auto"/>
              <w:ind w:firstLine="300"/>
              <w:jc w:val="center"/>
              <w:rPr>
                <w:rFonts w:cs="Times New Roman"/>
                <w:sz w:val="24"/>
                <w:szCs w:val="24"/>
                <w:lang w:val="lv-LV" w:eastAsia="lv-LV" w:bidi="ar-SA"/>
              </w:rPr>
            </w:pPr>
            <w:r w:rsidRPr="00DD1E92">
              <w:rPr>
                <w:rFonts w:cs="Times New Roman"/>
                <w:sz w:val="24"/>
                <w:szCs w:val="24"/>
                <w:lang w:val="lv-LV" w:eastAsia="lv-LV" w:bidi="ar-SA"/>
              </w:rPr>
              <w:t>B</w:t>
            </w:r>
          </w:p>
        </w:tc>
        <w:tc>
          <w:tcPr>
            <w:tcW w:w="2685" w:type="pct"/>
            <w:tcBorders>
              <w:top w:val="outset" w:sz="6" w:space="0" w:color="auto"/>
              <w:left w:val="outset" w:sz="6" w:space="0" w:color="auto"/>
              <w:bottom w:val="outset" w:sz="6" w:space="0" w:color="auto"/>
              <w:right w:val="outset" w:sz="6" w:space="0" w:color="auto"/>
            </w:tcBorders>
            <w:vAlign w:val="center"/>
            <w:hideMark/>
          </w:tcPr>
          <w:p w:rsidR="00032F15" w:rsidRPr="00DD1E92" w:rsidRDefault="00032F15" w:rsidP="00A27507">
            <w:pPr>
              <w:suppressAutoHyphens/>
              <w:spacing w:before="100" w:beforeAutospacing="1" w:after="100" w:afterAutospacing="1" w:line="360" w:lineRule="auto"/>
              <w:ind w:firstLine="300"/>
              <w:jc w:val="center"/>
              <w:rPr>
                <w:rFonts w:cs="Times New Roman"/>
                <w:sz w:val="24"/>
                <w:szCs w:val="24"/>
                <w:lang w:val="lv-LV" w:eastAsia="lv-LV" w:bidi="ar-SA"/>
              </w:rPr>
            </w:pPr>
            <w:r w:rsidRPr="00DD1E92">
              <w:rPr>
                <w:rFonts w:cs="Times New Roman"/>
                <w:sz w:val="24"/>
                <w:szCs w:val="24"/>
                <w:lang w:val="lv-LV" w:eastAsia="lv-LV" w:bidi="ar-SA"/>
              </w:rPr>
              <w:t>C</w:t>
            </w:r>
          </w:p>
        </w:tc>
      </w:tr>
      <w:tr w:rsidR="00032F15" w:rsidRPr="00905145" w:rsidTr="0080789E">
        <w:trPr>
          <w:tblCellSpacing w:w="15" w:type="dxa"/>
          <w:jc w:val="center"/>
        </w:trPr>
        <w:tc>
          <w:tcPr>
            <w:tcW w:w="880" w:type="pct"/>
            <w:tcBorders>
              <w:top w:val="outset" w:sz="6" w:space="0" w:color="auto"/>
              <w:left w:val="outset" w:sz="6" w:space="0" w:color="auto"/>
              <w:bottom w:val="outset" w:sz="6" w:space="0" w:color="auto"/>
              <w:right w:val="outset" w:sz="6" w:space="0" w:color="auto"/>
            </w:tcBorders>
            <w:hideMark/>
          </w:tcPr>
          <w:p w:rsidR="00032F15" w:rsidRPr="00DD1E92" w:rsidRDefault="00032F15" w:rsidP="00A27507">
            <w:pPr>
              <w:suppressAutoHyphens/>
              <w:rPr>
                <w:rFonts w:cs="Times New Roman"/>
                <w:sz w:val="24"/>
                <w:szCs w:val="24"/>
                <w:lang w:val="lv-LV" w:eastAsia="lv-LV" w:bidi="ar-SA"/>
              </w:rPr>
            </w:pPr>
            <w:r w:rsidRPr="00DD1E92">
              <w:rPr>
                <w:rFonts w:cs="Times New Roman"/>
                <w:sz w:val="24"/>
                <w:szCs w:val="24"/>
                <w:lang w:val="lv-LV" w:eastAsia="ar-SA" w:bidi="ar-SA"/>
              </w:rPr>
              <w:t>1949.gada 4.aprīļa Ziemeļatlantijas līgums</w:t>
            </w:r>
          </w:p>
          <w:p w:rsidR="00032F15" w:rsidRPr="00DD1E92" w:rsidRDefault="00032F15" w:rsidP="00A27507">
            <w:pPr>
              <w:suppressAutoHyphens/>
              <w:jc w:val="both"/>
              <w:rPr>
                <w:rFonts w:cs="Times New Roman"/>
                <w:sz w:val="24"/>
                <w:szCs w:val="24"/>
                <w:lang w:val="lv-LV" w:eastAsia="lv-LV" w:bidi="ar-SA"/>
              </w:rPr>
            </w:pPr>
          </w:p>
          <w:p w:rsidR="00032F15" w:rsidRPr="00DD1E92" w:rsidRDefault="00032F15" w:rsidP="00A27507">
            <w:pPr>
              <w:suppressAutoHyphens/>
              <w:jc w:val="both"/>
              <w:rPr>
                <w:rFonts w:cs="Times New Roman"/>
                <w:sz w:val="24"/>
                <w:szCs w:val="24"/>
                <w:lang w:val="lv-LV" w:eastAsia="ar-SA" w:bidi="ar-SA"/>
              </w:rPr>
            </w:pPr>
            <w:r w:rsidRPr="00DD1E92">
              <w:rPr>
                <w:rFonts w:cs="Times New Roman"/>
                <w:sz w:val="24"/>
                <w:szCs w:val="24"/>
                <w:lang w:val="lv-LV" w:eastAsia="lv-LV" w:bidi="ar-SA"/>
              </w:rPr>
              <w:t xml:space="preserve">3.pants – </w:t>
            </w:r>
            <w:r w:rsidRPr="00DD1E92">
              <w:rPr>
                <w:rFonts w:cs="Times New Roman"/>
                <w:sz w:val="24"/>
                <w:szCs w:val="24"/>
                <w:lang w:val="lv-LV" w:eastAsia="ar-SA" w:bidi="ar-SA"/>
              </w:rPr>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p w:rsidR="00032F15" w:rsidRPr="00DD1E92" w:rsidRDefault="00032F15" w:rsidP="00A27507">
            <w:pPr>
              <w:jc w:val="both"/>
              <w:rPr>
                <w:rFonts w:cs="Times New Roman"/>
                <w:bCs/>
                <w:sz w:val="24"/>
                <w:szCs w:val="24"/>
                <w:lang w:val="lv-LV" w:eastAsia="lv-LV" w:bidi="ar-SA"/>
              </w:rPr>
            </w:pPr>
            <w:r w:rsidRPr="00DD1E92">
              <w:rPr>
                <w:rFonts w:cs="Times New Roman"/>
                <w:bCs/>
                <w:sz w:val="24"/>
                <w:szCs w:val="24"/>
                <w:lang w:val="lv-LV" w:eastAsia="lv-LV" w:bidi="ar-SA"/>
              </w:rPr>
              <w:t>4.pants</w:t>
            </w:r>
          </w:p>
          <w:p w:rsidR="00032F15" w:rsidRPr="00DD1E92" w:rsidRDefault="00032F15" w:rsidP="00A27507">
            <w:pPr>
              <w:jc w:val="both"/>
              <w:rPr>
                <w:rFonts w:cs="Times New Roman"/>
                <w:sz w:val="24"/>
                <w:szCs w:val="24"/>
                <w:lang w:val="lv-LV" w:eastAsia="lv-LV" w:bidi="ar-SA"/>
              </w:rPr>
            </w:pPr>
            <w:r w:rsidRPr="00DD1E92">
              <w:rPr>
                <w:rFonts w:cs="Times New Roman"/>
                <w:sz w:val="24"/>
                <w:szCs w:val="24"/>
                <w:lang w:val="lv-LV" w:eastAsia="lv-LV" w:bidi="ar-SA"/>
              </w:rPr>
              <w:t>Puses kopīgi apspriedīsies jebkurā brīdī, kad vien, pēc jebkuras Puses uzskatiem, būs apdraudēta jebkuras Puses teritoriālā integritāte, politiskā neatkarība vai drošība.</w:t>
            </w:r>
          </w:p>
          <w:p w:rsidR="00032F15" w:rsidRPr="00DD1E92" w:rsidRDefault="00032F15" w:rsidP="00A27507">
            <w:pPr>
              <w:jc w:val="both"/>
              <w:rPr>
                <w:rFonts w:cs="Times New Roman"/>
                <w:sz w:val="24"/>
                <w:szCs w:val="24"/>
                <w:lang w:val="lv-LV" w:eastAsia="lv-LV" w:bidi="ar-SA"/>
              </w:rPr>
            </w:pPr>
            <w:r w:rsidRPr="00DD1E92">
              <w:rPr>
                <w:rFonts w:cs="Times New Roman"/>
                <w:sz w:val="24"/>
                <w:szCs w:val="24"/>
                <w:lang w:val="lv-LV" w:eastAsia="lv-LV" w:bidi="ar-SA"/>
              </w:rPr>
              <w:t xml:space="preserve"> </w:t>
            </w:r>
          </w:p>
        </w:tc>
        <w:tc>
          <w:tcPr>
            <w:tcW w:w="1371" w:type="pct"/>
            <w:tcBorders>
              <w:top w:val="outset" w:sz="6" w:space="0" w:color="auto"/>
              <w:left w:val="outset" w:sz="6" w:space="0" w:color="auto"/>
              <w:bottom w:val="outset" w:sz="6" w:space="0" w:color="auto"/>
              <w:right w:val="outset" w:sz="6" w:space="0" w:color="auto"/>
            </w:tcBorders>
            <w:hideMark/>
          </w:tcPr>
          <w:p w:rsidR="00032F15" w:rsidRPr="00DD1E92" w:rsidRDefault="00032F15" w:rsidP="00D72FBC">
            <w:pPr>
              <w:suppressAutoHyphens/>
              <w:jc w:val="both"/>
              <w:rPr>
                <w:rFonts w:cs="Times New Roman"/>
                <w:sz w:val="24"/>
                <w:szCs w:val="24"/>
                <w:lang w:val="lv-LV" w:eastAsia="lv-LV" w:bidi="ar-SA"/>
              </w:rPr>
            </w:pPr>
            <w:r w:rsidRPr="00DD1E92">
              <w:rPr>
                <w:rFonts w:cs="Times New Roman"/>
                <w:sz w:val="24"/>
                <w:szCs w:val="24"/>
                <w:lang w:val="lv-LV" w:eastAsia="lv-LV" w:bidi="ar-SA"/>
              </w:rPr>
              <w:t xml:space="preserve">Ar līguma </w:t>
            </w:r>
            <w:r w:rsidR="00D72FBC" w:rsidRPr="00DD1E92">
              <w:rPr>
                <w:rFonts w:cs="Times New Roman"/>
                <w:sz w:val="24"/>
                <w:szCs w:val="24"/>
                <w:lang w:val="lv-LV" w:eastAsia="lv-LV" w:bidi="ar-SA"/>
              </w:rPr>
              <w:t xml:space="preserve">noslēgšanu un </w:t>
            </w:r>
            <w:r w:rsidRPr="00DD1E92">
              <w:rPr>
                <w:rFonts w:cs="Times New Roman"/>
                <w:sz w:val="24"/>
                <w:szCs w:val="24"/>
                <w:lang w:val="lv-LV" w:eastAsia="lv-LV" w:bidi="ar-SA"/>
              </w:rPr>
              <w:t xml:space="preserve">izpildi īstenojot </w:t>
            </w:r>
            <w:r w:rsidRPr="00DD1E92">
              <w:rPr>
                <w:rFonts w:cs="Times New Roman"/>
                <w:sz w:val="24"/>
                <w:szCs w:val="24"/>
                <w:lang w:val="lv-LV"/>
              </w:rPr>
              <w:t>aizsardzības spēju savie</w:t>
            </w:r>
            <w:r w:rsidR="00D72FBC" w:rsidRPr="00DD1E92">
              <w:rPr>
                <w:rFonts w:cs="Times New Roman"/>
                <w:sz w:val="24"/>
                <w:szCs w:val="24"/>
                <w:lang w:val="lv-LV"/>
              </w:rPr>
              <w:t>t</w:t>
            </w:r>
            <w:r w:rsidRPr="00DD1E92">
              <w:rPr>
                <w:rFonts w:cs="Times New Roman"/>
                <w:sz w:val="24"/>
                <w:szCs w:val="24"/>
                <w:lang w:val="lv-LV"/>
              </w:rPr>
              <w:t xml:space="preserve">ojamības, savstarpējās aizstājamības un </w:t>
            </w:r>
            <w:proofErr w:type="spellStart"/>
            <w:r w:rsidRPr="00DD1E92">
              <w:rPr>
                <w:rFonts w:cs="Times New Roman"/>
                <w:sz w:val="24"/>
                <w:szCs w:val="24"/>
                <w:lang w:val="lv-LV"/>
              </w:rPr>
              <w:t>kopli</w:t>
            </w:r>
            <w:r w:rsidR="00010FCE">
              <w:rPr>
                <w:rFonts w:cs="Times New Roman"/>
                <w:sz w:val="24"/>
                <w:szCs w:val="24"/>
                <w:lang w:val="lv-LV"/>
              </w:rPr>
              <w:t>etojamības</w:t>
            </w:r>
            <w:proofErr w:type="spellEnd"/>
            <w:r w:rsidR="00010FCE">
              <w:rPr>
                <w:rFonts w:cs="Times New Roman"/>
                <w:sz w:val="24"/>
                <w:szCs w:val="24"/>
                <w:lang w:val="lv-LV"/>
              </w:rPr>
              <w:t xml:space="preserve"> principu ievērošanu, </w:t>
            </w:r>
            <w:r w:rsidRPr="00DD1E92">
              <w:rPr>
                <w:rFonts w:cs="Times New Roman"/>
                <w:sz w:val="24"/>
                <w:szCs w:val="24"/>
                <w:lang w:val="lv-LV"/>
              </w:rPr>
              <w:t xml:space="preserve">Latvija kā Ziemeļatlantijas līguma organizācijas dalībvalsts </w:t>
            </w:r>
            <w:r w:rsidR="00D72FBC" w:rsidRPr="00DD1E92">
              <w:rPr>
                <w:rFonts w:cs="Times New Roman"/>
                <w:sz w:val="24"/>
                <w:szCs w:val="24"/>
                <w:lang w:val="lv-LV"/>
              </w:rPr>
              <w:t>uzturēs</w:t>
            </w:r>
            <w:r w:rsidRPr="00DD1E92">
              <w:rPr>
                <w:rFonts w:cs="Times New Roman"/>
                <w:sz w:val="24"/>
                <w:szCs w:val="24"/>
                <w:lang w:val="lv-LV" w:eastAsia="lv-LV" w:bidi="ar-SA"/>
              </w:rPr>
              <w:t xml:space="preserve"> un </w:t>
            </w:r>
            <w:r w:rsidR="00D72FBC" w:rsidRPr="00DD1E92">
              <w:rPr>
                <w:rFonts w:cs="Times New Roman"/>
                <w:sz w:val="24"/>
                <w:szCs w:val="24"/>
                <w:lang w:val="lv-LV" w:eastAsia="lv-LV" w:bidi="ar-SA"/>
              </w:rPr>
              <w:t xml:space="preserve">attīstīs valsts </w:t>
            </w:r>
            <w:r w:rsidRPr="00DD1E92">
              <w:rPr>
                <w:rFonts w:cs="Times New Roman"/>
                <w:sz w:val="24"/>
                <w:szCs w:val="24"/>
                <w:lang w:val="lv-LV" w:eastAsia="lv-LV" w:bidi="ar-SA"/>
              </w:rPr>
              <w:t xml:space="preserve">individuālās un NATO ietvaros kolektīvās spējas pretoties bruņotam uzbrukumam, līdz ar to </w:t>
            </w:r>
            <w:r w:rsidR="00D72FBC" w:rsidRPr="00DD1E92">
              <w:rPr>
                <w:rFonts w:cs="Times New Roman"/>
                <w:sz w:val="24"/>
                <w:szCs w:val="24"/>
                <w:lang w:val="lv-LV" w:eastAsia="lv-LV" w:bidi="ar-SA"/>
              </w:rPr>
              <w:t xml:space="preserve">tiks </w:t>
            </w:r>
            <w:r w:rsidRPr="00DD1E92">
              <w:rPr>
                <w:rFonts w:cs="Times New Roman"/>
                <w:sz w:val="24"/>
                <w:szCs w:val="24"/>
                <w:lang w:val="lv-LV" w:eastAsia="lv-LV" w:bidi="ar-SA"/>
              </w:rPr>
              <w:t xml:space="preserve">sekmēta spēja novērst Puses teritoriālā valsts integritātes, politiskā neatkarības, drošības apdraudējumu. Tiek nodrošināta iespēja saņemt un pilnvērtīgi izmantot sabiedroto palīdzību. </w:t>
            </w:r>
          </w:p>
        </w:tc>
        <w:tc>
          <w:tcPr>
            <w:tcW w:w="2685" w:type="pct"/>
            <w:tcBorders>
              <w:top w:val="outset" w:sz="6" w:space="0" w:color="auto"/>
              <w:left w:val="outset" w:sz="6" w:space="0" w:color="auto"/>
              <w:bottom w:val="outset" w:sz="6" w:space="0" w:color="auto"/>
              <w:right w:val="outset" w:sz="6" w:space="0" w:color="auto"/>
            </w:tcBorders>
            <w:hideMark/>
          </w:tcPr>
          <w:p w:rsidR="00032F15" w:rsidRPr="00DD1E92" w:rsidRDefault="00032F15" w:rsidP="00A27507">
            <w:pPr>
              <w:jc w:val="both"/>
              <w:rPr>
                <w:rFonts w:cs="Times New Roman"/>
                <w:sz w:val="24"/>
                <w:szCs w:val="24"/>
                <w:lang w:val="lv-LV" w:eastAsia="lv-LV"/>
              </w:rPr>
            </w:pPr>
            <w:r w:rsidRPr="00DD1E92">
              <w:rPr>
                <w:rFonts w:cs="Times New Roman"/>
                <w:sz w:val="24"/>
                <w:szCs w:val="24"/>
                <w:lang w:val="lv-LV" w:eastAsia="lv-LV" w:bidi="ar-SA"/>
              </w:rPr>
              <w:t xml:space="preserve">Saistības tiek izpildītas daļēji – līguma </w:t>
            </w:r>
            <w:r w:rsidR="00D72FBC" w:rsidRPr="00DD1E92">
              <w:rPr>
                <w:rFonts w:cs="Times New Roman"/>
                <w:sz w:val="24"/>
                <w:szCs w:val="24"/>
                <w:lang w:val="lv-LV" w:eastAsia="lv-LV" w:bidi="ar-SA"/>
              </w:rPr>
              <w:t xml:space="preserve">noslēgšana un </w:t>
            </w:r>
            <w:r w:rsidRPr="00DD1E92">
              <w:rPr>
                <w:rFonts w:cs="Times New Roman"/>
                <w:sz w:val="24"/>
                <w:szCs w:val="24"/>
                <w:lang w:val="lv-LV" w:eastAsia="lv-LV" w:bidi="ar-SA"/>
              </w:rPr>
              <w:t xml:space="preserve">izpilde </w:t>
            </w:r>
            <w:r w:rsidRPr="00DD1E92">
              <w:rPr>
                <w:rFonts w:cs="Times New Roman"/>
                <w:sz w:val="24"/>
                <w:szCs w:val="24"/>
                <w:lang w:val="lv-LV" w:eastAsia="lv-LV"/>
              </w:rPr>
              <w:t xml:space="preserve">ir tikai viens no daudziem kolektīvās aizsardzības sistēmas stiprināšanas pasākumiem. </w:t>
            </w:r>
          </w:p>
          <w:p w:rsidR="00032F15" w:rsidRPr="00DD1E92" w:rsidRDefault="00032F15" w:rsidP="00A27507">
            <w:pPr>
              <w:suppressAutoHyphens/>
              <w:jc w:val="both"/>
              <w:rPr>
                <w:rFonts w:cs="Times New Roman"/>
                <w:sz w:val="24"/>
                <w:szCs w:val="24"/>
                <w:lang w:val="lv-LV" w:eastAsia="lv-LV" w:bidi="ar-SA"/>
              </w:rPr>
            </w:pPr>
          </w:p>
        </w:tc>
      </w:tr>
      <w:tr w:rsidR="00032F15" w:rsidRPr="00032F15" w:rsidTr="0080789E">
        <w:trPr>
          <w:tblCellSpacing w:w="15" w:type="dxa"/>
          <w:jc w:val="center"/>
        </w:trPr>
        <w:tc>
          <w:tcPr>
            <w:tcW w:w="880" w:type="pct"/>
            <w:tcBorders>
              <w:top w:val="outset" w:sz="6" w:space="0" w:color="auto"/>
              <w:left w:val="outset" w:sz="6" w:space="0" w:color="auto"/>
              <w:bottom w:val="outset" w:sz="6" w:space="0" w:color="auto"/>
              <w:right w:val="outset" w:sz="6" w:space="0" w:color="auto"/>
            </w:tcBorders>
            <w:hideMark/>
          </w:tcPr>
          <w:p w:rsidR="00032F15" w:rsidRPr="00DD1E92" w:rsidRDefault="00032F15" w:rsidP="00A27507">
            <w:pPr>
              <w:suppressAutoHyphens/>
              <w:rPr>
                <w:rFonts w:cs="Times New Roman"/>
                <w:sz w:val="24"/>
                <w:szCs w:val="24"/>
                <w:lang w:val="lv-LV" w:eastAsia="lv-LV" w:bidi="ar-SA"/>
              </w:rPr>
            </w:pPr>
            <w:r w:rsidRPr="00DD1E92">
              <w:rPr>
                <w:rFonts w:cs="Times New Roman"/>
                <w:sz w:val="24"/>
                <w:szCs w:val="24"/>
                <w:lang w:val="lv-LV" w:eastAsia="lv-LV" w:bidi="ar-SA"/>
              </w:rPr>
              <w:t xml:space="preserve">Vai </w:t>
            </w:r>
            <w:r w:rsidRPr="00DD1E92">
              <w:rPr>
                <w:rFonts w:cs="Times New Roman"/>
                <w:sz w:val="24"/>
                <w:szCs w:val="24"/>
                <w:lang w:val="lv-LV" w:eastAsia="lv-LV" w:bidi="ar-SA"/>
              </w:rPr>
              <w:lastRenderedPageBreak/>
              <w:t>starptautiskajā dokumentā paredzētās saistības nav pretrunā ar jau esošajām Latvijas Republikas starptautiskajām saistībām</w:t>
            </w:r>
          </w:p>
        </w:tc>
        <w:tc>
          <w:tcPr>
            <w:tcW w:w="4072" w:type="pct"/>
            <w:gridSpan w:val="2"/>
            <w:tcBorders>
              <w:top w:val="outset" w:sz="6" w:space="0" w:color="auto"/>
              <w:left w:val="outset" w:sz="6" w:space="0" w:color="auto"/>
              <w:bottom w:val="outset" w:sz="6" w:space="0" w:color="auto"/>
              <w:right w:val="outset" w:sz="6" w:space="0" w:color="auto"/>
            </w:tcBorders>
            <w:hideMark/>
          </w:tcPr>
          <w:p w:rsidR="00032F15" w:rsidRPr="00DD1E92" w:rsidRDefault="00032F15" w:rsidP="00A27507">
            <w:pPr>
              <w:suppressAutoHyphens/>
              <w:rPr>
                <w:rFonts w:cs="Times New Roman"/>
                <w:sz w:val="24"/>
                <w:szCs w:val="24"/>
                <w:lang w:val="lv-LV" w:eastAsia="lv-LV" w:bidi="ar-SA"/>
              </w:rPr>
            </w:pPr>
            <w:r w:rsidRPr="00DD1E92">
              <w:rPr>
                <w:rFonts w:cs="Times New Roman"/>
                <w:sz w:val="24"/>
                <w:szCs w:val="24"/>
                <w:lang w:val="lv-LV" w:eastAsia="lv-LV" w:bidi="ar-SA"/>
              </w:rPr>
              <w:lastRenderedPageBreak/>
              <w:t>Nav pretrunā.</w:t>
            </w:r>
          </w:p>
        </w:tc>
      </w:tr>
      <w:tr w:rsidR="00032F15" w:rsidRPr="00032F15" w:rsidTr="0080789E">
        <w:trPr>
          <w:tblCellSpacing w:w="15" w:type="dxa"/>
          <w:jc w:val="center"/>
        </w:trPr>
        <w:tc>
          <w:tcPr>
            <w:tcW w:w="880" w:type="pct"/>
            <w:tcBorders>
              <w:top w:val="outset" w:sz="6" w:space="0" w:color="auto"/>
              <w:left w:val="outset" w:sz="6" w:space="0" w:color="auto"/>
              <w:bottom w:val="outset" w:sz="6" w:space="0" w:color="auto"/>
              <w:right w:val="outset" w:sz="6" w:space="0" w:color="auto"/>
            </w:tcBorders>
            <w:hideMark/>
          </w:tcPr>
          <w:p w:rsidR="00032F15" w:rsidRPr="00032F15" w:rsidRDefault="00032F15" w:rsidP="00A27507">
            <w:pPr>
              <w:suppressAutoHyphens/>
              <w:rPr>
                <w:rFonts w:cs="Times New Roman"/>
                <w:sz w:val="24"/>
                <w:szCs w:val="24"/>
                <w:lang w:val="lv-LV" w:eastAsia="lv-LV" w:bidi="ar-SA"/>
              </w:rPr>
            </w:pPr>
            <w:r w:rsidRPr="00032F15">
              <w:rPr>
                <w:rFonts w:cs="Times New Roman"/>
                <w:sz w:val="24"/>
                <w:szCs w:val="24"/>
                <w:lang w:val="lv-LV" w:eastAsia="lv-LV" w:bidi="ar-SA"/>
              </w:rPr>
              <w:lastRenderedPageBreak/>
              <w:t>Cita informācija</w:t>
            </w:r>
          </w:p>
        </w:tc>
        <w:tc>
          <w:tcPr>
            <w:tcW w:w="4072" w:type="pct"/>
            <w:gridSpan w:val="2"/>
            <w:tcBorders>
              <w:top w:val="outset" w:sz="6" w:space="0" w:color="auto"/>
              <w:left w:val="outset" w:sz="6" w:space="0" w:color="auto"/>
              <w:bottom w:val="outset" w:sz="6" w:space="0" w:color="auto"/>
              <w:right w:val="outset" w:sz="6" w:space="0" w:color="auto"/>
            </w:tcBorders>
            <w:hideMark/>
          </w:tcPr>
          <w:p w:rsidR="00032F15" w:rsidRPr="00032F15" w:rsidRDefault="00032F15" w:rsidP="00A27507">
            <w:pPr>
              <w:suppressAutoHyphens/>
              <w:spacing w:before="100" w:beforeAutospacing="1" w:after="100" w:afterAutospacing="1" w:line="360" w:lineRule="auto"/>
              <w:ind w:firstLine="300"/>
              <w:rPr>
                <w:rFonts w:cs="Times New Roman"/>
                <w:sz w:val="24"/>
                <w:szCs w:val="24"/>
                <w:lang w:val="lv-LV" w:eastAsia="lv-LV" w:bidi="ar-SA"/>
              </w:rPr>
            </w:pPr>
            <w:r w:rsidRPr="00032F15">
              <w:rPr>
                <w:rFonts w:cs="Times New Roman"/>
                <w:sz w:val="24"/>
                <w:szCs w:val="24"/>
                <w:lang w:val="lv-LV" w:eastAsia="lv-LV" w:bidi="ar-SA"/>
              </w:rPr>
              <w:t>Nav.</w:t>
            </w:r>
          </w:p>
        </w:tc>
      </w:tr>
    </w:tbl>
    <w:p w:rsidR="00032F15" w:rsidRPr="00032F15" w:rsidRDefault="00032F15">
      <w:pPr>
        <w:rPr>
          <w:rFonts w:cs="Times New Roman"/>
          <w:sz w:val="24"/>
          <w:szCs w:val="24"/>
          <w:lang w:val="lv-LV"/>
        </w:rPr>
      </w:pPr>
    </w:p>
    <w:tbl>
      <w:tblPr>
        <w:tblW w:w="5406"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0"/>
        <w:gridCol w:w="727"/>
        <w:gridCol w:w="1913"/>
        <w:gridCol w:w="359"/>
        <w:gridCol w:w="4558"/>
      </w:tblGrid>
      <w:tr w:rsidR="002C3F1D" w:rsidRPr="00905145" w:rsidTr="0080789E">
        <w:trPr>
          <w:trHeight w:val="333"/>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2C3F1D" w:rsidRPr="00032F15" w:rsidRDefault="002C3F1D" w:rsidP="002C3F1D">
            <w:pPr>
              <w:spacing w:before="100" w:beforeAutospacing="1" w:after="100" w:afterAutospacing="1" w:line="360" w:lineRule="auto"/>
              <w:rPr>
                <w:rFonts w:cs="Times New Roman"/>
                <w:sz w:val="24"/>
                <w:szCs w:val="24"/>
                <w:lang w:val="lv-LV" w:eastAsia="lv-LV" w:bidi="ar-SA"/>
              </w:rPr>
            </w:pPr>
            <w:r w:rsidRPr="00032F15">
              <w:rPr>
                <w:rFonts w:cs="Times New Roman"/>
                <w:b/>
                <w:bCs/>
                <w:sz w:val="24"/>
                <w:szCs w:val="24"/>
                <w:lang w:val="lv-LV"/>
              </w:rPr>
              <w:t>VI. Sabiedrības līdzdalība un komunikācijas aktivitātes</w:t>
            </w:r>
          </w:p>
        </w:tc>
      </w:tr>
      <w:tr w:rsidR="00032F15" w:rsidRPr="00905145" w:rsidTr="0080789E">
        <w:trPr>
          <w:trHeight w:val="333"/>
          <w:tblCellSpacing w:w="15" w:type="dxa"/>
        </w:trPr>
        <w:tc>
          <w:tcPr>
            <w:tcW w:w="950"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rPr>
            </w:pPr>
            <w:r w:rsidRPr="00032F15">
              <w:rPr>
                <w:rFonts w:cs="Times New Roman"/>
                <w:sz w:val="24"/>
                <w:szCs w:val="24"/>
                <w:lang w:val="lv-LV"/>
              </w:rPr>
              <w:t>1.</w:t>
            </w:r>
          </w:p>
        </w:tc>
        <w:tc>
          <w:tcPr>
            <w:tcW w:w="1397"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rPr>
            </w:pPr>
            <w:r w:rsidRPr="00032F15">
              <w:rPr>
                <w:rFonts w:cs="Times New Roman"/>
                <w:sz w:val="24"/>
                <w:szCs w:val="24"/>
                <w:lang w:val="lv-LV"/>
              </w:rPr>
              <w:t>Plānotās sabiedrības līdzdalības un komunikācijas aktivitātes saistībā ar projektu</w:t>
            </w:r>
          </w:p>
        </w:tc>
        <w:tc>
          <w:tcPr>
            <w:tcW w:w="2588"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rPr>
            </w:pPr>
            <w:r w:rsidRPr="00032F15">
              <w:rPr>
                <w:rFonts w:cs="Times New Roman"/>
                <w:sz w:val="24"/>
                <w:szCs w:val="24"/>
                <w:lang w:val="lv-LV"/>
              </w:rPr>
              <w:t>Plānota aizsardzības un drošības jomā darbojošos uzņēmumu informēšana ar Latvijas drošības un aizsardzības industriju federācijas starpniecību, kā arī citu ieinteresēto uzņēmēju informēšanu Aizsardzības ministrijas ikgadēji organizēto industrijas dienu laikā, kā arī ar mediju starpniecību.</w:t>
            </w:r>
          </w:p>
        </w:tc>
      </w:tr>
      <w:tr w:rsidR="00032F15" w:rsidRPr="00032F15" w:rsidTr="0080789E">
        <w:trPr>
          <w:trHeight w:val="333"/>
          <w:tblCellSpacing w:w="15" w:type="dxa"/>
        </w:trPr>
        <w:tc>
          <w:tcPr>
            <w:tcW w:w="950"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rPr>
            </w:pPr>
            <w:r w:rsidRPr="00032F15">
              <w:rPr>
                <w:rFonts w:cs="Times New Roman"/>
                <w:sz w:val="24"/>
                <w:szCs w:val="24"/>
                <w:lang w:val="lv-LV"/>
              </w:rPr>
              <w:t>2.</w:t>
            </w:r>
          </w:p>
        </w:tc>
        <w:tc>
          <w:tcPr>
            <w:tcW w:w="1397"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rPr>
            </w:pPr>
            <w:r w:rsidRPr="00032F15">
              <w:rPr>
                <w:rFonts w:cs="Times New Roman"/>
                <w:sz w:val="24"/>
                <w:szCs w:val="24"/>
                <w:lang w:val="lv-LV"/>
              </w:rPr>
              <w:t>Sabiedrības līdzdalība projekta izstrādē</w:t>
            </w:r>
          </w:p>
        </w:tc>
        <w:tc>
          <w:tcPr>
            <w:tcW w:w="2588" w:type="pct"/>
            <w:gridSpan w:val="2"/>
            <w:tcBorders>
              <w:top w:val="outset" w:sz="6" w:space="0" w:color="auto"/>
              <w:left w:val="outset" w:sz="6" w:space="0" w:color="auto"/>
              <w:bottom w:val="outset" w:sz="6" w:space="0" w:color="auto"/>
              <w:right w:val="outset" w:sz="6" w:space="0" w:color="auto"/>
            </w:tcBorders>
          </w:tcPr>
          <w:p w:rsidR="002C3F1D" w:rsidRPr="00032F15" w:rsidRDefault="003E4A0A" w:rsidP="002C3F1D">
            <w:pPr>
              <w:rPr>
                <w:rFonts w:cs="Times New Roman"/>
                <w:sz w:val="24"/>
                <w:szCs w:val="24"/>
                <w:lang w:val="lv-LV"/>
              </w:rPr>
            </w:pPr>
            <w:r>
              <w:rPr>
                <w:rFonts w:cs="Times New Roman"/>
                <w:sz w:val="24"/>
                <w:szCs w:val="24"/>
                <w:lang w:val="lv-LV"/>
              </w:rPr>
              <w:t>Nav</w:t>
            </w:r>
          </w:p>
        </w:tc>
      </w:tr>
      <w:tr w:rsidR="00032F15" w:rsidRPr="00032F15" w:rsidTr="0080789E">
        <w:trPr>
          <w:trHeight w:val="333"/>
          <w:tblCellSpacing w:w="15" w:type="dxa"/>
        </w:trPr>
        <w:tc>
          <w:tcPr>
            <w:tcW w:w="950"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rPr>
            </w:pPr>
            <w:r w:rsidRPr="00032F15">
              <w:rPr>
                <w:rFonts w:cs="Times New Roman"/>
                <w:sz w:val="24"/>
                <w:szCs w:val="24"/>
                <w:lang w:val="lv-LV"/>
              </w:rPr>
              <w:t>3.</w:t>
            </w:r>
          </w:p>
        </w:tc>
        <w:tc>
          <w:tcPr>
            <w:tcW w:w="1397"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rPr>
            </w:pPr>
            <w:r w:rsidRPr="00032F15">
              <w:rPr>
                <w:rFonts w:cs="Times New Roman"/>
                <w:sz w:val="24"/>
                <w:szCs w:val="24"/>
                <w:lang w:val="lv-LV"/>
              </w:rPr>
              <w:t>Sabiedrības līdzdalības rezultāti</w:t>
            </w:r>
          </w:p>
        </w:tc>
        <w:tc>
          <w:tcPr>
            <w:tcW w:w="2588" w:type="pct"/>
            <w:gridSpan w:val="2"/>
            <w:tcBorders>
              <w:top w:val="outset" w:sz="6" w:space="0" w:color="auto"/>
              <w:left w:val="outset" w:sz="6" w:space="0" w:color="auto"/>
              <w:bottom w:val="outset" w:sz="6" w:space="0" w:color="auto"/>
              <w:right w:val="outset" w:sz="6" w:space="0" w:color="auto"/>
            </w:tcBorders>
          </w:tcPr>
          <w:p w:rsidR="002C3F1D" w:rsidRPr="00032F15" w:rsidRDefault="003E4A0A" w:rsidP="002C3F1D">
            <w:pPr>
              <w:rPr>
                <w:rFonts w:cs="Times New Roman"/>
                <w:sz w:val="24"/>
                <w:szCs w:val="24"/>
                <w:lang w:val="lv-LV"/>
              </w:rPr>
            </w:pPr>
            <w:r>
              <w:rPr>
                <w:rFonts w:cs="Times New Roman"/>
                <w:sz w:val="24"/>
                <w:szCs w:val="24"/>
                <w:lang w:val="lv-LV"/>
              </w:rPr>
              <w:t>Nav</w:t>
            </w:r>
          </w:p>
        </w:tc>
      </w:tr>
      <w:tr w:rsidR="00032F15" w:rsidRPr="00032F15" w:rsidTr="0080789E">
        <w:trPr>
          <w:trHeight w:val="333"/>
          <w:tblCellSpacing w:w="15" w:type="dxa"/>
        </w:trPr>
        <w:tc>
          <w:tcPr>
            <w:tcW w:w="950"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rPr>
            </w:pPr>
            <w:r w:rsidRPr="00032F15">
              <w:rPr>
                <w:rFonts w:cs="Times New Roman"/>
                <w:sz w:val="24"/>
                <w:szCs w:val="24"/>
                <w:lang w:val="lv-LV"/>
              </w:rPr>
              <w:t>4.</w:t>
            </w:r>
          </w:p>
        </w:tc>
        <w:tc>
          <w:tcPr>
            <w:tcW w:w="1397"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rPr>
            </w:pPr>
            <w:r w:rsidRPr="00032F15">
              <w:rPr>
                <w:rFonts w:cs="Times New Roman"/>
                <w:sz w:val="24"/>
                <w:szCs w:val="24"/>
                <w:lang w:val="lv-LV"/>
              </w:rPr>
              <w:t>Cita informācija</w:t>
            </w:r>
          </w:p>
        </w:tc>
        <w:tc>
          <w:tcPr>
            <w:tcW w:w="2588"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3E4A0A">
            <w:pPr>
              <w:spacing w:before="100" w:beforeAutospacing="1" w:after="100" w:afterAutospacing="1" w:line="360" w:lineRule="auto"/>
              <w:rPr>
                <w:rFonts w:cs="Times New Roman"/>
                <w:sz w:val="24"/>
                <w:szCs w:val="24"/>
                <w:lang w:val="lv-LV"/>
              </w:rPr>
            </w:pPr>
            <w:r w:rsidRPr="00032F15">
              <w:rPr>
                <w:rFonts w:cs="Times New Roman"/>
                <w:sz w:val="24"/>
                <w:szCs w:val="24"/>
                <w:lang w:val="lv-LV"/>
              </w:rPr>
              <w:t>Nav</w:t>
            </w:r>
          </w:p>
        </w:tc>
      </w:tr>
      <w:tr w:rsidR="002C3F1D" w:rsidRPr="00032F15" w:rsidTr="0080789E">
        <w:trPr>
          <w:trHeight w:val="333"/>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2C3F1D" w:rsidRPr="00032F15" w:rsidRDefault="002C3F1D" w:rsidP="002C3F1D">
            <w:pPr>
              <w:spacing w:before="100" w:beforeAutospacing="1" w:after="100" w:afterAutospacing="1" w:line="360" w:lineRule="auto"/>
              <w:ind w:firstLine="300"/>
              <w:rPr>
                <w:rFonts w:cs="Times New Roman"/>
                <w:sz w:val="24"/>
                <w:szCs w:val="24"/>
                <w:lang w:val="lv-LV"/>
              </w:rPr>
            </w:pPr>
            <w:r w:rsidRPr="00032F15">
              <w:rPr>
                <w:rFonts w:cs="Times New Roman"/>
                <w:b/>
                <w:bCs/>
                <w:sz w:val="24"/>
                <w:szCs w:val="24"/>
                <w:lang w:val="lv-LV" w:eastAsia="lv-LV"/>
              </w:rPr>
              <w:t>VII. Tiesību akta projekta izpildes nodrošināšana un tās ietekme uz institūcijām</w:t>
            </w:r>
          </w:p>
        </w:tc>
      </w:tr>
      <w:tr w:rsidR="00032F15" w:rsidRPr="00032F15" w:rsidTr="0080789E">
        <w:trPr>
          <w:trHeight w:val="333"/>
          <w:tblCellSpacing w:w="15" w:type="dxa"/>
        </w:trPr>
        <w:tc>
          <w:tcPr>
            <w:tcW w:w="1328"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1.</w:t>
            </w:r>
          </w:p>
        </w:tc>
        <w:tc>
          <w:tcPr>
            <w:tcW w:w="1197"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Projekta izpildē iesaistītās institūcijas</w:t>
            </w:r>
          </w:p>
        </w:tc>
        <w:tc>
          <w:tcPr>
            <w:tcW w:w="2411"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rPr>
              <w:t>Aizsardzības ministrija</w:t>
            </w:r>
          </w:p>
        </w:tc>
      </w:tr>
      <w:tr w:rsidR="00032F15" w:rsidRPr="00905145" w:rsidTr="0080789E">
        <w:trPr>
          <w:trHeight w:val="333"/>
          <w:tblCellSpacing w:w="15" w:type="dxa"/>
        </w:trPr>
        <w:tc>
          <w:tcPr>
            <w:tcW w:w="1328"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2.</w:t>
            </w:r>
          </w:p>
        </w:tc>
        <w:tc>
          <w:tcPr>
            <w:tcW w:w="1197"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 xml:space="preserve">Projekta izpildes ietekme uz pārvaldes funkcijām un institucionālo struktūru. </w:t>
            </w:r>
          </w:p>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Jaunu institūciju izveide, esošu institūciju likvidācija vai reorganizācija, to ietekme uz institūcijas cilvēkresursiem</w:t>
            </w:r>
          </w:p>
        </w:tc>
        <w:tc>
          <w:tcPr>
            <w:tcW w:w="2411"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rPr>
              <w:t xml:space="preserve">Projekts tiks izpildīts esošo pārvaldes funkciju ietvaros. </w:t>
            </w:r>
          </w:p>
        </w:tc>
      </w:tr>
      <w:tr w:rsidR="00032F15" w:rsidRPr="00032F15" w:rsidTr="0080789E">
        <w:trPr>
          <w:trHeight w:val="333"/>
          <w:tblCellSpacing w:w="15" w:type="dxa"/>
        </w:trPr>
        <w:tc>
          <w:tcPr>
            <w:tcW w:w="1328"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3.</w:t>
            </w:r>
          </w:p>
        </w:tc>
        <w:tc>
          <w:tcPr>
            <w:tcW w:w="1197" w:type="pct"/>
            <w:gridSpan w:val="2"/>
            <w:tcBorders>
              <w:top w:val="outset" w:sz="6" w:space="0" w:color="auto"/>
              <w:left w:val="outset" w:sz="6" w:space="0" w:color="auto"/>
              <w:bottom w:val="outset" w:sz="6" w:space="0" w:color="auto"/>
              <w:right w:val="outset" w:sz="6" w:space="0" w:color="auto"/>
            </w:tcBorders>
          </w:tcPr>
          <w:p w:rsidR="002C3F1D" w:rsidRPr="00032F15" w:rsidRDefault="002C3F1D" w:rsidP="002C3F1D">
            <w:pPr>
              <w:rPr>
                <w:rFonts w:cs="Times New Roman"/>
                <w:sz w:val="24"/>
                <w:szCs w:val="24"/>
                <w:lang w:val="lv-LV" w:eastAsia="lv-LV"/>
              </w:rPr>
            </w:pPr>
            <w:r w:rsidRPr="00032F15">
              <w:rPr>
                <w:rFonts w:cs="Times New Roman"/>
                <w:sz w:val="24"/>
                <w:szCs w:val="24"/>
                <w:lang w:val="lv-LV" w:eastAsia="lv-LV"/>
              </w:rPr>
              <w:t>Cita informācija</w:t>
            </w:r>
          </w:p>
        </w:tc>
        <w:tc>
          <w:tcPr>
            <w:tcW w:w="2411" w:type="pct"/>
            <w:tcBorders>
              <w:top w:val="outset" w:sz="6" w:space="0" w:color="auto"/>
              <w:left w:val="outset" w:sz="6" w:space="0" w:color="auto"/>
              <w:bottom w:val="outset" w:sz="6" w:space="0" w:color="auto"/>
              <w:right w:val="outset" w:sz="6" w:space="0" w:color="auto"/>
            </w:tcBorders>
          </w:tcPr>
          <w:p w:rsidR="002C3F1D" w:rsidRPr="00032F15" w:rsidRDefault="002C3F1D" w:rsidP="002C3F1D">
            <w:pPr>
              <w:spacing w:before="100" w:beforeAutospacing="1" w:after="100" w:afterAutospacing="1" w:line="360" w:lineRule="auto"/>
              <w:ind w:firstLine="300"/>
              <w:rPr>
                <w:rFonts w:cs="Times New Roman"/>
                <w:sz w:val="24"/>
                <w:szCs w:val="24"/>
                <w:lang w:val="lv-LV" w:eastAsia="lv-LV"/>
              </w:rPr>
            </w:pPr>
            <w:r w:rsidRPr="00032F15">
              <w:rPr>
                <w:rFonts w:cs="Times New Roman"/>
                <w:sz w:val="24"/>
                <w:szCs w:val="24"/>
                <w:lang w:val="lv-LV" w:eastAsia="lv-LV"/>
              </w:rPr>
              <w:t>Nav.</w:t>
            </w:r>
          </w:p>
        </w:tc>
      </w:tr>
    </w:tbl>
    <w:p w:rsidR="002C3F1D" w:rsidRPr="00032F15" w:rsidRDefault="002C3F1D">
      <w:pPr>
        <w:rPr>
          <w:rFonts w:cs="Times New Roman"/>
          <w:sz w:val="24"/>
          <w:szCs w:val="24"/>
          <w:lang w:val="lv-LV"/>
        </w:rPr>
      </w:pPr>
    </w:p>
    <w:p w:rsidR="002C3F1D" w:rsidRPr="00032F15" w:rsidRDefault="002C3F1D" w:rsidP="002C3F1D">
      <w:pPr>
        <w:spacing w:before="75" w:after="75"/>
        <w:ind w:hanging="20"/>
        <w:jc w:val="center"/>
        <w:rPr>
          <w:rFonts w:cs="Times New Roman"/>
          <w:vanish/>
          <w:sz w:val="24"/>
          <w:szCs w:val="24"/>
          <w:lang w:val="lv-LV"/>
        </w:rPr>
      </w:pPr>
      <w:r w:rsidRPr="00032F15">
        <w:rPr>
          <w:rFonts w:cs="Times New Roman"/>
          <w:b/>
          <w:bCs/>
          <w:sz w:val="24"/>
          <w:szCs w:val="24"/>
          <w:lang w:val="lv-LV"/>
        </w:rPr>
        <w:lastRenderedPageBreak/>
        <w:t xml:space="preserve">Anotācijas III un IV sadaļa – projekts šīs jomas neskar. </w:t>
      </w:r>
    </w:p>
    <w:p w:rsidR="002C3F1D" w:rsidRPr="00032F15" w:rsidRDefault="002C3F1D" w:rsidP="002C3F1D">
      <w:pPr>
        <w:spacing w:before="75" w:after="75"/>
        <w:rPr>
          <w:rFonts w:cs="Times New Roman"/>
          <w:bCs/>
          <w:sz w:val="24"/>
          <w:szCs w:val="24"/>
          <w:lang w:val="lv-LV"/>
        </w:rPr>
      </w:pPr>
    </w:p>
    <w:p w:rsidR="002C3F1D" w:rsidRPr="00032F15" w:rsidRDefault="002C3F1D" w:rsidP="002C3F1D">
      <w:pPr>
        <w:rPr>
          <w:rFonts w:cs="Times New Roman"/>
          <w:sz w:val="24"/>
          <w:szCs w:val="24"/>
          <w:lang w:val="lv-LV"/>
        </w:rPr>
      </w:pPr>
    </w:p>
    <w:p w:rsidR="002C3F1D" w:rsidRPr="00032F15" w:rsidRDefault="002C3F1D" w:rsidP="002C3F1D">
      <w:pPr>
        <w:rPr>
          <w:rFonts w:cs="Times New Roman"/>
          <w:sz w:val="24"/>
          <w:szCs w:val="24"/>
          <w:lang w:val="lv-LV"/>
        </w:rPr>
      </w:pPr>
      <w:r w:rsidRPr="00032F15">
        <w:rPr>
          <w:rFonts w:cs="Times New Roman"/>
          <w:sz w:val="24"/>
          <w:szCs w:val="24"/>
          <w:lang w:val="lv-LV"/>
        </w:rPr>
        <w:t>Aizsardzības ministrs</w:t>
      </w:r>
      <w:r w:rsidRPr="00032F15">
        <w:rPr>
          <w:rFonts w:cs="Times New Roman"/>
          <w:sz w:val="24"/>
          <w:szCs w:val="24"/>
          <w:lang w:val="lv-LV"/>
        </w:rPr>
        <w:tab/>
      </w:r>
      <w:r w:rsidRPr="00032F15">
        <w:rPr>
          <w:rFonts w:cs="Times New Roman"/>
          <w:sz w:val="24"/>
          <w:szCs w:val="24"/>
          <w:lang w:val="lv-LV"/>
        </w:rPr>
        <w:tab/>
      </w:r>
      <w:r w:rsidRPr="00032F15">
        <w:rPr>
          <w:rFonts w:cs="Times New Roman"/>
          <w:sz w:val="24"/>
          <w:szCs w:val="24"/>
          <w:lang w:val="lv-LV"/>
        </w:rPr>
        <w:tab/>
      </w:r>
      <w:r w:rsidRPr="00032F15">
        <w:rPr>
          <w:rFonts w:cs="Times New Roman"/>
          <w:sz w:val="24"/>
          <w:szCs w:val="24"/>
          <w:lang w:val="lv-LV"/>
        </w:rPr>
        <w:tab/>
      </w:r>
      <w:r w:rsidRPr="00032F15">
        <w:rPr>
          <w:rFonts w:cs="Times New Roman"/>
          <w:sz w:val="24"/>
          <w:szCs w:val="24"/>
          <w:lang w:val="lv-LV"/>
        </w:rPr>
        <w:tab/>
      </w:r>
      <w:r w:rsidRPr="00032F15">
        <w:rPr>
          <w:rFonts w:cs="Times New Roman"/>
          <w:sz w:val="24"/>
          <w:szCs w:val="24"/>
          <w:lang w:val="lv-LV"/>
        </w:rPr>
        <w:tab/>
      </w:r>
      <w:proofErr w:type="gramStart"/>
      <w:r w:rsidR="00602F43">
        <w:rPr>
          <w:rFonts w:cs="Times New Roman"/>
          <w:sz w:val="24"/>
          <w:szCs w:val="24"/>
          <w:lang w:val="lv-LV"/>
        </w:rPr>
        <w:t xml:space="preserve">                        </w:t>
      </w:r>
      <w:proofErr w:type="gramEnd"/>
      <w:r w:rsidRPr="00032F15">
        <w:rPr>
          <w:rFonts w:cs="Times New Roman"/>
          <w:sz w:val="24"/>
          <w:szCs w:val="24"/>
          <w:lang w:val="lv-LV"/>
        </w:rPr>
        <w:t>R.Bergmanis</w:t>
      </w:r>
    </w:p>
    <w:p w:rsidR="002C3F1D" w:rsidRPr="00032F15" w:rsidRDefault="002C3F1D" w:rsidP="002C3F1D">
      <w:pPr>
        <w:rPr>
          <w:rFonts w:cs="Times New Roman"/>
          <w:sz w:val="24"/>
          <w:szCs w:val="24"/>
          <w:lang w:val="lv-LV"/>
        </w:rPr>
      </w:pPr>
    </w:p>
    <w:p w:rsidR="002C3F1D" w:rsidRPr="00032F15" w:rsidRDefault="002C3F1D" w:rsidP="002C3F1D">
      <w:pPr>
        <w:rPr>
          <w:rFonts w:cs="Times New Roman"/>
          <w:sz w:val="24"/>
          <w:szCs w:val="24"/>
          <w:lang w:val="lv-LV"/>
        </w:rPr>
      </w:pPr>
    </w:p>
    <w:p w:rsidR="002C3F1D" w:rsidRDefault="00F24C9C" w:rsidP="002C3F1D">
      <w:pPr>
        <w:rPr>
          <w:rFonts w:cs="Times New Roman"/>
          <w:sz w:val="24"/>
          <w:szCs w:val="24"/>
          <w:lang w:val="lv-LV"/>
        </w:rPr>
      </w:pPr>
      <w:r w:rsidRPr="00032F15">
        <w:rPr>
          <w:rFonts w:cs="Times New Roman"/>
          <w:sz w:val="24"/>
          <w:szCs w:val="24"/>
          <w:lang w:val="lv-LV"/>
        </w:rPr>
        <w:t>Vīza: valsts sekretār</w:t>
      </w:r>
      <w:r w:rsidR="001C120A">
        <w:rPr>
          <w:rFonts w:cs="Times New Roman"/>
          <w:sz w:val="24"/>
          <w:szCs w:val="24"/>
          <w:lang w:val="lv-LV"/>
        </w:rPr>
        <w:t>s</w:t>
      </w:r>
      <w:r w:rsidR="002C3F1D" w:rsidRPr="00032F15">
        <w:rPr>
          <w:rFonts w:cs="Times New Roman"/>
          <w:sz w:val="24"/>
          <w:szCs w:val="24"/>
          <w:lang w:val="lv-LV"/>
        </w:rPr>
        <w:tab/>
      </w:r>
      <w:r w:rsidR="002C3F1D" w:rsidRPr="00032F15">
        <w:rPr>
          <w:rFonts w:cs="Times New Roman"/>
          <w:sz w:val="24"/>
          <w:szCs w:val="24"/>
          <w:lang w:val="lv-LV"/>
        </w:rPr>
        <w:tab/>
      </w:r>
      <w:r w:rsidR="002C3F1D" w:rsidRPr="00032F15">
        <w:rPr>
          <w:rFonts w:cs="Times New Roman"/>
          <w:sz w:val="24"/>
          <w:szCs w:val="24"/>
          <w:lang w:val="lv-LV"/>
        </w:rPr>
        <w:tab/>
      </w:r>
      <w:r w:rsidR="002C3F1D" w:rsidRPr="00032F15">
        <w:rPr>
          <w:rFonts w:cs="Times New Roman"/>
          <w:sz w:val="24"/>
          <w:szCs w:val="24"/>
          <w:lang w:val="lv-LV"/>
        </w:rPr>
        <w:tab/>
      </w:r>
      <w:r w:rsidR="002C3F1D" w:rsidRPr="00032F15">
        <w:rPr>
          <w:rFonts w:cs="Times New Roman"/>
          <w:sz w:val="24"/>
          <w:szCs w:val="24"/>
          <w:lang w:val="lv-LV"/>
        </w:rPr>
        <w:tab/>
      </w:r>
      <w:proofErr w:type="gramStart"/>
      <w:r w:rsidR="00602F43">
        <w:rPr>
          <w:rFonts w:cs="Times New Roman"/>
          <w:sz w:val="24"/>
          <w:szCs w:val="24"/>
          <w:lang w:val="lv-LV"/>
        </w:rPr>
        <w:t xml:space="preserve">                </w:t>
      </w:r>
      <w:r w:rsidR="001C120A">
        <w:rPr>
          <w:rFonts w:cs="Times New Roman"/>
          <w:sz w:val="24"/>
          <w:szCs w:val="24"/>
          <w:lang w:val="lv-LV"/>
        </w:rPr>
        <w:t xml:space="preserve">                       </w:t>
      </w:r>
      <w:proofErr w:type="gramEnd"/>
      <w:r w:rsidR="001C120A">
        <w:rPr>
          <w:rFonts w:cs="Times New Roman"/>
          <w:sz w:val="24"/>
          <w:szCs w:val="24"/>
          <w:lang w:val="lv-LV"/>
        </w:rPr>
        <w:t>J. Garisons</w:t>
      </w:r>
    </w:p>
    <w:p w:rsidR="00602F43" w:rsidRPr="00032F15" w:rsidRDefault="00602F43" w:rsidP="002C3F1D">
      <w:pPr>
        <w:rPr>
          <w:rFonts w:cs="Times New Roman"/>
          <w:sz w:val="24"/>
          <w:szCs w:val="24"/>
          <w:lang w:val="lv-LV"/>
        </w:rPr>
      </w:pPr>
    </w:p>
    <w:p w:rsidR="00F24C9C" w:rsidRPr="00602F43" w:rsidRDefault="00905145" w:rsidP="002C3F1D">
      <w:pPr>
        <w:jc w:val="both"/>
        <w:rPr>
          <w:rFonts w:cs="Times New Roman"/>
          <w:sz w:val="22"/>
          <w:szCs w:val="24"/>
          <w:lang w:val="lv-LV"/>
        </w:rPr>
      </w:pPr>
      <w:r>
        <w:rPr>
          <w:rFonts w:cs="Times New Roman"/>
          <w:sz w:val="22"/>
          <w:szCs w:val="24"/>
          <w:lang w:val="lv-LV"/>
        </w:rPr>
        <w:t>11</w:t>
      </w:r>
      <w:r w:rsidR="00F24C9C" w:rsidRPr="00602F43">
        <w:rPr>
          <w:rFonts w:cs="Times New Roman"/>
          <w:sz w:val="22"/>
          <w:szCs w:val="24"/>
          <w:lang w:val="lv-LV"/>
        </w:rPr>
        <w:t>.01.2017.</w:t>
      </w:r>
    </w:p>
    <w:p w:rsidR="002C3F1D" w:rsidRPr="00602F43" w:rsidRDefault="002C3F1D" w:rsidP="002C3F1D">
      <w:pPr>
        <w:jc w:val="both"/>
        <w:rPr>
          <w:rFonts w:cs="Times New Roman"/>
          <w:sz w:val="22"/>
          <w:szCs w:val="24"/>
          <w:lang w:val="lv-LV"/>
        </w:rPr>
      </w:pPr>
      <w:r w:rsidRPr="00032F15">
        <w:rPr>
          <w:rFonts w:cs="Times New Roman"/>
          <w:sz w:val="22"/>
          <w:szCs w:val="24"/>
        </w:rPr>
        <w:fldChar w:fldCharType="begin"/>
      </w:r>
      <w:r w:rsidRPr="00602F43">
        <w:rPr>
          <w:rFonts w:cs="Times New Roman"/>
          <w:sz w:val="22"/>
          <w:szCs w:val="24"/>
          <w:lang w:val="lv-LV"/>
        </w:rPr>
        <w:instrText xml:space="preserve"> INFO  NumWords  \* MERGEFORMAT </w:instrText>
      </w:r>
      <w:r w:rsidRPr="00032F15">
        <w:rPr>
          <w:rFonts w:cs="Times New Roman"/>
          <w:sz w:val="22"/>
          <w:szCs w:val="24"/>
        </w:rPr>
        <w:fldChar w:fldCharType="separate"/>
      </w:r>
      <w:r w:rsidR="00491A12">
        <w:rPr>
          <w:rFonts w:cs="Times New Roman"/>
          <w:sz w:val="22"/>
          <w:szCs w:val="24"/>
          <w:lang w:val="lv-LV"/>
        </w:rPr>
        <w:t>1117</w:t>
      </w:r>
      <w:r w:rsidRPr="00032F15">
        <w:rPr>
          <w:rFonts w:cs="Times New Roman"/>
          <w:sz w:val="22"/>
          <w:szCs w:val="24"/>
        </w:rPr>
        <w:fldChar w:fldCharType="end"/>
      </w:r>
    </w:p>
    <w:p w:rsidR="002C3F1D" w:rsidRPr="00602F43" w:rsidRDefault="002C3F1D" w:rsidP="002C3F1D">
      <w:pPr>
        <w:jc w:val="both"/>
        <w:rPr>
          <w:rFonts w:cs="Times New Roman"/>
          <w:sz w:val="22"/>
          <w:szCs w:val="24"/>
          <w:lang w:val="lv-LV"/>
        </w:rPr>
      </w:pPr>
      <w:r w:rsidRPr="00032F15">
        <w:rPr>
          <w:rFonts w:cs="Times New Roman"/>
          <w:sz w:val="22"/>
          <w:szCs w:val="24"/>
        </w:rPr>
        <w:fldChar w:fldCharType="begin"/>
      </w:r>
      <w:r w:rsidRPr="00602F43">
        <w:rPr>
          <w:rFonts w:cs="Times New Roman"/>
          <w:sz w:val="22"/>
          <w:szCs w:val="24"/>
          <w:lang w:val="lv-LV"/>
        </w:rPr>
        <w:instrText xml:space="preserve"> AUTHOR  "Līga Atstāja"  \* MERGEFORMAT </w:instrText>
      </w:r>
      <w:r w:rsidRPr="00032F15">
        <w:rPr>
          <w:rFonts w:cs="Times New Roman"/>
          <w:sz w:val="22"/>
          <w:szCs w:val="24"/>
        </w:rPr>
        <w:fldChar w:fldCharType="separate"/>
      </w:r>
      <w:r w:rsidR="00F24C9C" w:rsidRPr="00602F43">
        <w:rPr>
          <w:rFonts w:cs="Times New Roman"/>
          <w:noProof/>
          <w:sz w:val="22"/>
          <w:szCs w:val="24"/>
          <w:lang w:val="lv-LV"/>
        </w:rPr>
        <w:t>Edgars Kiukucāns</w:t>
      </w:r>
      <w:r w:rsidRPr="00032F15">
        <w:rPr>
          <w:rFonts w:cs="Times New Roman"/>
          <w:noProof/>
          <w:sz w:val="22"/>
          <w:szCs w:val="24"/>
        </w:rPr>
        <w:fldChar w:fldCharType="end"/>
      </w:r>
    </w:p>
    <w:p w:rsidR="002C3F1D" w:rsidRPr="001C120A" w:rsidRDefault="002C3F1D" w:rsidP="002C3F1D">
      <w:pPr>
        <w:rPr>
          <w:rFonts w:cs="Times New Roman"/>
          <w:sz w:val="22"/>
          <w:szCs w:val="24"/>
          <w:lang w:val="lv-LV"/>
        </w:rPr>
      </w:pPr>
      <w:r w:rsidRPr="00032F15">
        <w:rPr>
          <w:rFonts w:cs="Times New Roman"/>
          <w:sz w:val="22"/>
          <w:szCs w:val="24"/>
        </w:rPr>
        <w:fldChar w:fldCharType="begin"/>
      </w:r>
      <w:r w:rsidRPr="001C120A">
        <w:rPr>
          <w:rFonts w:cs="Times New Roman"/>
          <w:sz w:val="22"/>
          <w:szCs w:val="24"/>
          <w:lang w:val="lv-LV"/>
        </w:rPr>
        <w:instrText xml:space="preserve"> COMMENTS  Liga.Atstaja@mod.gov.lv  \* MERGEFORMAT </w:instrText>
      </w:r>
      <w:r w:rsidRPr="00032F15">
        <w:rPr>
          <w:rFonts w:cs="Times New Roman"/>
          <w:sz w:val="22"/>
          <w:szCs w:val="24"/>
        </w:rPr>
        <w:fldChar w:fldCharType="separate"/>
      </w:r>
      <w:r w:rsidR="00F24C9C" w:rsidRPr="001C120A">
        <w:rPr>
          <w:rFonts w:cs="Times New Roman"/>
          <w:sz w:val="22"/>
          <w:szCs w:val="24"/>
          <w:lang w:val="lv-LV"/>
        </w:rPr>
        <w:t>edgars.kiukucans</w:t>
      </w:r>
      <w:r w:rsidRPr="001C120A">
        <w:rPr>
          <w:rFonts w:cs="Times New Roman"/>
          <w:sz w:val="22"/>
          <w:szCs w:val="24"/>
          <w:lang w:val="lv-LV"/>
        </w:rPr>
        <w:t>@mod.gov.lv</w:t>
      </w:r>
      <w:r w:rsidRPr="00032F15">
        <w:rPr>
          <w:rFonts w:cs="Times New Roman"/>
          <w:sz w:val="22"/>
          <w:szCs w:val="24"/>
        </w:rPr>
        <w:fldChar w:fldCharType="end"/>
      </w:r>
    </w:p>
    <w:p w:rsidR="002C3F1D" w:rsidRPr="00032F15" w:rsidRDefault="00F24C9C">
      <w:pPr>
        <w:rPr>
          <w:rFonts w:cs="Times New Roman"/>
          <w:sz w:val="24"/>
          <w:szCs w:val="24"/>
          <w:lang w:val="lv-LV"/>
        </w:rPr>
      </w:pPr>
      <w:r w:rsidRPr="001C120A">
        <w:rPr>
          <w:rFonts w:cs="Times New Roman"/>
          <w:sz w:val="22"/>
          <w:szCs w:val="24"/>
          <w:lang w:val="lv-LV"/>
        </w:rPr>
        <w:t xml:space="preserve">tālr. </w:t>
      </w:r>
      <w:r w:rsidRPr="00032F15">
        <w:rPr>
          <w:rFonts w:cs="Times New Roman"/>
          <w:sz w:val="22"/>
          <w:szCs w:val="24"/>
        </w:rPr>
        <w:t>6733515</w:t>
      </w:r>
      <w:r w:rsidR="00602F43">
        <w:rPr>
          <w:rFonts w:cs="Times New Roman"/>
          <w:sz w:val="22"/>
          <w:szCs w:val="24"/>
        </w:rPr>
        <w:t>8</w:t>
      </w:r>
    </w:p>
    <w:p w:rsidR="002C3F1D" w:rsidRPr="00032F15" w:rsidRDefault="002C3F1D">
      <w:pPr>
        <w:rPr>
          <w:rFonts w:cs="Times New Roman"/>
          <w:sz w:val="24"/>
          <w:szCs w:val="24"/>
          <w:lang w:val="lv-LV"/>
        </w:rPr>
      </w:pPr>
    </w:p>
    <w:sectPr w:rsidR="002C3F1D" w:rsidRPr="00032F15" w:rsidSect="002C3F1D">
      <w:footerReference w:type="default" r:id="rId8"/>
      <w:pgSz w:w="11906" w:h="16838"/>
      <w:pgMar w:top="1134" w:right="170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F4" w:rsidRDefault="007B31F4" w:rsidP="002C3F1D">
      <w:r>
        <w:separator/>
      </w:r>
    </w:p>
  </w:endnote>
  <w:endnote w:type="continuationSeparator" w:id="0">
    <w:p w:rsidR="007B31F4" w:rsidRDefault="007B31F4" w:rsidP="002C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05451"/>
      <w:docPartObj>
        <w:docPartGallery w:val="Page Numbers (Bottom of Page)"/>
        <w:docPartUnique/>
      </w:docPartObj>
    </w:sdtPr>
    <w:sdtEndPr>
      <w:rPr>
        <w:noProof/>
      </w:rPr>
    </w:sdtEndPr>
    <w:sdtContent>
      <w:p w:rsidR="007A244C" w:rsidRPr="007A244C" w:rsidRDefault="00BE3956" w:rsidP="007A244C">
        <w:pPr>
          <w:ind w:right="-625"/>
          <w:jc w:val="both"/>
        </w:pPr>
        <w:r>
          <w:rPr>
            <w:lang w:val="lv-LV"/>
          </w:rPr>
          <w:t>AIManot_11</w:t>
        </w:r>
        <w:r w:rsidR="007A244C" w:rsidRPr="007A244C">
          <w:rPr>
            <w:lang w:val="lv-LV"/>
          </w:rPr>
          <w:t xml:space="preserve">0117_LVA-ASV; </w:t>
        </w:r>
        <w:r w:rsidR="007A244C" w:rsidRPr="007A244C">
          <w:rPr>
            <w:rFonts w:cs="Times New Roman"/>
            <w:lang w:val="lv-LV"/>
          </w:rPr>
          <w:t>Ministru kabineta noteikumu projekta „</w:t>
        </w:r>
        <w:r w:rsidR="007A244C" w:rsidRPr="007A244C">
          <w:t xml:space="preserve">Par </w:t>
        </w:r>
        <w:r w:rsidR="007A244C" w:rsidRPr="007A244C">
          <w:rPr>
            <w:lang w:val="lv-LV"/>
          </w:rPr>
          <w:t>Latvijas Republikas valdības un Amerikas Savienoto Valstu valdības savstarpējo līgumu par iepirkumiem aizsardzības vajadzībām</w:t>
        </w:r>
        <w:r w:rsidR="007A244C" w:rsidRPr="007A244C">
          <w:rPr>
            <w:rFonts w:cs="Times New Roman"/>
            <w:lang w:val="lv-LV"/>
          </w:rPr>
          <w:t xml:space="preserve">” </w:t>
        </w:r>
        <w:r w:rsidR="007A244C" w:rsidRPr="007A244C">
          <w:rPr>
            <w:rFonts w:cs="Times New Roman"/>
            <w:bCs/>
            <w:lang w:val="lv-LV" w:eastAsia="lv-LV"/>
          </w:rPr>
          <w:t>sākotnējās ietekmes novērtējuma ziņojums (anotācija)</w:t>
        </w:r>
      </w:p>
      <w:p w:rsidR="007A244C" w:rsidRDefault="007A244C">
        <w:pPr>
          <w:pStyle w:val="Footer"/>
          <w:jc w:val="right"/>
        </w:pPr>
      </w:p>
      <w:p w:rsidR="007A244C" w:rsidRDefault="007A244C">
        <w:pPr>
          <w:pStyle w:val="Footer"/>
          <w:jc w:val="right"/>
        </w:pPr>
        <w:r>
          <w:fldChar w:fldCharType="begin"/>
        </w:r>
        <w:r>
          <w:instrText xml:space="preserve"> PAGE   \* MERGEFORMAT </w:instrText>
        </w:r>
        <w:r>
          <w:fldChar w:fldCharType="separate"/>
        </w:r>
        <w:r w:rsidR="00BE3956">
          <w:rPr>
            <w:noProof/>
          </w:rPr>
          <w:t>5</w:t>
        </w:r>
        <w:r>
          <w:rPr>
            <w:noProof/>
          </w:rPr>
          <w:fldChar w:fldCharType="end"/>
        </w:r>
      </w:p>
    </w:sdtContent>
  </w:sdt>
  <w:p w:rsidR="007A244C" w:rsidRPr="007A244C" w:rsidRDefault="007A244C">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F4" w:rsidRDefault="007B31F4" w:rsidP="002C3F1D">
      <w:r>
        <w:separator/>
      </w:r>
    </w:p>
  </w:footnote>
  <w:footnote w:type="continuationSeparator" w:id="0">
    <w:p w:rsidR="007B31F4" w:rsidRDefault="007B31F4" w:rsidP="002C3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6"/>
    <w:rsid w:val="00010FCE"/>
    <w:rsid w:val="00032F15"/>
    <w:rsid w:val="00042F0B"/>
    <w:rsid w:val="00144F17"/>
    <w:rsid w:val="001549F4"/>
    <w:rsid w:val="0018498A"/>
    <w:rsid w:val="001C120A"/>
    <w:rsid w:val="001C25DB"/>
    <w:rsid w:val="0026236D"/>
    <w:rsid w:val="002B33FC"/>
    <w:rsid w:val="002C3F1D"/>
    <w:rsid w:val="002E4E95"/>
    <w:rsid w:val="002F58D7"/>
    <w:rsid w:val="00304507"/>
    <w:rsid w:val="0032794B"/>
    <w:rsid w:val="003872E5"/>
    <w:rsid w:val="003B0463"/>
    <w:rsid w:val="003D378D"/>
    <w:rsid w:val="003E4A0A"/>
    <w:rsid w:val="00491A12"/>
    <w:rsid w:val="004C1AC1"/>
    <w:rsid w:val="004D706D"/>
    <w:rsid w:val="005B3C55"/>
    <w:rsid w:val="005C123C"/>
    <w:rsid w:val="005F4077"/>
    <w:rsid w:val="00602F43"/>
    <w:rsid w:val="00643EDE"/>
    <w:rsid w:val="00687D50"/>
    <w:rsid w:val="006A24CA"/>
    <w:rsid w:val="006F474A"/>
    <w:rsid w:val="0070295C"/>
    <w:rsid w:val="007635F3"/>
    <w:rsid w:val="0076771A"/>
    <w:rsid w:val="007725CA"/>
    <w:rsid w:val="00797B91"/>
    <w:rsid w:val="007A244C"/>
    <w:rsid w:val="007B31F4"/>
    <w:rsid w:val="007C1674"/>
    <w:rsid w:val="0080789E"/>
    <w:rsid w:val="00822D50"/>
    <w:rsid w:val="008761DF"/>
    <w:rsid w:val="008804EF"/>
    <w:rsid w:val="008E71D8"/>
    <w:rsid w:val="00905145"/>
    <w:rsid w:val="009239B9"/>
    <w:rsid w:val="00961EAA"/>
    <w:rsid w:val="009A48D6"/>
    <w:rsid w:val="00A22AA5"/>
    <w:rsid w:val="00A442F4"/>
    <w:rsid w:val="00AA341E"/>
    <w:rsid w:val="00AE362A"/>
    <w:rsid w:val="00AF3AC3"/>
    <w:rsid w:val="00B16BE0"/>
    <w:rsid w:val="00B175A3"/>
    <w:rsid w:val="00B20CFD"/>
    <w:rsid w:val="00B3086B"/>
    <w:rsid w:val="00BE3956"/>
    <w:rsid w:val="00C20674"/>
    <w:rsid w:val="00C729FB"/>
    <w:rsid w:val="00C73F60"/>
    <w:rsid w:val="00CC3182"/>
    <w:rsid w:val="00CC530C"/>
    <w:rsid w:val="00D61217"/>
    <w:rsid w:val="00D72FBC"/>
    <w:rsid w:val="00D771E1"/>
    <w:rsid w:val="00DA7476"/>
    <w:rsid w:val="00DD1E92"/>
    <w:rsid w:val="00DD7C30"/>
    <w:rsid w:val="00E300A8"/>
    <w:rsid w:val="00EA6F5E"/>
    <w:rsid w:val="00EF2617"/>
    <w:rsid w:val="00EF6C60"/>
    <w:rsid w:val="00F22346"/>
    <w:rsid w:val="00F24C9C"/>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F1D"/>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3F1D"/>
    <w:pPr>
      <w:tabs>
        <w:tab w:val="center" w:pos="4153"/>
        <w:tab w:val="right" w:pos="8306"/>
      </w:tabs>
    </w:pPr>
  </w:style>
  <w:style w:type="character" w:customStyle="1" w:styleId="HeaderChar">
    <w:name w:val="Header Char"/>
    <w:basedOn w:val="DefaultParagraphFont"/>
    <w:link w:val="Header"/>
    <w:rsid w:val="002C3F1D"/>
    <w:rPr>
      <w:rFonts w:cs="Arial Unicode MS"/>
      <w:lang w:val="en-GB" w:eastAsia="en-US" w:bidi="lo-LA"/>
    </w:rPr>
  </w:style>
  <w:style w:type="paragraph" w:styleId="Footer">
    <w:name w:val="footer"/>
    <w:basedOn w:val="Normal"/>
    <w:link w:val="FooterChar"/>
    <w:uiPriority w:val="99"/>
    <w:rsid w:val="002C3F1D"/>
    <w:pPr>
      <w:tabs>
        <w:tab w:val="center" w:pos="4153"/>
        <w:tab w:val="right" w:pos="8306"/>
      </w:tabs>
    </w:pPr>
  </w:style>
  <w:style w:type="character" w:customStyle="1" w:styleId="FooterChar">
    <w:name w:val="Footer Char"/>
    <w:basedOn w:val="DefaultParagraphFont"/>
    <w:link w:val="Footer"/>
    <w:uiPriority w:val="99"/>
    <w:rsid w:val="002C3F1D"/>
    <w:rPr>
      <w:rFonts w:cs="Arial Unicode MS"/>
      <w:lang w:val="en-GB" w:eastAsia="en-US" w:bidi="lo-LA"/>
    </w:rPr>
  </w:style>
  <w:style w:type="paragraph" w:customStyle="1" w:styleId="tvhtmlmktable">
    <w:name w:val="tv_html mk_table"/>
    <w:basedOn w:val="Normal"/>
    <w:rsid w:val="002C3F1D"/>
    <w:pPr>
      <w:spacing w:before="100" w:beforeAutospacing="1" w:after="100" w:afterAutospacing="1"/>
    </w:pPr>
    <w:rPr>
      <w:rFonts w:cs="Times New Roman"/>
      <w:sz w:val="24"/>
      <w:szCs w:val="24"/>
      <w:lang w:val="lv-LV" w:eastAsia="lv-LV" w:bidi="ar-SA"/>
    </w:rPr>
  </w:style>
  <w:style w:type="paragraph" w:styleId="BodyText">
    <w:name w:val="Body Text"/>
    <w:basedOn w:val="Normal"/>
    <w:link w:val="BodyTextChar"/>
    <w:uiPriority w:val="1"/>
    <w:qFormat/>
    <w:rsid w:val="002C3F1D"/>
    <w:pPr>
      <w:widowControl w:val="0"/>
      <w:ind w:left="116"/>
    </w:pPr>
    <w:rPr>
      <w:rFonts w:cstheme="minorBidi"/>
      <w:sz w:val="23"/>
      <w:szCs w:val="23"/>
      <w:lang w:val="lv-LV" w:eastAsia="lv-LV" w:bidi="lv-LV"/>
    </w:rPr>
  </w:style>
  <w:style w:type="character" w:customStyle="1" w:styleId="BodyTextChar">
    <w:name w:val="Body Text Char"/>
    <w:basedOn w:val="DefaultParagraphFont"/>
    <w:link w:val="BodyText"/>
    <w:uiPriority w:val="1"/>
    <w:rsid w:val="002C3F1D"/>
    <w:rPr>
      <w:rFonts w:cstheme="minorBidi"/>
      <w:sz w:val="23"/>
      <w:szCs w:val="23"/>
      <w:lang w:bidi="lv-LV"/>
    </w:rPr>
  </w:style>
  <w:style w:type="character" w:styleId="CommentReference">
    <w:name w:val="annotation reference"/>
    <w:basedOn w:val="DefaultParagraphFont"/>
    <w:rsid w:val="002C3F1D"/>
    <w:rPr>
      <w:sz w:val="16"/>
      <w:szCs w:val="16"/>
    </w:rPr>
  </w:style>
  <w:style w:type="paragraph" w:styleId="CommentText">
    <w:name w:val="annotation text"/>
    <w:basedOn w:val="Normal"/>
    <w:link w:val="CommentTextChar"/>
    <w:rsid w:val="002C3F1D"/>
  </w:style>
  <w:style w:type="character" w:customStyle="1" w:styleId="CommentTextChar">
    <w:name w:val="Comment Text Char"/>
    <w:basedOn w:val="DefaultParagraphFont"/>
    <w:link w:val="CommentText"/>
    <w:rsid w:val="002C3F1D"/>
    <w:rPr>
      <w:rFonts w:cs="Arial Unicode MS"/>
      <w:lang w:val="en-GB" w:eastAsia="en-US" w:bidi="lo-LA"/>
    </w:rPr>
  </w:style>
  <w:style w:type="paragraph" w:styleId="ListParagraph">
    <w:name w:val="List Paragraph"/>
    <w:basedOn w:val="Normal"/>
    <w:uiPriority w:val="34"/>
    <w:qFormat/>
    <w:rsid w:val="002C3F1D"/>
    <w:pPr>
      <w:ind w:left="720" w:firstLine="425"/>
      <w:contextualSpacing/>
      <w:jc w:val="both"/>
    </w:pPr>
    <w:rPr>
      <w:rFonts w:eastAsiaTheme="minorHAnsi" w:cs="Times New Roman"/>
      <w:sz w:val="24"/>
      <w:szCs w:val="24"/>
      <w:lang w:val="lv-LV" w:bidi="ar-SA"/>
    </w:rPr>
  </w:style>
  <w:style w:type="paragraph" w:styleId="BalloonText">
    <w:name w:val="Balloon Text"/>
    <w:basedOn w:val="Normal"/>
    <w:link w:val="BalloonTextChar"/>
    <w:rsid w:val="002C3F1D"/>
    <w:rPr>
      <w:rFonts w:ascii="Tahoma" w:hAnsi="Tahoma" w:cs="Tahoma"/>
      <w:sz w:val="16"/>
      <w:szCs w:val="16"/>
    </w:rPr>
  </w:style>
  <w:style w:type="character" w:customStyle="1" w:styleId="BalloonTextChar">
    <w:name w:val="Balloon Text Char"/>
    <w:basedOn w:val="DefaultParagraphFont"/>
    <w:link w:val="BalloonText"/>
    <w:rsid w:val="002C3F1D"/>
    <w:rPr>
      <w:rFonts w:ascii="Tahoma" w:hAnsi="Tahoma" w:cs="Tahoma"/>
      <w:sz w:val="16"/>
      <w:szCs w:val="16"/>
      <w:lang w:val="en-GB"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F1D"/>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3F1D"/>
    <w:pPr>
      <w:tabs>
        <w:tab w:val="center" w:pos="4153"/>
        <w:tab w:val="right" w:pos="8306"/>
      </w:tabs>
    </w:pPr>
  </w:style>
  <w:style w:type="character" w:customStyle="1" w:styleId="HeaderChar">
    <w:name w:val="Header Char"/>
    <w:basedOn w:val="DefaultParagraphFont"/>
    <w:link w:val="Header"/>
    <w:rsid w:val="002C3F1D"/>
    <w:rPr>
      <w:rFonts w:cs="Arial Unicode MS"/>
      <w:lang w:val="en-GB" w:eastAsia="en-US" w:bidi="lo-LA"/>
    </w:rPr>
  </w:style>
  <w:style w:type="paragraph" w:styleId="Footer">
    <w:name w:val="footer"/>
    <w:basedOn w:val="Normal"/>
    <w:link w:val="FooterChar"/>
    <w:uiPriority w:val="99"/>
    <w:rsid w:val="002C3F1D"/>
    <w:pPr>
      <w:tabs>
        <w:tab w:val="center" w:pos="4153"/>
        <w:tab w:val="right" w:pos="8306"/>
      </w:tabs>
    </w:pPr>
  </w:style>
  <w:style w:type="character" w:customStyle="1" w:styleId="FooterChar">
    <w:name w:val="Footer Char"/>
    <w:basedOn w:val="DefaultParagraphFont"/>
    <w:link w:val="Footer"/>
    <w:uiPriority w:val="99"/>
    <w:rsid w:val="002C3F1D"/>
    <w:rPr>
      <w:rFonts w:cs="Arial Unicode MS"/>
      <w:lang w:val="en-GB" w:eastAsia="en-US" w:bidi="lo-LA"/>
    </w:rPr>
  </w:style>
  <w:style w:type="paragraph" w:customStyle="1" w:styleId="tvhtmlmktable">
    <w:name w:val="tv_html mk_table"/>
    <w:basedOn w:val="Normal"/>
    <w:rsid w:val="002C3F1D"/>
    <w:pPr>
      <w:spacing w:before="100" w:beforeAutospacing="1" w:after="100" w:afterAutospacing="1"/>
    </w:pPr>
    <w:rPr>
      <w:rFonts w:cs="Times New Roman"/>
      <w:sz w:val="24"/>
      <w:szCs w:val="24"/>
      <w:lang w:val="lv-LV" w:eastAsia="lv-LV" w:bidi="ar-SA"/>
    </w:rPr>
  </w:style>
  <w:style w:type="paragraph" w:styleId="BodyText">
    <w:name w:val="Body Text"/>
    <w:basedOn w:val="Normal"/>
    <w:link w:val="BodyTextChar"/>
    <w:uiPriority w:val="1"/>
    <w:qFormat/>
    <w:rsid w:val="002C3F1D"/>
    <w:pPr>
      <w:widowControl w:val="0"/>
      <w:ind w:left="116"/>
    </w:pPr>
    <w:rPr>
      <w:rFonts w:cstheme="minorBidi"/>
      <w:sz w:val="23"/>
      <w:szCs w:val="23"/>
      <w:lang w:val="lv-LV" w:eastAsia="lv-LV" w:bidi="lv-LV"/>
    </w:rPr>
  </w:style>
  <w:style w:type="character" w:customStyle="1" w:styleId="BodyTextChar">
    <w:name w:val="Body Text Char"/>
    <w:basedOn w:val="DefaultParagraphFont"/>
    <w:link w:val="BodyText"/>
    <w:uiPriority w:val="1"/>
    <w:rsid w:val="002C3F1D"/>
    <w:rPr>
      <w:rFonts w:cstheme="minorBidi"/>
      <w:sz w:val="23"/>
      <w:szCs w:val="23"/>
      <w:lang w:bidi="lv-LV"/>
    </w:rPr>
  </w:style>
  <w:style w:type="character" w:styleId="CommentReference">
    <w:name w:val="annotation reference"/>
    <w:basedOn w:val="DefaultParagraphFont"/>
    <w:rsid w:val="002C3F1D"/>
    <w:rPr>
      <w:sz w:val="16"/>
      <w:szCs w:val="16"/>
    </w:rPr>
  </w:style>
  <w:style w:type="paragraph" w:styleId="CommentText">
    <w:name w:val="annotation text"/>
    <w:basedOn w:val="Normal"/>
    <w:link w:val="CommentTextChar"/>
    <w:rsid w:val="002C3F1D"/>
  </w:style>
  <w:style w:type="character" w:customStyle="1" w:styleId="CommentTextChar">
    <w:name w:val="Comment Text Char"/>
    <w:basedOn w:val="DefaultParagraphFont"/>
    <w:link w:val="CommentText"/>
    <w:rsid w:val="002C3F1D"/>
    <w:rPr>
      <w:rFonts w:cs="Arial Unicode MS"/>
      <w:lang w:val="en-GB" w:eastAsia="en-US" w:bidi="lo-LA"/>
    </w:rPr>
  </w:style>
  <w:style w:type="paragraph" w:styleId="ListParagraph">
    <w:name w:val="List Paragraph"/>
    <w:basedOn w:val="Normal"/>
    <w:uiPriority w:val="34"/>
    <w:qFormat/>
    <w:rsid w:val="002C3F1D"/>
    <w:pPr>
      <w:ind w:left="720" w:firstLine="425"/>
      <w:contextualSpacing/>
      <w:jc w:val="both"/>
    </w:pPr>
    <w:rPr>
      <w:rFonts w:eastAsiaTheme="minorHAnsi" w:cs="Times New Roman"/>
      <w:sz w:val="24"/>
      <w:szCs w:val="24"/>
      <w:lang w:val="lv-LV" w:bidi="ar-SA"/>
    </w:rPr>
  </w:style>
  <w:style w:type="paragraph" w:styleId="BalloonText">
    <w:name w:val="Balloon Text"/>
    <w:basedOn w:val="Normal"/>
    <w:link w:val="BalloonTextChar"/>
    <w:rsid w:val="002C3F1D"/>
    <w:rPr>
      <w:rFonts w:ascii="Tahoma" w:hAnsi="Tahoma" w:cs="Tahoma"/>
      <w:sz w:val="16"/>
      <w:szCs w:val="16"/>
    </w:rPr>
  </w:style>
  <w:style w:type="character" w:customStyle="1" w:styleId="BalloonTextChar">
    <w:name w:val="Balloon Text Char"/>
    <w:basedOn w:val="DefaultParagraphFont"/>
    <w:link w:val="BalloonText"/>
    <w:rsid w:val="002C3F1D"/>
    <w:rPr>
      <w:rFonts w:ascii="Tahoma" w:hAnsi="Tahoma" w:cs="Tahoma"/>
      <w:sz w:val="16"/>
      <w:szCs w:val="16"/>
      <w:lang w:val="en-GB"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DB09-4680-4CAF-AD8A-DD576B54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86069BD3.dotm</Template>
  <TotalTime>208</TotalTime>
  <Pages>6</Pages>
  <Words>1117</Words>
  <Characters>8500</Characters>
  <Application>Microsoft Office Word</Application>
  <DocSecurity>0</DocSecurity>
  <Lines>607</Lines>
  <Paragraphs>218</Paragraphs>
  <ScaleCrop>false</ScaleCrop>
  <HeadingPairs>
    <vt:vector size="2" baseType="variant">
      <vt:variant>
        <vt:lpstr>Title</vt:lpstr>
      </vt:variant>
      <vt:variant>
        <vt:i4>1</vt:i4>
      </vt:variant>
    </vt:vector>
  </HeadingPairs>
  <TitlesOfParts>
    <vt:vector size="1" baseType="lpstr">
      <vt:lpstr>AIManot_050117_LVA-ASV; </vt:lpstr>
    </vt:vector>
  </TitlesOfParts>
  <Manager>NAIPD</Manager>
  <Company>AIM</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AIManot_050117_LVA-ASV; </dc:title>
  <dc:subject>Ministru kabineta noteikumu projekta „Par Latvijas Republikas valdības un Amerikas Savienoto Valstu valdības savstarpējo līgumu par iepirkumiem aizsardzības vajadzībām” sākotnējās ietekmes novērtējuma ziņojums (anotācija)</dc:subject>
  <dc:creator>Edgars Kiukucāns</dc:creator>
  <cp:keywords/>
  <dc:description>67335158, edgars.kiukucans@mod.gov.lv</dc:description>
  <cp:lastModifiedBy>Edgars Kiukucāns</cp:lastModifiedBy>
  <cp:revision>22</cp:revision>
  <dcterms:created xsi:type="dcterms:W3CDTF">2017-01-04T05:51:00Z</dcterms:created>
  <dcterms:modified xsi:type="dcterms:W3CDTF">2017-01-11T13:55:00Z</dcterms:modified>
</cp:coreProperties>
</file>