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53A" w:rsidRPr="0036053A" w:rsidRDefault="0036053A" w:rsidP="0036053A">
      <w:pPr>
        <w:spacing w:after="0" w:line="240" w:lineRule="auto"/>
        <w:ind w:left="8647"/>
        <w:jc w:val="right"/>
        <w:rPr>
          <w:rFonts w:ascii="Times New Roman" w:eastAsia="Times New Roman" w:hAnsi="Times New Roman" w:cs="Times New Roman"/>
          <w:bCs/>
          <w:sz w:val="24"/>
          <w:szCs w:val="24"/>
          <w:lang w:eastAsia="lv-LV"/>
        </w:rPr>
      </w:pPr>
      <w:r w:rsidRPr="0036053A">
        <w:rPr>
          <w:rFonts w:ascii="Times New Roman" w:eastAsia="Times New Roman" w:hAnsi="Times New Roman" w:cs="Times New Roman"/>
          <w:bCs/>
          <w:sz w:val="24"/>
          <w:szCs w:val="24"/>
          <w:lang w:eastAsia="lv-LV"/>
        </w:rPr>
        <w:t>Pielikums</w:t>
      </w:r>
    </w:p>
    <w:p w:rsidR="0036053A" w:rsidRPr="0036053A" w:rsidRDefault="0036053A" w:rsidP="005F3878">
      <w:pPr>
        <w:spacing w:after="0" w:line="240" w:lineRule="auto"/>
        <w:ind w:left="7371"/>
        <w:jc w:val="right"/>
        <w:rPr>
          <w:rFonts w:ascii="Times New Roman" w:eastAsia="Times New Roman" w:hAnsi="Times New Roman" w:cs="Times New Roman"/>
          <w:bCs/>
          <w:sz w:val="24"/>
          <w:szCs w:val="24"/>
          <w:lang w:eastAsia="lv-LV"/>
        </w:rPr>
      </w:pPr>
      <w:r w:rsidRPr="0036053A">
        <w:rPr>
          <w:rFonts w:ascii="Times New Roman" w:eastAsia="Times New Roman" w:hAnsi="Times New Roman" w:cs="Times New Roman"/>
          <w:bCs/>
          <w:sz w:val="24"/>
          <w:szCs w:val="24"/>
          <w:lang w:eastAsia="lv-LV"/>
        </w:rPr>
        <w:t>Ministru kabineta noteikumu projekta „</w:t>
      </w:r>
      <w:proofErr w:type="spellStart"/>
      <w:r w:rsidRPr="0036053A">
        <w:rPr>
          <w:rFonts w:ascii="Times New Roman" w:eastAsia="Times New Roman" w:hAnsi="Times New Roman" w:cs="Times New Roman"/>
          <w:bCs/>
          <w:sz w:val="24"/>
          <w:szCs w:val="24"/>
          <w:lang w:eastAsia="lv-LV"/>
        </w:rPr>
        <w:t>Jaunuzņēmumu</w:t>
      </w:r>
      <w:proofErr w:type="spellEnd"/>
      <w:r w:rsidRPr="0036053A">
        <w:rPr>
          <w:rFonts w:ascii="Times New Roman" w:eastAsia="Times New Roman" w:hAnsi="Times New Roman" w:cs="Times New Roman"/>
          <w:bCs/>
          <w:sz w:val="24"/>
          <w:szCs w:val="24"/>
          <w:lang w:eastAsia="lv-LV"/>
        </w:rPr>
        <w:t xml:space="preserve"> darbības vērtēšanas komisijas nolikums” sākotnēj</w:t>
      </w:r>
      <w:r w:rsidRPr="0036053A">
        <w:rPr>
          <w:rFonts w:ascii="Times New Roman" w:eastAsia="Times New Roman" w:hAnsi="Times New Roman" w:cs="Times New Roman"/>
          <w:bCs/>
          <w:sz w:val="24"/>
          <w:szCs w:val="24"/>
          <w:lang w:eastAsia="lv-LV"/>
        </w:rPr>
        <w:t xml:space="preserve">ās ietekmes novērtējuma ziņojumam </w:t>
      </w:r>
      <w:r w:rsidRPr="0036053A">
        <w:rPr>
          <w:rFonts w:ascii="Times New Roman" w:eastAsia="Times New Roman" w:hAnsi="Times New Roman" w:cs="Times New Roman"/>
          <w:bCs/>
          <w:sz w:val="24"/>
          <w:szCs w:val="24"/>
          <w:lang w:eastAsia="lv-LV"/>
        </w:rPr>
        <w:t xml:space="preserve"> (anotācija</w:t>
      </w:r>
      <w:r w:rsidRPr="0036053A">
        <w:rPr>
          <w:rFonts w:ascii="Times New Roman" w:eastAsia="Times New Roman" w:hAnsi="Times New Roman" w:cs="Times New Roman"/>
          <w:bCs/>
          <w:sz w:val="24"/>
          <w:szCs w:val="24"/>
          <w:lang w:eastAsia="lv-LV"/>
        </w:rPr>
        <w:t>i</w:t>
      </w:r>
      <w:r w:rsidRPr="0036053A">
        <w:rPr>
          <w:rFonts w:ascii="Times New Roman" w:eastAsia="Times New Roman" w:hAnsi="Times New Roman" w:cs="Times New Roman"/>
          <w:bCs/>
          <w:sz w:val="24"/>
          <w:szCs w:val="24"/>
          <w:lang w:eastAsia="lv-LV"/>
        </w:rPr>
        <w:t>)</w:t>
      </w:r>
      <w:r w:rsidRPr="0036053A">
        <w:rPr>
          <w:rFonts w:ascii="Times New Roman" w:eastAsia="Times New Roman" w:hAnsi="Times New Roman" w:cs="Times New Roman"/>
          <w:bCs/>
          <w:sz w:val="24"/>
          <w:szCs w:val="24"/>
          <w:lang w:eastAsia="lv-LV"/>
        </w:rPr>
        <w:t xml:space="preserve"> </w:t>
      </w:r>
    </w:p>
    <w:p w:rsidR="0036053A" w:rsidRDefault="0036053A" w:rsidP="0036053A">
      <w:pPr>
        <w:spacing w:after="0" w:line="240" w:lineRule="auto"/>
        <w:jc w:val="center"/>
        <w:rPr>
          <w:rFonts w:ascii="Times New Roman" w:eastAsia="Times New Roman" w:hAnsi="Times New Roman" w:cs="Times New Roman"/>
          <w:b/>
          <w:bCs/>
          <w:sz w:val="26"/>
          <w:szCs w:val="26"/>
          <w:lang w:eastAsia="lv-LV"/>
        </w:rPr>
      </w:pPr>
    </w:p>
    <w:p w:rsidR="0036053A" w:rsidRPr="005F3878" w:rsidRDefault="0036053A" w:rsidP="0036053A">
      <w:pPr>
        <w:spacing w:after="0" w:line="240" w:lineRule="auto"/>
        <w:jc w:val="center"/>
        <w:rPr>
          <w:rFonts w:ascii="Times New Roman" w:hAnsi="Times New Roman" w:cs="Times New Roman"/>
          <w:b/>
          <w:sz w:val="24"/>
          <w:szCs w:val="24"/>
        </w:rPr>
      </w:pPr>
      <w:r w:rsidRPr="005F3878">
        <w:rPr>
          <w:rFonts w:ascii="Times New Roman" w:hAnsi="Times New Roman" w:cs="Times New Roman"/>
          <w:b/>
          <w:sz w:val="24"/>
          <w:szCs w:val="24"/>
        </w:rPr>
        <w:t>Komisijas, komisijas sekretariāta un administrējošās iestādes</w:t>
      </w:r>
    </w:p>
    <w:p w:rsidR="00514A98" w:rsidRPr="0036053A" w:rsidRDefault="0036053A" w:rsidP="0036053A">
      <w:pPr>
        <w:spacing w:after="0" w:line="240" w:lineRule="auto"/>
        <w:jc w:val="center"/>
        <w:rPr>
          <w:rFonts w:ascii="Times New Roman" w:hAnsi="Times New Roman" w:cs="Times New Roman"/>
          <w:b/>
          <w:sz w:val="26"/>
          <w:szCs w:val="26"/>
        </w:rPr>
      </w:pPr>
      <w:r w:rsidRPr="0036053A">
        <w:rPr>
          <w:rFonts w:ascii="Times New Roman" w:hAnsi="Times New Roman" w:cs="Times New Roman"/>
          <w:b/>
          <w:sz w:val="24"/>
          <w:szCs w:val="24"/>
        </w:rPr>
        <w:t>sadarbības shēma</w:t>
      </w:r>
    </w:p>
    <w:p w:rsidR="005F3878" w:rsidRDefault="00CA17A3">
      <w:r w:rsidRPr="00871E15">
        <mc:AlternateContent>
          <mc:Choice Requires="wps">
            <w:drawing>
              <wp:anchor distT="0" distB="0" distL="114300" distR="114300" simplePos="0" relativeHeight="251660288" behindDoc="1" locked="0" layoutInCell="1" allowOverlap="1" wp14:anchorId="35A17D9A" wp14:editId="0F5C47E0">
                <wp:simplePos x="0" y="0"/>
                <wp:positionH relativeFrom="margin">
                  <wp:align>left</wp:align>
                </wp:positionH>
                <wp:positionV relativeFrom="page">
                  <wp:posOffset>4781550</wp:posOffset>
                </wp:positionV>
                <wp:extent cx="9229725" cy="1647825"/>
                <wp:effectExtent l="0" t="0" r="28575" b="28575"/>
                <wp:wrapTopAndBottom/>
                <wp:docPr id="23" name="Rounded Rectangle 23"/>
                <wp:cNvGraphicFramePr/>
                <a:graphic xmlns:a="http://schemas.openxmlformats.org/drawingml/2006/main">
                  <a:graphicData uri="http://schemas.microsoft.com/office/word/2010/wordprocessingShape">
                    <wps:wsp>
                      <wps:cNvSpPr/>
                      <wps:spPr>
                        <a:xfrm>
                          <a:off x="0" y="0"/>
                          <a:ext cx="9229725" cy="1647825"/>
                        </a:xfrm>
                        <a:prstGeom prst="roundRect">
                          <a:avLst/>
                        </a:prstGeom>
                        <a:solidFill>
                          <a:sysClr val="window" lastClr="FFFFFF"/>
                        </a:solidFill>
                        <a:ln w="12700" cap="flat" cmpd="sng" algn="ctr">
                          <a:solidFill>
                            <a:srgbClr val="49BEE7"/>
                          </a:solidFill>
                          <a:prstDash val="solid"/>
                          <a:miter lim="800000"/>
                        </a:ln>
                        <a:effectLst/>
                      </wps:spPr>
                      <wps:txbx>
                        <w:txbxContent>
                          <w:p w:rsidR="00871E15" w:rsidRPr="005F3878" w:rsidRDefault="00871E15" w:rsidP="00871E15">
                            <w:pPr>
                              <w:spacing w:after="0" w:line="240" w:lineRule="auto"/>
                              <w:rPr>
                                <w:rFonts w:ascii="Times New Roman" w:hAnsi="Times New Roman" w:cs="Times New Roman"/>
                                <w:b/>
                                <w:color w:val="000000" w:themeColor="text1"/>
                                <w:sz w:val="20"/>
                                <w:szCs w:val="20"/>
                              </w:rPr>
                            </w:pPr>
                            <w:r w:rsidRPr="005F3878">
                              <w:rPr>
                                <w:rFonts w:ascii="Times New Roman" w:hAnsi="Times New Roman" w:cs="Times New Roman"/>
                                <w:b/>
                                <w:color w:val="000000" w:themeColor="text1"/>
                                <w:sz w:val="20"/>
                                <w:szCs w:val="20"/>
                              </w:rPr>
                              <w:t xml:space="preserve">Administrējošās iestādes uzdevumi </w:t>
                            </w:r>
                            <w:r w:rsidRPr="005F3878">
                              <w:rPr>
                                <w:rFonts w:ascii="Times New Roman" w:hAnsi="Times New Roman" w:cs="Times New Roman"/>
                                <w:color w:val="000000" w:themeColor="text1"/>
                                <w:sz w:val="20"/>
                                <w:szCs w:val="20"/>
                              </w:rPr>
                              <w:t>(papildus noteikti atsevišķos Ministru kabineta noteikumos, kas izdoti saskaņā ar likuma 13.panta otrās daļas deleģējumu)</w:t>
                            </w:r>
                            <w:r w:rsidRPr="005F3878">
                              <w:rPr>
                                <w:rFonts w:ascii="Times New Roman" w:hAnsi="Times New Roman" w:cs="Times New Roman"/>
                                <w:b/>
                                <w:color w:val="000000" w:themeColor="text1"/>
                                <w:sz w:val="20"/>
                                <w:szCs w:val="20"/>
                              </w:rPr>
                              <w:t>:</w:t>
                            </w:r>
                          </w:p>
                          <w:p w:rsidR="00871E15" w:rsidRPr="005F3878" w:rsidRDefault="00871E15" w:rsidP="00871E15">
                            <w:pPr>
                              <w:pStyle w:val="ListParagraph"/>
                              <w:widowControl w:val="0"/>
                              <w:numPr>
                                <w:ilvl w:val="0"/>
                                <w:numId w:val="1"/>
                              </w:numPr>
                              <w:tabs>
                                <w:tab w:val="left" w:pos="993"/>
                              </w:tabs>
                              <w:spacing w:after="0" w:line="240" w:lineRule="auto"/>
                              <w:ind w:left="284" w:hanging="284"/>
                              <w:jc w:val="both"/>
                              <w:rPr>
                                <w:rFonts w:ascii="Times New Roman" w:hAnsi="Times New Roman" w:cs="Times New Roman"/>
                                <w:color w:val="000000" w:themeColor="text1"/>
                                <w:sz w:val="20"/>
                              </w:rPr>
                            </w:pPr>
                            <w:r w:rsidRPr="005F3878">
                              <w:rPr>
                                <w:rFonts w:ascii="Times New Roman" w:hAnsi="Times New Roman" w:cs="Times New Roman"/>
                                <w:color w:val="000000" w:themeColor="text1"/>
                                <w:sz w:val="20"/>
                              </w:rPr>
                              <w:t>k</w:t>
                            </w:r>
                            <w:r w:rsidRPr="005F3878">
                              <w:rPr>
                                <w:rFonts w:ascii="Times New Roman" w:hAnsi="Times New Roman" w:cs="Times New Roman"/>
                                <w:color w:val="000000" w:themeColor="text1"/>
                                <w:sz w:val="20"/>
                              </w:rPr>
                              <w:t xml:space="preserve">omunikācija ar </w:t>
                            </w:r>
                            <w:proofErr w:type="spellStart"/>
                            <w:r w:rsidRPr="005F3878">
                              <w:rPr>
                                <w:rFonts w:ascii="Times New Roman" w:hAnsi="Times New Roman" w:cs="Times New Roman"/>
                                <w:color w:val="000000" w:themeColor="text1"/>
                                <w:sz w:val="20"/>
                              </w:rPr>
                              <w:t>jaunuzņēmumu</w:t>
                            </w:r>
                            <w:proofErr w:type="spellEnd"/>
                            <w:r w:rsidRPr="005F3878">
                              <w:rPr>
                                <w:rFonts w:ascii="Times New Roman" w:hAnsi="Times New Roman" w:cs="Times New Roman"/>
                                <w:color w:val="000000" w:themeColor="text1"/>
                                <w:sz w:val="20"/>
                              </w:rPr>
                              <w:t xml:space="preserve"> un riska kapitāla investoru par pieteikuma iesniegšanu;</w:t>
                            </w:r>
                          </w:p>
                          <w:p w:rsidR="00871E15" w:rsidRPr="005F3878" w:rsidRDefault="00871E15" w:rsidP="00871E15">
                            <w:pPr>
                              <w:pStyle w:val="ListParagraph"/>
                              <w:widowControl w:val="0"/>
                              <w:numPr>
                                <w:ilvl w:val="0"/>
                                <w:numId w:val="1"/>
                              </w:numPr>
                              <w:tabs>
                                <w:tab w:val="left" w:pos="993"/>
                              </w:tabs>
                              <w:spacing w:after="0" w:line="240" w:lineRule="auto"/>
                              <w:ind w:left="284" w:hanging="284"/>
                              <w:jc w:val="both"/>
                              <w:rPr>
                                <w:rFonts w:ascii="Times New Roman" w:hAnsi="Times New Roman" w:cs="Times New Roman"/>
                                <w:color w:val="000000" w:themeColor="text1"/>
                                <w:sz w:val="20"/>
                              </w:rPr>
                            </w:pPr>
                            <w:r w:rsidRPr="005F3878">
                              <w:rPr>
                                <w:rFonts w:ascii="Times New Roman" w:hAnsi="Times New Roman" w:cs="Times New Roman"/>
                                <w:color w:val="000000" w:themeColor="text1"/>
                                <w:sz w:val="20"/>
                              </w:rPr>
                              <w:t xml:space="preserve">izskata </w:t>
                            </w:r>
                            <w:proofErr w:type="spellStart"/>
                            <w:r w:rsidRPr="005F3878">
                              <w:rPr>
                                <w:rFonts w:ascii="Times New Roman" w:hAnsi="Times New Roman" w:cs="Times New Roman"/>
                                <w:color w:val="000000" w:themeColor="text1"/>
                                <w:sz w:val="20"/>
                              </w:rPr>
                              <w:t>jaunuzņēmumu</w:t>
                            </w:r>
                            <w:proofErr w:type="spellEnd"/>
                            <w:r w:rsidRPr="005F3878">
                              <w:rPr>
                                <w:rFonts w:ascii="Times New Roman" w:hAnsi="Times New Roman" w:cs="Times New Roman"/>
                                <w:color w:val="000000" w:themeColor="text1"/>
                                <w:sz w:val="20"/>
                              </w:rPr>
                              <w:t xml:space="preserve"> un riska kapitāla investoru iesniegto dokumentāciju </w:t>
                            </w:r>
                            <w:proofErr w:type="spellStart"/>
                            <w:r w:rsidRPr="005F3878">
                              <w:rPr>
                                <w:rFonts w:ascii="Times New Roman" w:hAnsi="Times New Roman" w:cs="Times New Roman"/>
                                <w:color w:val="000000" w:themeColor="text1"/>
                                <w:sz w:val="20"/>
                              </w:rPr>
                              <w:t>jaunuzņēmumu</w:t>
                            </w:r>
                            <w:proofErr w:type="spellEnd"/>
                            <w:r w:rsidRPr="005F3878">
                              <w:rPr>
                                <w:rFonts w:ascii="Times New Roman" w:hAnsi="Times New Roman" w:cs="Times New Roman"/>
                                <w:color w:val="000000" w:themeColor="text1"/>
                                <w:sz w:val="20"/>
                              </w:rPr>
                              <w:t xml:space="preserve"> atbilstības noteikšanai atbalsta programmu izmantošanai un riska kapitāla investoru atbilstībai kvalifikācijas prasībām;</w:t>
                            </w:r>
                          </w:p>
                          <w:p w:rsidR="00871E15" w:rsidRPr="005F3878" w:rsidRDefault="00871E15" w:rsidP="00871E15">
                            <w:pPr>
                              <w:pStyle w:val="ListParagraph"/>
                              <w:widowControl w:val="0"/>
                              <w:numPr>
                                <w:ilvl w:val="0"/>
                                <w:numId w:val="1"/>
                              </w:numPr>
                              <w:tabs>
                                <w:tab w:val="left" w:pos="993"/>
                              </w:tabs>
                              <w:spacing w:after="0" w:line="240" w:lineRule="auto"/>
                              <w:ind w:left="284" w:hanging="284"/>
                              <w:jc w:val="both"/>
                              <w:rPr>
                                <w:rFonts w:ascii="Times New Roman" w:hAnsi="Times New Roman" w:cs="Times New Roman"/>
                                <w:color w:val="000000" w:themeColor="text1"/>
                                <w:sz w:val="20"/>
                              </w:rPr>
                            </w:pPr>
                            <w:r w:rsidRPr="005F3878">
                              <w:rPr>
                                <w:rFonts w:ascii="Times New Roman" w:hAnsi="Times New Roman" w:cs="Times New Roman"/>
                                <w:color w:val="000000" w:themeColor="text1"/>
                                <w:sz w:val="20"/>
                              </w:rPr>
                              <w:t xml:space="preserve">atbalsta programmu periodā veic </w:t>
                            </w:r>
                            <w:proofErr w:type="spellStart"/>
                            <w:r w:rsidRPr="005F3878">
                              <w:rPr>
                                <w:rFonts w:ascii="Times New Roman" w:hAnsi="Times New Roman" w:cs="Times New Roman"/>
                                <w:color w:val="000000" w:themeColor="text1"/>
                                <w:sz w:val="20"/>
                              </w:rPr>
                              <w:t>jaunuzņēmumu</w:t>
                            </w:r>
                            <w:proofErr w:type="spellEnd"/>
                            <w:r w:rsidRPr="005F3878">
                              <w:rPr>
                                <w:rFonts w:ascii="Times New Roman" w:hAnsi="Times New Roman" w:cs="Times New Roman"/>
                                <w:color w:val="000000" w:themeColor="text1"/>
                                <w:sz w:val="20"/>
                              </w:rPr>
                              <w:t xml:space="preserve"> monitoringu (kontroli/uzraudzību), lai sekotu līdzi vai nav iestājušies apstākļi kā rezultātā </w:t>
                            </w:r>
                            <w:proofErr w:type="spellStart"/>
                            <w:r w:rsidRPr="005F3878">
                              <w:rPr>
                                <w:rFonts w:ascii="Times New Roman" w:hAnsi="Times New Roman" w:cs="Times New Roman"/>
                                <w:color w:val="000000" w:themeColor="text1"/>
                                <w:sz w:val="20"/>
                              </w:rPr>
                              <w:t>jaunuzņēmums</w:t>
                            </w:r>
                            <w:proofErr w:type="spellEnd"/>
                            <w:r w:rsidRPr="005F3878">
                              <w:rPr>
                                <w:rFonts w:ascii="Times New Roman" w:hAnsi="Times New Roman" w:cs="Times New Roman"/>
                                <w:color w:val="000000" w:themeColor="text1"/>
                                <w:sz w:val="20"/>
                              </w:rPr>
                              <w:t xml:space="preserve"> zaudē atbalsta programmas izmantošanas tiesības;</w:t>
                            </w:r>
                          </w:p>
                          <w:p w:rsidR="00871E15" w:rsidRPr="005F3878" w:rsidRDefault="00871E15" w:rsidP="00871E15">
                            <w:pPr>
                              <w:pStyle w:val="ListParagraph"/>
                              <w:widowControl w:val="0"/>
                              <w:numPr>
                                <w:ilvl w:val="0"/>
                                <w:numId w:val="1"/>
                              </w:numPr>
                              <w:tabs>
                                <w:tab w:val="left" w:pos="993"/>
                              </w:tabs>
                              <w:spacing w:after="0" w:line="240" w:lineRule="auto"/>
                              <w:ind w:left="284" w:hanging="284"/>
                              <w:jc w:val="both"/>
                              <w:rPr>
                                <w:rFonts w:ascii="Times New Roman" w:hAnsi="Times New Roman" w:cs="Times New Roman"/>
                                <w:color w:val="000000" w:themeColor="text1"/>
                                <w:sz w:val="20"/>
                              </w:rPr>
                            </w:pPr>
                            <w:r w:rsidRPr="005F3878">
                              <w:rPr>
                                <w:rFonts w:ascii="Times New Roman" w:hAnsi="Times New Roman" w:cs="Times New Roman"/>
                                <w:color w:val="000000" w:themeColor="text1"/>
                                <w:sz w:val="20"/>
                              </w:rPr>
                              <w:t>kontrolē vai nav iestājušies apstākļi kā rezultātā kvalificēta riska kapitāla investori būtu izslēdzami no attiecīgā saraksta;</w:t>
                            </w:r>
                          </w:p>
                          <w:p w:rsidR="00871E15" w:rsidRPr="005F3878" w:rsidRDefault="00871E15" w:rsidP="00871E15">
                            <w:pPr>
                              <w:pStyle w:val="ListParagraph"/>
                              <w:widowControl w:val="0"/>
                              <w:numPr>
                                <w:ilvl w:val="0"/>
                                <w:numId w:val="1"/>
                              </w:numPr>
                              <w:tabs>
                                <w:tab w:val="left" w:pos="993"/>
                              </w:tabs>
                              <w:spacing w:after="0" w:line="240" w:lineRule="auto"/>
                              <w:ind w:left="284" w:hanging="284"/>
                              <w:jc w:val="both"/>
                              <w:rPr>
                                <w:rFonts w:ascii="Times New Roman" w:hAnsi="Times New Roman" w:cs="Times New Roman"/>
                                <w:color w:val="000000" w:themeColor="text1"/>
                                <w:sz w:val="20"/>
                              </w:rPr>
                            </w:pPr>
                            <w:r w:rsidRPr="005F3878">
                              <w:rPr>
                                <w:rFonts w:ascii="Times New Roman" w:hAnsi="Times New Roman" w:cs="Times New Roman"/>
                                <w:color w:val="000000" w:themeColor="text1"/>
                                <w:sz w:val="20"/>
                              </w:rPr>
                              <w:t xml:space="preserve">atbalsta programmu perioda beigās </w:t>
                            </w:r>
                            <w:r w:rsidRPr="005F3878">
                              <w:rPr>
                                <w:rFonts w:ascii="Times New Roman" w:hAnsi="Times New Roman" w:cs="Times New Roman"/>
                                <w:bCs/>
                                <w:color w:val="000000" w:themeColor="text1"/>
                                <w:sz w:val="20"/>
                                <w:lang w:eastAsia="lv-LV"/>
                              </w:rPr>
                              <w:t xml:space="preserve">nosaka </w:t>
                            </w:r>
                            <w:proofErr w:type="spellStart"/>
                            <w:r w:rsidRPr="005F3878">
                              <w:rPr>
                                <w:rFonts w:ascii="Times New Roman" w:hAnsi="Times New Roman" w:cs="Times New Roman"/>
                                <w:bCs/>
                                <w:color w:val="000000" w:themeColor="text1"/>
                                <w:sz w:val="20"/>
                                <w:lang w:eastAsia="lv-LV"/>
                              </w:rPr>
                              <w:t>jaunuzņēmumam</w:t>
                            </w:r>
                            <w:proofErr w:type="spellEnd"/>
                            <w:r w:rsidRPr="005F3878">
                              <w:rPr>
                                <w:rFonts w:ascii="Times New Roman" w:hAnsi="Times New Roman" w:cs="Times New Roman"/>
                                <w:bCs/>
                                <w:color w:val="000000" w:themeColor="text1"/>
                                <w:sz w:val="20"/>
                                <w:lang w:eastAsia="lv-LV"/>
                              </w:rPr>
                              <w:t xml:space="preserve"> faktiski piešķirto </w:t>
                            </w:r>
                            <w:proofErr w:type="spellStart"/>
                            <w:r w:rsidRPr="005F3878">
                              <w:rPr>
                                <w:rFonts w:ascii="Times New Roman" w:hAnsi="Times New Roman" w:cs="Times New Roman"/>
                                <w:bCs/>
                                <w:i/>
                                <w:color w:val="000000" w:themeColor="text1"/>
                                <w:sz w:val="20"/>
                                <w:lang w:eastAsia="lv-LV"/>
                              </w:rPr>
                              <w:t>de</w:t>
                            </w:r>
                            <w:proofErr w:type="spellEnd"/>
                            <w:r w:rsidRPr="005F3878">
                              <w:rPr>
                                <w:rFonts w:ascii="Times New Roman" w:hAnsi="Times New Roman" w:cs="Times New Roman"/>
                                <w:bCs/>
                                <w:i/>
                                <w:color w:val="000000" w:themeColor="text1"/>
                                <w:sz w:val="20"/>
                                <w:lang w:eastAsia="lv-LV"/>
                              </w:rPr>
                              <w:t xml:space="preserve"> </w:t>
                            </w:r>
                            <w:proofErr w:type="spellStart"/>
                            <w:r w:rsidRPr="005F3878">
                              <w:rPr>
                                <w:rFonts w:ascii="Times New Roman" w:hAnsi="Times New Roman" w:cs="Times New Roman"/>
                                <w:bCs/>
                                <w:i/>
                                <w:color w:val="000000" w:themeColor="text1"/>
                                <w:sz w:val="20"/>
                                <w:lang w:eastAsia="lv-LV"/>
                              </w:rPr>
                              <w:t>minimis</w:t>
                            </w:r>
                            <w:proofErr w:type="spellEnd"/>
                            <w:r w:rsidRPr="005F3878">
                              <w:rPr>
                                <w:rFonts w:ascii="Times New Roman" w:hAnsi="Times New Roman" w:cs="Times New Roman"/>
                                <w:bCs/>
                                <w:i/>
                                <w:color w:val="000000" w:themeColor="text1"/>
                                <w:sz w:val="20"/>
                                <w:lang w:eastAsia="lv-LV"/>
                              </w:rPr>
                              <w:t xml:space="preserve"> </w:t>
                            </w:r>
                            <w:r w:rsidRPr="005F3878">
                              <w:rPr>
                                <w:rFonts w:ascii="Times New Roman" w:hAnsi="Times New Roman" w:cs="Times New Roman"/>
                                <w:bCs/>
                                <w:color w:val="000000" w:themeColor="text1"/>
                                <w:sz w:val="20"/>
                                <w:lang w:eastAsia="lv-LV"/>
                              </w:rPr>
                              <w:t>atbalsta apmēru,</w:t>
                            </w:r>
                            <w:r w:rsidRPr="005F3878">
                              <w:rPr>
                                <w:rFonts w:ascii="Times New Roman" w:hAnsi="Times New Roman" w:cs="Times New Roman"/>
                                <w:color w:val="000000" w:themeColor="text1"/>
                                <w:sz w:val="20"/>
                              </w:rPr>
                              <w:t xml:space="preserve"> veic </w:t>
                            </w:r>
                            <w:proofErr w:type="spellStart"/>
                            <w:r w:rsidRPr="005F3878">
                              <w:rPr>
                                <w:rFonts w:ascii="Times New Roman" w:hAnsi="Times New Roman" w:cs="Times New Roman"/>
                                <w:i/>
                                <w:color w:val="000000" w:themeColor="text1"/>
                                <w:sz w:val="20"/>
                              </w:rPr>
                              <w:t>de</w:t>
                            </w:r>
                            <w:proofErr w:type="spellEnd"/>
                            <w:r w:rsidRPr="005F3878">
                              <w:rPr>
                                <w:rFonts w:ascii="Times New Roman" w:hAnsi="Times New Roman" w:cs="Times New Roman"/>
                                <w:i/>
                                <w:color w:val="000000" w:themeColor="text1"/>
                                <w:sz w:val="20"/>
                              </w:rPr>
                              <w:t xml:space="preserve"> </w:t>
                            </w:r>
                            <w:proofErr w:type="spellStart"/>
                            <w:r w:rsidRPr="005F3878">
                              <w:rPr>
                                <w:rFonts w:ascii="Times New Roman" w:hAnsi="Times New Roman" w:cs="Times New Roman"/>
                                <w:i/>
                                <w:color w:val="000000" w:themeColor="text1"/>
                                <w:sz w:val="20"/>
                              </w:rPr>
                              <w:t>minimis</w:t>
                            </w:r>
                            <w:proofErr w:type="spellEnd"/>
                            <w:r w:rsidRPr="005F3878">
                              <w:rPr>
                                <w:rFonts w:ascii="Times New Roman" w:hAnsi="Times New Roman" w:cs="Times New Roman"/>
                                <w:color w:val="000000" w:themeColor="text1"/>
                                <w:sz w:val="20"/>
                              </w:rPr>
                              <w:t xml:space="preserve"> sliekšņa uzskaiti u.c. pienākumus, kas noteikti Ministru kabineta noteikumos par atbalsta programmu administrēšanu.</w:t>
                            </w:r>
                          </w:p>
                          <w:p w:rsidR="00871E15" w:rsidRPr="0052525E" w:rsidRDefault="00871E15" w:rsidP="00871E1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17D9A" id="Rounded Rectangle 23" o:spid="_x0000_s1026" style="position:absolute;margin-left:0;margin-top:376.5pt;width:726.75pt;height:129.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" fillcolor="window" strokecolor="#49bee7" strokeweight="1pt">
                <v:stroke joinstyle="miter"/>
                <v:textbox>
                  <w:txbxContent>
                    <w:p w:rsidR="00871E15" w:rsidRPr="005F3878" w:rsidRDefault="00871E15" w:rsidP="00871E15">
                      <w:pPr>
                        <w:spacing w:after="0" w:line="240" w:lineRule="auto"/>
                        <w:rPr>
                          <w:rFonts w:ascii="Times New Roman" w:hAnsi="Times New Roman" w:cs="Times New Roman"/>
                          <w:b/>
                          <w:color w:val="000000" w:themeColor="text1"/>
                          <w:sz w:val="20"/>
                          <w:szCs w:val="20"/>
                        </w:rPr>
                      </w:pPr>
                      <w:r w:rsidRPr="005F3878">
                        <w:rPr>
                          <w:rFonts w:ascii="Times New Roman" w:hAnsi="Times New Roman" w:cs="Times New Roman"/>
                          <w:b/>
                          <w:color w:val="000000" w:themeColor="text1"/>
                          <w:sz w:val="20"/>
                          <w:szCs w:val="20"/>
                        </w:rPr>
                        <w:t xml:space="preserve">Administrējošās iestādes uzdevumi </w:t>
                      </w:r>
                      <w:r w:rsidRPr="005F3878">
                        <w:rPr>
                          <w:rFonts w:ascii="Times New Roman" w:hAnsi="Times New Roman" w:cs="Times New Roman"/>
                          <w:color w:val="000000" w:themeColor="text1"/>
                          <w:sz w:val="20"/>
                          <w:szCs w:val="20"/>
                        </w:rPr>
                        <w:t>(papildus noteikti atsevišķos Ministru kabineta noteikumos, kas izdoti saskaņā ar likuma 13.panta otrās daļas deleģējumu)</w:t>
                      </w:r>
                      <w:r w:rsidRPr="005F3878">
                        <w:rPr>
                          <w:rFonts w:ascii="Times New Roman" w:hAnsi="Times New Roman" w:cs="Times New Roman"/>
                          <w:b/>
                          <w:color w:val="000000" w:themeColor="text1"/>
                          <w:sz w:val="20"/>
                          <w:szCs w:val="20"/>
                        </w:rPr>
                        <w:t>:</w:t>
                      </w:r>
                    </w:p>
                    <w:p w:rsidR="00871E15" w:rsidRPr="005F3878" w:rsidRDefault="00871E15" w:rsidP="00871E15">
                      <w:pPr>
                        <w:pStyle w:val="ListParagraph"/>
                        <w:widowControl w:val="0"/>
                        <w:numPr>
                          <w:ilvl w:val="0"/>
                          <w:numId w:val="1"/>
                        </w:numPr>
                        <w:tabs>
                          <w:tab w:val="left" w:pos="993"/>
                        </w:tabs>
                        <w:spacing w:after="0" w:line="240" w:lineRule="auto"/>
                        <w:ind w:left="284" w:hanging="284"/>
                        <w:jc w:val="both"/>
                        <w:rPr>
                          <w:rFonts w:ascii="Times New Roman" w:hAnsi="Times New Roman" w:cs="Times New Roman"/>
                          <w:color w:val="000000" w:themeColor="text1"/>
                          <w:sz w:val="20"/>
                        </w:rPr>
                      </w:pPr>
                      <w:r w:rsidRPr="005F3878">
                        <w:rPr>
                          <w:rFonts w:ascii="Times New Roman" w:hAnsi="Times New Roman" w:cs="Times New Roman"/>
                          <w:color w:val="000000" w:themeColor="text1"/>
                          <w:sz w:val="20"/>
                        </w:rPr>
                        <w:t>k</w:t>
                      </w:r>
                      <w:r w:rsidRPr="005F3878">
                        <w:rPr>
                          <w:rFonts w:ascii="Times New Roman" w:hAnsi="Times New Roman" w:cs="Times New Roman"/>
                          <w:color w:val="000000" w:themeColor="text1"/>
                          <w:sz w:val="20"/>
                        </w:rPr>
                        <w:t xml:space="preserve">omunikācija ar </w:t>
                      </w:r>
                      <w:proofErr w:type="spellStart"/>
                      <w:r w:rsidRPr="005F3878">
                        <w:rPr>
                          <w:rFonts w:ascii="Times New Roman" w:hAnsi="Times New Roman" w:cs="Times New Roman"/>
                          <w:color w:val="000000" w:themeColor="text1"/>
                          <w:sz w:val="20"/>
                        </w:rPr>
                        <w:t>jaunuzņēmumu</w:t>
                      </w:r>
                      <w:proofErr w:type="spellEnd"/>
                      <w:r w:rsidRPr="005F3878">
                        <w:rPr>
                          <w:rFonts w:ascii="Times New Roman" w:hAnsi="Times New Roman" w:cs="Times New Roman"/>
                          <w:color w:val="000000" w:themeColor="text1"/>
                          <w:sz w:val="20"/>
                        </w:rPr>
                        <w:t xml:space="preserve"> un riska kapitāla investoru par pieteikuma iesniegšanu;</w:t>
                      </w:r>
                    </w:p>
                    <w:p w:rsidR="00871E15" w:rsidRPr="005F3878" w:rsidRDefault="00871E15" w:rsidP="00871E15">
                      <w:pPr>
                        <w:pStyle w:val="ListParagraph"/>
                        <w:widowControl w:val="0"/>
                        <w:numPr>
                          <w:ilvl w:val="0"/>
                          <w:numId w:val="1"/>
                        </w:numPr>
                        <w:tabs>
                          <w:tab w:val="left" w:pos="993"/>
                        </w:tabs>
                        <w:spacing w:after="0" w:line="240" w:lineRule="auto"/>
                        <w:ind w:left="284" w:hanging="284"/>
                        <w:jc w:val="both"/>
                        <w:rPr>
                          <w:rFonts w:ascii="Times New Roman" w:hAnsi="Times New Roman" w:cs="Times New Roman"/>
                          <w:color w:val="000000" w:themeColor="text1"/>
                          <w:sz w:val="20"/>
                        </w:rPr>
                      </w:pPr>
                      <w:r w:rsidRPr="005F3878">
                        <w:rPr>
                          <w:rFonts w:ascii="Times New Roman" w:hAnsi="Times New Roman" w:cs="Times New Roman"/>
                          <w:color w:val="000000" w:themeColor="text1"/>
                          <w:sz w:val="20"/>
                        </w:rPr>
                        <w:t xml:space="preserve">izskata </w:t>
                      </w:r>
                      <w:proofErr w:type="spellStart"/>
                      <w:r w:rsidRPr="005F3878">
                        <w:rPr>
                          <w:rFonts w:ascii="Times New Roman" w:hAnsi="Times New Roman" w:cs="Times New Roman"/>
                          <w:color w:val="000000" w:themeColor="text1"/>
                          <w:sz w:val="20"/>
                        </w:rPr>
                        <w:t>jaunuzņēmumu</w:t>
                      </w:r>
                      <w:proofErr w:type="spellEnd"/>
                      <w:r w:rsidRPr="005F3878">
                        <w:rPr>
                          <w:rFonts w:ascii="Times New Roman" w:hAnsi="Times New Roman" w:cs="Times New Roman"/>
                          <w:color w:val="000000" w:themeColor="text1"/>
                          <w:sz w:val="20"/>
                        </w:rPr>
                        <w:t xml:space="preserve"> un riska kapitāla investoru iesniegto dokumentāciju </w:t>
                      </w:r>
                      <w:proofErr w:type="spellStart"/>
                      <w:r w:rsidRPr="005F3878">
                        <w:rPr>
                          <w:rFonts w:ascii="Times New Roman" w:hAnsi="Times New Roman" w:cs="Times New Roman"/>
                          <w:color w:val="000000" w:themeColor="text1"/>
                          <w:sz w:val="20"/>
                        </w:rPr>
                        <w:t>jaunuzņēmumu</w:t>
                      </w:r>
                      <w:proofErr w:type="spellEnd"/>
                      <w:r w:rsidRPr="005F3878">
                        <w:rPr>
                          <w:rFonts w:ascii="Times New Roman" w:hAnsi="Times New Roman" w:cs="Times New Roman"/>
                          <w:color w:val="000000" w:themeColor="text1"/>
                          <w:sz w:val="20"/>
                        </w:rPr>
                        <w:t xml:space="preserve"> atbilstības noteikšanai atbalsta programmu izmantošanai un riska kapitāla investoru atbilstībai kvalifikācijas prasībām;</w:t>
                      </w:r>
                    </w:p>
                    <w:p w:rsidR="00871E15" w:rsidRPr="005F3878" w:rsidRDefault="00871E15" w:rsidP="00871E15">
                      <w:pPr>
                        <w:pStyle w:val="ListParagraph"/>
                        <w:widowControl w:val="0"/>
                        <w:numPr>
                          <w:ilvl w:val="0"/>
                          <w:numId w:val="1"/>
                        </w:numPr>
                        <w:tabs>
                          <w:tab w:val="left" w:pos="993"/>
                        </w:tabs>
                        <w:spacing w:after="0" w:line="240" w:lineRule="auto"/>
                        <w:ind w:left="284" w:hanging="284"/>
                        <w:jc w:val="both"/>
                        <w:rPr>
                          <w:rFonts w:ascii="Times New Roman" w:hAnsi="Times New Roman" w:cs="Times New Roman"/>
                          <w:color w:val="000000" w:themeColor="text1"/>
                          <w:sz w:val="20"/>
                        </w:rPr>
                      </w:pPr>
                      <w:r w:rsidRPr="005F3878">
                        <w:rPr>
                          <w:rFonts w:ascii="Times New Roman" w:hAnsi="Times New Roman" w:cs="Times New Roman"/>
                          <w:color w:val="000000" w:themeColor="text1"/>
                          <w:sz w:val="20"/>
                        </w:rPr>
                        <w:t xml:space="preserve">atbalsta programmu periodā veic </w:t>
                      </w:r>
                      <w:proofErr w:type="spellStart"/>
                      <w:r w:rsidRPr="005F3878">
                        <w:rPr>
                          <w:rFonts w:ascii="Times New Roman" w:hAnsi="Times New Roman" w:cs="Times New Roman"/>
                          <w:color w:val="000000" w:themeColor="text1"/>
                          <w:sz w:val="20"/>
                        </w:rPr>
                        <w:t>jaunuzņēmumu</w:t>
                      </w:r>
                      <w:proofErr w:type="spellEnd"/>
                      <w:r w:rsidRPr="005F3878">
                        <w:rPr>
                          <w:rFonts w:ascii="Times New Roman" w:hAnsi="Times New Roman" w:cs="Times New Roman"/>
                          <w:color w:val="000000" w:themeColor="text1"/>
                          <w:sz w:val="20"/>
                        </w:rPr>
                        <w:t xml:space="preserve"> monitoringu (kontroli/uzraudzību), lai sekotu līdzi vai nav iestājušies apstākļi kā rezultātā </w:t>
                      </w:r>
                      <w:proofErr w:type="spellStart"/>
                      <w:r w:rsidRPr="005F3878">
                        <w:rPr>
                          <w:rFonts w:ascii="Times New Roman" w:hAnsi="Times New Roman" w:cs="Times New Roman"/>
                          <w:color w:val="000000" w:themeColor="text1"/>
                          <w:sz w:val="20"/>
                        </w:rPr>
                        <w:t>jaunuzņēmums</w:t>
                      </w:r>
                      <w:proofErr w:type="spellEnd"/>
                      <w:r w:rsidRPr="005F3878">
                        <w:rPr>
                          <w:rFonts w:ascii="Times New Roman" w:hAnsi="Times New Roman" w:cs="Times New Roman"/>
                          <w:color w:val="000000" w:themeColor="text1"/>
                          <w:sz w:val="20"/>
                        </w:rPr>
                        <w:t xml:space="preserve"> zaudē atbalsta programmas izmantošanas tiesības;</w:t>
                      </w:r>
                    </w:p>
                    <w:p w:rsidR="00871E15" w:rsidRPr="005F3878" w:rsidRDefault="00871E15" w:rsidP="00871E15">
                      <w:pPr>
                        <w:pStyle w:val="ListParagraph"/>
                        <w:widowControl w:val="0"/>
                        <w:numPr>
                          <w:ilvl w:val="0"/>
                          <w:numId w:val="1"/>
                        </w:numPr>
                        <w:tabs>
                          <w:tab w:val="left" w:pos="993"/>
                        </w:tabs>
                        <w:spacing w:after="0" w:line="240" w:lineRule="auto"/>
                        <w:ind w:left="284" w:hanging="284"/>
                        <w:jc w:val="both"/>
                        <w:rPr>
                          <w:rFonts w:ascii="Times New Roman" w:hAnsi="Times New Roman" w:cs="Times New Roman"/>
                          <w:color w:val="000000" w:themeColor="text1"/>
                          <w:sz w:val="20"/>
                        </w:rPr>
                      </w:pPr>
                      <w:r w:rsidRPr="005F3878">
                        <w:rPr>
                          <w:rFonts w:ascii="Times New Roman" w:hAnsi="Times New Roman" w:cs="Times New Roman"/>
                          <w:color w:val="000000" w:themeColor="text1"/>
                          <w:sz w:val="20"/>
                        </w:rPr>
                        <w:t>kontrolē vai nav iestājušies apstākļi kā rezultātā kvalificēta riska kapitāla investori būtu izslēdzami no attiecīgā saraksta;</w:t>
                      </w:r>
                    </w:p>
                    <w:p w:rsidR="00871E15" w:rsidRPr="005F3878" w:rsidRDefault="00871E15" w:rsidP="00871E15">
                      <w:pPr>
                        <w:pStyle w:val="ListParagraph"/>
                        <w:widowControl w:val="0"/>
                        <w:numPr>
                          <w:ilvl w:val="0"/>
                          <w:numId w:val="1"/>
                        </w:numPr>
                        <w:tabs>
                          <w:tab w:val="left" w:pos="993"/>
                        </w:tabs>
                        <w:spacing w:after="0" w:line="240" w:lineRule="auto"/>
                        <w:ind w:left="284" w:hanging="284"/>
                        <w:jc w:val="both"/>
                        <w:rPr>
                          <w:rFonts w:ascii="Times New Roman" w:hAnsi="Times New Roman" w:cs="Times New Roman"/>
                          <w:color w:val="000000" w:themeColor="text1"/>
                          <w:sz w:val="20"/>
                        </w:rPr>
                      </w:pPr>
                      <w:r w:rsidRPr="005F3878">
                        <w:rPr>
                          <w:rFonts w:ascii="Times New Roman" w:hAnsi="Times New Roman" w:cs="Times New Roman"/>
                          <w:color w:val="000000" w:themeColor="text1"/>
                          <w:sz w:val="20"/>
                        </w:rPr>
                        <w:t xml:space="preserve">atbalsta programmu perioda beigās </w:t>
                      </w:r>
                      <w:r w:rsidRPr="005F3878">
                        <w:rPr>
                          <w:rFonts w:ascii="Times New Roman" w:hAnsi="Times New Roman" w:cs="Times New Roman"/>
                          <w:bCs/>
                          <w:color w:val="000000" w:themeColor="text1"/>
                          <w:sz w:val="20"/>
                          <w:lang w:eastAsia="lv-LV"/>
                        </w:rPr>
                        <w:t xml:space="preserve">nosaka </w:t>
                      </w:r>
                      <w:proofErr w:type="spellStart"/>
                      <w:r w:rsidRPr="005F3878">
                        <w:rPr>
                          <w:rFonts w:ascii="Times New Roman" w:hAnsi="Times New Roman" w:cs="Times New Roman"/>
                          <w:bCs/>
                          <w:color w:val="000000" w:themeColor="text1"/>
                          <w:sz w:val="20"/>
                          <w:lang w:eastAsia="lv-LV"/>
                        </w:rPr>
                        <w:t>jaunuzņēmumam</w:t>
                      </w:r>
                      <w:proofErr w:type="spellEnd"/>
                      <w:r w:rsidRPr="005F3878">
                        <w:rPr>
                          <w:rFonts w:ascii="Times New Roman" w:hAnsi="Times New Roman" w:cs="Times New Roman"/>
                          <w:bCs/>
                          <w:color w:val="000000" w:themeColor="text1"/>
                          <w:sz w:val="20"/>
                          <w:lang w:eastAsia="lv-LV"/>
                        </w:rPr>
                        <w:t xml:space="preserve"> faktiski piešķirto </w:t>
                      </w:r>
                      <w:proofErr w:type="spellStart"/>
                      <w:r w:rsidRPr="005F3878">
                        <w:rPr>
                          <w:rFonts w:ascii="Times New Roman" w:hAnsi="Times New Roman" w:cs="Times New Roman"/>
                          <w:bCs/>
                          <w:i/>
                          <w:color w:val="000000" w:themeColor="text1"/>
                          <w:sz w:val="20"/>
                          <w:lang w:eastAsia="lv-LV"/>
                        </w:rPr>
                        <w:t>de</w:t>
                      </w:r>
                      <w:proofErr w:type="spellEnd"/>
                      <w:r w:rsidRPr="005F3878">
                        <w:rPr>
                          <w:rFonts w:ascii="Times New Roman" w:hAnsi="Times New Roman" w:cs="Times New Roman"/>
                          <w:bCs/>
                          <w:i/>
                          <w:color w:val="000000" w:themeColor="text1"/>
                          <w:sz w:val="20"/>
                          <w:lang w:eastAsia="lv-LV"/>
                        </w:rPr>
                        <w:t xml:space="preserve"> </w:t>
                      </w:r>
                      <w:proofErr w:type="spellStart"/>
                      <w:r w:rsidRPr="005F3878">
                        <w:rPr>
                          <w:rFonts w:ascii="Times New Roman" w:hAnsi="Times New Roman" w:cs="Times New Roman"/>
                          <w:bCs/>
                          <w:i/>
                          <w:color w:val="000000" w:themeColor="text1"/>
                          <w:sz w:val="20"/>
                          <w:lang w:eastAsia="lv-LV"/>
                        </w:rPr>
                        <w:t>minimis</w:t>
                      </w:r>
                      <w:proofErr w:type="spellEnd"/>
                      <w:r w:rsidRPr="005F3878">
                        <w:rPr>
                          <w:rFonts w:ascii="Times New Roman" w:hAnsi="Times New Roman" w:cs="Times New Roman"/>
                          <w:bCs/>
                          <w:i/>
                          <w:color w:val="000000" w:themeColor="text1"/>
                          <w:sz w:val="20"/>
                          <w:lang w:eastAsia="lv-LV"/>
                        </w:rPr>
                        <w:t xml:space="preserve"> </w:t>
                      </w:r>
                      <w:r w:rsidRPr="005F3878">
                        <w:rPr>
                          <w:rFonts w:ascii="Times New Roman" w:hAnsi="Times New Roman" w:cs="Times New Roman"/>
                          <w:bCs/>
                          <w:color w:val="000000" w:themeColor="text1"/>
                          <w:sz w:val="20"/>
                          <w:lang w:eastAsia="lv-LV"/>
                        </w:rPr>
                        <w:t>atbalsta apmēru,</w:t>
                      </w:r>
                      <w:r w:rsidRPr="005F3878">
                        <w:rPr>
                          <w:rFonts w:ascii="Times New Roman" w:hAnsi="Times New Roman" w:cs="Times New Roman"/>
                          <w:color w:val="000000" w:themeColor="text1"/>
                          <w:sz w:val="20"/>
                        </w:rPr>
                        <w:t xml:space="preserve"> veic </w:t>
                      </w:r>
                      <w:proofErr w:type="spellStart"/>
                      <w:r w:rsidRPr="005F3878">
                        <w:rPr>
                          <w:rFonts w:ascii="Times New Roman" w:hAnsi="Times New Roman" w:cs="Times New Roman"/>
                          <w:i/>
                          <w:color w:val="000000" w:themeColor="text1"/>
                          <w:sz w:val="20"/>
                        </w:rPr>
                        <w:t>de</w:t>
                      </w:r>
                      <w:proofErr w:type="spellEnd"/>
                      <w:r w:rsidRPr="005F3878">
                        <w:rPr>
                          <w:rFonts w:ascii="Times New Roman" w:hAnsi="Times New Roman" w:cs="Times New Roman"/>
                          <w:i/>
                          <w:color w:val="000000" w:themeColor="text1"/>
                          <w:sz w:val="20"/>
                        </w:rPr>
                        <w:t xml:space="preserve"> </w:t>
                      </w:r>
                      <w:proofErr w:type="spellStart"/>
                      <w:r w:rsidRPr="005F3878">
                        <w:rPr>
                          <w:rFonts w:ascii="Times New Roman" w:hAnsi="Times New Roman" w:cs="Times New Roman"/>
                          <w:i/>
                          <w:color w:val="000000" w:themeColor="text1"/>
                          <w:sz w:val="20"/>
                        </w:rPr>
                        <w:t>minimis</w:t>
                      </w:r>
                      <w:proofErr w:type="spellEnd"/>
                      <w:r w:rsidRPr="005F3878">
                        <w:rPr>
                          <w:rFonts w:ascii="Times New Roman" w:hAnsi="Times New Roman" w:cs="Times New Roman"/>
                          <w:color w:val="000000" w:themeColor="text1"/>
                          <w:sz w:val="20"/>
                        </w:rPr>
                        <w:t xml:space="preserve"> sliekšņa uzskaiti u.c. pienākumus, kas noteikti Ministru kabineta noteikumos par atbalsta programmu administrēšanu.</w:t>
                      </w:r>
                    </w:p>
                    <w:p w:rsidR="00871E15" w:rsidRPr="0052525E" w:rsidRDefault="00871E15" w:rsidP="00871E15">
                      <w:pPr>
                        <w:jc w:val="center"/>
                        <w:rPr>
                          <w:sz w:val="20"/>
                          <w:szCs w:val="20"/>
                        </w:rPr>
                      </w:pPr>
                    </w:p>
                  </w:txbxContent>
                </v:textbox>
                <w10:wrap type="topAndBottom" anchorx="margin" anchory="page"/>
              </v:roundrect>
            </w:pict>
          </mc:Fallback>
        </mc:AlternateContent>
      </w:r>
      <w:r w:rsidR="005F3878" w:rsidRPr="00871E15">
        <mc:AlternateContent>
          <mc:Choice Requires="wps">
            <w:drawing>
              <wp:anchor distT="0" distB="0" distL="114300" distR="114300" simplePos="0" relativeHeight="251661312" behindDoc="0" locked="0" layoutInCell="1" allowOverlap="1" wp14:anchorId="05A1C574" wp14:editId="2A209D2D">
                <wp:simplePos x="0" y="0"/>
                <wp:positionH relativeFrom="column">
                  <wp:posOffset>3219450</wp:posOffset>
                </wp:positionH>
                <wp:positionV relativeFrom="paragraph">
                  <wp:posOffset>1372235</wp:posOffset>
                </wp:positionV>
                <wp:extent cx="5991225" cy="125730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5991225" cy="1257300"/>
                        </a:xfrm>
                        <a:prstGeom prst="roundRect">
                          <a:avLst/>
                        </a:prstGeom>
                        <a:solidFill>
                          <a:sysClr val="window" lastClr="FFFFFF"/>
                        </a:solidFill>
                        <a:ln w="12700" cap="flat" cmpd="sng" algn="ctr">
                          <a:solidFill>
                            <a:srgbClr val="49BEE7"/>
                          </a:solidFill>
                          <a:prstDash val="solid"/>
                          <a:miter lim="800000"/>
                        </a:ln>
                        <a:effectLst/>
                      </wps:spPr>
                      <wps:txbx>
                        <w:txbxContent>
                          <w:p w:rsidR="00871E15" w:rsidRPr="0036053A" w:rsidRDefault="00871E15" w:rsidP="00871E15">
                            <w:pPr>
                              <w:spacing w:after="0" w:line="240" w:lineRule="auto"/>
                              <w:rPr>
                                <w:rFonts w:ascii="Times New Roman" w:hAnsi="Times New Roman" w:cs="Times New Roman"/>
                                <w:b/>
                                <w:color w:val="000000" w:themeColor="text1"/>
                                <w:sz w:val="20"/>
                                <w:szCs w:val="20"/>
                              </w:rPr>
                            </w:pPr>
                            <w:r w:rsidRPr="0036053A">
                              <w:rPr>
                                <w:rFonts w:ascii="Times New Roman" w:hAnsi="Times New Roman" w:cs="Times New Roman"/>
                                <w:b/>
                                <w:color w:val="000000" w:themeColor="text1"/>
                                <w:sz w:val="20"/>
                                <w:szCs w:val="20"/>
                              </w:rPr>
                              <w:t>Komisijas uzdevumi noteikti “</w:t>
                            </w:r>
                            <w:proofErr w:type="spellStart"/>
                            <w:r w:rsidRPr="0036053A">
                              <w:rPr>
                                <w:rFonts w:ascii="Times New Roman" w:hAnsi="Times New Roman" w:cs="Times New Roman"/>
                                <w:b/>
                                <w:color w:val="000000" w:themeColor="text1"/>
                                <w:sz w:val="20"/>
                                <w:szCs w:val="20"/>
                              </w:rPr>
                              <w:t>Jaunuzņēmumu</w:t>
                            </w:r>
                            <w:proofErr w:type="spellEnd"/>
                            <w:r w:rsidRPr="0036053A">
                              <w:rPr>
                                <w:rFonts w:ascii="Times New Roman" w:hAnsi="Times New Roman" w:cs="Times New Roman"/>
                                <w:b/>
                                <w:color w:val="000000" w:themeColor="text1"/>
                                <w:sz w:val="20"/>
                                <w:szCs w:val="20"/>
                              </w:rPr>
                              <w:t xml:space="preserve"> darbības atbalsta likuma” 15.panta pirmajā daļā:</w:t>
                            </w:r>
                          </w:p>
                          <w:p w:rsidR="00871E15" w:rsidRPr="0036053A" w:rsidRDefault="00871E15" w:rsidP="00871E15">
                            <w:pPr>
                              <w:pStyle w:val="ListParagraph"/>
                              <w:numPr>
                                <w:ilvl w:val="0"/>
                                <w:numId w:val="2"/>
                              </w:numPr>
                              <w:spacing w:after="0" w:line="240" w:lineRule="auto"/>
                              <w:ind w:left="284" w:hanging="284"/>
                              <w:jc w:val="both"/>
                              <w:rPr>
                                <w:rFonts w:ascii="Times New Roman" w:hAnsi="Times New Roman" w:cs="Times New Roman"/>
                                <w:color w:val="000000" w:themeColor="text1"/>
                                <w:sz w:val="20"/>
                              </w:rPr>
                            </w:pPr>
                            <w:r w:rsidRPr="0036053A">
                              <w:rPr>
                                <w:rFonts w:ascii="Times New Roman" w:hAnsi="Times New Roman" w:cs="Times New Roman"/>
                                <w:color w:val="000000" w:themeColor="text1"/>
                                <w:sz w:val="20"/>
                              </w:rPr>
                              <w:t xml:space="preserve">pieņemt lēmumu par atbalsta programmas piešķiršanu vai atteikumu piešķirt to </w:t>
                            </w:r>
                            <w:proofErr w:type="spellStart"/>
                            <w:r w:rsidRPr="0036053A">
                              <w:rPr>
                                <w:rFonts w:ascii="Times New Roman" w:hAnsi="Times New Roman" w:cs="Times New Roman"/>
                                <w:color w:val="000000" w:themeColor="text1"/>
                                <w:sz w:val="20"/>
                              </w:rPr>
                              <w:t>jaunuzņēmumam</w:t>
                            </w:r>
                            <w:proofErr w:type="spellEnd"/>
                            <w:r w:rsidRPr="0036053A">
                              <w:rPr>
                                <w:rFonts w:ascii="Times New Roman" w:hAnsi="Times New Roman" w:cs="Times New Roman"/>
                                <w:color w:val="000000" w:themeColor="text1"/>
                                <w:sz w:val="20"/>
                              </w:rPr>
                              <w:t>, kā arī atcelt lēmumu par atbalsta programmas piešķiršanu,</w:t>
                            </w:r>
                          </w:p>
                          <w:p w:rsidR="00871E15" w:rsidRPr="0036053A" w:rsidRDefault="00871E15" w:rsidP="00871E15">
                            <w:pPr>
                              <w:pStyle w:val="ListParagraph"/>
                              <w:numPr>
                                <w:ilvl w:val="0"/>
                                <w:numId w:val="2"/>
                              </w:numPr>
                              <w:spacing w:after="0" w:line="240" w:lineRule="auto"/>
                              <w:ind w:left="284" w:hanging="284"/>
                              <w:jc w:val="both"/>
                              <w:rPr>
                                <w:rFonts w:ascii="Times New Roman" w:hAnsi="Times New Roman" w:cs="Times New Roman"/>
                                <w:color w:val="000000" w:themeColor="text1"/>
                                <w:sz w:val="20"/>
                              </w:rPr>
                            </w:pPr>
                            <w:r w:rsidRPr="0036053A">
                              <w:rPr>
                                <w:rFonts w:ascii="Times New Roman" w:hAnsi="Times New Roman" w:cs="Times New Roman"/>
                                <w:color w:val="000000" w:themeColor="text1"/>
                                <w:sz w:val="20"/>
                              </w:rPr>
                              <w:t>pieņemt lēmumu par investora atbilstību vai neatbilstību likumā noteiktajiem riska kapitāla investoru kvalifikācijas nosacījumiem un attiecīgi iekļaušanu vai neiekļaušanu kvalificētā riska kapitāla investora sarakstā, kā arī lēmumu par investora izslēgšanu no minētā saraksta.</w:t>
                            </w:r>
                          </w:p>
                          <w:p w:rsidR="00871E15" w:rsidRPr="0036053A" w:rsidRDefault="00871E15" w:rsidP="00871E15">
                            <w:pPr>
                              <w:jc w:val="both"/>
                              <w:rPr>
                                <w:rFonts w:ascii="Times New Roman" w:hAnsi="Times New Roman" w:cs="Times New Roman"/>
                                <w:color w:val="000000" w:themeColor="text1"/>
                                <w:sz w:val="20"/>
                              </w:rPr>
                            </w:pPr>
                            <w:r w:rsidRPr="0036053A">
                              <w:rPr>
                                <w:rFonts w:ascii="Times New Roman" w:hAnsi="Times New Roman" w:cs="Times New Roman"/>
                                <w:color w:val="000000" w:themeColor="text1"/>
                                <w:sz w:val="20"/>
                              </w:rPr>
                              <w:t xml:space="preserve">Komisija ņem vērā administrējošās iestādes sagatavotos atzinumus (noteikumu projekta </w:t>
                            </w:r>
                            <w:r w:rsidRPr="0036053A">
                              <w:rPr>
                                <w:rFonts w:ascii="Times New Roman" w:eastAsiaTheme="minorEastAsia" w:hAnsi="Times New Roman" w:cs="Times New Roman"/>
                                <w:color w:val="000000" w:themeColor="text1"/>
                                <w:sz w:val="20"/>
                              </w:rPr>
                              <w:t>9.3. apakšpunkts).</w:t>
                            </w:r>
                          </w:p>
                          <w:p w:rsidR="00871E15" w:rsidRPr="00B928A3" w:rsidRDefault="00871E15" w:rsidP="00871E15">
                            <w:pPr>
                              <w:jc w:val="both"/>
                              <w:rPr>
                                <w:color w:val="000000" w:themeColor="text1"/>
                                <w:sz w:val="20"/>
                              </w:rPr>
                            </w:pPr>
                          </w:p>
                          <w:p w:rsidR="00871E15" w:rsidRDefault="00871E15" w:rsidP="00871E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1C574" id="Rounded Rectangle 22" o:spid="_x0000_s1027" style="position:absolute;margin-left:253.5pt;margin-top:108.05pt;width:471.7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" fillcolor="window" strokecolor="#49bee7" strokeweight="1pt">
                <v:stroke joinstyle="miter"/>
                <v:textbox>
                  <w:txbxContent>
                    <w:p w:rsidR="00871E15" w:rsidRPr="0036053A" w:rsidRDefault="00871E15" w:rsidP="00871E15">
                      <w:pPr>
                        <w:spacing w:after="0" w:line="240" w:lineRule="auto"/>
                        <w:rPr>
                          <w:rFonts w:ascii="Times New Roman" w:hAnsi="Times New Roman" w:cs="Times New Roman"/>
                          <w:b/>
                          <w:color w:val="000000" w:themeColor="text1"/>
                          <w:sz w:val="20"/>
                          <w:szCs w:val="20"/>
                        </w:rPr>
                      </w:pPr>
                      <w:r w:rsidRPr="0036053A">
                        <w:rPr>
                          <w:rFonts w:ascii="Times New Roman" w:hAnsi="Times New Roman" w:cs="Times New Roman"/>
                          <w:b/>
                          <w:color w:val="000000" w:themeColor="text1"/>
                          <w:sz w:val="20"/>
                          <w:szCs w:val="20"/>
                        </w:rPr>
                        <w:t>Komisijas uzdevumi noteikti “</w:t>
                      </w:r>
                      <w:proofErr w:type="spellStart"/>
                      <w:r w:rsidRPr="0036053A">
                        <w:rPr>
                          <w:rFonts w:ascii="Times New Roman" w:hAnsi="Times New Roman" w:cs="Times New Roman"/>
                          <w:b/>
                          <w:color w:val="000000" w:themeColor="text1"/>
                          <w:sz w:val="20"/>
                          <w:szCs w:val="20"/>
                        </w:rPr>
                        <w:t>Jaunuzņēmumu</w:t>
                      </w:r>
                      <w:proofErr w:type="spellEnd"/>
                      <w:r w:rsidRPr="0036053A">
                        <w:rPr>
                          <w:rFonts w:ascii="Times New Roman" w:hAnsi="Times New Roman" w:cs="Times New Roman"/>
                          <w:b/>
                          <w:color w:val="000000" w:themeColor="text1"/>
                          <w:sz w:val="20"/>
                          <w:szCs w:val="20"/>
                        </w:rPr>
                        <w:t xml:space="preserve"> darbības atbalsta likuma” 15.panta pirmajā daļā:</w:t>
                      </w:r>
                    </w:p>
                    <w:p w:rsidR="00871E15" w:rsidRPr="0036053A" w:rsidRDefault="00871E15" w:rsidP="00871E15">
                      <w:pPr>
                        <w:pStyle w:val="ListParagraph"/>
                        <w:numPr>
                          <w:ilvl w:val="0"/>
                          <w:numId w:val="2"/>
                        </w:numPr>
                        <w:spacing w:after="0" w:line="240" w:lineRule="auto"/>
                        <w:ind w:left="284" w:hanging="284"/>
                        <w:jc w:val="both"/>
                        <w:rPr>
                          <w:rFonts w:ascii="Times New Roman" w:hAnsi="Times New Roman" w:cs="Times New Roman"/>
                          <w:color w:val="000000" w:themeColor="text1"/>
                          <w:sz w:val="20"/>
                        </w:rPr>
                      </w:pPr>
                      <w:r w:rsidRPr="0036053A">
                        <w:rPr>
                          <w:rFonts w:ascii="Times New Roman" w:hAnsi="Times New Roman" w:cs="Times New Roman"/>
                          <w:color w:val="000000" w:themeColor="text1"/>
                          <w:sz w:val="20"/>
                        </w:rPr>
                        <w:t xml:space="preserve">pieņemt lēmumu par atbalsta programmas piešķiršanu vai atteikumu piešķirt to </w:t>
                      </w:r>
                      <w:proofErr w:type="spellStart"/>
                      <w:r w:rsidRPr="0036053A">
                        <w:rPr>
                          <w:rFonts w:ascii="Times New Roman" w:hAnsi="Times New Roman" w:cs="Times New Roman"/>
                          <w:color w:val="000000" w:themeColor="text1"/>
                          <w:sz w:val="20"/>
                        </w:rPr>
                        <w:t>jaunuzņēmumam</w:t>
                      </w:r>
                      <w:proofErr w:type="spellEnd"/>
                      <w:r w:rsidRPr="0036053A">
                        <w:rPr>
                          <w:rFonts w:ascii="Times New Roman" w:hAnsi="Times New Roman" w:cs="Times New Roman"/>
                          <w:color w:val="000000" w:themeColor="text1"/>
                          <w:sz w:val="20"/>
                        </w:rPr>
                        <w:t>, kā arī atcelt lēmumu par atbalsta programmas piešķiršanu,</w:t>
                      </w:r>
                    </w:p>
                    <w:p w:rsidR="00871E15" w:rsidRPr="0036053A" w:rsidRDefault="00871E15" w:rsidP="00871E15">
                      <w:pPr>
                        <w:pStyle w:val="ListParagraph"/>
                        <w:numPr>
                          <w:ilvl w:val="0"/>
                          <w:numId w:val="2"/>
                        </w:numPr>
                        <w:spacing w:after="0" w:line="240" w:lineRule="auto"/>
                        <w:ind w:left="284" w:hanging="284"/>
                        <w:jc w:val="both"/>
                        <w:rPr>
                          <w:rFonts w:ascii="Times New Roman" w:hAnsi="Times New Roman" w:cs="Times New Roman"/>
                          <w:color w:val="000000" w:themeColor="text1"/>
                          <w:sz w:val="20"/>
                        </w:rPr>
                      </w:pPr>
                      <w:r w:rsidRPr="0036053A">
                        <w:rPr>
                          <w:rFonts w:ascii="Times New Roman" w:hAnsi="Times New Roman" w:cs="Times New Roman"/>
                          <w:color w:val="000000" w:themeColor="text1"/>
                          <w:sz w:val="20"/>
                        </w:rPr>
                        <w:t>pieņemt lēmumu par investora atbilstību vai neatbilstību likumā noteiktajiem riska kapitāla investoru kvalifikācijas nosacījumiem un attiecīgi iekļaušanu vai neiekļaušanu kvalificētā riska kapitāla investora sarakstā, kā arī lēmumu par investora izslēgšanu no minētā saraksta.</w:t>
                      </w:r>
                    </w:p>
                    <w:p w:rsidR="00871E15" w:rsidRPr="0036053A" w:rsidRDefault="00871E15" w:rsidP="00871E15">
                      <w:pPr>
                        <w:jc w:val="both"/>
                        <w:rPr>
                          <w:rFonts w:ascii="Times New Roman" w:hAnsi="Times New Roman" w:cs="Times New Roman"/>
                          <w:color w:val="000000" w:themeColor="text1"/>
                          <w:sz w:val="20"/>
                        </w:rPr>
                      </w:pPr>
                      <w:r w:rsidRPr="0036053A">
                        <w:rPr>
                          <w:rFonts w:ascii="Times New Roman" w:hAnsi="Times New Roman" w:cs="Times New Roman"/>
                          <w:color w:val="000000" w:themeColor="text1"/>
                          <w:sz w:val="20"/>
                        </w:rPr>
                        <w:t xml:space="preserve">Komisija ņem vērā administrējošās iestādes sagatavotos atzinumus (noteikumu projekta </w:t>
                      </w:r>
                      <w:r w:rsidRPr="0036053A">
                        <w:rPr>
                          <w:rFonts w:ascii="Times New Roman" w:eastAsiaTheme="minorEastAsia" w:hAnsi="Times New Roman" w:cs="Times New Roman"/>
                          <w:color w:val="000000" w:themeColor="text1"/>
                          <w:sz w:val="20"/>
                        </w:rPr>
                        <w:t>9.3. apakšpunkts).</w:t>
                      </w:r>
                    </w:p>
                    <w:p w:rsidR="00871E15" w:rsidRPr="00B928A3" w:rsidRDefault="00871E15" w:rsidP="00871E15">
                      <w:pPr>
                        <w:jc w:val="both"/>
                        <w:rPr>
                          <w:color w:val="000000" w:themeColor="text1"/>
                          <w:sz w:val="20"/>
                        </w:rPr>
                      </w:pPr>
                    </w:p>
                    <w:p w:rsidR="00871E15" w:rsidRDefault="00871E15" w:rsidP="00871E15">
                      <w:pPr>
                        <w:jc w:val="center"/>
                      </w:pPr>
                    </w:p>
                  </w:txbxContent>
                </v:textbox>
              </v:roundrect>
            </w:pict>
          </mc:Fallback>
        </mc:AlternateContent>
      </w:r>
      <w:r w:rsidR="005F3878" w:rsidRPr="0036053A">
        <w:rPr>
          <w:rFonts w:ascii="Times New Roman" w:hAnsi="Times New Roman" w:cs="Times New Roman"/>
          <w:sz w:val="26"/>
          <w:szCs w:val="26"/>
        </w:rPr>
        <mc:AlternateContent>
          <mc:Choice Requires="wps">
            <w:drawing>
              <wp:anchor distT="0" distB="0" distL="114300" distR="114300" simplePos="0" relativeHeight="251659264" behindDoc="0" locked="0" layoutInCell="1" allowOverlap="1" wp14:anchorId="4B657045" wp14:editId="0D90EF98">
                <wp:simplePos x="0" y="0"/>
                <wp:positionH relativeFrom="column">
                  <wp:posOffset>3143250</wp:posOffset>
                </wp:positionH>
                <wp:positionV relativeFrom="paragraph">
                  <wp:posOffset>10160</wp:posOffset>
                </wp:positionV>
                <wp:extent cx="6086475" cy="1285875"/>
                <wp:effectExtent l="0" t="0" r="28575" b="28575"/>
                <wp:wrapNone/>
                <wp:docPr id="24" name="Rounded Rectangle 24"/>
                <wp:cNvGraphicFramePr/>
                <a:graphic xmlns:a="http://schemas.openxmlformats.org/drawingml/2006/main">
                  <a:graphicData uri="http://schemas.microsoft.com/office/word/2010/wordprocessingShape">
                    <wps:wsp>
                      <wps:cNvSpPr/>
                      <wps:spPr>
                        <a:xfrm>
                          <a:off x="0" y="0"/>
                          <a:ext cx="6086475" cy="1285875"/>
                        </a:xfrm>
                        <a:prstGeom prst="roundRect">
                          <a:avLst/>
                        </a:prstGeom>
                        <a:solidFill>
                          <a:sysClr val="window" lastClr="FFFFFF"/>
                        </a:solidFill>
                        <a:ln w="12700" cap="flat" cmpd="sng" algn="ctr">
                          <a:solidFill>
                            <a:srgbClr val="49BEE7"/>
                          </a:solidFill>
                          <a:prstDash val="solid"/>
                          <a:miter lim="800000"/>
                        </a:ln>
                        <a:effectLst/>
                      </wps:spPr>
                      <wps:txbx>
                        <w:txbxContent>
                          <w:p w:rsidR="00871E15" w:rsidRPr="0036053A" w:rsidRDefault="00871E15" w:rsidP="00871E15">
                            <w:pPr>
                              <w:spacing w:after="0" w:line="240" w:lineRule="auto"/>
                              <w:rPr>
                                <w:rFonts w:ascii="Times New Roman" w:hAnsi="Times New Roman" w:cs="Times New Roman"/>
                                <w:b/>
                                <w:color w:val="000000" w:themeColor="text1"/>
                                <w:sz w:val="20"/>
                                <w:szCs w:val="20"/>
                              </w:rPr>
                            </w:pPr>
                            <w:r w:rsidRPr="0036053A">
                              <w:rPr>
                                <w:rFonts w:ascii="Times New Roman" w:hAnsi="Times New Roman" w:cs="Times New Roman"/>
                                <w:b/>
                                <w:color w:val="000000" w:themeColor="text1"/>
                                <w:sz w:val="20"/>
                                <w:szCs w:val="20"/>
                              </w:rPr>
                              <w:t>Komisijas sekretariāta uzdevumi:</w:t>
                            </w:r>
                          </w:p>
                          <w:p w:rsidR="00871E15" w:rsidRPr="0036053A" w:rsidRDefault="00871E15" w:rsidP="00871E15">
                            <w:pPr>
                              <w:pStyle w:val="ListParagraph"/>
                              <w:numPr>
                                <w:ilvl w:val="0"/>
                                <w:numId w:val="1"/>
                              </w:numPr>
                              <w:spacing w:after="0" w:line="240" w:lineRule="auto"/>
                              <w:ind w:left="284" w:hanging="284"/>
                              <w:jc w:val="both"/>
                              <w:rPr>
                                <w:rFonts w:ascii="Times New Roman" w:hAnsi="Times New Roman" w:cs="Times New Roman"/>
                                <w:color w:val="000000" w:themeColor="text1"/>
                                <w:sz w:val="20"/>
                                <w:szCs w:val="20"/>
                              </w:rPr>
                            </w:pPr>
                            <w:r w:rsidRPr="0036053A">
                              <w:rPr>
                                <w:rFonts w:ascii="Times New Roman" w:hAnsi="Times New Roman" w:cs="Times New Roman"/>
                                <w:color w:val="000000" w:themeColor="text1"/>
                                <w:sz w:val="20"/>
                                <w:szCs w:val="20"/>
                              </w:rPr>
                              <w:t>nodrošināt komisijas un administrējošās iestādes savstarpējo komunikāciju (Noteikumu projekta 9.1.3., 9.3., 9.7. apakšpunkti),</w:t>
                            </w:r>
                          </w:p>
                          <w:p w:rsidR="00871E15" w:rsidRPr="0036053A" w:rsidRDefault="00871E15" w:rsidP="00871E15">
                            <w:pPr>
                              <w:pStyle w:val="ListParagraph"/>
                              <w:numPr>
                                <w:ilvl w:val="0"/>
                                <w:numId w:val="1"/>
                              </w:numPr>
                              <w:spacing w:after="0" w:line="240" w:lineRule="auto"/>
                              <w:ind w:left="284" w:hanging="284"/>
                              <w:jc w:val="both"/>
                              <w:rPr>
                                <w:rFonts w:ascii="Times New Roman" w:hAnsi="Times New Roman" w:cs="Times New Roman"/>
                                <w:color w:val="000000" w:themeColor="text1"/>
                                <w:sz w:val="20"/>
                                <w:szCs w:val="20"/>
                              </w:rPr>
                            </w:pPr>
                            <w:r w:rsidRPr="0036053A">
                              <w:rPr>
                                <w:rFonts w:ascii="Times New Roman" w:hAnsi="Times New Roman" w:cs="Times New Roman"/>
                                <w:color w:val="000000" w:themeColor="text1"/>
                                <w:sz w:val="20"/>
                                <w:szCs w:val="20"/>
                              </w:rPr>
                              <w:t>sniegt komisijas darbā tehnisko atbalstu (Noteikumu projekta (9.1.1., 9.1.2., 9.2. apakšpunkti),</w:t>
                            </w:r>
                          </w:p>
                          <w:p w:rsidR="00871E15" w:rsidRPr="0036053A" w:rsidRDefault="00871E15" w:rsidP="00871E15">
                            <w:pPr>
                              <w:pStyle w:val="ListParagraph"/>
                              <w:numPr>
                                <w:ilvl w:val="0"/>
                                <w:numId w:val="1"/>
                              </w:numPr>
                              <w:spacing w:after="0" w:line="240" w:lineRule="auto"/>
                              <w:ind w:left="284" w:hanging="284"/>
                              <w:jc w:val="both"/>
                              <w:rPr>
                                <w:rFonts w:ascii="Times New Roman" w:hAnsi="Times New Roman" w:cs="Times New Roman"/>
                                <w:color w:val="000000" w:themeColor="text1"/>
                                <w:sz w:val="20"/>
                                <w:szCs w:val="20"/>
                              </w:rPr>
                            </w:pPr>
                            <w:r w:rsidRPr="0036053A">
                              <w:rPr>
                                <w:rFonts w:ascii="Times New Roman" w:hAnsi="Times New Roman" w:cs="Times New Roman"/>
                                <w:color w:val="000000" w:themeColor="text1"/>
                                <w:sz w:val="20"/>
                                <w:szCs w:val="20"/>
                              </w:rPr>
                              <w:t>informēt adresātu un VID par komisijas lēmumu (Noteikumu projekta 9.4.apakšpunkts),</w:t>
                            </w:r>
                          </w:p>
                          <w:p w:rsidR="00871E15" w:rsidRPr="0036053A" w:rsidRDefault="00871E15" w:rsidP="00871E15">
                            <w:pPr>
                              <w:pStyle w:val="ListParagraph"/>
                              <w:numPr>
                                <w:ilvl w:val="0"/>
                                <w:numId w:val="1"/>
                              </w:numPr>
                              <w:spacing w:after="0" w:line="240" w:lineRule="auto"/>
                              <w:ind w:left="284" w:hanging="284"/>
                              <w:jc w:val="both"/>
                              <w:rPr>
                                <w:rFonts w:ascii="Times New Roman" w:hAnsi="Times New Roman" w:cs="Times New Roman"/>
                                <w:color w:val="000000" w:themeColor="text1"/>
                                <w:sz w:val="20"/>
                                <w:szCs w:val="20"/>
                              </w:rPr>
                            </w:pPr>
                            <w:r w:rsidRPr="0036053A">
                              <w:rPr>
                                <w:rFonts w:ascii="Times New Roman" w:hAnsi="Times New Roman" w:cs="Times New Roman"/>
                                <w:color w:val="000000" w:themeColor="text1"/>
                                <w:sz w:val="20"/>
                                <w:szCs w:val="20"/>
                              </w:rPr>
                              <w:t xml:space="preserve">izveidot, uzturēt un publicēt komisijas sekretariāta tīmekļvietnē atbalstīto </w:t>
                            </w:r>
                            <w:proofErr w:type="spellStart"/>
                            <w:r w:rsidRPr="0036053A">
                              <w:rPr>
                                <w:rFonts w:ascii="Times New Roman" w:hAnsi="Times New Roman" w:cs="Times New Roman"/>
                                <w:color w:val="000000" w:themeColor="text1"/>
                                <w:sz w:val="20"/>
                                <w:szCs w:val="20"/>
                              </w:rPr>
                              <w:t>jaunuzņēmumu</w:t>
                            </w:r>
                            <w:proofErr w:type="spellEnd"/>
                            <w:r w:rsidRPr="0036053A">
                              <w:rPr>
                                <w:rFonts w:ascii="Times New Roman" w:hAnsi="Times New Roman" w:cs="Times New Roman"/>
                                <w:color w:val="000000" w:themeColor="text1"/>
                                <w:sz w:val="20"/>
                                <w:szCs w:val="20"/>
                              </w:rPr>
                              <w:t xml:space="preserve"> reģistru un kvalificēto riska kapitāla investoru sarakstu (Noteikumu projekta 9.5., 9.6. apakšpunkti).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57045" id="Rounded Rectangle 24" o:spid="_x0000_s1028" style="position:absolute;margin-left:247.5pt;margin-top:.8pt;width:479.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" fillcolor="window" strokecolor="#49bee7" strokeweight="1pt">
                <v:stroke joinstyle="miter"/>
                <v:textbox>
                  <w:txbxContent>
                    <w:p w:rsidR="00871E15" w:rsidRPr="0036053A" w:rsidRDefault="00871E15" w:rsidP="00871E15">
                      <w:pPr>
                        <w:spacing w:after="0" w:line="240" w:lineRule="auto"/>
                        <w:rPr>
                          <w:rFonts w:ascii="Times New Roman" w:hAnsi="Times New Roman" w:cs="Times New Roman"/>
                          <w:b/>
                          <w:color w:val="000000" w:themeColor="text1"/>
                          <w:sz w:val="20"/>
                          <w:szCs w:val="20"/>
                        </w:rPr>
                      </w:pPr>
                      <w:r w:rsidRPr="0036053A">
                        <w:rPr>
                          <w:rFonts w:ascii="Times New Roman" w:hAnsi="Times New Roman" w:cs="Times New Roman"/>
                          <w:b/>
                          <w:color w:val="000000" w:themeColor="text1"/>
                          <w:sz w:val="20"/>
                          <w:szCs w:val="20"/>
                        </w:rPr>
                        <w:t>Komisijas sekretariāta uzdevumi:</w:t>
                      </w:r>
                    </w:p>
                    <w:p w:rsidR="00871E15" w:rsidRPr="0036053A" w:rsidRDefault="00871E15" w:rsidP="00871E15">
                      <w:pPr>
                        <w:pStyle w:val="ListParagraph"/>
                        <w:numPr>
                          <w:ilvl w:val="0"/>
                          <w:numId w:val="1"/>
                        </w:numPr>
                        <w:spacing w:after="0" w:line="240" w:lineRule="auto"/>
                        <w:ind w:left="284" w:hanging="284"/>
                        <w:jc w:val="both"/>
                        <w:rPr>
                          <w:rFonts w:ascii="Times New Roman" w:hAnsi="Times New Roman" w:cs="Times New Roman"/>
                          <w:color w:val="000000" w:themeColor="text1"/>
                          <w:sz w:val="20"/>
                          <w:szCs w:val="20"/>
                        </w:rPr>
                      </w:pPr>
                      <w:r w:rsidRPr="0036053A">
                        <w:rPr>
                          <w:rFonts w:ascii="Times New Roman" w:hAnsi="Times New Roman" w:cs="Times New Roman"/>
                          <w:color w:val="000000" w:themeColor="text1"/>
                          <w:sz w:val="20"/>
                          <w:szCs w:val="20"/>
                        </w:rPr>
                        <w:t>nodrošināt komisijas un administrējošās iestādes savstarpējo komunikāciju (Noteikumu projekta 9.1.3., 9.3., 9.7. apakšpunkti),</w:t>
                      </w:r>
                    </w:p>
                    <w:p w:rsidR="00871E15" w:rsidRPr="0036053A" w:rsidRDefault="00871E15" w:rsidP="00871E15">
                      <w:pPr>
                        <w:pStyle w:val="ListParagraph"/>
                        <w:numPr>
                          <w:ilvl w:val="0"/>
                          <w:numId w:val="1"/>
                        </w:numPr>
                        <w:spacing w:after="0" w:line="240" w:lineRule="auto"/>
                        <w:ind w:left="284" w:hanging="284"/>
                        <w:jc w:val="both"/>
                        <w:rPr>
                          <w:rFonts w:ascii="Times New Roman" w:hAnsi="Times New Roman" w:cs="Times New Roman"/>
                          <w:color w:val="000000" w:themeColor="text1"/>
                          <w:sz w:val="20"/>
                          <w:szCs w:val="20"/>
                        </w:rPr>
                      </w:pPr>
                      <w:r w:rsidRPr="0036053A">
                        <w:rPr>
                          <w:rFonts w:ascii="Times New Roman" w:hAnsi="Times New Roman" w:cs="Times New Roman"/>
                          <w:color w:val="000000" w:themeColor="text1"/>
                          <w:sz w:val="20"/>
                          <w:szCs w:val="20"/>
                        </w:rPr>
                        <w:t>sniegt komisijas darbā tehnisko atbalstu (Noteikumu projekta (9.1.1., 9.1.2., 9.2. apakšpunkti),</w:t>
                      </w:r>
                    </w:p>
                    <w:p w:rsidR="00871E15" w:rsidRPr="0036053A" w:rsidRDefault="00871E15" w:rsidP="00871E15">
                      <w:pPr>
                        <w:pStyle w:val="ListParagraph"/>
                        <w:numPr>
                          <w:ilvl w:val="0"/>
                          <w:numId w:val="1"/>
                        </w:numPr>
                        <w:spacing w:after="0" w:line="240" w:lineRule="auto"/>
                        <w:ind w:left="284" w:hanging="284"/>
                        <w:jc w:val="both"/>
                        <w:rPr>
                          <w:rFonts w:ascii="Times New Roman" w:hAnsi="Times New Roman" w:cs="Times New Roman"/>
                          <w:color w:val="000000" w:themeColor="text1"/>
                          <w:sz w:val="20"/>
                          <w:szCs w:val="20"/>
                        </w:rPr>
                      </w:pPr>
                      <w:r w:rsidRPr="0036053A">
                        <w:rPr>
                          <w:rFonts w:ascii="Times New Roman" w:hAnsi="Times New Roman" w:cs="Times New Roman"/>
                          <w:color w:val="000000" w:themeColor="text1"/>
                          <w:sz w:val="20"/>
                          <w:szCs w:val="20"/>
                        </w:rPr>
                        <w:t>informēt adresātu un VID par komisijas lēmumu (Noteikumu projekta 9.4.apakšpunkts),</w:t>
                      </w:r>
                    </w:p>
                    <w:p w:rsidR="00871E15" w:rsidRPr="0036053A" w:rsidRDefault="00871E15" w:rsidP="00871E15">
                      <w:pPr>
                        <w:pStyle w:val="ListParagraph"/>
                        <w:numPr>
                          <w:ilvl w:val="0"/>
                          <w:numId w:val="1"/>
                        </w:numPr>
                        <w:spacing w:after="0" w:line="240" w:lineRule="auto"/>
                        <w:ind w:left="284" w:hanging="284"/>
                        <w:jc w:val="both"/>
                        <w:rPr>
                          <w:rFonts w:ascii="Times New Roman" w:hAnsi="Times New Roman" w:cs="Times New Roman"/>
                          <w:color w:val="000000" w:themeColor="text1"/>
                          <w:sz w:val="20"/>
                          <w:szCs w:val="20"/>
                        </w:rPr>
                      </w:pPr>
                      <w:r w:rsidRPr="0036053A">
                        <w:rPr>
                          <w:rFonts w:ascii="Times New Roman" w:hAnsi="Times New Roman" w:cs="Times New Roman"/>
                          <w:color w:val="000000" w:themeColor="text1"/>
                          <w:sz w:val="20"/>
                          <w:szCs w:val="20"/>
                        </w:rPr>
                        <w:t xml:space="preserve">izveidot, uzturēt un publicēt komisijas sekretariāta tīmekļvietnē atbalstīto </w:t>
                      </w:r>
                      <w:proofErr w:type="spellStart"/>
                      <w:r w:rsidRPr="0036053A">
                        <w:rPr>
                          <w:rFonts w:ascii="Times New Roman" w:hAnsi="Times New Roman" w:cs="Times New Roman"/>
                          <w:color w:val="000000" w:themeColor="text1"/>
                          <w:sz w:val="20"/>
                          <w:szCs w:val="20"/>
                        </w:rPr>
                        <w:t>jaunuzņēmumu</w:t>
                      </w:r>
                      <w:proofErr w:type="spellEnd"/>
                      <w:r w:rsidRPr="0036053A">
                        <w:rPr>
                          <w:rFonts w:ascii="Times New Roman" w:hAnsi="Times New Roman" w:cs="Times New Roman"/>
                          <w:color w:val="000000" w:themeColor="text1"/>
                          <w:sz w:val="20"/>
                          <w:szCs w:val="20"/>
                        </w:rPr>
                        <w:t xml:space="preserve"> reģistru un kvalificēto riska kapitāla investoru sarakstu (Noteikumu projekta 9.5., 9.6. apakšpunkti).</w:t>
                      </w:r>
                    </w:p>
                  </w:txbxContent>
                </v:textbox>
              </v:roundrect>
            </w:pict>
          </mc:Fallback>
        </mc:AlternateContent>
      </w:r>
      <w:r w:rsidR="00871E15" w:rsidRPr="0036053A">
        <w:rPr>
          <w:rFonts w:ascii="Times New Roman" w:hAnsi="Times New Roman" w:cs="Times New Roman"/>
          <w:noProof/>
          <w:lang w:eastAsia="lv-LV"/>
        </w:rPr>
        <w:drawing>
          <wp:inline distT="0" distB="0" distL="0" distR="0" wp14:anchorId="41485317" wp14:editId="0EA88242">
            <wp:extent cx="3159760" cy="27051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9965" cy="2713837"/>
                    </a:xfrm>
                    <a:prstGeom prst="rect">
                      <a:avLst/>
                    </a:prstGeom>
                    <a:noFill/>
                  </pic:spPr>
                </pic:pic>
              </a:graphicData>
            </a:graphic>
          </wp:inline>
        </w:drawing>
      </w:r>
    </w:p>
    <w:p w:rsidR="00CA17A3" w:rsidRDefault="00CA17A3"/>
    <w:p w:rsidR="00CA17A3" w:rsidRDefault="00CA17A3"/>
    <w:p w:rsidR="001711CE" w:rsidRPr="001711CE" w:rsidRDefault="001711CE" w:rsidP="001711CE">
      <w:pPr>
        <w:spacing w:after="0" w:line="240" w:lineRule="auto"/>
        <w:jc w:val="both"/>
        <w:rPr>
          <w:rFonts w:ascii="Times New Roman" w:hAnsi="Times New Roman"/>
          <w:sz w:val="24"/>
          <w:szCs w:val="24"/>
        </w:rPr>
      </w:pPr>
      <w:r w:rsidRPr="001711CE">
        <w:rPr>
          <w:rFonts w:ascii="Times New Roman" w:hAnsi="Times New Roman"/>
          <w:sz w:val="24"/>
          <w:szCs w:val="24"/>
        </w:rPr>
        <w:t>Ministru prezidenta biedrs,</w:t>
      </w:r>
    </w:p>
    <w:p w:rsidR="001711CE" w:rsidRPr="001711CE" w:rsidRDefault="001711CE" w:rsidP="001711CE">
      <w:pPr>
        <w:spacing w:after="0" w:line="240" w:lineRule="auto"/>
        <w:jc w:val="both"/>
        <w:rPr>
          <w:rFonts w:ascii="Times New Roman" w:hAnsi="Times New Roman"/>
          <w:sz w:val="24"/>
          <w:szCs w:val="24"/>
          <w:highlight w:val="yellow"/>
        </w:rPr>
      </w:pPr>
      <w:r w:rsidRPr="001711CE">
        <w:rPr>
          <w:rFonts w:ascii="Times New Roman" w:hAnsi="Times New Roman"/>
          <w:sz w:val="24"/>
          <w:szCs w:val="24"/>
        </w:rPr>
        <w:t>ekonomikas ministrs</w:t>
      </w:r>
      <w:r w:rsidRPr="001711CE">
        <w:rPr>
          <w:rFonts w:ascii="Times New Roman" w:hAnsi="Times New Roman"/>
          <w:sz w:val="24"/>
          <w:szCs w:val="24"/>
        </w:rPr>
        <w:tab/>
      </w:r>
      <w:r w:rsidRPr="001711CE">
        <w:rPr>
          <w:rFonts w:ascii="Times New Roman" w:hAnsi="Times New Roman"/>
          <w:sz w:val="24"/>
          <w:szCs w:val="24"/>
        </w:rPr>
        <w:tab/>
      </w:r>
      <w:r w:rsidRPr="001711CE">
        <w:rPr>
          <w:rFonts w:ascii="Times New Roman" w:hAnsi="Times New Roman"/>
          <w:sz w:val="24"/>
          <w:szCs w:val="24"/>
        </w:rPr>
        <w:tab/>
      </w:r>
      <w:r w:rsidRPr="001711CE">
        <w:rPr>
          <w:rFonts w:ascii="Times New Roman" w:hAnsi="Times New Roman"/>
          <w:sz w:val="24"/>
          <w:szCs w:val="24"/>
        </w:rPr>
        <w:tab/>
      </w:r>
      <w:r w:rsidRPr="001711CE">
        <w:rPr>
          <w:rFonts w:ascii="Times New Roman" w:hAnsi="Times New Roman"/>
          <w:sz w:val="24"/>
          <w:szCs w:val="24"/>
        </w:rPr>
        <w:tab/>
      </w:r>
      <w:r w:rsidRPr="001711CE">
        <w:rPr>
          <w:rFonts w:ascii="Times New Roman" w:hAnsi="Times New Roman"/>
          <w:sz w:val="24"/>
          <w:szCs w:val="24"/>
        </w:rPr>
        <w:tab/>
      </w:r>
      <w:r w:rsidRPr="001711CE">
        <w:rPr>
          <w:rFonts w:ascii="Times New Roman" w:hAnsi="Times New Roman"/>
          <w:sz w:val="24"/>
          <w:szCs w:val="24"/>
        </w:rPr>
        <w:tab/>
      </w:r>
      <w:r w:rsidRPr="001711CE">
        <w:rPr>
          <w:rFonts w:ascii="Times New Roman" w:hAnsi="Times New Roman"/>
          <w:sz w:val="24"/>
          <w:szCs w:val="24"/>
        </w:rPr>
        <w:tab/>
      </w:r>
      <w:r w:rsidRPr="001711CE">
        <w:rPr>
          <w:rFonts w:ascii="Times New Roman" w:hAnsi="Times New Roman"/>
          <w:sz w:val="24"/>
          <w:szCs w:val="24"/>
        </w:rPr>
        <w:tab/>
      </w:r>
      <w:r w:rsidRPr="001711CE">
        <w:rPr>
          <w:rFonts w:ascii="Times New Roman" w:hAnsi="Times New Roman"/>
          <w:sz w:val="24"/>
          <w:szCs w:val="24"/>
        </w:rPr>
        <w:tab/>
      </w:r>
      <w:r w:rsidRPr="001711CE">
        <w:rPr>
          <w:rFonts w:ascii="Times New Roman" w:hAnsi="Times New Roman"/>
          <w:sz w:val="24"/>
          <w:szCs w:val="24"/>
        </w:rPr>
        <w:tab/>
      </w:r>
      <w:r w:rsidRPr="001711CE">
        <w:rPr>
          <w:rFonts w:ascii="Times New Roman" w:hAnsi="Times New Roman"/>
          <w:sz w:val="24"/>
          <w:szCs w:val="24"/>
        </w:rPr>
        <w:tab/>
      </w:r>
      <w:r w:rsidRPr="001711CE">
        <w:rPr>
          <w:rFonts w:ascii="Times New Roman" w:hAnsi="Times New Roman"/>
          <w:sz w:val="24"/>
          <w:szCs w:val="24"/>
        </w:rPr>
        <w:tab/>
      </w:r>
      <w:r w:rsidRPr="001711CE">
        <w:rPr>
          <w:rFonts w:ascii="Times New Roman" w:hAnsi="Times New Roman"/>
          <w:sz w:val="24"/>
          <w:szCs w:val="24"/>
        </w:rPr>
        <w:tab/>
      </w:r>
      <w:r w:rsidRPr="001711CE">
        <w:rPr>
          <w:rFonts w:ascii="Times New Roman" w:hAnsi="Times New Roman"/>
          <w:sz w:val="24"/>
          <w:szCs w:val="24"/>
        </w:rPr>
        <w:tab/>
      </w:r>
      <w:proofErr w:type="spellStart"/>
      <w:r w:rsidRPr="001711CE">
        <w:rPr>
          <w:rFonts w:ascii="Times New Roman" w:hAnsi="Times New Roman"/>
          <w:sz w:val="24"/>
          <w:szCs w:val="24"/>
        </w:rPr>
        <w:t>A.Ašeradens</w:t>
      </w:r>
      <w:proofErr w:type="spellEnd"/>
    </w:p>
    <w:p w:rsidR="001711CE" w:rsidRPr="001711CE" w:rsidRDefault="001711CE" w:rsidP="001711CE">
      <w:pPr>
        <w:spacing w:after="0" w:line="240" w:lineRule="auto"/>
        <w:jc w:val="both"/>
        <w:rPr>
          <w:rFonts w:ascii="Times New Roman" w:hAnsi="Times New Roman"/>
          <w:b/>
          <w:sz w:val="24"/>
          <w:szCs w:val="24"/>
        </w:rPr>
      </w:pPr>
    </w:p>
    <w:p w:rsidR="00CA17A3" w:rsidRDefault="00CA17A3" w:rsidP="001711CE">
      <w:pPr>
        <w:spacing w:after="0" w:line="240" w:lineRule="auto"/>
        <w:jc w:val="both"/>
        <w:rPr>
          <w:rFonts w:ascii="Times New Roman" w:hAnsi="Times New Roman"/>
          <w:sz w:val="24"/>
          <w:szCs w:val="24"/>
        </w:rPr>
      </w:pPr>
    </w:p>
    <w:p w:rsidR="001711CE" w:rsidRPr="001711CE" w:rsidRDefault="001711CE" w:rsidP="001711CE">
      <w:pPr>
        <w:spacing w:after="0" w:line="240" w:lineRule="auto"/>
        <w:jc w:val="both"/>
        <w:rPr>
          <w:rFonts w:ascii="Times New Roman" w:hAnsi="Times New Roman"/>
          <w:sz w:val="24"/>
          <w:szCs w:val="24"/>
        </w:rPr>
      </w:pPr>
      <w:r w:rsidRPr="001711CE">
        <w:rPr>
          <w:rFonts w:ascii="Times New Roman" w:hAnsi="Times New Roman"/>
          <w:sz w:val="24"/>
          <w:szCs w:val="24"/>
        </w:rPr>
        <w:t>Vīza:</w:t>
      </w:r>
    </w:p>
    <w:p w:rsidR="001711CE" w:rsidRPr="001711CE" w:rsidRDefault="001711CE" w:rsidP="001711CE">
      <w:pPr>
        <w:spacing w:after="0" w:line="240" w:lineRule="auto"/>
        <w:jc w:val="both"/>
        <w:rPr>
          <w:rFonts w:ascii="Times New Roman" w:hAnsi="Times New Roman"/>
          <w:sz w:val="24"/>
          <w:szCs w:val="24"/>
        </w:rPr>
      </w:pPr>
      <w:r w:rsidRPr="001711CE">
        <w:rPr>
          <w:rFonts w:ascii="Times New Roman" w:hAnsi="Times New Roman"/>
          <w:sz w:val="24"/>
          <w:szCs w:val="24"/>
        </w:rPr>
        <w:t>Valsts sekretārs</w:t>
      </w:r>
      <w:r w:rsidRPr="001711CE">
        <w:rPr>
          <w:rFonts w:ascii="Times New Roman" w:hAnsi="Times New Roman"/>
          <w:sz w:val="24"/>
          <w:szCs w:val="24"/>
        </w:rPr>
        <w:tab/>
      </w:r>
      <w:r w:rsidRPr="001711CE">
        <w:rPr>
          <w:rFonts w:ascii="Times New Roman" w:hAnsi="Times New Roman"/>
          <w:sz w:val="24"/>
          <w:szCs w:val="24"/>
        </w:rPr>
        <w:tab/>
      </w:r>
      <w:r w:rsidRPr="001711CE">
        <w:rPr>
          <w:rFonts w:ascii="Times New Roman" w:hAnsi="Times New Roman"/>
          <w:sz w:val="24"/>
          <w:szCs w:val="24"/>
        </w:rPr>
        <w:tab/>
      </w:r>
      <w:r w:rsidRPr="001711CE">
        <w:rPr>
          <w:rFonts w:ascii="Times New Roman" w:hAnsi="Times New Roman"/>
          <w:sz w:val="24"/>
          <w:szCs w:val="24"/>
        </w:rPr>
        <w:tab/>
      </w:r>
      <w:r w:rsidRPr="001711CE">
        <w:rPr>
          <w:rFonts w:ascii="Times New Roman" w:hAnsi="Times New Roman"/>
          <w:sz w:val="24"/>
          <w:szCs w:val="24"/>
        </w:rPr>
        <w:tab/>
      </w:r>
      <w:r w:rsidRPr="001711CE">
        <w:rPr>
          <w:rFonts w:ascii="Times New Roman" w:hAnsi="Times New Roman"/>
          <w:sz w:val="24"/>
          <w:szCs w:val="24"/>
        </w:rPr>
        <w:tab/>
      </w:r>
      <w:r w:rsidRPr="001711CE">
        <w:rPr>
          <w:rFonts w:ascii="Times New Roman" w:hAnsi="Times New Roman"/>
          <w:sz w:val="24"/>
          <w:szCs w:val="24"/>
        </w:rPr>
        <w:tab/>
      </w:r>
      <w:r w:rsidRPr="001711CE">
        <w:rPr>
          <w:rFonts w:ascii="Times New Roman" w:hAnsi="Times New Roman"/>
          <w:sz w:val="24"/>
          <w:szCs w:val="24"/>
        </w:rPr>
        <w:tab/>
        <w:t xml:space="preserve"> </w:t>
      </w:r>
      <w:r w:rsidRPr="001711CE">
        <w:rPr>
          <w:rFonts w:ascii="Times New Roman" w:hAnsi="Times New Roman"/>
          <w:sz w:val="24"/>
          <w:szCs w:val="24"/>
        </w:rPr>
        <w:tab/>
      </w:r>
      <w:r w:rsidRPr="001711CE">
        <w:rPr>
          <w:rFonts w:ascii="Times New Roman" w:hAnsi="Times New Roman"/>
          <w:sz w:val="24"/>
          <w:szCs w:val="24"/>
        </w:rPr>
        <w:tab/>
      </w:r>
      <w:r w:rsidRPr="001711CE">
        <w:rPr>
          <w:rFonts w:ascii="Times New Roman" w:hAnsi="Times New Roman"/>
          <w:sz w:val="24"/>
          <w:szCs w:val="24"/>
        </w:rPr>
        <w:tab/>
      </w:r>
      <w:r w:rsidRPr="001711CE">
        <w:rPr>
          <w:rFonts w:ascii="Times New Roman" w:hAnsi="Times New Roman"/>
          <w:sz w:val="24"/>
          <w:szCs w:val="24"/>
        </w:rPr>
        <w:tab/>
      </w:r>
      <w:r w:rsidRPr="001711CE">
        <w:rPr>
          <w:rFonts w:ascii="Times New Roman" w:hAnsi="Times New Roman"/>
          <w:sz w:val="24"/>
          <w:szCs w:val="24"/>
        </w:rPr>
        <w:tab/>
      </w:r>
      <w:r w:rsidRPr="001711CE">
        <w:rPr>
          <w:rFonts w:ascii="Times New Roman" w:hAnsi="Times New Roman"/>
          <w:sz w:val="24"/>
          <w:szCs w:val="24"/>
        </w:rPr>
        <w:tab/>
      </w:r>
      <w:r w:rsidRPr="001711CE">
        <w:rPr>
          <w:rFonts w:ascii="Times New Roman" w:hAnsi="Times New Roman"/>
          <w:sz w:val="24"/>
          <w:szCs w:val="24"/>
        </w:rPr>
        <w:tab/>
      </w:r>
      <w:proofErr w:type="spellStart"/>
      <w:r w:rsidRPr="001711CE">
        <w:rPr>
          <w:rFonts w:ascii="Times New Roman" w:hAnsi="Times New Roman"/>
          <w:sz w:val="24"/>
          <w:szCs w:val="24"/>
        </w:rPr>
        <w:t>J.Stinka</w:t>
      </w:r>
      <w:proofErr w:type="spellEnd"/>
    </w:p>
    <w:p w:rsidR="001711CE" w:rsidRDefault="001711CE" w:rsidP="001711CE">
      <w:pPr>
        <w:spacing w:after="0" w:line="240" w:lineRule="auto"/>
        <w:jc w:val="both"/>
        <w:rPr>
          <w:rFonts w:ascii="Times New Roman" w:hAnsi="Times New Roman"/>
          <w:sz w:val="24"/>
          <w:szCs w:val="24"/>
        </w:rPr>
      </w:pPr>
    </w:p>
    <w:p w:rsidR="00CA17A3" w:rsidRDefault="00CA17A3" w:rsidP="001711CE">
      <w:pPr>
        <w:spacing w:after="0" w:line="240" w:lineRule="auto"/>
        <w:jc w:val="both"/>
        <w:rPr>
          <w:rFonts w:ascii="Times New Roman" w:hAnsi="Times New Roman"/>
          <w:sz w:val="24"/>
          <w:szCs w:val="24"/>
        </w:rPr>
      </w:pPr>
    </w:p>
    <w:p w:rsidR="00CA17A3" w:rsidRPr="001711CE" w:rsidRDefault="00CA17A3" w:rsidP="001711CE">
      <w:pPr>
        <w:spacing w:after="0" w:line="240" w:lineRule="auto"/>
        <w:jc w:val="both"/>
        <w:rPr>
          <w:rFonts w:ascii="Times New Roman" w:hAnsi="Times New Roman"/>
          <w:sz w:val="24"/>
          <w:szCs w:val="24"/>
        </w:rPr>
      </w:pPr>
    </w:p>
    <w:p w:rsidR="001711CE" w:rsidRPr="001711CE" w:rsidRDefault="001711CE" w:rsidP="001711CE">
      <w:pPr>
        <w:spacing w:after="0" w:line="240" w:lineRule="auto"/>
        <w:rPr>
          <w:rFonts w:ascii="Times New Roman" w:hAnsi="Times New Roman" w:cs="Times New Roman"/>
          <w:sz w:val="20"/>
          <w:szCs w:val="20"/>
        </w:rPr>
      </w:pPr>
      <w:r w:rsidRPr="001711CE">
        <w:rPr>
          <w:rFonts w:ascii="Times New Roman" w:hAnsi="Times New Roman" w:cs="Times New Roman"/>
          <w:sz w:val="20"/>
          <w:szCs w:val="20"/>
        </w:rPr>
        <w:t>27.12.2016. 12:56</w:t>
      </w:r>
      <w:bookmarkStart w:id="0" w:name="_GoBack"/>
      <w:bookmarkEnd w:id="0"/>
    </w:p>
    <w:p w:rsidR="001711CE" w:rsidRPr="001711CE" w:rsidRDefault="00CA17A3" w:rsidP="001711CE">
      <w:pPr>
        <w:spacing w:after="0" w:line="240" w:lineRule="auto"/>
        <w:rPr>
          <w:rFonts w:ascii="Times New Roman" w:hAnsi="Times New Roman" w:cs="Times New Roman"/>
          <w:sz w:val="20"/>
          <w:szCs w:val="20"/>
        </w:rPr>
      </w:pPr>
      <w:r>
        <w:rPr>
          <w:rFonts w:ascii="Times New Roman" w:hAnsi="Times New Roman" w:cs="Times New Roman"/>
          <w:sz w:val="20"/>
          <w:szCs w:val="20"/>
        </w:rPr>
        <w:t>285</w:t>
      </w:r>
    </w:p>
    <w:p w:rsidR="001711CE" w:rsidRPr="001711CE" w:rsidRDefault="001711CE" w:rsidP="001711CE">
      <w:pPr>
        <w:spacing w:after="0" w:line="240" w:lineRule="auto"/>
        <w:rPr>
          <w:rFonts w:ascii="Times New Roman" w:hAnsi="Times New Roman" w:cs="Times New Roman"/>
          <w:sz w:val="20"/>
          <w:szCs w:val="20"/>
        </w:rPr>
      </w:pPr>
      <w:proofErr w:type="spellStart"/>
      <w:r w:rsidRPr="001711CE">
        <w:rPr>
          <w:rFonts w:ascii="Times New Roman" w:hAnsi="Times New Roman" w:cs="Times New Roman"/>
          <w:sz w:val="20"/>
          <w:szCs w:val="20"/>
        </w:rPr>
        <w:t>L.Aršauska</w:t>
      </w:r>
      <w:proofErr w:type="spellEnd"/>
    </w:p>
    <w:p w:rsidR="001711CE" w:rsidRPr="001711CE" w:rsidRDefault="001711CE" w:rsidP="001711CE">
      <w:pPr>
        <w:spacing w:after="0" w:line="240" w:lineRule="auto"/>
        <w:rPr>
          <w:rFonts w:ascii="Times New Roman" w:hAnsi="Times New Roman" w:cs="Times New Roman"/>
          <w:sz w:val="20"/>
          <w:szCs w:val="20"/>
        </w:rPr>
      </w:pPr>
      <w:r w:rsidRPr="001711CE">
        <w:rPr>
          <w:rFonts w:ascii="Times New Roman" w:hAnsi="Times New Roman" w:cs="Times New Roman"/>
          <w:sz w:val="20"/>
          <w:szCs w:val="20"/>
        </w:rPr>
        <w:t>67013238</w:t>
      </w:r>
    </w:p>
    <w:p w:rsidR="001711CE" w:rsidRPr="001711CE" w:rsidRDefault="001711CE" w:rsidP="001711CE">
      <w:pPr>
        <w:spacing w:after="0" w:line="240" w:lineRule="auto"/>
        <w:rPr>
          <w:rFonts w:ascii="Times New Roman" w:hAnsi="Times New Roman" w:cs="Times New Roman"/>
          <w:sz w:val="20"/>
          <w:szCs w:val="20"/>
        </w:rPr>
      </w:pPr>
      <w:hyperlink r:id="rId8" w:history="1">
        <w:r w:rsidRPr="001711CE">
          <w:rPr>
            <w:rFonts w:ascii="Times New Roman" w:hAnsi="Times New Roman" w:cs="Times New Roman"/>
            <w:color w:val="0000FF"/>
            <w:sz w:val="20"/>
            <w:szCs w:val="20"/>
            <w:u w:val="single"/>
          </w:rPr>
          <w:t>Linda.Arsauska@em.gov.lv</w:t>
        </w:r>
      </w:hyperlink>
      <w:r w:rsidRPr="001711CE">
        <w:rPr>
          <w:rFonts w:ascii="Times New Roman" w:hAnsi="Times New Roman" w:cs="Times New Roman"/>
          <w:sz w:val="20"/>
          <w:szCs w:val="20"/>
        </w:rPr>
        <w:t xml:space="preserve"> </w:t>
      </w:r>
    </w:p>
    <w:p w:rsidR="00871E15" w:rsidRDefault="00871E15"/>
    <w:p w:rsidR="00871E15" w:rsidRDefault="00871E15"/>
    <w:p w:rsidR="00871E15" w:rsidRDefault="00871E15"/>
    <w:p w:rsidR="00871E15" w:rsidRDefault="00871E15"/>
    <w:p w:rsidR="00871E15" w:rsidRDefault="00871E15"/>
    <w:sectPr w:rsidR="00871E15" w:rsidSect="0036053A">
      <w:footerReference w:type="default" r:id="rId9"/>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AC7" w:rsidRDefault="00B77AC7" w:rsidP="001711CE">
      <w:pPr>
        <w:spacing w:after="0" w:line="240" w:lineRule="auto"/>
      </w:pPr>
      <w:r>
        <w:separator/>
      </w:r>
    </w:p>
  </w:endnote>
  <w:endnote w:type="continuationSeparator" w:id="0">
    <w:p w:rsidR="00B77AC7" w:rsidRDefault="00B77AC7" w:rsidP="0017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1CE" w:rsidRPr="001711CE" w:rsidRDefault="001711CE" w:rsidP="001711CE">
    <w:pPr>
      <w:tabs>
        <w:tab w:val="center" w:pos="4153"/>
        <w:tab w:val="right" w:pos="8306"/>
      </w:tabs>
      <w:spacing w:after="0" w:line="240" w:lineRule="auto"/>
      <w:rPr>
        <w:rFonts w:ascii="Times New Roman" w:hAnsi="Times New Roman"/>
        <w:sz w:val="28"/>
      </w:rPr>
    </w:pPr>
    <w:r w:rsidRPr="001711CE">
      <w:rPr>
        <w:rFonts w:ascii="Times New Roman" w:eastAsia="Times New Roman" w:hAnsi="Times New Roman" w:cs="Times New Roman"/>
        <w:sz w:val="20"/>
        <w:szCs w:val="20"/>
        <w:lang w:eastAsia="lv-LV"/>
      </w:rPr>
      <w:t>EMAnot</w:t>
    </w:r>
    <w:r>
      <w:rPr>
        <w:rFonts w:ascii="Times New Roman" w:eastAsia="Times New Roman" w:hAnsi="Times New Roman" w:cs="Times New Roman"/>
        <w:sz w:val="20"/>
        <w:szCs w:val="20"/>
        <w:lang w:eastAsia="lv-LV"/>
      </w:rPr>
      <w:t>Piel</w:t>
    </w:r>
    <w:r w:rsidRPr="001711CE">
      <w:rPr>
        <w:rFonts w:ascii="Times New Roman" w:eastAsia="Times New Roman" w:hAnsi="Times New Roman" w:cs="Times New Roman"/>
        <w:sz w:val="20"/>
        <w:szCs w:val="20"/>
        <w:lang w:eastAsia="lv-LV"/>
      </w:rPr>
      <w:t xml:space="preserve">_271216_JaunUznNolik; </w:t>
    </w:r>
    <w:r w:rsidR="00CA17A3">
      <w:rPr>
        <w:rFonts w:ascii="Times New Roman" w:eastAsia="Times New Roman" w:hAnsi="Times New Roman" w:cs="Times New Roman"/>
        <w:sz w:val="20"/>
        <w:szCs w:val="20"/>
        <w:lang w:eastAsia="lv-LV"/>
      </w:rPr>
      <w:t xml:space="preserve">Pielikums </w:t>
    </w:r>
    <w:r w:rsidRPr="001711CE">
      <w:rPr>
        <w:rFonts w:ascii="Times New Roman" w:eastAsia="Times New Roman" w:hAnsi="Times New Roman" w:cs="Times New Roman"/>
        <w:sz w:val="20"/>
        <w:szCs w:val="20"/>
        <w:lang w:eastAsia="lv-LV"/>
      </w:rPr>
      <w:t>Ministru kabineta noteikumu projekta „</w:t>
    </w:r>
    <w:proofErr w:type="spellStart"/>
    <w:r w:rsidRPr="001711CE">
      <w:rPr>
        <w:rFonts w:ascii="Times New Roman" w:eastAsia="Times New Roman" w:hAnsi="Times New Roman" w:cs="Times New Roman"/>
        <w:sz w:val="20"/>
        <w:szCs w:val="20"/>
        <w:lang w:eastAsia="lv-LV"/>
      </w:rPr>
      <w:t>Jaunuzņēmumu</w:t>
    </w:r>
    <w:proofErr w:type="spellEnd"/>
    <w:r w:rsidRPr="001711CE">
      <w:rPr>
        <w:rFonts w:ascii="Times New Roman" w:eastAsia="Times New Roman" w:hAnsi="Times New Roman" w:cs="Times New Roman"/>
        <w:sz w:val="20"/>
        <w:szCs w:val="20"/>
        <w:lang w:eastAsia="lv-LV"/>
      </w:rPr>
      <w:t xml:space="preserve"> darbības vērtēšanas komisijas nolikums” sākotnēj</w:t>
    </w:r>
    <w:r w:rsidR="00CA17A3">
      <w:rPr>
        <w:rFonts w:ascii="Times New Roman" w:eastAsia="Times New Roman" w:hAnsi="Times New Roman" w:cs="Times New Roman"/>
        <w:sz w:val="20"/>
        <w:szCs w:val="20"/>
        <w:lang w:eastAsia="lv-LV"/>
      </w:rPr>
      <w:t>ās ietekmes novērtējuma ziņojumam</w:t>
    </w:r>
    <w:r w:rsidRPr="001711CE">
      <w:rPr>
        <w:rFonts w:ascii="Times New Roman" w:eastAsia="Times New Roman" w:hAnsi="Times New Roman" w:cs="Times New Roman"/>
        <w:sz w:val="20"/>
        <w:szCs w:val="20"/>
        <w:lang w:eastAsia="lv-LV"/>
      </w:rPr>
      <w:t xml:space="preserve"> (anotācija</w:t>
    </w:r>
    <w:r w:rsidR="00CA17A3">
      <w:rPr>
        <w:rFonts w:ascii="Times New Roman" w:eastAsia="Times New Roman" w:hAnsi="Times New Roman" w:cs="Times New Roman"/>
        <w:sz w:val="20"/>
        <w:szCs w:val="20"/>
        <w:lang w:eastAsia="lv-LV"/>
      </w:rPr>
      <w:t>i</w:t>
    </w:r>
    <w:r w:rsidRPr="001711CE">
      <w:rPr>
        <w:rFonts w:ascii="Times New Roman" w:eastAsia="Times New Roman" w:hAnsi="Times New Roman" w:cs="Times New Roman"/>
        <w:sz w:val="20"/>
        <w:szCs w:val="20"/>
        <w:lang w:eastAsia="lv-LV"/>
      </w:rPr>
      <w:t>)</w:t>
    </w:r>
  </w:p>
  <w:p w:rsidR="001711CE" w:rsidRDefault="00171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AC7" w:rsidRDefault="00B77AC7" w:rsidP="001711CE">
      <w:pPr>
        <w:spacing w:after="0" w:line="240" w:lineRule="auto"/>
      </w:pPr>
      <w:r>
        <w:separator/>
      </w:r>
    </w:p>
  </w:footnote>
  <w:footnote w:type="continuationSeparator" w:id="0">
    <w:p w:rsidR="00B77AC7" w:rsidRDefault="00B77AC7" w:rsidP="00171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9718D"/>
    <w:multiLevelType w:val="hybridMultilevel"/>
    <w:tmpl w:val="112AFB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5EA626B"/>
    <w:multiLevelType w:val="hybridMultilevel"/>
    <w:tmpl w:val="2A5087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15"/>
    <w:rsid w:val="001711CE"/>
    <w:rsid w:val="0036053A"/>
    <w:rsid w:val="00514A98"/>
    <w:rsid w:val="005F3878"/>
    <w:rsid w:val="00871E15"/>
    <w:rsid w:val="00B77AC7"/>
    <w:rsid w:val="00CA17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F9AD0-F6E0-477C-AD82-717BBE23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15"/>
    <w:pPr>
      <w:ind w:left="720"/>
      <w:contextualSpacing/>
    </w:pPr>
  </w:style>
  <w:style w:type="paragraph" w:styleId="Header">
    <w:name w:val="header"/>
    <w:basedOn w:val="Normal"/>
    <w:link w:val="HeaderChar"/>
    <w:uiPriority w:val="99"/>
    <w:unhideWhenUsed/>
    <w:rsid w:val="00171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11CE"/>
  </w:style>
  <w:style w:type="paragraph" w:styleId="Footer">
    <w:name w:val="footer"/>
    <w:basedOn w:val="Normal"/>
    <w:link w:val="FooterChar"/>
    <w:uiPriority w:val="99"/>
    <w:unhideWhenUsed/>
    <w:rsid w:val="00171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1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Arsauska@em.gov.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313</Words>
  <Characters>179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Baltābola</dc:creator>
  <cp:keywords/>
  <dc:description/>
  <cp:lastModifiedBy>Ilze Baltābola</cp:lastModifiedBy>
  <cp:revision>3</cp:revision>
  <dcterms:created xsi:type="dcterms:W3CDTF">2016-12-27T18:11:00Z</dcterms:created>
  <dcterms:modified xsi:type="dcterms:W3CDTF">2016-12-27T18:46:00Z</dcterms:modified>
</cp:coreProperties>
</file>