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CD" w:rsidRPr="00C217FE" w:rsidRDefault="002074CD" w:rsidP="002074CD">
      <w:pPr>
        <w:keepNext/>
        <w:ind w:right="42"/>
        <w:jc w:val="right"/>
        <w:outlineLvl w:val="0"/>
        <w:rPr>
          <w:bCs/>
          <w:kern w:val="32"/>
          <w:lang w:val="pl-PL"/>
        </w:rPr>
      </w:pPr>
      <w:r w:rsidRPr="00C217FE">
        <w:rPr>
          <w:bCs/>
          <w:kern w:val="32"/>
          <w:lang w:val="pl-PL"/>
        </w:rPr>
        <w:t>3.pielikums</w:t>
      </w:r>
    </w:p>
    <w:p w:rsidR="002074CD" w:rsidRPr="00C217FE" w:rsidRDefault="002074CD" w:rsidP="002074CD">
      <w:pPr>
        <w:ind w:right="42"/>
        <w:jc w:val="right"/>
        <w:rPr>
          <w:lang w:val="pl-PL"/>
        </w:rPr>
      </w:pPr>
      <w:r w:rsidRPr="00C217FE">
        <w:rPr>
          <w:lang w:val="pl-PL"/>
        </w:rPr>
        <w:t>Ministru kabineta</w:t>
      </w:r>
    </w:p>
    <w:p w:rsidR="002074CD" w:rsidRPr="00C217FE" w:rsidRDefault="00F22F2D" w:rsidP="002074CD">
      <w:pPr>
        <w:ind w:right="42"/>
        <w:jc w:val="right"/>
        <w:rPr>
          <w:rFonts w:eastAsia="Calibri"/>
          <w:lang w:eastAsia="en-US"/>
        </w:rPr>
      </w:pPr>
      <w:r w:rsidRPr="00C217FE">
        <w:rPr>
          <w:rFonts w:eastAsia="Calibri"/>
          <w:lang w:eastAsia="en-US"/>
        </w:rPr>
        <w:t>2016</w:t>
      </w:r>
      <w:r w:rsidR="002074CD" w:rsidRPr="00C217FE">
        <w:rPr>
          <w:rFonts w:eastAsia="Calibri"/>
          <w:lang w:eastAsia="en-US"/>
        </w:rPr>
        <w:t>.gada __._______</w:t>
      </w:r>
    </w:p>
    <w:p w:rsidR="002074CD" w:rsidRPr="00C217FE" w:rsidRDefault="002074CD" w:rsidP="002074CD">
      <w:pPr>
        <w:spacing w:after="120"/>
        <w:ind w:right="40"/>
        <w:jc w:val="right"/>
        <w:rPr>
          <w:rFonts w:eastAsia="Calibri"/>
          <w:lang w:eastAsia="en-US"/>
        </w:rPr>
      </w:pPr>
      <w:r w:rsidRPr="00C217FE">
        <w:rPr>
          <w:rFonts w:eastAsia="Calibri"/>
          <w:lang w:eastAsia="en-US"/>
        </w:rPr>
        <w:t>noteikumiem Nr.____</w:t>
      </w:r>
    </w:p>
    <w:p w:rsidR="00884716" w:rsidRDefault="00884716" w:rsidP="00D057F9">
      <w:pPr>
        <w:ind w:right="-766"/>
        <w:rPr>
          <w:sz w:val="28"/>
          <w:szCs w:val="28"/>
        </w:rPr>
      </w:pPr>
    </w:p>
    <w:p w:rsidR="00C217FE" w:rsidRDefault="00C217FE" w:rsidP="00C217FE">
      <w:pPr>
        <w:spacing w:before="120"/>
        <w:jc w:val="center"/>
        <w:rPr>
          <w:b/>
          <w:bCs/>
          <w:color w:val="000000"/>
        </w:rPr>
      </w:pPr>
      <w:r w:rsidRPr="00C217FE">
        <w:rPr>
          <w:b/>
          <w:bCs/>
          <w:color w:val="000000"/>
        </w:rPr>
        <w:t>Atbalstāmo investīciju projektu vērtēšanas kritēriji</w:t>
      </w:r>
    </w:p>
    <w:p w:rsidR="00C217FE" w:rsidRPr="00C217FE" w:rsidRDefault="00C217FE" w:rsidP="00C217FE">
      <w:pPr>
        <w:spacing w:before="120"/>
        <w:jc w:val="center"/>
        <w:rPr>
          <w:b/>
          <w:bCs/>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0"/>
        <w:gridCol w:w="5894"/>
        <w:gridCol w:w="1390"/>
        <w:gridCol w:w="1127"/>
      </w:tblGrid>
      <w:tr w:rsidR="00C217FE" w:rsidRPr="00BB7A53" w:rsidTr="007E1FF7">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b/>
                <w:bCs/>
                <w:color w:val="000000"/>
              </w:rPr>
            </w:pPr>
            <w:r w:rsidRPr="00C217FE">
              <w:rPr>
                <w:b/>
                <w:bCs/>
                <w:color w:val="000000"/>
              </w:rPr>
              <w:t>1. Atbilstības kritēriji</w:t>
            </w:r>
          </w:p>
        </w:tc>
      </w:tr>
      <w:tr w:rsidR="00C217FE" w:rsidRPr="00BB7A53" w:rsidTr="007E1FF7">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Nr.</w:t>
            </w:r>
            <w:r w:rsidRPr="00C217FE">
              <w:rPr>
                <w:color w:val="000000"/>
              </w:rPr>
              <w:br/>
              <w:t>p. k.</w:t>
            </w:r>
          </w:p>
        </w:tc>
        <w:tc>
          <w:tcPr>
            <w:tcW w:w="330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Kritēriji</w:t>
            </w: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Vērtēšanas sistēma</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Piezīmes*</w:t>
            </w:r>
          </w:p>
        </w:tc>
      </w:tr>
      <w:tr w:rsidR="00C217FE"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Jā/Nē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iesniedzējs ir viens no likuma "</w:t>
            </w:r>
            <w:hyperlink r:id="rId7" w:tgtFrame="_blank" w:history="1">
              <w:r w:rsidRPr="00C217FE">
                <w:rPr>
                  <w:color w:val="000000"/>
                </w:rPr>
                <w:t>Par uzņēmumu ienākuma nodokli</w:t>
              </w:r>
            </w:hyperlink>
            <w:r w:rsidRPr="00C217FE">
              <w:rPr>
                <w:color w:val="000000"/>
              </w:rPr>
              <w:t>" </w:t>
            </w:r>
            <w:hyperlink r:id="rId8" w:anchor="p2" w:tgtFrame="_blank" w:history="1">
              <w:r w:rsidRPr="00C217FE">
                <w:rPr>
                  <w:color w:val="000000"/>
                </w:rPr>
                <w:t>2.</w:t>
              </w:r>
            </w:hyperlink>
            <w:r w:rsidRPr="00C217FE">
              <w:rPr>
                <w:color w:val="000000"/>
              </w:rPr>
              <w:t> panta pirmās daļas 1. punktā minētajiem saimnieciskās darbības veicējiem vai ārvalstu komercsabiedrība, kas reģistrēta Latvijā kā nodokļu maksātāja</w:t>
            </w: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1.2.</w:t>
            </w:r>
          </w:p>
        </w:tc>
        <w:tc>
          <w:tcPr>
            <w:tcW w:w="3300" w:type="pct"/>
            <w:tcBorders>
              <w:top w:val="outset" w:sz="6" w:space="0" w:color="414142"/>
              <w:left w:val="outset" w:sz="6" w:space="0" w:color="414142"/>
              <w:bottom w:val="outset" w:sz="6" w:space="0" w:color="414142"/>
              <w:right w:val="outset" w:sz="6" w:space="0" w:color="414142"/>
            </w:tcBorders>
            <w:hideMark/>
          </w:tcPr>
          <w:p w:rsidR="00754AE2" w:rsidRPr="00C217FE" w:rsidRDefault="00C217FE" w:rsidP="007E1FF7">
            <w:pPr>
              <w:spacing w:before="120"/>
              <w:rPr>
                <w:color w:val="000000"/>
              </w:rPr>
            </w:pPr>
            <w:r w:rsidRPr="00C217FE">
              <w:rPr>
                <w:color w:val="000000"/>
              </w:rPr>
              <w:t>Projekta ietvaros ieguldījumi tiks veikti nelietotos (jaunos) pamatlīdzekļos (jaunās ražošanas tehnoloģiskajās iekārtās un telekomunikāciju un datorprogrammēšanas iekārtās,</w:t>
            </w:r>
            <w:r w:rsidR="00D33CFA">
              <w:rPr>
                <w:color w:val="000000"/>
              </w:rPr>
              <w:t xml:space="preserve"> serveros un datu centru aprīkojumā,</w:t>
            </w:r>
            <w:r w:rsidRPr="00C217FE">
              <w:rPr>
                <w:color w:val="000000"/>
              </w:rPr>
              <w:t xml:space="preserve"> cauruļvados, sakaru un elektropārvades līnijās (būvju klasifikācijas kods 22) un to palīgiekārtās, kas nodrošina to pilna ražošanas vai pakalpojumu sniegšanas cikla tehnoloģisko operāciju kopumu), kā arī ēkās un būvēs, kuras saskaņā ar normatīvajiem aktiem, kas nosaka būvju klasifikāciju, klasificētas kā satiksmes un sakaru ēkas (būvju klasifikācijas kods 124), rūpnieciskās ražošanas ēkas un noliktavas (būvju klasifikācijas kods 125) un transporta būves (būvju klasifikācijas kods 21)</w:t>
            </w: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Sākotnējos ilgtermiņa ieguldījumos nav ietverti transportlīdzekļi, kuri saskaņā ar normatīvajiem aktiem satiksmes jomā ir paredzēti reģistrācijai Ceļu satiksmes drošības direkcijā vai Valsts tehniskās uzraudzības aģentūras Traktortehnikas reģistrā</w:t>
            </w: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ietvaros tiks veikti sākotnējie ilgtermiņa ieguldījumi, kuru kopējā summa pārsniedz 10 miljonus </w:t>
            </w:r>
            <w:r w:rsidRPr="00C217FE">
              <w:rPr>
                <w:i/>
                <w:iCs/>
                <w:color w:val="000000"/>
              </w:rPr>
              <w:t>euro</w:t>
            </w:r>
          </w:p>
        </w:tc>
        <w:tc>
          <w:tcPr>
            <w:tcW w:w="7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1.5.</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Sākotnējo ilgtermiņa ieguldījumu attiecināmās izmaksas ēkās un būvēs nepārsniedz 40 procentus no kopējās sākotnējo ilgtermiņa ieguldījumu summas</w:t>
            </w:r>
          </w:p>
        </w:tc>
        <w:tc>
          <w:tcPr>
            <w:tcW w:w="7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1.6.</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 xml:space="preserve">Kopējā sākotnējo ilgtermiņa ieguldījumu summa tiks ieguldīta piecu gadu laikā, sākot no dienas, kurā Ekonomikas ministrijā ir saņemts atbalstāmo investīciju projekta pieteikums, bet ne vēlāk kā līdz 2025. gada </w:t>
            </w:r>
            <w:r w:rsidRPr="00C217FE">
              <w:rPr>
                <w:color w:val="000000"/>
              </w:rPr>
              <w:lastRenderedPageBreak/>
              <w:t>31. decembrim</w:t>
            </w: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lastRenderedPageBreak/>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1.7.</w:t>
            </w:r>
          </w:p>
        </w:tc>
        <w:tc>
          <w:tcPr>
            <w:tcW w:w="33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rPr>
                <w:color w:val="000000"/>
              </w:rPr>
            </w:pPr>
            <w:r w:rsidRPr="00C217FE">
              <w:rPr>
                <w:color w:val="000000"/>
              </w:rPr>
              <w:t>Sākotnējie ilgtermiņa ieguldījumi tiks veikti jaunas uzņēmējdarbības vietas izveidei vai lai palielinātu ražošanas vai pakalpojumu jaudu, uzsāktu tādas jaunas produkcijas ražošanu, kuru projekta iesniedzējs iepriekš nav ražojis, vai būtiski mainītu ražošanas procesu. Ja sākotnējie ilgtermiņa ieguldījumi saistīti ar būtisku ražošanas procesa maiņu, tie atbilst Komisijas regulas Nr. </w:t>
            </w:r>
            <w:hyperlink r:id="rId9" w:tgtFrame="_blank" w:history="1">
              <w:r w:rsidRPr="00C217FE">
                <w:rPr>
                  <w:color w:val="000000"/>
                </w:rPr>
                <w:t>651/2014</w:t>
              </w:r>
            </w:hyperlink>
            <w:r w:rsidRPr="00C217FE">
              <w:rPr>
                <w:color w:val="000000"/>
              </w:rPr>
              <w:t> 14. panta 7. punktā noteiktajām prasībām</w:t>
            </w: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1.8.</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Nekustamais īpašums, kurā tiks veikti un izmantoti sākotnējie ilgtermiņa ieguldījumi, ir projekta iesniedzēja īpašums vai projekta iesniedzējam uz to ir ilgtermiņa nomas tiesības (vismaz vēl 13 gadu pēc projekta uzsākšanas), un tās ir nostiprinātas zemesgrāmatā. Ja nekustamais īpašums tiek nomāts no valsts vai pašvaldības, projekta iesniedzējam uz to ir ilgtermiņa nomas tiesības vismaz vēl 12 gadu pēc projekta uzsākšanas</w:t>
            </w:r>
          </w:p>
        </w:tc>
        <w:tc>
          <w:tcPr>
            <w:tcW w:w="7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1.9.</w:t>
            </w:r>
          </w:p>
        </w:tc>
        <w:tc>
          <w:tcPr>
            <w:tcW w:w="33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rPr>
                <w:color w:val="000000"/>
              </w:rPr>
            </w:pPr>
            <w:r w:rsidRPr="00C217FE">
              <w:rPr>
                <w:color w:val="000000"/>
              </w:rPr>
              <w:t>Projekta iesniedzējs neatbilst grūtībās nonākušas komercsabiedrības pazīmēm, kas noteiktas Komisijas regulas Nr. </w:t>
            </w:r>
            <w:hyperlink r:id="rId10" w:tgtFrame="_blank" w:history="1">
              <w:r w:rsidRPr="00C217FE">
                <w:rPr>
                  <w:color w:val="000000"/>
                </w:rPr>
                <w:t>651/2014</w:t>
              </w:r>
            </w:hyperlink>
            <w:r w:rsidRPr="00C217FE">
              <w:rPr>
                <w:color w:val="000000"/>
              </w:rPr>
              <w:t> 2. panta 18. punktā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1.10.</w:t>
            </w:r>
          </w:p>
        </w:tc>
        <w:tc>
          <w:tcPr>
            <w:tcW w:w="33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rPr>
                <w:color w:val="000000"/>
              </w:rPr>
            </w:pPr>
            <w:r w:rsidRPr="00C217FE">
              <w:rPr>
                <w:color w:val="000000"/>
              </w:rPr>
              <w:t>Projekta iesniedzējam taksācijas perioda pēdējā dienā nodokļu parāda kopsumma nepārsniedz 150 </w:t>
            </w:r>
            <w:r w:rsidRPr="00C217FE">
              <w:rPr>
                <w:i/>
                <w:iCs/>
                <w:color w:val="000000"/>
              </w:rPr>
              <w:t>euro</w:t>
            </w:r>
            <w:r w:rsidRPr="00C217FE">
              <w:rPr>
                <w:color w:val="000000"/>
              </w:rPr>
              <w:t>, izņemot nodokļu maksājumus, kuru maksāšanas termiņi ir pagarināti saskaņā ar likumu "</w:t>
            </w:r>
            <w:hyperlink r:id="rId11" w:tgtFrame="_blank" w:history="1">
              <w:r w:rsidRPr="00C217FE">
                <w:rPr>
                  <w:color w:val="000000"/>
                </w:rPr>
                <w:t>Par nodokļiem un nodevām</w:t>
              </w:r>
            </w:hyperlink>
            <w:r w:rsidRPr="00C217FE">
              <w:rPr>
                <w:color w:val="000000"/>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1.11.</w:t>
            </w:r>
          </w:p>
        </w:tc>
        <w:tc>
          <w:tcPr>
            <w:tcW w:w="33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rPr>
                <w:color w:val="000000"/>
              </w:rPr>
            </w:pPr>
            <w:r w:rsidRPr="00C217FE">
              <w:rPr>
                <w:color w:val="000000"/>
              </w:rPr>
              <w:t>Uz projekta iesniedzēju neattiecas neizpildīts līdzekļu atgūšanas rīkojums saskaņā ar iepriekšēju Eiropas Komisijas lēmumu, ar ko valsts vai Eiropas Savienības atbalsts tiek atzīts par nelikumīgu un nesaderīgu ar kopējo tirgu</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1.12.</w:t>
            </w:r>
          </w:p>
        </w:tc>
        <w:tc>
          <w:tcPr>
            <w:tcW w:w="33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rPr>
                <w:color w:val="000000"/>
              </w:rPr>
            </w:pPr>
            <w:r w:rsidRPr="00C217FE">
              <w:rPr>
                <w:color w:val="000000"/>
              </w:rPr>
              <w:t>Projekta ietvaros sākotnējie ilgtermiņa ieguldījumi tiks veikti atbalstāmās prioritārās nozarēs, kas minētas likuma "</w:t>
            </w:r>
            <w:hyperlink r:id="rId12" w:tgtFrame="_blank" w:history="1">
              <w:r w:rsidRPr="00C217FE">
                <w:rPr>
                  <w:color w:val="000000"/>
                </w:rPr>
                <w:t>Par uzņēmumu ienākuma nodokli</w:t>
              </w:r>
            </w:hyperlink>
            <w:r w:rsidRPr="00C217FE">
              <w:rPr>
                <w:color w:val="000000"/>
              </w:rPr>
              <w:t>" 17.</w:t>
            </w:r>
            <w:r w:rsidRPr="00C217FE">
              <w:rPr>
                <w:color w:val="000000"/>
                <w:vertAlign w:val="superscript"/>
              </w:rPr>
              <w:t>2 </w:t>
            </w:r>
            <w:r w:rsidRPr="00C217FE">
              <w:rPr>
                <w:color w:val="000000"/>
              </w:rPr>
              <w:t>panta astotajā daļā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1.13.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 netiks uzsākta pirms projekta iesniegšanas Ekonomikas ministrijā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754AE2" w:rsidRPr="00BB7A53" w:rsidTr="007E1FF7">
        <w:tc>
          <w:tcPr>
            <w:tcW w:w="400" w:type="pct"/>
            <w:tcBorders>
              <w:top w:val="outset" w:sz="6" w:space="0" w:color="414142"/>
              <w:left w:val="outset" w:sz="6" w:space="0" w:color="414142"/>
              <w:bottom w:val="outset" w:sz="6" w:space="0" w:color="414142"/>
              <w:right w:val="outset" w:sz="6" w:space="0" w:color="414142"/>
            </w:tcBorders>
          </w:tcPr>
          <w:p w:rsidR="00754AE2" w:rsidRPr="00C217FE" w:rsidRDefault="00754AE2" w:rsidP="007E1FF7">
            <w:pPr>
              <w:spacing w:before="120"/>
              <w:rPr>
                <w:color w:val="000000"/>
              </w:rPr>
            </w:pPr>
            <w:r>
              <w:rPr>
                <w:color w:val="000000"/>
              </w:rPr>
              <w:t>1.14.</w:t>
            </w:r>
          </w:p>
        </w:tc>
        <w:tc>
          <w:tcPr>
            <w:tcW w:w="3300" w:type="pct"/>
            <w:tcBorders>
              <w:top w:val="outset" w:sz="6" w:space="0" w:color="414142"/>
              <w:left w:val="outset" w:sz="6" w:space="0" w:color="414142"/>
              <w:bottom w:val="outset" w:sz="6" w:space="0" w:color="414142"/>
              <w:right w:val="outset" w:sz="6" w:space="0" w:color="414142"/>
            </w:tcBorders>
          </w:tcPr>
          <w:p w:rsidR="00754AE2" w:rsidRPr="00C217FE" w:rsidRDefault="00754AE2" w:rsidP="00754AE2">
            <w:pPr>
              <w:spacing w:before="120"/>
              <w:rPr>
                <w:color w:val="000000"/>
              </w:rPr>
            </w:pPr>
            <w:r w:rsidRPr="006A66EE">
              <w:rPr>
                <w:color w:val="000000"/>
              </w:rPr>
              <w:t>Vismaz 25 procenti no sākotnējiem ilgtermiņa ieguldījumiem tiks veikti, izmantojot pašu līdzekļus vai ārējo finansējumu, par kuru nav saņemts nekāds valsts atbalsts, tostarp atbalsts kā valsts vai pašvaldības galvojums vai arī aizdevums ar atvieglotiem nosacījumiem</w:t>
            </w:r>
          </w:p>
        </w:tc>
        <w:tc>
          <w:tcPr>
            <w:tcW w:w="700" w:type="pct"/>
            <w:tcBorders>
              <w:top w:val="outset" w:sz="6" w:space="0" w:color="414142"/>
              <w:left w:val="outset" w:sz="6" w:space="0" w:color="414142"/>
              <w:bottom w:val="outset" w:sz="6" w:space="0" w:color="414142"/>
              <w:right w:val="outset" w:sz="6" w:space="0" w:color="414142"/>
            </w:tcBorders>
            <w:vAlign w:val="center"/>
          </w:tcPr>
          <w:p w:rsidR="00754AE2" w:rsidRPr="00C217FE" w:rsidRDefault="00754AE2" w:rsidP="007E1FF7">
            <w:pPr>
              <w:spacing w:before="120"/>
              <w:jc w:val="center"/>
              <w:rPr>
                <w:color w:val="000000"/>
              </w:rPr>
            </w:pPr>
          </w:p>
        </w:tc>
        <w:tc>
          <w:tcPr>
            <w:tcW w:w="650" w:type="pct"/>
            <w:tcBorders>
              <w:top w:val="outset" w:sz="6" w:space="0" w:color="414142"/>
              <w:left w:val="outset" w:sz="6" w:space="0" w:color="414142"/>
              <w:bottom w:val="outset" w:sz="6" w:space="0" w:color="414142"/>
              <w:right w:val="outset" w:sz="6" w:space="0" w:color="414142"/>
            </w:tcBorders>
            <w:vAlign w:val="center"/>
          </w:tcPr>
          <w:p w:rsidR="00754AE2" w:rsidRPr="00C217FE" w:rsidRDefault="00754AE2" w:rsidP="007E1FF7">
            <w:pPr>
              <w:spacing w:before="120"/>
              <w:jc w:val="center"/>
              <w:rPr>
                <w:color w:val="000000"/>
              </w:rPr>
            </w:pPr>
            <w:r>
              <w:rPr>
                <w:color w:val="000000"/>
              </w:rPr>
              <w:t>N</w:t>
            </w:r>
          </w:p>
        </w:tc>
      </w:tr>
      <w:tr w:rsidR="00A310ED" w:rsidRPr="00BB7A53" w:rsidTr="007E1FF7">
        <w:tc>
          <w:tcPr>
            <w:tcW w:w="400" w:type="pct"/>
            <w:tcBorders>
              <w:top w:val="outset" w:sz="6" w:space="0" w:color="414142"/>
              <w:left w:val="outset" w:sz="6" w:space="0" w:color="414142"/>
              <w:bottom w:val="outset" w:sz="6" w:space="0" w:color="414142"/>
              <w:right w:val="outset" w:sz="6" w:space="0" w:color="414142"/>
            </w:tcBorders>
          </w:tcPr>
          <w:p w:rsidR="00A310ED" w:rsidRDefault="00A310ED" w:rsidP="007E1FF7">
            <w:pPr>
              <w:spacing w:before="120"/>
              <w:rPr>
                <w:color w:val="000000"/>
              </w:rPr>
            </w:pPr>
            <w:r>
              <w:rPr>
                <w:color w:val="000000"/>
              </w:rPr>
              <w:t>1.15.</w:t>
            </w:r>
          </w:p>
        </w:tc>
        <w:tc>
          <w:tcPr>
            <w:tcW w:w="3300" w:type="pct"/>
            <w:tcBorders>
              <w:top w:val="outset" w:sz="6" w:space="0" w:color="414142"/>
              <w:left w:val="outset" w:sz="6" w:space="0" w:color="414142"/>
              <w:bottom w:val="outset" w:sz="6" w:space="0" w:color="414142"/>
              <w:right w:val="outset" w:sz="6" w:space="0" w:color="414142"/>
            </w:tcBorders>
          </w:tcPr>
          <w:p w:rsidR="00A310ED" w:rsidRPr="006A66EE" w:rsidRDefault="00A310ED" w:rsidP="00754AE2">
            <w:pPr>
              <w:spacing w:before="120"/>
              <w:rPr>
                <w:color w:val="000000"/>
              </w:rPr>
            </w:pPr>
            <w:r>
              <w:rPr>
                <w:color w:val="000000"/>
              </w:rPr>
              <w:t>Projekta iesniedzējs</w:t>
            </w:r>
            <w:r w:rsidRPr="00087C8F">
              <w:rPr>
                <w:color w:val="000000"/>
              </w:rPr>
              <w:t xml:space="preserve"> divu taksācijas periodu laikā pirms taksācijas perioda, kurā Ministru kabinets ir pieņēmis lēmumu par atbalstāmo investīciju projekta atbalstī</w:t>
            </w:r>
            <w:r>
              <w:rPr>
                <w:color w:val="000000"/>
              </w:rPr>
              <w:t>šanu, Eiropas Ekonomikas zonā nav</w:t>
            </w:r>
            <w:r w:rsidRPr="00087C8F">
              <w:rPr>
                <w:color w:val="000000"/>
              </w:rPr>
              <w:t xml:space="preserve"> beidzis to pašu vai līdzīgu darbību, kā definēts Komisijas regulas Nr. </w:t>
            </w:r>
            <w:hyperlink r:id="rId13" w:tgtFrame="_blank" w:history="1">
              <w:r w:rsidRPr="00087C8F">
                <w:rPr>
                  <w:color w:val="000000"/>
                </w:rPr>
                <w:t>651/2014</w:t>
              </w:r>
            </w:hyperlink>
            <w:r w:rsidRPr="00087C8F">
              <w:rPr>
                <w:color w:val="000000"/>
              </w:rPr>
              <w:t> 2.</w:t>
            </w:r>
            <w:r>
              <w:rPr>
                <w:color w:val="000000"/>
              </w:rPr>
              <w:t xml:space="preserve"> </w:t>
            </w:r>
            <w:r w:rsidRPr="00087C8F">
              <w:rPr>
                <w:color w:val="000000"/>
              </w:rPr>
              <w:lastRenderedPageBreak/>
              <w:t>panta 50.</w:t>
            </w:r>
            <w:r>
              <w:rPr>
                <w:color w:val="000000"/>
              </w:rPr>
              <w:t xml:space="preserve"> punktā un</w:t>
            </w:r>
            <w:r w:rsidRPr="00087C8F">
              <w:rPr>
                <w:color w:val="000000"/>
              </w:rPr>
              <w:t xml:space="preserve"> </w:t>
            </w:r>
            <w:r>
              <w:rPr>
                <w:color w:val="000000"/>
              </w:rPr>
              <w:t>projekta iesniedzējam nav</w:t>
            </w:r>
            <w:r w:rsidRPr="00087C8F">
              <w:rPr>
                <w:color w:val="000000"/>
              </w:rPr>
              <w:t xml:space="preserve"> konkrēti plāni izbeigt šādu darbību divu taksācijas periodu laikā pēc taksācijas perioda, kurā atbalstāmo ilgtermiņa ieguldījumu projekts pabeigts</w:t>
            </w:r>
          </w:p>
        </w:tc>
        <w:tc>
          <w:tcPr>
            <w:tcW w:w="700" w:type="pct"/>
            <w:tcBorders>
              <w:top w:val="outset" w:sz="6" w:space="0" w:color="414142"/>
              <w:left w:val="outset" w:sz="6" w:space="0" w:color="414142"/>
              <w:bottom w:val="outset" w:sz="6" w:space="0" w:color="414142"/>
              <w:right w:val="outset" w:sz="6" w:space="0" w:color="414142"/>
            </w:tcBorders>
            <w:vAlign w:val="center"/>
          </w:tcPr>
          <w:p w:rsidR="00A310ED" w:rsidRPr="00C217FE" w:rsidRDefault="00A310ED" w:rsidP="007E1FF7">
            <w:pPr>
              <w:spacing w:before="120"/>
              <w:jc w:val="center"/>
              <w:rPr>
                <w:color w:val="000000"/>
              </w:rPr>
            </w:pPr>
          </w:p>
        </w:tc>
        <w:tc>
          <w:tcPr>
            <w:tcW w:w="650" w:type="pct"/>
            <w:tcBorders>
              <w:top w:val="outset" w:sz="6" w:space="0" w:color="414142"/>
              <w:left w:val="outset" w:sz="6" w:space="0" w:color="414142"/>
              <w:bottom w:val="outset" w:sz="6" w:space="0" w:color="414142"/>
              <w:right w:val="outset" w:sz="6" w:space="0" w:color="414142"/>
            </w:tcBorders>
            <w:vAlign w:val="center"/>
          </w:tcPr>
          <w:p w:rsidR="00A310ED" w:rsidRDefault="00A310ED" w:rsidP="007E1FF7">
            <w:pPr>
              <w:spacing w:before="120"/>
              <w:jc w:val="center"/>
              <w:rPr>
                <w:color w:val="000000"/>
              </w:rPr>
            </w:pPr>
            <w:r>
              <w:rPr>
                <w:color w:val="000000"/>
              </w:rPr>
              <w:t>N</w:t>
            </w:r>
          </w:p>
        </w:tc>
      </w:tr>
      <w:tr w:rsidR="00C217FE" w:rsidRPr="00BB7A53" w:rsidTr="007E1FF7">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b/>
                <w:bCs/>
                <w:color w:val="000000"/>
              </w:rPr>
            </w:pPr>
            <w:r w:rsidRPr="00C217FE">
              <w:rPr>
                <w:b/>
                <w:bCs/>
                <w:color w:val="000000"/>
              </w:rPr>
              <w:t>2. Administratīvie kritēriji</w:t>
            </w:r>
          </w:p>
        </w:tc>
      </w:tr>
      <w:tr w:rsidR="00C217FE" w:rsidRPr="00BB7A53" w:rsidTr="007E1FF7">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Nr.</w:t>
            </w:r>
            <w:r w:rsidRPr="00C217FE">
              <w:rPr>
                <w:color w:val="000000"/>
              </w:rPr>
              <w:br/>
              <w:t>p. k.</w:t>
            </w:r>
          </w:p>
        </w:tc>
        <w:tc>
          <w:tcPr>
            <w:tcW w:w="330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Kritēriji</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Vērtēšanas sistēma</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Piezīmes*</w:t>
            </w:r>
          </w:p>
        </w:tc>
      </w:tr>
      <w:tr w:rsidR="00C217FE"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Jā/Nē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2.1.</w:t>
            </w:r>
          </w:p>
        </w:tc>
        <w:tc>
          <w:tcPr>
            <w:tcW w:w="33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rPr>
                <w:color w:val="000000"/>
              </w:rPr>
            </w:pPr>
            <w:r w:rsidRPr="00C217FE">
              <w:rPr>
                <w:color w:val="000000"/>
              </w:rPr>
              <w:t>Projekta pieteikums ir sagatavots atbilstoši projekta pieteikuma veidlapai, ir pievienoti visi šajos noteikumos minētie dokumenti, un tie ir noformēti atbilstoši Latvijas Republikas normatīvo aktu prasībām dokumentu izstrādāšanas un noformēšanas jomā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2.2.</w:t>
            </w:r>
          </w:p>
        </w:tc>
        <w:tc>
          <w:tcPr>
            <w:tcW w:w="33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rPr>
                <w:color w:val="000000"/>
              </w:rPr>
            </w:pPr>
            <w:r w:rsidRPr="00C217FE">
              <w:rPr>
                <w:color w:val="000000"/>
              </w:rPr>
              <w:t>Projekta pieteikuma oriģinālam, tam pievienotajiem dokumentiem un dokumentu atvasinājumiem, kuri ir sagatavoti, ievērojot normatīvos aktus dokumentu izstrādāšanas un noformēšanas jomā, ir dokumenta juridiskais spēks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pieteikuma veidlapa ir pilnībā aizpildīta</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Ja projekta pieteikums ir iesniegts papīra formā, projekta pieteikuma oriģināls ir ar sanumurētām lapām</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2.5.</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pieteikumā nav neatrunātu labojumu – dzēsumu, aizkrāsojumu, svītrojumu un papildinājumu</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2.6.</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pieteikumā lietotā naudas vienība ir </w:t>
            </w:r>
            <w:r w:rsidRPr="00C217FE">
              <w:rPr>
                <w:i/>
                <w:iCs/>
                <w:color w:val="000000"/>
              </w:rPr>
              <w:t>euro</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2.7.</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pieteikums iesniegts projektu pieteikumu iesniegšanas termiņā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2.8.</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pieteikums ir aizpildīts latviešu valodā datorrakstā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2.9.</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pieteikums papīra formā ir iesniegts divos eksemplāros (oriģināls un kopija)</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w:t>
            </w:r>
          </w:p>
        </w:tc>
      </w:tr>
      <w:tr w:rsidR="00C217FE" w:rsidRPr="00BB7A53" w:rsidTr="007E1FF7">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b/>
                <w:bCs/>
                <w:color w:val="000000"/>
              </w:rPr>
            </w:pPr>
            <w:r w:rsidRPr="00C217FE">
              <w:rPr>
                <w:b/>
                <w:bCs/>
                <w:color w:val="000000"/>
              </w:rPr>
              <w:t>3. Kvalitātes kritēriji</w:t>
            </w:r>
          </w:p>
        </w:tc>
      </w:tr>
      <w:tr w:rsidR="00C217FE" w:rsidRPr="00BB7A53" w:rsidTr="007E1FF7">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Nr.</w:t>
            </w:r>
            <w:r w:rsidRPr="00C217FE">
              <w:rPr>
                <w:color w:val="000000"/>
              </w:rPr>
              <w:br/>
              <w:t>p. k.</w:t>
            </w:r>
          </w:p>
        </w:tc>
        <w:tc>
          <w:tcPr>
            <w:tcW w:w="330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Kritēriji</w:t>
            </w:r>
          </w:p>
        </w:tc>
        <w:tc>
          <w:tcPr>
            <w:tcW w:w="8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Vērtēšanas sistēma</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Piezīmes</w:t>
            </w:r>
          </w:p>
        </w:tc>
      </w:tr>
      <w:tr w:rsidR="00C217FE"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c>
          <w:tcPr>
            <w:tcW w:w="8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Punkti</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Sākotnējo ilgtermiņa ieguldījumu apmērs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20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sākotnējo ilgtermiņa ieguldījumu apmērs pārsniedz 50 milj. </w:t>
            </w:r>
            <w:r w:rsidRPr="00C217FE">
              <w:rPr>
                <w:i/>
                <w:iCs/>
                <w:color w:val="000000"/>
              </w:rPr>
              <w:t>euro</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20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 xml:space="preserve">sākotnējo ilgtermiņa ieguldījumu apmērs pārsniedz 35 </w:t>
            </w:r>
            <w:r w:rsidRPr="00C217FE">
              <w:rPr>
                <w:color w:val="000000"/>
              </w:rPr>
              <w:lastRenderedPageBreak/>
              <w:t>milj. </w:t>
            </w:r>
            <w:r w:rsidRPr="00C217FE">
              <w:rPr>
                <w:i/>
                <w:iCs/>
                <w:color w:val="000000"/>
              </w:rPr>
              <w:t>euro</w:t>
            </w:r>
            <w:r w:rsidRPr="00C217FE">
              <w:rPr>
                <w:color w:val="000000"/>
              </w:rPr>
              <w:t>, bet nepārsniedz 50 milj. </w:t>
            </w:r>
            <w:r w:rsidRPr="00C217FE">
              <w:rPr>
                <w:i/>
                <w:iCs/>
                <w:color w:val="000000"/>
              </w:rPr>
              <w:t>euro</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lastRenderedPageBreak/>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sākotnējo ilgtermiņa ieguldījumu apmērs pārsniedz 20 milj. </w:t>
            </w:r>
            <w:r w:rsidRPr="00C217FE">
              <w:rPr>
                <w:i/>
                <w:iCs/>
                <w:color w:val="000000"/>
              </w:rPr>
              <w:t>euro</w:t>
            </w:r>
            <w:r w:rsidRPr="00C217FE">
              <w:rPr>
                <w:color w:val="000000"/>
              </w:rPr>
              <w:t>, bet nepārsniedz 35 milj. </w:t>
            </w:r>
            <w:r w:rsidRPr="00C217FE">
              <w:rPr>
                <w:i/>
                <w:iCs/>
                <w:color w:val="000000"/>
              </w:rPr>
              <w:t>euro</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sākotnējo ilgtermiņa ieguldījumu apmērs pārsniedz 10 milj. </w:t>
            </w:r>
            <w:r w:rsidRPr="00C217FE">
              <w:rPr>
                <w:i/>
                <w:iCs/>
                <w:color w:val="000000"/>
              </w:rPr>
              <w:t>euro</w:t>
            </w:r>
            <w:r w:rsidRPr="00C217FE">
              <w:rPr>
                <w:color w:val="000000"/>
              </w:rPr>
              <w:t>, bet nepārsniedz 20 milj. </w:t>
            </w:r>
            <w:r w:rsidRPr="00C217FE">
              <w:rPr>
                <w:i/>
                <w:iCs/>
                <w:color w:val="000000"/>
              </w:rPr>
              <w:t>euro</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iesniedzēja pievienotās vērtības pieaugums uz vienu strādājošo projekta īstenošanas laikā un nākamajos divos gados pēc projekta īstenošanas. Pievienotā vērtība uz vienu strādājošo tiek rēķināta, izmantojot šādu formulu:</w:t>
            </w:r>
          </w:p>
          <w:p w:rsidR="00C217FE" w:rsidRPr="00C217FE" w:rsidRDefault="00C217FE" w:rsidP="007E1FF7">
            <w:pPr>
              <w:spacing w:before="120"/>
              <w:rPr>
                <w:color w:val="000000"/>
              </w:rPr>
            </w:pPr>
            <w:r w:rsidRPr="00C217FE">
              <w:rPr>
                <w:color w:val="000000"/>
              </w:rPr>
              <w:t>(bruto peļņa + kopējā bruto darba alga + amortizācijas atskaitījumi)/ darbinieku skaits.</w:t>
            </w:r>
          </w:p>
          <w:p w:rsidR="00C217FE" w:rsidRPr="00C217FE" w:rsidRDefault="00C217FE" w:rsidP="007E1FF7">
            <w:pPr>
              <w:spacing w:before="120"/>
              <w:rPr>
                <w:color w:val="000000"/>
              </w:rPr>
            </w:pPr>
            <w:r w:rsidRPr="00C217FE">
              <w:rPr>
                <w:color w:val="000000"/>
              </w:rPr>
              <w:t>Pievienotās vērtības pieaugums uz vienu strādājošo tiek rēķināts, izmantojot šādu formulu:</w:t>
            </w:r>
          </w:p>
          <w:p w:rsidR="00C217FE" w:rsidRPr="00C217FE" w:rsidRDefault="00C217FE" w:rsidP="007E1FF7">
            <w:pPr>
              <w:spacing w:before="120"/>
              <w:rPr>
                <w:color w:val="000000"/>
              </w:rPr>
            </w:pPr>
            <w:r w:rsidRPr="00C217FE">
              <w:rPr>
                <w:color w:val="000000"/>
              </w:rPr>
              <w:t>P = T</w:t>
            </w:r>
            <w:r w:rsidRPr="00C217FE">
              <w:rPr>
                <w:color w:val="000000"/>
                <w:bdr w:val="none" w:sz="0" w:space="0" w:color="auto" w:frame="1"/>
                <w:vertAlign w:val="subscript"/>
              </w:rPr>
              <w:t>b+2</w:t>
            </w:r>
            <w:r w:rsidRPr="00C217FE">
              <w:rPr>
                <w:color w:val="000000"/>
              </w:rPr>
              <w:t>/T</w:t>
            </w:r>
            <w:r w:rsidRPr="00C217FE">
              <w:rPr>
                <w:color w:val="000000"/>
                <w:bdr w:val="none" w:sz="0" w:space="0" w:color="auto" w:frame="1"/>
                <w:vertAlign w:val="subscript"/>
              </w:rPr>
              <w:t>s</w:t>
            </w:r>
            <w:r w:rsidRPr="00C217FE">
              <w:rPr>
                <w:color w:val="000000"/>
              </w:rPr>
              <w:t> x 100-100, kur</w:t>
            </w:r>
          </w:p>
          <w:p w:rsidR="00C217FE" w:rsidRPr="00C217FE" w:rsidRDefault="00C217FE" w:rsidP="007E1FF7">
            <w:pPr>
              <w:spacing w:before="120"/>
              <w:rPr>
                <w:color w:val="000000"/>
              </w:rPr>
            </w:pPr>
            <w:r w:rsidRPr="00C217FE">
              <w:rPr>
                <w:color w:val="000000"/>
              </w:rPr>
              <w:t>P – pievienotās vērtības pieaugums uz vienu strādājošo;</w:t>
            </w:r>
          </w:p>
          <w:p w:rsidR="00C217FE" w:rsidRPr="00C217FE" w:rsidRDefault="00C217FE" w:rsidP="007E1FF7">
            <w:pPr>
              <w:spacing w:before="120"/>
              <w:rPr>
                <w:color w:val="000000"/>
              </w:rPr>
            </w:pPr>
            <w:r w:rsidRPr="00C217FE">
              <w:rPr>
                <w:color w:val="000000"/>
              </w:rPr>
              <w:t>T</w:t>
            </w:r>
            <w:r w:rsidRPr="00C217FE">
              <w:rPr>
                <w:color w:val="000000"/>
                <w:bdr w:val="none" w:sz="0" w:space="0" w:color="auto" w:frame="1"/>
                <w:vertAlign w:val="subscript"/>
              </w:rPr>
              <w:t>s</w:t>
            </w:r>
            <w:r w:rsidRPr="00C217FE">
              <w:rPr>
                <w:color w:val="000000"/>
              </w:rPr>
              <w:t> – pievienotā vērtība uz vienu strādājošo gadā, kad uzsākta projekta īstenošana</w:t>
            </w:r>
            <w:r w:rsidR="004D3311">
              <w:rPr>
                <w:color w:val="000000"/>
              </w:rPr>
              <w:t xml:space="preserve"> (saimnieciskās darbības uzsācējiem – pievienotā vērtība uz vienu strādājošo pirmajā pilnajā saimnieciskās darbības gadā)</w:t>
            </w:r>
            <w:r w:rsidRPr="00C217FE">
              <w:rPr>
                <w:color w:val="000000"/>
              </w:rPr>
              <w:t>;</w:t>
            </w:r>
          </w:p>
          <w:p w:rsidR="00C217FE" w:rsidRPr="00C217FE" w:rsidRDefault="00C217FE" w:rsidP="007E1FF7">
            <w:pPr>
              <w:spacing w:before="120"/>
              <w:rPr>
                <w:color w:val="000000"/>
              </w:rPr>
            </w:pPr>
            <w:r w:rsidRPr="00C217FE">
              <w:rPr>
                <w:color w:val="000000"/>
              </w:rPr>
              <w:t>T</w:t>
            </w:r>
            <w:r w:rsidRPr="00C217FE">
              <w:rPr>
                <w:color w:val="000000"/>
                <w:bdr w:val="none" w:sz="0" w:space="0" w:color="auto" w:frame="1"/>
                <w:vertAlign w:val="subscript"/>
              </w:rPr>
              <w:t>b+2</w:t>
            </w:r>
            <w:r w:rsidRPr="00C217FE">
              <w:rPr>
                <w:color w:val="000000"/>
              </w:rPr>
              <w:t> – pievienotā vērtība uz vienu strādājošo otrajā gadā pēc projekta īstenošanas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20</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3.2.1.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417B7D">
            <w:pPr>
              <w:spacing w:before="120"/>
              <w:rPr>
                <w:color w:val="000000"/>
              </w:rPr>
            </w:pPr>
            <w:r w:rsidRPr="00C217FE">
              <w:rPr>
                <w:color w:val="000000"/>
              </w:rPr>
              <w:t>pievienotās vērtības pieaugums uz vienu strādājošo projekta īstenošanas laikā un nākamajos divos gados pēc projekta īstenošanas pārsniedz 20 % attiecībā pret gadu, kurā uzsākta projekta īstenošana</w:t>
            </w:r>
            <w:r w:rsidR="00417B7D">
              <w:rPr>
                <w:color w:val="000000"/>
              </w:rPr>
              <w:t xml:space="preserve"> (saimnieciskās darbības uzsācējiem pret 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20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3.2.2.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pievienotās vērtības pieaugums uz vienu strādājošo projekta īstenošanas laikā un nākamajos divos gados pēc projekta īstenošanas pārsniedz 10 %, bet nepārsniedz 20 % attiecībā pret gadu, kurā uzsākta projekta īstenošana</w:t>
            </w:r>
            <w:r w:rsidR="00034808">
              <w:rPr>
                <w:color w:val="000000"/>
              </w:rPr>
              <w:t xml:space="preserve"> (saimnieciskās darbības uzsācējiem pret 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3.2.3.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pievienotās vērtības pieaugums uz vienu strādājošo projekta īstenošanas laikā un nākamajos divos gados pēc projekta īstenošanas pārsniedz 5 %, bet nepārsniedz 10 % attiecībā pret gadu, kurā uzsākta projekta īstenošana</w:t>
            </w:r>
            <w:r w:rsidR="00034808">
              <w:rPr>
                <w:color w:val="000000"/>
              </w:rPr>
              <w:t xml:space="preserve"> (saimnieciskās darbības uzsācējiem pret 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3.2.4.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pievienotās vērtības pieaugums uz vienu strādājošo projekta īstenošanas laikā un nākamajos divos gados pēc projekta īstenošanas pārsniedz 3%, bet nepārsniedz 5 % attiecībā pret gadu, kurā uzsākta projekta īstenošana</w:t>
            </w:r>
            <w:r w:rsidR="00034808">
              <w:rPr>
                <w:color w:val="000000"/>
              </w:rPr>
              <w:t xml:space="preserve"> (saimnieciskās darbības uzsācējiem pret pirmo pilno saimnieciskās darbības </w:t>
            </w:r>
            <w:r w:rsidR="00034808">
              <w:rPr>
                <w:color w:val="000000"/>
              </w:rPr>
              <w:lastRenderedPageBreak/>
              <w:t>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lastRenderedPageBreak/>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3.2.5.</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pievienotās vērtības pieaugums uz vienu strādājošo projekta īstenošanas laikā un nākamajos divos gados pēc projekta īstenošanas nepārsniedz 3 % attiecībā pret gadu, kurā uzsākta projekta īstenošana</w:t>
            </w:r>
            <w:r w:rsidR="00034808">
              <w:rPr>
                <w:color w:val="000000"/>
              </w:rPr>
              <w:t xml:space="preserve"> (saimnieciskās darbības uzsācējiem pret 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īstenošanas vieta un tās ietekme uz reģionālo attīstību. Par projekta īstenošanas vietu uzskata vietu, kurā projekta iesniedzējs veic sākotnējos ilgtermiņa ieguldījumus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15</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3.3.1.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īstenošanas vieta atrodas Latgales plānošanas reģionā (atbilstoši normatīvajiem aktiem par plānošanas reģionu teritorijām)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3.3.2.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īstenošanas vieta atrodas ārpus republikas nozīmes pilsētām saskaņā ar </w:t>
            </w:r>
            <w:hyperlink r:id="rId14" w:tgtFrame="_blank" w:history="1">
              <w:r w:rsidRPr="00C217FE">
                <w:rPr>
                  <w:color w:val="000000"/>
                </w:rPr>
                <w:t>Administratīvo teritoriju un apdzīvoto vietu likumu</w:t>
              </w:r>
            </w:hyperlink>
            <w:r w:rsidRPr="00C217FE">
              <w:rPr>
                <w:color w:val="000000"/>
              </w:rPr>
              <w:t> un Latgales plānošanas reģiona (atbilstoši normatīvajiem aktiem par plānošanas reģionu teritorijām)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3.3.3.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īstenošanas vieta atrodas republikas nozīmes pilsētā saskaņā ar </w:t>
            </w:r>
            <w:hyperlink r:id="rId15" w:tgtFrame="_blank" w:history="1">
              <w:r w:rsidRPr="00C217FE">
                <w:rPr>
                  <w:color w:val="000000"/>
                </w:rPr>
                <w:t>Administratīvo teritoriju un apdzīvoto vietu likumu</w:t>
              </w:r>
            </w:hyperlink>
            <w:r w:rsidRPr="00C217FE">
              <w:rPr>
                <w:color w:val="000000"/>
              </w:rPr>
              <w:t>, bet ārpus Daugavpils, Rēzeknes un Rīgas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3.3.4.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īstenošanas vieta atrodas Rīgā</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55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Darbavietu skaita izmaiņas projekta īstenošanas laikā un nākamajos divos gados pēc projekta īstenošanas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20</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3.4.1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no projekta uzsākšanas gada līdz otrajam gadam (ieskaitot) pēc projekta īstenošanas izveidotas vairāk nekā 80 jaunas darbavietas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20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3.4.2.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no projekta uzsākšanas gada līdz otrajam gadam (ieskaitot) pēc projekta īstenošanas izveidotas no 51 līdz 80 jaunas darbavietas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3.4.3.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no projekta uzsākšanas gada līdz otrajam gadam (ieskaitot) pēc projekta īstenošanas izveidotas no 31 līdz 50 jaunas darbavietas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3.4.4.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no projekta uzsākšanas gada līdz otrajam gadam (ieskaitot) pēc projekta īstenošanas izveidotas no 1 līdz 30 jaunas darbavietas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3.4.5.</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no projekta uzsākšanas gada līdz otrajam gadam (ieskaitot) pēc projekta īstenošanas nav izveidotas jaunas darbavietas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3.5.</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EC4AF7">
            <w:pPr>
              <w:spacing w:before="120"/>
              <w:rPr>
                <w:color w:val="000000"/>
              </w:rPr>
            </w:pPr>
            <w:r w:rsidRPr="00C217FE">
              <w:rPr>
                <w:color w:val="000000"/>
              </w:rPr>
              <w:t>Projekta iesniedzēja vidējais bruto darba algu līmenis (par pēdējo noslēgto finanšu gadu</w:t>
            </w:r>
            <w:r w:rsidR="00EC4AF7">
              <w:rPr>
                <w:color w:val="000000"/>
              </w:rPr>
              <w:t>, saimnieciskās darbības uzsācējiem – plānotais rādītājs par pirmo pilno saimnieciskās darbības gadu</w:t>
            </w:r>
            <w:r w:rsidRPr="00C217FE">
              <w:rPr>
                <w:color w:val="000000"/>
              </w:rPr>
              <w:t xml:space="preserve">) attiecībā pret tā pamatdarbības nozares (NACE 2. red.) vidējo rādītāju (tiek attiecināts pret Centrālās statistikas pārvaldes datiem par pēdējo pieejamo </w:t>
            </w:r>
            <w:r w:rsidRPr="00C217FE">
              <w:rPr>
                <w:color w:val="000000"/>
              </w:rPr>
              <w:lastRenderedPageBreak/>
              <w:t>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lastRenderedPageBreak/>
              <w:t>maksimālais skaits – 5</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3.5.1.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iesniedzēja vidējais bruto darba algu līmenis pārsniedz tā pamatdarbības nozares vidējo rādītāju vairāk kā par 20%</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3.5.2.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iesniedzēja vidējais bruto darba algu līmenis pārsniedz tā pamatdarbības nozares vidējo rādītāju mazāk kā par 20 %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3</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3.5.3.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iesniedzēja vidējais bruto darba algu līmenis nepārsniedz tā pamatdarbības nozares vidējo rādītāju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3.6.</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Darbaspēka nodokļu (IIN un VSAOI) maksājumu pieaugums projekta īstenošanas laikā un nākamajos divos gados pēc projekta īstenošanas.</w:t>
            </w:r>
          </w:p>
          <w:p w:rsidR="00C217FE" w:rsidRPr="00C217FE" w:rsidRDefault="00C217FE" w:rsidP="007E1FF7">
            <w:pPr>
              <w:spacing w:before="120"/>
              <w:rPr>
                <w:color w:val="000000"/>
              </w:rPr>
            </w:pPr>
            <w:r w:rsidRPr="00C217FE">
              <w:rPr>
                <w:color w:val="000000"/>
              </w:rPr>
              <w:t>Darbaspēka nodokļu maksājumu pieaugums tiek rēķināts, izmantojot šādu formulu:</w:t>
            </w:r>
          </w:p>
          <w:p w:rsidR="00C217FE" w:rsidRPr="00C217FE" w:rsidRDefault="00C217FE" w:rsidP="007E1FF7">
            <w:pPr>
              <w:spacing w:before="120"/>
              <w:rPr>
                <w:color w:val="000000"/>
              </w:rPr>
            </w:pPr>
            <w:r w:rsidRPr="00C217FE">
              <w:rPr>
                <w:color w:val="000000"/>
              </w:rPr>
              <w:t>P = T</w:t>
            </w:r>
            <w:r w:rsidRPr="00C217FE">
              <w:rPr>
                <w:color w:val="000000"/>
                <w:bdr w:val="none" w:sz="0" w:space="0" w:color="auto" w:frame="1"/>
                <w:vertAlign w:val="subscript"/>
              </w:rPr>
              <w:t>b+2</w:t>
            </w:r>
            <w:r w:rsidRPr="00C217FE">
              <w:rPr>
                <w:color w:val="000000"/>
              </w:rPr>
              <w:t>/Ts x 100-100, kur</w:t>
            </w:r>
          </w:p>
          <w:p w:rsidR="00C217FE" w:rsidRPr="00C217FE" w:rsidRDefault="00C217FE" w:rsidP="007E1FF7">
            <w:pPr>
              <w:spacing w:before="120"/>
              <w:rPr>
                <w:color w:val="000000"/>
              </w:rPr>
            </w:pPr>
            <w:r w:rsidRPr="00C217FE">
              <w:rPr>
                <w:color w:val="000000"/>
              </w:rPr>
              <w:t>P – darbaspēka nodokļu maksājumu pieaugums;</w:t>
            </w:r>
          </w:p>
          <w:p w:rsidR="00C217FE" w:rsidRPr="00C217FE" w:rsidRDefault="00C217FE" w:rsidP="007E1FF7">
            <w:pPr>
              <w:spacing w:before="120"/>
              <w:rPr>
                <w:color w:val="000000"/>
              </w:rPr>
            </w:pPr>
            <w:r w:rsidRPr="00C217FE">
              <w:rPr>
                <w:color w:val="000000"/>
              </w:rPr>
              <w:t>T</w:t>
            </w:r>
            <w:r w:rsidRPr="00C217FE">
              <w:rPr>
                <w:color w:val="000000"/>
                <w:bdr w:val="none" w:sz="0" w:space="0" w:color="auto" w:frame="1"/>
                <w:vertAlign w:val="subscript"/>
              </w:rPr>
              <w:t>s</w:t>
            </w:r>
            <w:r w:rsidRPr="00C217FE">
              <w:rPr>
                <w:color w:val="000000"/>
              </w:rPr>
              <w:t> – darbaspēka nodokļu maksājumu apjoms gadā, kad uzsākta projekta īstenošana;</w:t>
            </w:r>
          </w:p>
          <w:p w:rsidR="00C217FE" w:rsidRDefault="00C217FE" w:rsidP="007E1FF7">
            <w:pPr>
              <w:spacing w:before="120"/>
              <w:rPr>
                <w:color w:val="000000"/>
              </w:rPr>
            </w:pPr>
            <w:r w:rsidRPr="00C217FE">
              <w:rPr>
                <w:color w:val="000000"/>
              </w:rPr>
              <w:t>T</w:t>
            </w:r>
            <w:r w:rsidRPr="00C217FE">
              <w:rPr>
                <w:color w:val="000000"/>
                <w:bdr w:val="none" w:sz="0" w:space="0" w:color="auto" w:frame="1"/>
                <w:vertAlign w:val="subscript"/>
              </w:rPr>
              <w:t>b+2</w:t>
            </w:r>
            <w:r w:rsidRPr="00C217FE">
              <w:rPr>
                <w:color w:val="000000"/>
              </w:rPr>
              <w:t> – darbaspēka nodokļu maksājumu apjoms otrajā gadā pēc projekta īstenošanas</w:t>
            </w:r>
          </w:p>
          <w:p w:rsidR="002E2B3A" w:rsidRPr="00C217FE" w:rsidRDefault="002E2B3A" w:rsidP="0022494A">
            <w:pPr>
              <w:spacing w:before="120"/>
              <w:rPr>
                <w:color w:val="000000"/>
              </w:rPr>
            </w:pPr>
            <w:r>
              <w:rPr>
                <w:color w:val="000000"/>
              </w:rPr>
              <w:t>Saimnieciskās darbības uzsācējiem piešķir maksimālo punktu skaitu</w:t>
            </w:r>
            <w:r w:rsidR="00D86766">
              <w:rPr>
                <w:color w:val="000000"/>
              </w:rPr>
              <w:t xml:space="preserve"> (15 punkti)</w:t>
            </w:r>
            <w:r>
              <w:rPr>
                <w:color w:val="000000"/>
              </w:rPr>
              <w:t>, jo darbaspēka nodokļu maksājumu pieaugums ir prognozēto da</w:t>
            </w:r>
            <w:r w:rsidR="0022494A">
              <w:rPr>
                <w:color w:val="000000"/>
              </w:rPr>
              <w:t>rbaspēka nodokļu maksājumu summa otrajā gadā pēc projekta īstenošanas</w:t>
            </w:r>
            <w:r>
              <w:rPr>
                <w:color w:val="000000"/>
              </w:rPr>
              <w:t>.</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15</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3.6.1.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darbaspēka nodokļu maksājumu pieaugums projekta īstenošanas laikā un nākamajos divos gados pēc projekta īstenošanas pārsniedz 20 % attiecībā pret gadu, kurā uzsākta projekta īstenošana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3.6.2.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darbaspēka nodokļu maksājumu pieaugums projekta īstenošanas laikā un nākamajos divos gados pēc projekta īstenošanas pārsniedz 8%, bet nepārsniedz 20 % attiecībā pret gadu, kurā uzsākta projekta īstenošana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3.6.3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darbaspēka nodokļu maksājumu pieaugums projekta īstenošanas laikā un nākamajos divos gados pēc projekta īstenošanas nepārsniedz 8% attiecībā pret gadu, kurā uzsākta projekta īstenošana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3.6.4.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īstenošanas laikā un nākamajos divos gados pēc projekta īstenošanas nav plānots darbaspēka nodokļu maksājumu pieaugums attiecībā pret gadu, kurā uzsākta projekta īstenošana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3.7.</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īstenošanas nozares tehnoloģiskais līmenis (NACE 2. red.)</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15</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lastRenderedPageBreak/>
              <w:t>3.7.1.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projekts tiks īstenots vienā no šādām augsti tehnoloģiskām apstrādes rūpniecības nozarēm:</w:t>
            </w:r>
          </w:p>
          <w:p w:rsidR="00C217FE" w:rsidRPr="00C217FE" w:rsidRDefault="00C217FE" w:rsidP="007E1FF7">
            <w:pPr>
              <w:spacing w:before="120"/>
              <w:rPr>
                <w:color w:val="000000"/>
              </w:rPr>
            </w:pPr>
            <w:r w:rsidRPr="00C217FE">
              <w:rPr>
                <w:color w:val="000000"/>
              </w:rPr>
              <w:t>farmaceitisko pamatvielu un farmaceitisko preparātu ražošana (C21), datoru, elektronisko un optisko iekārtu ražošana (C26), lidaparātu, kosmisko aparātu un to iekārtu ražošana (C30.3)</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3.7.2.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projekts tiks īstenots vienā no šādām vidēji augsti tehnoloģiskām apstrādes rūpniecības nozarēm:</w:t>
            </w:r>
          </w:p>
          <w:p w:rsidR="00C217FE" w:rsidRPr="00C217FE" w:rsidRDefault="00C217FE" w:rsidP="007E1FF7">
            <w:pPr>
              <w:spacing w:before="120"/>
              <w:rPr>
                <w:color w:val="000000"/>
              </w:rPr>
            </w:pPr>
            <w:r w:rsidRPr="00C217FE">
              <w:rPr>
                <w:color w:val="000000"/>
              </w:rPr>
              <w:t>ķīmisko vielu un ķīmisko produktu ražošana (C20), izņemot sintētisko šķiedru ražošanu (C20.6), elektrisko iekārtu ražošana (C27), citur nekvalificētu iekārtu, mehānismu un darba mašīnu ražošana (C28), automobiļu, piekabju un puspiekabju ražošana (C29), citu transportlīdzekļu ražošana (C30), izņemot kuģu un peldošo iekārtu būvi (C30.11) un lidaparātu, kosmisko aparātu un to iekārtu ražošanu (C30.3)</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3.7.3.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projekts tiks īstenots nozarēs, kas nav minētas 3.7.1. un 3.7.2. apakšpunktā</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3.8.</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iesniedzēja neto apgrozījuma pieaugums projekta īstenošanas laikā un nākamajos divos gados pēc projekta īstenošanas.</w:t>
            </w:r>
          </w:p>
          <w:p w:rsidR="00C217FE" w:rsidRPr="00C217FE" w:rsidRDefault="00C217FE" w:rsidP="007E1FF7">
            <w:pPr>
              <w:spacing w:before="120"/>
              <w:rPr>
                <w:color w:val="000000"/>
              </w:rPr>
            </w:pPr>
            <w:r w:rsidRPr="00C217FE">
              <w:rPr>
                <w:color w:val="000000"/>
              </w:rPr>
              <w:t>Neto apgrozījuma pieaugums tiek rēķināts, izmantojot šādu formulu:</w:t>
            </w:r>
          </w:p>
          <w:p w:rsidR="00C217FE" w:rsidRPr="00C217FE" w:rsidRDefault="00C217FE" w:rsidP="007E1FF7">
            <w:pPr>
              <w:spacing w:before="120"/>
              <w:rPr>
                <w:color w:val="000000"/>
              </w:rPr>
            </w:pPr>
            <w:r w:rsidRPr="00C217FE">
              <w:rPr>
                <w:color w:val="000000"/>
              </w:rPr>
              <w:t>P = T</w:t>
            </w:r>
            <w:r w:rsidRPr="00C217FE">
              <w:rPr>
                <w:color w:val="000000"/>
                <w:bdr w:val="none" w:sz="0" w:space="0" w:color="auto" w:frame="1"/>
                <w:vertAlign w:val="subscript"/>
              </w:rPr>
              <w:t>b+2</w:t>
            </w:r>
            <w:r w:rsidRPr="00C217FE">
              <w:rPr>
                <w:color w:val="000000"/>
              </w:rPr>
              <w:t>/T</w:t>
            </w:r>
            <w:r w:rsidRPr="00C217FE">
              <w:rPr>
                <w:color w:val="000000"/>
                <w:bdr w:val="none" w:sz="0" w:space="0" w:color="auto" w:frame="1"/>
                <w:vertAlign w:val="subscript"/>
              </w:rPr>
              <w:t>s</w:t>
            </w:r>
            <w:r w:rsidRPr="00C217FE">
              <w:rPr>
                <w:color w:val="000000"/>
              </w:rPr>
              <w:t> x 100-100, kur</w:t>
            </w:r>
          </w:p>
          <w:p w:rsidR="00C217FE" w:rsidRPr="00C217FE" w:rsidRDefault="00C217FE" w:rsidP="007E1FF7">
            <w:pPr>
              <w:spacing w:before="120"/>
              <w:rPr>
                <w:color w:val="000000"/>
              </w:rPr>
            </w:pPr>
            <w:r w:rsidRPr="00C217FE">
              <w:rPr>
                <w:color w:val="000000"/>
              </w:rPr>
              <w:t>P – neto apgrozījuma pieaugums;</w:t>
            </w:r>
          </w:p>
          <w:p w:rsidR="00C217FE" w:rsidRPr="00C217FE" w:rsidRDefault="00C217FE" w:rsidP="0087486E">
            <w:pPr>
              <w:spacing w:before="240"/>
              <w:rPr>
                <w:color w:val="000000"/>
              </w:rPr>
            </w:pPr>
            <w:r w:rsidRPr="00C217FE">
              <w:rPr>
                <w:color w:val="000000"/>
              </w:rPr>
              <w:t>T</w:t>
            </w:r>
            <w:r w:rsidRPr="00C217FE">
              <w:rPr>
                <w:color w:val="000000"/>
                <w:bdr w:val="none" w:sz="0" w:space="0" w:color="auto" w:frame="1"/>
                <w:vertAlign w:val="subscript"/>
              </w:rPr>
              <w:t>s</w:t>
            </w:r>
            <w:r w:rsidRPr="00C217FE">
              <w:rPr>
                <w:color w:val="000000"/>
              </w:rPr>
              <w:t> – neto apgrozījums gadā, kad uzsākta projekta īstenošana</w:t>
            </w:r>
            <w:r w:rsidR="0087486E">
              <w:rPr>
                <w:color w:val="000000"/>
              </w:rPr>
              <w:t xml:space="preserve"> (saimnieciskās darbības uzsācējiem – plānotais</w:t>
            </w:r>
            <w:r w:rsidR="00FA6DF2">
              <w:rPr>
                <w:color w:val="000000"/>
              </w:rPr>
              <w:t xml:space="preserve"> neto apgrozījums gadā</w:t>
            </w:r>
            <w:r w:rsidR="0087486E">
              <w:rPr>
                <w:color w:val="000000"/>
              </w:rPr>
              <w:t xml:space="preserve"> par pirmo pilno saimnieciskās darbības gadu)</w:t>
            </w:r>
            <w:r w:rsidRPr="00C217FE">
              <w:rPr>
                <w:color w:val="000000"/>
              </w:rPr>
              <w:t>;</w:t>
            </w:r>
          </w:p>
          <w:p w:rsidR="00C217FE" w:rsidRPr="00C217FE" w:rsidRDefault="00C217FE" w:rsidP="007E1FF7">
            <w:pPr>
              <w:spacing w:before="120"/>
              <w:rPr>
                <w:color w:val="000000"/>
              </w:rPr>
            </w:pPr>
            <w:r w:rsidRPr="00C217FE">
              <w:rPr>
                <w:color w:val="000000"/>
              </w:rPr>
              <w:t>T</w:t>
            </w:r>
            <w:r w:rsidRPr="00C217FE">
              <w:rPr>
                <w:color w:val="000000"/>
                <w:bdr w:val="none" w:sz="0" w:space="0" w:color="auto" w:frame="1"/>
                <w:vertAlign w:val="subscript"/>
              </w:rPr>
              <w:t>b+2</w:t>
            </w:r>
            <w:r w:rsidRPr="00C217FE">
              <w:rPr>
                <w:color w:val="000000"/>
              </w:rPr>
              <w:t> – neto apgrozījums otrajā gadā pēc projekta īstenošanas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10</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3.8.1.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neto apgrozījuma pieaugums projekta īstenošanas laikā un nākamajos divos gados pēc projekta īstenošanas pārsniedz 20 % attiecībā pret gadu, kurā uzsākta projekta īstenošana</w:t>
            </w:r>
            <w:r w:rsidR="00880C80">
              <w:rPr>
                <w:color w:val="000000"/>
              </w:rPr>
              <w:t xml:space="preserve"> (saimnieciskās darbības uzsācējiem pret 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3.8.2.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neto apgrozījuma pieaugums projekta īstenošanas laikā un nākamajos divos gados pēc projekta īstenošanas pārsniedz 12 %, bet nepārsniedz 20 % attiecībā pret gadu, kurā uzsākta projekta īstenošana</w:t>
            </w:r>
            <w:r w:rsidR="00880C80">
              <w:rPr>
                <w:color w:val="000000"/>
              </w:rPr>
              <w:t xml:space="preserve"> (saimnieciskās darbības uzsācējiem pret 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3.8.3.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neto apgrozījuma pieaugums projekta īstenošanas laikā un nākamajos divos gados pēc projekta īstenošanas pārsniedz 3%, bet nepārsniedz 12 % attiecībā pret gadu, kurā uzsākta projekta īstenošana</w:t>
            </w:r>
            <w:r w:rsidR="00880C80">
              <w:rPr>
                <w:color w:val="000000"/>
              </w:rPr>
              <w:t xml:space="preserve"> (saimnieciskās darbības uzsācējiem pret </w:t>
            </w:r>
            <w:r w:rsidR="00880C80">
              <w:rPr>
                <w:color w:val="000000"/>
              </w:rPr>
              <w:lastRenderedPageBreak/>
              <w:t>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lastRenderedPageBreak/>
              <w:t>3</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3.8.4.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neto apgrozījuma pieaugums projekta īstenošanas laikā un nākamajos divos gados pēc projekta īstenošanas nepārsniedz 3% attiecībā pret gadu, kurā uzsākta projekta īstenošana</w:t>
            </w:r>
            <w:r w:rsidR="00880C80">
              <w:rPr>
                <w:color w:val="000000"/>
              </w:rPr>
              <w:t xml:space="preserve"> (saimnieciskās darbības uzsācējiem pret pirmo pilno saimnieciskās darbības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3.9.</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iesniedzēja eksporta īpatsvars no kopējā neto apgrozījuma vidēji nākamajos divos gados pēc projekta īstenošanas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20</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3.9.1.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eksporta īpatsvars vidēji nākamajos divos gados pēc projekta īstenošanas pārsniedz 95 % no kopējā neto apgrozījuma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20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3.9.2.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eksporta īpatsvars vidēji nākamajos divos gados pēc projekta īstenošanas pārsniedz 75 %, bet nepārsniedz 95 % no kopējā neto apgrozījuma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3.9.3.</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eksporta īpatsvars vidēji nākamajos divos gados pēc projekta īstenošanas pārsniedz 50%, bet nepārsniedz 75% no kopējā neto apgrozījuma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3.9.4.</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eksporta īpatsvars vidēji nākamajos divos gados pēc projekta īstenošanas pārsniedz 30 %, bet nepārsniedz 50 % no kopējā neto apgrozījuma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rPr>
                <w:color w:val="000000"/>
              </w:rPr>
            </w:pP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3.9.5.</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eksporta īpatsvars vidēji nākamajos divos gados pēc projekta īstenošanas nepārsniedz 30 % no kopējā neto apgrozījuma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55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3.10.</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Projekta paredzamā ietekme uz vidi</w:t>
            </w:r>
          </w:p>
        </w:tc>
        <w:tc>
          <w:tcPr>
            <w:tcW w:w="800" w:type="pct"/>
            <w:tcBorders>
              <w:top w:val="outset" w:sz="6" w:space="0" w:color="414142"/>
              <w:left w:val="outset" w:sz="6" w:space="0" w:color="414142"/>
              <w:bottom w:val="outset" w:sz="6" w:space="0" w:color="414142"/>
              <w:right w:val="outset" w:sz="6" w:space="0" w:color="414142"/>
            </w:tcBorders>
            <w:vAlign w:val="bottom"/>
            <w:hideMark/>
          </w:tcPr>
          <w:p w:rsidR="00C217FE" w:rsidRPr="00C217FE" w:rsidRDefault="00C217FE" w:rsidP="007E1FF7">
            <w:pPr>
              <w:spacing w:before="120"/>
              <w:jc w:val="center"/>
              <w:rPr>
                <w:color w:val="000000"/>
              </w:rPr>
            </w:pPr>
            <w:r w:rsidRPr="00C217FE">
              <w:rPr>
                <w:color w:val="000000"/>
              </w:rPr>
              <w:t>maksimālais skaits – 5</w:t>
            </w:r>
          </w:p>
        </w:tc>
        <w:tc>
          <w:tcPr>
            <w:tcW w:w="55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3.10.1.</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īstenojot projektu, tiek sasniegti vismaz divi no šādiem mērķiem:</w:t>
            </w:r>
          </w:p>
          <w:p w:rsidR="00C217FE" w:rsidRPr="00C217FE" w:rsidRDefault="00C217FE" w:rsidP="007E1FF7">
            <w:pPr>
              <w:spacing w:before="120"/>
              <w:rPr>
                <w:color w:val="000000"/>
              </w:rPr>
            </w:pPr>
            <w:r w:rsidRPr="00C217FE">
              <w:rPr>
                <w:color w:val="000000"/>
              </w:rPr>
              <w:t>1) vides piesārņojuma samazināšana un kontrole;</w:t>
            </w:r>
          </w:p>
          <w:p w:rsidR="00C217FE" w:rsidRPr="00C217FE" w:rsidRDefault="00C217FE" w:rsidP="007E1FF7">
            <w:pPr>
              <w:spacing w:before="120"/>
              <w:rPr>
                <w:color w:val="000000"/>
              </w:rPr>
            </w:pPr>
            <w:r w:rsidRPr="00C217FE">
              <w:rPr>
                <w:color w:val="000000"/>
              </w:rPr>
              <w:t>2) kvalitatīvas dzīves vides nodrošināšana;</w:t>
            </w:r>
          </w:p>
          <w:p w:rsidR="00C217FE" w:rsidRPr="00C217FE" w:rsidRDefault="00C217FE" w:rsidP="007E1FF7">
            <w:pPr>
              <w:spacing w:before="120"/>
              <w:rPr>
                <w:color w:val="000000"/>
              </w:rPr>
            </w:pPr>
            <w:r w:rsidRPr="00C217FE">
              <w:rPr>
                <w:color w:val="000000"/>
              </w:rPr>
              <w:t>3) dabas un energoresursu racionāla izmantošana;</w:t>
            </w:r>
          </w:p>
          <w:p w:rsidR="00C217FE" w:rsidRPr="00C217FE" w:rsidRDefault="00C217FE" w:rsidP="007E1FF7">
            <w:pPr>
              <w:spacing w:before="120"/>
              <w:rPr>
                <w:color w:val="000000"/>
              </w:rPr>
            </w:pPr>
            <w:r w:rsidRPr="00C217FE">
              <w:rPr>
                <w:color w:val="000000"/>
              </w:rPr>
              <w:t>4) draudu novēršana iedzīvotāju veselībai</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5</w:t>
            </w:r>
          </w:p>
        </w:tc>
        <w:tc>
          <w:tcPr>
            <w:tcW w:w="55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3.10.2.</w:t>
            </w:r>
          </w:p>
        </w:tc>
        <w:tc>
          <w:tcPr>
            <w:tcW w:w="330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rPr>
                <w:color w:val="000000"/>
              </w:rPr>
            </w:pPr>
            <w:r w:rsidRPr="00C217FE">
              <w:rPr>
                <w:color w:val="000000"/>
              </w:rPr>
              <w:t>īstenojot projektu, netiek sasniegti vismaz divi no šādiem mērķiem:</w:t>
            </w:r>
          </w:p>
          <w:p w:rsidR="00C217FE" w:rsidRPr="00C217FE" w:rsidRDefault="00C217FE" w:rsidP="007E1FF7">
            <w:pPr>
              <w:spacing w:before="120"/>
              <w:rPr>
                <w:color w:val="000000"/>
              </w:rPr>
            </w:pPr>
            <w:r w:rsidRPr="00C217FE">
              <w:rPr>
                <w:color w:val="000000"/>
              </w:rPr>
              <w:t>1) vides piesārņojuma samazināšana un kontrole;</w:t>
            </w:r>
          </w:p>
          <w:p w:rsidR="00C217FE" w:rsidRPr="00C217FE" w:rsidRDefault="00C217FE" w:rsidP="007E1FF7">
            <w:pPr>
              <w:spacing w:before="120"/>
              <w:rPr>
                <w:color w:val="000000"/>
              </w:rPr>
            </w:pPr>
            <w:r w:rsidRPr="00C217FE">
              <w:rPr>
                <w:color w:val="000000"/>
              </w:rPr>
              <w:t>2) kvalitatīvas dzīves vides nodrošināšana;</w:t>
            </w:r>
          </w:p>
          <w:p w:rsidR="00C217FE" w:rsidRPr="00C217FE" w:rsidRDefault="00C217FE" w:rsidP="007E1FF7">
            <w:pPr>
              <w:spacing w:before="120"/>
              <w:rPr>
                <w:color w:val="000000"/>
              </w:rPr>
            </w:pPr>
            <w:r w:rsidRPr="00C217FE">
              <w:rPr>
                <w:color w:val="000000"/>
              </w:rPr>
              <w:t>3) dabas un energoresursu racionāla izmantošana;</w:t>
            </w:r>
          </w:p>
          <w:p w:rsidR="00C217FE" w:rsidRPr="00C217FE" w:rsidRDefault="00C217FE" w:rsidP="007E1FF7">
            <w:pPr>
              <w:spacing w:before="120"/>
              <w:rPr>
                <w:color w:val="000000"/>
              </w:rPr>
            </w:pPr>
            <w:r w:rsidRPr="00C217FE">
              <w:rPr>
                <w:color w:val="000000"/>
              </w:rPr>
              <w:t>4) draudu novēršana iedzīvotāju veselībai</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0</w:t>
            </w:r>
          </w:p>
        </w:tc>
        <w:tc>
          <w:tcPr>
            <w:tcW w:w="550" w:type="pct"/>
            <w:tcBorders>
              <w:top w:val="outset" w:sz="6" w:space="0" w:color="414142"/>
              <w:left w:val="outset" w:sz="6" w:space="0" w:color="414142"/>
              <w:bottom w:val="outset" w:sz="6" w:space="0" w:color="414142"/>
              <w:right w:val="outset" w:sz="6" w:space="0" w:color="414142"/>
            </w:tcBorders>
            <w:hideMark/>
          </w:tcPr>
          <w:p w:rsidR="00C217FE" w:rsidRPr="00C217FE" w:rsidRDefault="00C217FE" w:rsidP="007E1FF7">
            <w:pPr>
              <w:spacing w:before="120"/>
              <w:jc w:val="center"/>
              <w:rPr>
                <w:color w:val="000000"/>
              </w:rPr>
            </w:pPr>
            <w:r w:rsidRPr="00C217FE">
              <w:rPr>
                <w:color w:val="000000"/>
              </w:rPr>
              <w:t> </w:t>
            </w:r>
          </w:p>
        </w:tc>
      </w:tr>
      <w:tr w:rsidR="00C217FE" w:rsidRPr="00BB7A53" w:rsidTr="007E1FF7">
        <w:tc>
          <w:tcPr>
            <w:tcW w:w="3700" w:type="pct"/>
            <w:gridSpan w:val="2"/>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right"/>
              <w:rPr>
                <w:color w:val="000000"/>
              </w:rPr>
            </w:pPr>
            <w:r w:rsidRPr="00C217FE">
              <w:rPr>
                <w:color w:val="000000"/>
              </w:rPr>
              <w:t>Kopā</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maksimālais skaits – 145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217FE" w:rsidRPr="00C217FE" w:rsidRDefault="00C217FE" w:rsidP="007E1FF7">
            <w:pPr>
              <w:spacing w:before="120"/>
              <w:jc w:val="center"/>
              <w:rPr>
                <w:color w:val="000000"/>
              </w:rPr>
            </w:pPr>
            <w:r w:rsidRPr="00C217FE">
              <w:rPr>
                <w:color w:val="000000"/>
              </w:rPr>
              <w:t>minimālais skaits – 45</w:t>
            </w:r>
          </w:p>
        </w:tc>
      </w:tr>
    </w:tbl>
    <w:p w:rsidR="00C217FE" w:rsidRPr="00C217FE" w:rsidRDefault="00C217FE" w:rsidP="00C217FE">
      <w:pPr>
        <w:spacing w:before="120"/>
        <w:rPr>
          <w:color w:val="000000"/>
        </w:rPr>
      </w:pPr>
      <w:r w:rsidRPr="00C217FE">
        <w:rPr>
          <w:color w:val="000000"/>
        </w:rPr>
        <w:lastRenderedPageBreak/>
        <w:t>* Piezīmes.</w:t>
      </w:r>
    </w:p>
    <w:p w:rsidR="00C217FE" w:rsidRDefault="00C217FE" w:rsidP="00C217FE">
      <w:pPr>
        <w:spacing w:before="120"/>
        <w:rPr>
          <w:color w:val="000000"/>
        </w:rPr>
      </w:pPr>
      <w:r w:rsidRPr="00C217FE">
        <w:rPr>
          <w:color w:val="000000"/>
        </w:rPr>
        <w:t>1. N – negatīvs vērtējums (projekta pieteikumu noraida).</w:t>
      </w:r>
    </w:p>
    <w:p w:rsidR="00C217FE" w:rsidRPr="00C217FE" w:rsidRDefault="00C217FE" w:rsidP="00C217FE">
      <w:pPr>
        <w:spacing w:before="120"/>
        <w:rPr>
          <w:color w:val="000000"/>
        </w:rPr>
      </w:pPr>
      <w:r>
        <w:rPr>
          <w:color w:val="000000"/>
        </w:rPr>
        <w:t>2.</w:t>
      </w:r>
      <w:r w:rsidRPr="00C217FE">
        <w:rPr>
          <w:color w:val="000000"/>
        </w:rPr>
        <w:t> P – ja vērtējums ir negatīvs, komisija var lūgt precizēt projekta pieteikumu vai papildus iesniegt nepieciešamos dokumentus.</w:t>
      </w:r>
    </w:p>
    <w:p w:rsidR="00C217FE" w:rsidRDefault="00C217FE" w:rsidP="00D057F9">
      <w:pPr>
        <w:ind w:right="-765"/>
        <w:jc w:val="center"/>
        <w:rPr>
          <w:b/>
          <w:sz w:val="28"/>
          <w:szCs w:val="28"/>
        </w:rPr>
      </w:pPr>
    </w:p>
    <w:p w:rsidR="00884716" w:rsidRPr="00A1584C" w:rsidRDefault="00884716" w:rsidP="00D057F9">
      <w:pPr>
        <w:pStyle w:val="tvhtml"/>
        <w:spacing w:before="0" w:beforeAutospacing="0" w:after="0" w:afterAutospacing="0"/>
        <w:jc w:val="both"/>
        <w:rPr>
          <w:rFonts w:ascii="Times New Roman" w:hAnsi="Times New Roman"/>
          <w:sz w:val="24"/>
          <w:szCs w:val="24"/>
        </w:rPr>
      </w:pPr>
    </w:p>
    <w:p w:rsidR="0040369D" w:rsidRDefault="0040369D" w:rsidP="00D057F9">
      <w:pPr>
        <w:rPr>
          <w:sz w:val="28"/>
          <w:szCs w:val="28"/>
        </w:rPr>
      </w:pPr>
    </w:p>
    <w:p w:rsidR="0040369D" w:rsidRDefault="0040369D" w:rsidP="00D057F9">
      <w:pPr>
        <w:rPr>
          <w:sz w:val="28"/>
          <w:szCs w:val="28"/>
        </w:rPr>
      </w:pPr>
    </w:p>
    <w:p w:rsidR="002074CD" w:rsidRPr="00B655C1" w:rsidRDefault="002074CD" w:rsidP="002074CD">
      <w:pPr>
        <w:ind w:right="42"/>
        <w:rPr>
          <w:sz w:val="28"/>
          <w:szCs w:val="28"/>
        </w:rPr>
      </w:pPr>
      <w:r w:rsidRPr="00B655C1">
        <w:rPr>
          <w:sz w:val="28"/>
          <w:szCs w:val="28"/>
        </w:rPr>
        <w:tab/>
      </w:r>
      <w:r w:rsidRPr="00B655C1">
        <w:rPr>
          <w:sz w:val="28"/>
          <w:szCs w:val="28"/>
        </w:rPr>
        <w:tab/>
      </w:r>
    </w:p>
    <w:p w:rsidR="00E77983" w:rsidRPr="00E77983" w:rsidRDefault="00E77983" w:rsidP="00E77983">
      <w:pPr>
        <w:jc w:val="both"/>
        <w:rPr>
          <w:rFonts w:eastAsia="Calibri"/>
          <w:lang w:eastAsia="en-US"/>
        </w:rPr>
      </w:pPr>
      <w:r w:rsidRPr="00E77983">
        <w:rPr>
          <w:rFonts w:eastAsia="Calibri"/>
          <w:lang w:eastAsia="en-US"/>
        </w:rPr>
        <w:t xml:space="preserve">Ministru prezidents </w:t>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t xml:space="preserve">      </w:t>
      </w:r>
      <w:r w:rsidRPr="00E77983">
        <w:rPr>
          <w:rFonts w:eastAsia="Calibri"/>
          <w:lang w:eastAsia="en-US"/>
        </w:rPr>
        <w:tab/>
      </w:r>
      <w:r w:rsidRPr="00E77983">
        <w:rPr>
          <w:rFonts w:eastAsia="Calibri"/>
          <w:lang w:eastAsia="en-US"/>
        </w:rPr>
        <w:tab/>
        <w:t>M. Kučinskis</w:t>
      </w:r>
    </w:p>
    <w:p w:rsidR="00E77983" w:rsidRPr="00E77983" w:rsidRDefault="00E77983" w:rsidP="00E77983">
      <w:pPr>
        <w:jc w:val="both"/>
        <w:rPr>
          <w:rFonts w:eastAsia="Calibri"/>
          <w:lang w:eastAsia="en-US"/>
        </w:rPr>
      </w:pP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t xml:space="preserve">     </w:t>
      </w:r>
      <w:r w:rsidRPr="00E77983">
        <w:rPr>
          <w:rFonts w:eastAsia="Calibri"/>
          <w:lang w:eastAsia="en-US"/>
        </w:rPr>
        <w:tab/>
      </w:r>
      <w:r w:rsidRPr="00E77983">
        <w:rPr>
          <w:rFonts w:eastAsia="Calibri"/>
          <w:lang w:eastAsia="en-US"/>
        </w:rPr>
        <w:tab/>
      </w:r>
      <w:r w:rsidRPr="00E77983">
        <w:rPr>
          <w:rFonts w:eastAsia="Calibri"/>
          <w:lang w:eastAsia="en-US"/>
        </w:rPr>
        <w:tab/>
      </w:r>
    </w:p>
    <w:p w:rsidR="00E77983" w:rsidRPr="00E77983" w:rsidRDefault="00E77983" w:rsidP="00E77983">
      <w:pPr>
        <w:jc w:val="both"/>
        <w:rPr>
          <w:rFonts w:eastAsia="Calibri"/>
          <w:lang w:eastAsia="en-US"/>
        </w:rPr>
      </w:pPr>
      <w:r w:rsidRPr="00E77983">
        <w:rPr>
          <w:rFonts w:eastAsia="Calibri"/>
          <w:lang w:eastAsia="en-US"/>
        </w:rPr>
        <w:t>Ministru prezidenta biedrs,</w:t>
      </w:r>
    </w:p>
    <w:p w:rsidR="00E77983" w:rsidRPr="00E77983" w:rsidRDefault="00E77983" w:rsidP="00E77983">
      <w:pPr>
        <w:jc w:val="both"/>
        <w:rPr>
          <w:rFonts w:eastAsia="Calibri"/>
          <w:lang w:eastAsia="en-US"/>
        </w:rPr>
      </w:pPr>
      <w:r w:rsidRPr="00E77983">
        <w:rPr>
          <w:rFonts w:eastAsia="Calibri"/>
          <w:lang w:eastAsia="en-US"/>
        </w:rPr>
        <w:t>ekonomikas ministrs</w:t>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t xml:space="preserve">     </w:t>
      </w:r>
      <w:r w:rsidRPr="00E77983">
        <w:rPr>
          <w:rFonts w:eastAsia="Calibri"/>
          <w:lang w:eastAsia="en-US"/>
        </w:rPr>
        <w:tab/>
        <w:t xml:space="preserve"> </w:t>
      </w:r>
      <w:r w:rsidRPr="00E77983">
        <w:rPr>
          <w:rFonts w:eastAsia="Calibri"/>
          <w:lang w:eastAsia="en-US"/>
        </w:rPr>
        <w:tab/>
      </w:r>
      <w:r w:rsidRPr="00E77983">
        <w:rPr>
          <w:rFonts w:eastAsia="Calibri"/>
          <w:lang w:eastAsia="en-US"/>
        </w:rPr>
        <w:tab/>
        <w:t>A. Ašeradens</w:t>
      </w:r>
    </w:p>
    <w:p w:rsidR="00E77983" w:rsidRPr="00E77983" w:rsidRDefault="00E77983" w:rsidP="00E77983">
      <w:pPr>
        <w:jc w:val="both"/>
        <w:rPr>
          <w:rFonts w:eastAsia="Calibri"/>
          <w:lang w:eastAsia="en-US"/>
        </w:rPr>
      </w:pPr>
    </w:p>
    <w:p w:rsidR="00E77983" w:rsidRPr="00E77983" w:rsidRDefault="00E77983" w:rsidP="00E77983">
      <w:pPr>
        <w:jc w:val="both"/>
        <w:rPr>
          <w:rFonts w:eastAsia="Calibri"/>
          <w:lang w:eastAsia="en-US"/>
        </w:rPr>
      </w:pPr>
      <w:r w:rsidRPr="00E77983">
        <w:rPr>
          <w:rFonts w:eastAsia="Calibri"/>
          <w:lang w:eastAsia="en-US"/>
        </w:rPr>
        <w:t>Iesniedzējs:</w:t>
      </w:r>
    </w:p>
    <w:p w:rsidR="00E77983" w:rsidRPr="00E77983" w:rsidRDefault="00E77983" w:rsidP="00E77983">
      <w:pPr>
        <w:jc w:val="both"/>
        <w:rPr>
          <w:rFonts w:eastAsia="Calibri"/>
          <w:lang w:eastAsia="en-US"/>
        </w:rPr>
      </w:pPr>
      <w:r w:rsidRPr="00E77983">
        <w:rPr>
          <w:rFonts w:eastAsia="Calibri"/>
          <w:lang w:eastAsia="en-US"/>
        </w:rPr>
        <w:t>Ministru prezidenta biedrs,</w:t>
      </w:r>
    </w:p>
    <w:p w:rsidR="00E77983" w:rsidRPr="00E77983" w:rsidRDefault="00E77983" w:rsidP="00E77983">
      <w:pPr>
        <w:jc w:val="both"/>
        <w:rPr>
          <w:rFonts w:eastAsia="Calibri"/>
          <w:lang w:eastAsia="en-US"/>
        </w:rPr>
      </w:pPr>
      <w:r w:rsidRPr="00E77983">
        <w:rPr>
          <w:rFonts w:eastAsia="Calibri"/>
          <w:lang w:eastAsia="en-US"/>
        </w:rPr>
        <w:t>ekonomikas ministrs</w:t>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r>
      <w:r w:rsidRPr="00E77983">
        <w:rPr>
          <w:rFonts w:eastAsia="Calibri"/>
          <w:lang w:eastAsia="en-US"/>
        </w:rPr>
        <w:tab/>
        <w:t xml:space="preserve">     </w:t>
      </w:r>
      <w:r w:rsidRPr="00E77983">
        <w:rPr>
          <w:rFonts w:eastAsia="Calibri"/>
          <w:lang w:eastAsia="en-US"/>
        </w:rPr>
        <w:tab/>
        <w:t xml:space="preserve"> </w:t>
      </w:r>
      <w:r w:rsidRPr="00E77983">
        <w:rPr>
          <w:rFonts w:eastAsia="Calibri"/>
          <w:lang w:eastAsia="en-US"/>
        </w:rPr>
        <w:tab/>
      </w:r>
      <w:r w:rsidRPr="00E77983">
        <w:rPr>
          <w:rFonts w:eastAsia="Calibri"/>
          <w:lang w:eastAsia="en-US"/>
        </w:rPr>
        <w:tab/>
        <w:t>A. Ašeradens</w:t>
      </w: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Pr="006C2A2D" w:rsidRDefault="0054749C" w:rsidP="002074CD">
      <w:pPr>
        <w:jc w:val="both"/>
        <w:rPr>
          <w:sz w:val="20"/>
          <w:szCs w:val="20"/>
        </w:rPr>
      </w:pPr>
      <w:r>
        <w:rPr>
          <w:sz w:val="20"/>
          <w:szCs w:val="20"/>
        </w:rPr>
        <w:t>14</w:t>
      </w:r>
      <w:r w:rsidR="002074CD" w:rsidRPr="006C2A2D">
        <w:rPr>
          <w:sz w:val="20"/>
          <w:szCs w:val="20"/>
        </w:rPr>
        <w:t>.</w:t>
      </w:r>
      <w:r w:rsidR="00A66D23">
        <w:rPr>
          <w:sz w:val="20"/>
          <w:szCs w:val="20"/>
        </w:rPr>
        <w:t>12</w:t>
      </w:r>
      <w:r w:rsidR="00F22F2D">
        <w:rPr>
          <w:sz w:val="20"/>
          <w:szCs w:val="20"/>
        </w:rPr>
        <w:t>.2016</w:t>
      </w:r>
      <w:r w:rsidR="002074CD" w:rsidRPr="006C2A2D">
        <w:rPr>
          <w:sz w:val="20"/>
          <w:szCs w:val="20"/>
        </w:rPr>
        <w:t xml:space="preserve">. </w:t>
      </w:r>
      <w:r w:rsidR="00A66D23">
        <w:rPr>
          <w:sz w:val="20"/>
          <w:szCs w:val="20"/>
        </w:rPr>
        <w:t>10</w:t>
      </w:r>
      <w:r w:rsidR="003F5929">
        <w:rPr>
          <w:sz w:val="20"/>
          <w:szCs w:val="20"/>
        </w:rPr>
        <w:t>:35</w:t>
      </w:r>
    </w:p>
    <w:p w:rsidR="002074CD" w:rsidRPr="006C2A2D" w:rsidRDefault="00E77983" w:rsidP="002074CD">
      <w:pPr>
        <w:jc w:val="both"/>
        <w:rPr>
          <w:sz w:val="20"/>
          <w:szCs w:val="20"/>
        </w:rPr>
      </w:pPr>
      <w:r>
        <w:rPr>
          <w:sz w:val="20"/>
          <w:szCs w:val="20"/>
        </w:rPr>
        <w:t>2181</w:t>
      </w:r>
      <w:bookmarkStart w:id="0" w:name="_GoBack"/>
      <w:bookmarkEnd w:id="0"/>
    </w:p>
    <w:p w:rsidR="002074CD" w:rsidRPr="006C2A2D" w:rsidRDefault="00F22F2D" w:rsidP="002074CD">
      <w:pPr>
        <w:jc w:val="both"/>
        <w:rPr>
          <w:sz w:val="20"/>
          <w:szCs w:val="20"/>
        </w:rPr>
      </w:pPr>
      <w:r>
        <w:rPr>
          <w:sz w:val="20"/>
          <w:szCs w:val="20"/>
        </w:rPr>
        <w:t>A</w:t>
      </w:r>
      <w:r w:rsidR="002074CD">
        <w:rPr>
          <w:sz w:val="20"/>
          <w:szCs w:val="20"/>
        </w:rPr>
        <w:t>.</w:t>
      </w:r>
      <w:r>
        <w:rPr>
          <w:sz w:val="20"/>
          <w:szCs w:val="20"/>
        </w:rPr>
        <w:t>Rožkalns</w:t>
      </w:r>
    </w:p>
    <w:p w:rsidR="002074CD" w:rsidRPr="006C2A2D" w:rsidRDefault="002074CD" w:rsidP="002074CD">
      <w:pPr>
        <w:jc w:val="both"/>
        <w:rPr>
          <w:sz w:val="20"/>
          <w:szCs w:val="20"/>
        </w:rPr>
      </w:pPr>
      <w:r w:rsidRPr="006C2A2D">
        <w:rPr>
          <w:sz w:val="20"/>
          <w:szCs w:val="20"/>
        </w:rPr>
        <w:t>67013</w:t>
      </w:r>
      <w:r w:rsidR="00F22F2D">
        <w:rPr>
          <w:sz w:val="20"/>
          <w:szCs w:val="20"/>
        </w:rPr>
        <w:t>146</w:t>
      </w:r>
    </w:p>
    <w:p w:rsidR="002074CD" w:rsidRDefault="00E77983" w:rsidP="002074CD">
      <w:pPr>
        <w:spacing w:after="120"/>
        <w:jc w:val="both"/>
        <w:rPr>
          <w:sz w:val="20"/>
          <w:szCs w:val="20"/>
        </w:rPr>
      </w:pPr>
      <w:hyperlink r:id="rId16" w:history="1">
        <w:r w:rsidR="00F22F2D" w:rsidRPr="004E19B3">
          <w:rPr>
            <w:rStyle w:val="Hyperlink"/>
            <w:sz w:val="20"/>
            <w:szCs w:val="20"/>
          </w:rPr>
          <w:t>Andis.Rozkalns@em.gov.lv</w:t>
        </w:r>
      </w:hyperlink>
    </w:p>
    <w:sectPr w:rsidR="002074CD" w:rsidSect="00D057F9">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11" w:rsidRDefault="00284311" w:rsidP="00F60D22">
      <w:r>
        <w:separator/>
      </w:r>
    </w:p>
  </w:endnote>
  <w:endnote w:type="continuationSeparator" w:id="0">
    <w:p w:rsidR="00284311" w:rsidRDefault="00284311" w:rsidP="00F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D" w:rsidRPr="008866AC" w:rsidRDefault="002074CD" w:rsidP="00073221">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sidR="0054749C">
      <w:rPr>
        <w:sz w:val="20"/>
        <w:szCs w:val="20"/>
      </w:rPr>
      <w:t>14</w:t>
    </w:r>
    <w:r w:rsidR="00A66D23">
      <w:rPr>
        <w:sz w:val="20"/>
        <w:szCs w:val="20"/>
      </w:rPr>
      <w:t>12</w:t>
    </w:r>
    <w:r w:rsidR="00F22F2D">
      <w:rPr>
        <w:sz w:val="20"/>
        <w:szCs w:val="20"/>
      </w:rPr>
      <w:t>16</w:t>
    </w:r>
    <w:r w:rsidRPr="000261F2">
      <w:rPr>
        <w:sz w:val="20"/>
        <w:szCs w:val="20"/>
      </w:rPr>
      <w:t>_</w:t>
    </w:r>
    <w:r>
      <w:rPr>
        <w:sz w:val="20"/>
        <w:szCs w:val="20"/>
      </w:rPr>
      <w:t>UIN_invest</w:t>
    </w:r>
    <w:r w:rsidRPr="000261F2">
      <w:rPr>
        <w:sz w:val="20"/>
        <w:szCs w:val="20"/>
      </w:rPr>
      <w:t xml:space="preserve">; </w:t>
    </w:r>
    <w:r w:rsidR="00073221" w:rsidRPr="00073221">
      <w:rPr>
        <w:sz w:val="20"/>
        <w:szCs w:val="20"/>
      </w:rPr>
      <w:t xml:space="preserve">Ministru kabineta noteikumu projekta „Atbalstāmo investīciju projekta </w:t>
    </w:r>
    <w:r w:rsidR="0054749C">
      <w:rPr>
        <w:sz w:val="20"/>
        <w:szCs w:val="20"/>
      </w:rPr>
      <w:t>pieņemšanas</w:t>
    </w:r>
    <w:r w:rsidR="00073221">
      <w:rPr>
        <w:sz w:val="20"/>
        <w:szCs w:val="20"/>
      </w:rPr>
      <w:t xml:space="preserve"> un īstenošanas kārtība” 3</w:t>
    </w:r>
    <w:r w:rsidR="00073221" w:rsidRPr="00073221">
      <w:rPr>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D" w:rsidRPr="008866AC" w:rsidRDefault="002074CD" w:rsidP="00073221">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sidR="0054749C">
      <w:rPr>
        <w:sz w:val="20"/>
        <w:szCs w:val="20"/>
      </w:rPr>
      <w:t>14</w:t>
    </w:r>
    <w:r w:rsidR="00A66D23">
      <w:rPr>
        <w:sz w:val="20"/>
        <w:szCs w:val="20"/>
      </w:rPr>
      <w:t>12</w:t>
    </w:r>
    <w:r w:rsidR="00F22F2D">
      <w:rPr>
        <w:sz w:val="20"/>
        <w:szCs w:val="20"/>
      </w:rPr>
      <w:t>16</w:t>
    </w:r>
    <w:r w:rsidRPr="000261F2">
      <w:rPr>
        <w:sz w:val="20"/>
        <w:szCs w:val="20"/>
      </w:rPr>
      <w:t>_</w:t>
    </w:r>
    <w:r>
      <w:rPr>
        <w:sz w:val="20"/>
        <w:szCs w:val="20"/>
      </w:rPr>
      <w:t>UIN_invest</w:t>
    </w:r>
    <w:r w:rsidRPr="000261F2">
      <w:rPr>
        <w:sz w:val="20"/>
        <w:szCs w:val="20"/>
      </w:rPr>
      <w:t xml:space="preserve">; </w:t>
    </w:r>
    <w:r w:rsidR="00073221" w:rsidRPr="00073221">
      <w:rPr>
        <w:sz w:val="20"/>
        <w:szCs w:val="20"/>
      </w:rPr>
      <w:t xml:space="preserve">Ministru kabineta noteikumu projekta „Atbalstāmo investīciju projekta </w:t>
    </w:r>
    <w:r w:rsidR="0054749C">
      <w:rPr>
        <w:sz w:val="20"/>
        <w:szCs w:val="20"/>
      </w:rPr>
      <w:t>pieņemšanas</w:t>
    </w:r>
    <w:r w:rsidR="00073221">
      <w:rPr>
        <w:sz w:val="20"/>
        <w:szCs w:val="20"/>
      </w:rPr>
      <w:t xml:space="preserve"> un īstenošanas kārtība” 3</w:t>
    </w:r>
    <w:r w:rsidR="00073221" w:rsidRPr="00073221">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11" w:rsidRDefault="00284311" w:rsidP="00F60D22">
      <w:r>
        <w:separator/>
      </w:r>
    </w:p>
  </w:footnote>
  <w:footnote w:type="continuationSeparator" w:id="0">
    <w:p w:rsidR="00284311" w:rsidRDefault="00284311" w:rsidP="00F6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A4" w:rsidRDefault="00A253A4">
    <w:pPr>
      <w:pStyle w:val="Header"/>
      <w:jc w:val="center"/>
    </w:pPr>
    <w:r>
      <w:fldChar w:fldCharType="begin"/>
    </w:r>
    <w:r>
      <w:instrText xml:space="preserve"> PAGE   \* MERGEFORMAT </w:instrText>
    </w:r>
    <w:r>
      <w:fldChar w:fldCharType="separate"/>
    </w:r>
    <w:r w:rsidR="00E77983">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0D2"/>
    <w:multiLevelType w:val="hybridMultilevel"/>
    <w:tmpl w:val="70DC36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4D9A5A9A"/>
    <w:multiLevelType w:val="hybridMultilevel"/>
    <w:tmpl w:val="6AEA2F36"/>
    <w:lvl w:ilvl="0" w:tplc="7CCADF2E">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A39"/>
    <w:rsid w:val="0001257E"/>
    <w:rsid w:val="00022D0B"/>
    <w:rsid w:val="00024499"/>
    <w:rsid w:val="00026709"/>
    <w:rsid w:val="00026BFE"/>
    <w:rsid w:val="0003325E"/>
    <w:rsid w:val="00034808"/>
    <w:rsid w:val="0003600E"/>
    <w:rsid w:val="000367BD"/>
    <w:rsid w:val="00041EB1"/>
    <w:rsid w:val="0004415B"/>
    <w:rsid w:val="000467A8"/>
    <w:rsid w:val="00062372"/>
    <w:rsid w:val="00063A03"/>
    <w:rsid w:val="00073221"/>
    <w:rsid w:val="0007415C"/>
    <w:rsid w:val="00082436"/>
    <w:rsid w:val="00096DF1"/>
    <w:rsid w:val="000A05F3"/>
    <w:rsid w:val="000A070C"/>
    <w:rsid w:val="000A0C0B"/>
    <w:rsid w:val="000B3B58"/>
    <w:rsid w:val="000D38E9"/>
    <w:rsid w:val="000E26EC"/>
    <w:rsid w:val="000E3B5A"/>
    <w:rsid w:val="000F253F"/>
    <w:rsid w:val="00103BDF"/>
    <w:rsid w:val="001140C1"/>
    <w:rsid w:val="00115C4F"/>
    <w:rsid w:val="00117E49"/>
    <w:rsid w:val="0012037A"/>
    <w:rsid w:val="0012422C"/>
    <w:rsid w:val="001368CA"/>
    <w:rsid w:val="00163620"/>
    <w:rsid w:val="00171082"/>
    <w:rsid w:val="00184F1D"/>
    <w:rsid w:val="00190F50"/>
    <w:rsid w:val="001915ED"/>
    <w:rsid w:val="001A052C"/>
    <w:rsid w:val="001A4685"/>
    <w:rsid w:val="001B0966"/>
    <w:rsid w:val="001C189A"/>
    <w:rsid w:val="001C5A07"/>
    <w:rsid w:val="001E23CC"/>
    <w:rsid w:val="001F739D"/>
    <w:rsid w:val="002074CD"/>
    <w:rsid w:val="002171D9"/>
    <w:rsid w:val="00222A82"/>
    <w:rsid w:val="00222CE8"/>
    <w:rsid w:val="0022494A"/>
    <w:rsid w:val="00226EBD"/>
    <w:rsid w:val="00227B3E"/>
    <w:rsid w:val="0023574B"/>
    <w:rsid w:val="00236ED3"/>
    <w:rsid w:val="00237FFC"/>
    <w:rsid w:val="00245F73"/>
    <w:rsid w:val="00247617"/>
    <w:rsid w:val="00260774"/>
    <w:rsid w:val="0027245D"/>
    <w:rsid w:val="002743E8"/>
    <w:rsid w:val="00284311"/>
    <w:rsid w:val="00287C0E"/>
    <w:rsid w:val="002A6283"/>
    <w:rsid w:val="002A7E00"/>
    <w:rsid w:val="002B76A8"/>
    <w:rsid w:val="002B7EA6"/>
    <w:rsid w:val="002D5F23"/>
    <w:rsid w:val="002E2B3A"/>
    <w:rsid w:val="002E490D"/>
    <w:rsid w:val="00300C53"/>
    <w:rsid w:val="003041E1"/>
    <w:rsid w:val="00307DA8"/>
    <w:rsid w:val="003201A1"/>
    <w:rsid w:val="0032142A"/>
    <w:rsid w:val="00334B54"/>
    <w:rsid w:val="00336559"/>
    <w:rsid w:val="00353772"/>
    <w:rsid w:val="003B6120"/>
    <w:rsid w:val="003C5C72"/>
    <w:rsid w:val="003E4B39"/>
    <w:rsid w:val="003F3CEA"/>
    <w:rsid w:val="003F4BE1"/>
    <w:rsid w:val="003F5929"/>
    <w:rsid w:val="0040369D"/>
    <w:rsid w:val="004066BA"/>
    <w:rsid w:val="0041335D"/>
    <w:rsid w:val="00417B7D"/>
    <w:rsid w:val="0042493E"/>
    <w:rsid w:val="00424D71"/>
    <w:rsid w:val="00425368"/>
    <w:rsid w:val="004355CC"/>
    <w:rsid w:val="004419A2"/>
    <w:rsid w:val="0045084B"/>
    <w:rsid w:val="00451EC3"/>
    <w:rsid w:val="0045331C"/>
    <w:rsid w:val="00466812"/>
    <w:rsid w:val="00466989"/>
    <w:rsid w:val="0049541C"/>
    <w:rsid w:val="004A299B"/>
    <w:rsid w:val="004B33B3"/>
    <w:rsid w:val="004D01BF"/>
    <w:rsid w:val="004D3311"/>
    <w:rsid w:val="004E00A6"/>
    <w:rsid w:val="004E5117"/>
    <w:rsid w:val="004E6C25"/>
    <w:rsid w:val="005019B0"/>
    <w:rsid w:val="00502C62"/>
    <w:rsid w:val="005200B6"/>
    <w:rsid w:val="00520743"/>
    <w:rsid w:val="0052245C"/>
    <w:rsid w:val="00522BC8"/>
    <w:rsid w:val="0053065A"/>
    <w:rsid w:val="0054749C"/>
    <w:rsid w:val="005603EC"/>
    <w:rsid w:val="005712BA"/>
    <w:rsid w:val="005742FC"/>
    <w:rsid w:val="005755B2"/>
    <w:rsid w:val="00577AC9"/>
    <w:rsid w:val="00582993"/>
    <w:rsid w:val="00586615"/>
    <w:rsid w:val="00591C56"/>
    <w:rsid w:val="00594C19"/>
    <w:rsid w:val="005B226C"/>
    <w:rsid w:val="005B22B3"/>
    <w:rsid w:val="005C3AEA"/>
    <w:rsid w:val="005C3CE5"/>
    <w:rsid w:val="005D075F"/>
    <w:rsid w:val="005D4B7D"/>
    <w:rsid w:val="005E0E8A"/>
    <w:rsid w:val="005E0F00"/>
    <w:rsid w:val="005E3AE3"/>
    <w:rsid w:val="005E3DAB"/>
    <w:rsid w:val="005E55F7"/>
    <w:rsid w:val="006006EB"/>
    <w:rsid w:val="0060366E"/>
    <w:rsid w:val="00605582"/>
    <w:rsid w:val="00624C5D"/>
    <w:rsid w:val="006317F7"/>
    <w:rsid w:val="00633C59"/>
    <w:rsid w:val="00634036"/>
    <w:rsid w:val="0064216D"/>
    <w:rsid w:val="00642FC1"/>
    <w:rsid w:val="00655C99"/>
    <w:rsid w:val="00657CCB"/>
    <w:rsid w:val="0067268D"/>
    <w:rsid w:val="00675D0E"/>
    <w:rsid w:val="0068237C"/>
    <w:rsid w:val="00690C76"/>
    <w:rsid w:val="00697BC5"/>
    <w:rsid w:val="006A6232"/>
    <w:rsid w:val="006A66EE"/>
    <w:rsid w:val="006B015A"/>
    <w:rsid w:val="006B3045"/>
    <w:rsid w:val="006B4375"/>
    <w:rsid w:val="006D2E27"/>
    <w:rsid w:val="006E423E"/>
    <w:rsid w:val="006E52A8"/>
    <w:rsid w:val="006F1E6D"/>
    <w:rsid w:val="006F6ACB"/>
    <w:rsid w:val="006F7019"/>
    <w:rsid w:val="006F73FC"/>
    <w:rsid w:val="00701441"/>
    <w:rsid w:val="00741CCD"/>
    <w:rsid w:val="00754AE2"/>
    <w:rsid w:val="00755145"/>
    <w:rsid w:val="007635A3"/>
    <w:rsid w:val="00766702"/>
    <w:rsid w:val="00780D0E"/>
    <w:rsid w:val="00781594"/>
    <w:rsid w:val="00794A6A"/>
    <w:rsid w:val="007C6545"/>
    <w:rsid w:val="007D684E"/>
    <w:rsid w:val="007F2AAA"/>
    <w:rsid w:val="007F40FD"/>
    <w:rsid w:val="0080251E"/>
    <w:rsid w:val="00806B15"/>
    <w:rsid w:val="008104A7"/>
    <w:rsid w:val="00811999"/>
    <w:rsid w:val="00825696"/>
    <w:rsid w:val="00832276"/>
    <w:rsid w:val="008447BD"/>
    <w:rsid w:val="008508AD"/>
    <w:rsid w:val="00853430"/>
    <w:rsid w:val="0085617A"/>
    <w:rsid w:val="00865D9C"/>
    <w:rsid w:val="0087486E"/>
    <w:rsid w:val="00880C80"/>
    <w:rsid w:val="00884716"/>
    <w:rsid w:val="008877DD"/>
    <w:rsid w:val="00895F67"/>
    <w:rsid w:val="008973BB"/>
    <w:rsid w:val="008A1C81"/>
    <w:rsid w:val="008C51BD"/>
    <w:rsid w:val="008D2050"/>
    <w:rsid w:val="008D705F"/>
    <w:rsid w:val="008E078E"/>
    <w:rsid w:val="008E3FE8"/>
    <w:rsid w:val="008F458C"/>
    <w:rsid w:val="00907A54"/>
    <w:rsid w:val="009206AF"/>
    <w:rsid w:val="0092312E"/>
    <w:rsid w:val="00954B9D"/>
    <w:rsid w:val="00955509"/>
    <w:rsid w:val="00956E2C"/>
    <w:rsid w:val="00960127"/>
    <w:rsid w:val="00967020"/>
    <w:rsid w:val="00991419"/>
    <w:rsid w:val="00993728"/>
    <w:rsid w:val="00996870"/>
    <w:rsid w:val="009B5328"/>
    <w:rsid w:val="009D3971"/>
    <w:rsid w:val="009E7913"/>
    <w:rsid w:val="00A00B9F"/>
    <w:rsid w:val="00A1584C"/>
    <w:rsid w:val="00A17FB8"/>
    <w:rsid w:val="00A253A4"/>
    <w:rsid w:val="00A26A5F"/>
    <w:rsid w:val="00A310ED"/>
    <w:rsid w:val="00A315FE"/>
    <w:rsid w:val="00A35388"/>
    <w:rsid w:val="00A43755"/>
    <w:rsid w:val="00A476EA"/>
    <w:rsid w:val="00A477BF"/>
    <w:rsid w:val="00A640B3"/>
    <w:rsid w:val="00A64512"/>
    <w:rsid w:val="00A66D23"/>
    <w:rsid w:val="00A77C1C"/>
    <w:rsid w:val="00A84483"/>
    <w:rsid w:val="00AA3CD6"/>
    <w:rsid w:val="00AB7955"/>
    <w:rsid w:val="00AC062F"/>
    <w:rsid w:val="00AC2CB5"/>
    <w:rsid w:val="00AC5DE4"/>
    <w:rsid w:val="00AD1138"/>
    <w:rsid w:val="00AD20BD"/>
    <w:rsid w:val="00AE4E81"/>
    <w:rsid w:val="00AE7FBB"/>
    <w:rsid w:val="00AF20D8"/>
    <w:rsid w:val="00AF50F7"/>
    <w:rsid w:val="00AF6FE7"/>
    <w:rsid w:val="00B01E84"/>
    <w:rsid w:val="00B055BC"/>
    <w:rsid w:val="00B135AD"/>
    <w:rsid w:val="00B149E1"/>
    <w:rsid w:val="00B21F27"/>
    <w:rsid w:val="00B25773"/>
    <w:rsid w:val="00B52C3B"/>
    <w:rsid w:val="00B53DE3"/>
    <w:rsid w:val="00B61B53"/>
    <w:rsid w:val="00B64C63"/>
    <w:rsid w:val="00B70FA6"/>
    <w:rsid w:val="00B95137"/>
    <w:rsid w:val="00B96A8C"/>
    <w:rsid w:val="00BB040A"/>
    <w:rsid w:val="00BB1D56"/>
    <w:rsid w:val="00BD0C92"/>
    <w:rsid w:val="00BD1E2D"/>
    <w:rsid w:val="00BD3AF5"/>
    <w:rsid w:val="00BD429C"/>
    <w:rsid w:val="00BD5ACD"/>
    <w:rsid w:val="00BD65EF"/>
    <w:rsid w:val="00BF38A3"/>
    <w:rsid w:val="00BF3B68"/>
    <w:rsid w:val="00C217FE"/>
    <w:rsid w:val="00C30B78"/>
    <w:rsid w:val="00C50151"/>
    <w:rsid w:val="00C501D0"/>
    <w:rsid w:val="00C518D2"/>
    <w:rsid w:val="00C53004"/>
    <w:rsid w:val="00C65E9B"/>
    <w:rsid w:val="00C6756E"/>
    <w:rsid w:val="00C90C4F"/>
    <w:rsid w:val="00CA1361"/>
    <w:rsid w:val="00CA1F86"/>
    <w:rsid w:val="00CA5C09"/>
    <w:rsid w:val="00CC1113"/>
    <w:rsid w:val="00CC6552"/>
    <w:rsid w:val="00CD00DF"/>
    <w:rsid w:val="00D037DB"/>
    <w:rsid w:val="00D03E22"/>
    <w:rsid w:val="00D057F9"/>
    <w:rsid w:val="00D249C5"/>
    <w:rsid w:val="00D25E2C"/>
    <w:rsid w:val="00D33CFA"/>
    <w:rsid w:val="00D34B5C"/>
    <w:rsid w:val="00D43D97"/>
    <w:rsid w:val="00D45FFA"/>
    <w:rsid w:val="00D53A96"/>
    <w:rsid w:val="00D54DD0"/>
    <w:rsid w:val="00D670D4"/>
    <w:rsid w:val="00D86766"/>
    <w:rsid w:val="00D908AC"/>
    <w:rsid w:val="00DB1A16"/>
    <w:rsid w:val="00DB74AD"/>
    <w:rsid w:val="00DC00B8"/>
    <w:rsid w:val="00DD0BA9"/>
    <w:rsid w:val="00DE114D"/>
    <w:rsid w:val="00DE18A1"/>
    <w:rsid w:val="00DF2B4E"/>
    <w:rsid w:val="00DF61A8"/>
    <w:rsid w:val="00E0156E"/>
    <w:rsid w:val="00E034D9"/>
    <w:rsid w:val="00E12FD1"/>
    <w:rsid w:val="00E14A39"/>
    <w:rsid w:val="00E1751C"/>
    <w:rsid w:val="00E211B1"/>
    <w:rsid w:val="00E61AFC"/>
    <w:rsid w:val="00E65481"/>
    <w:rsid w:val="00E735A4"/>
    <w:rsid w:val="00E775BA"/>
    <w:rsid w:val="00E77983"/>
    <w:rsid w:val="00E81D63"/>
    <w:rsid w:val="00E86143"/>
    <w:rsid w:val="00E87657"/>
    <w:rsid w:val="00E956AD"/>
    <w:rsid w:val="00EA0C4A"/>
    <w:rsid w:val="00EB0C9B"/>
    <w:rsid w:val="00EC4AF7"/>
    <w:rsid w:val="00ED2034"/>
    <w:rsid w:val="00ED4332"/>
    <w:rsid w:val="00ED5BE7"/>
    <w:rsid w:val="00EF50F4"/>
    <w:rsid w:val="00F0420B"/>
    <w:rsid w:val="00F05F78"/>
    <w:rsid w:val="00F07337"/>
    <w:rsid w:val="00F07BB1"/>
    <w:rsid w:val="00F1373E"/>
    <w:rsid w:val="00F203AE"/>
    <w:rsid w:val="00F20C92"/>
    <w:rsid w:val="00F22F2D"/>
    <w:rsid w:val="00F3321C"/>
    <w:rsid w:val="00F355F2"/>
    <w:rsid w:val="00F45957"/>
    <w:rsid w:val="00F60D22"/>
    <w:rsid w:val="00F73835"/>
    <w:rsid w:val="00F73874"/>
    <w:rsid w:val="00F754CF"/>
    <w:rsid w:val="00F8473E"/>
    <w:rsid w:val="00FA0A32"/>
    <w:rsid w:val="00FA6599"/>
    <w:rsid w:val="00FA6DF2"/>
    <w:rsid w:val="00FB070A"/>
    <w:rsid w:val="00FB38A2"/>
    <w:rsid w:val="00FD00AF"/>
    <w:rsid w:val="00FD191A"/>
    <w:rsid w:val="00FD639B"/>
    <w:rsid w:val="00FE031C"/>
    <w:rsid w:val="00FE4CDD"/>
    <w:rsid w:val="00FE775C"/>
    <w:rsid w:val="00FF26AE"/>
    <w:rsid w:val="00FF5E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CEC5D6-2E97-400A-8965-EEC5B579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4A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4A39"/>
    <w:rPr>
      <w:rFonts w:ascii="Arial" w:hAnsi="Arial" w:cs="Arial"/>
      <w:b/>
      <w:bCs/>
      <w:kern w:val="32"/>
      <w:sz w:val="32"/>
      <w:szCs w:val="32"/>
      <w:lang w:eastAsia="lv-LV"/>
    </w:rPr>
  </w:style>
  <w:style w:type="paragraph" w:customStyle="1" w:styleId="NoSpacing1">
    <w:name w:val="No Spacing1"/>
    <w:uiPriority w:val="99"/>
    <w:rsid w:val="00E14A39"/>
    <w:rPr>
      <w:sz w:val="22"/>
      <w:szCs w:val="22"/>
      <w:lang w:eastAsia="en-US"/>
    </w:rPr>
  </w:style>
  <w:style w:type="table" w:styleId="TableGrid">
    <w:name w:val="Table Grid"/>
    <w:basedOn w:val="TableNormal"/>
    <w:uiPriority w:val="99"/>
    <w:rsid w:val="00E14A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4A39"/>
    <w:rPr>
      <w:rFonts w:cs="Times New Roman"/>
      <w:color w:val="0000FF"/>
      <w:u w:val="single"/>
    </w:rPr>
  </w:style>
  <w:style w:type="paragraph" w:styleId="ListParagraph">
    <w:name w:val="List Paragraph"/>
    <w:basedOn w:val="Normal"/>
    <w:uiPriority w:val="99"/>
    <w:qFormat/>
    <w:rsid w:val="0007415C"/>
    <w:pPr>
      <w:ind w:left="720"/>
      <w:contextualSpacing/>
    </w:pPr>
  </w:style>
  <w:style w:type="paragraph" w:styleId="Header">
    <w:name w:val="header"/>
    <w:basedOn w:val="Normal"/>
    <w:link w:val="HeaderChar"/>
    <w:uiPriority w:val="99"/>
    <w:rsid w:val="00F60D22"/>
    <w:pPr>
      <w:tabs>
        <w:tab w:val="center" w:pos="4153"/>
        <w:tab w:val="right" w:pos="8306"/>
      </w:tabs>
    </w:pPr>
  </w:style>
  <w:style w:type="character" w:customStyle="1" w:styleId="HeaderChar">
    <w:name w:val="Header Char"/>
    <w:link w:val="Header"/>
    <w:uiPriority w:val="99"/>
    <w:locked/>
    <w:rsid w:val="00F60D22"/>
    <w:rPr>
      <w:rFonts w:ascii="Times New Roman" w:hAnsi="Times New Roman" w:cs="Times New Roman"/>
      <w:sz w:val="24"/>
      <w:szCs w:val="24"/>
      <w:lang w:eastAsia="lv-LV"/>
    </w:rPr>
  </w:style>
  <w:style w:type="paragraph" w:styleId="Footer">
    <w:name w:val="footer"/>
    <w:basedOn w:val="Normal"/>
    <w:link w:val="FooterChar"/>
    <w:uiPriority w:val="99"/>
    <w:rsid w:val="00F60D22"/>
    <w:pPr>
      <w:tabs>
        <w:tab w:val="center" w:pos="4153"/>
        <w:tab w:val="right" w:pos="8306"/>
      </w:tabs>
    </w:pPr>
  </w:style>
  <w:style w:type="character" w:customStyle="1" w:styleId="FooterChar">
    <w:name w:val="Footer Char"/>
    <w:link w:val="Footer"/>
    <w:uiPriority w:val="99"/>
    <w:locked/>
    <w:rsid w:val="00F60D22"/>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32142A"/>
    <w:rPr>
      <w:rFonts w:ascii="Tahoma" w:hAnsi="Tahoma" w:cs="Tahoma"/>
      <w:sz w:val="16"/>
      <w:szCs w:val="16"/>
    </w:rPr>
  </w:style>
  <w:style w:type="character" w:customStyle="1" w:styleId="BalloonTextChar">
    <w:name w:val="Balloon Text Char"/>
    <w:link w:val="BalloonText"/>
    <w:uiPriority w:val="99"/>
    <w:semiHidden/>
    <w:locked/>
    <w:rsid w:val="0032142A"/>
    <w:rPr>
      <w:rFonts w:ascii="Tahoma" w:hAnsi="Tahoma" w:cs="Tahoma"/>
      <w:sz w:val="16"/>
      <w:szCs w:val="16"/>
      <w:lang w:eastAsia="lv-LV"/>
    </w:rPr>
  </w:style>
  <w:style w:type="paragraph" w:customStyle="1" w:styleId="tvhtml">
    <w:name w:val="tv_html"/>
    <w:basedOn w:val="Normal"/>
    <w:uiPriority w:val="99"/>
    <w:rsid w:val="00026BFE"/>
    <w:pPr>
      <w:spacing w:before="100" w:beforeAutospacing="1" w:after="100" w:afterAutospacing="1"/>
    </w:pPr>
    <w:rPr>
      <w:rFonts w:ascii="Verdana" w:hAnsi="Verdana"/>
      <w:sz w:val="18"/>
      <w:szCs w:val="18"/>
    </w:rPr>
  </w:style>
  <w:style w:type="character" w:customStyle="1" w:styleId="cspklasifikatorscodename">
    <w:name w:val="csp_klasifikators_code_name"/>
    <w:uiPriority w:val="99"/>
    <w:rsid w:val="00FF26AE"/>
    <w:rPr>
      <w:rFonts w:cs="Times New Roman"/>
    </w:rPr>
  </w:style>
  <w:style w:type="character" w:styleId="CommentReference">
    <w:name w:val="annotation reference"/>
    <w:uiPriority w:val="99"/>
    <w:semiHidden/>
    <w:rsid w:val="003041E1"/>
    <w:rPr>
      <w:rFonts w:cs="Times New Roman"/>
      <w:sz w:val="16"/>
      <w:szCs w:val="16"/>
    </w:rPr>
  </w:style>
  <w:style w:type="paragraph" w:styleId="CommentText">
    <w:name w:val="annotation text"/>
    <w:basedOn w:val="Normal"/>
    <w:link w:val="CommentTextChar"/>
    <w:uiPriority w:val="99"/>
    <w:semiHidden/>
    <w:rsid w:val="003041E1"/>
    <w:rPr>
      <w:sz w:val="20"/>
      <w:szCs w:val="20"/>
    </w:rPr>
  </w:style>
  <w:style w:type="character" w:customStyle="1" w:styleId="CommentTextChar">
    <w:name w:val="Comment Text Char"/>
    <w:link w:val="CommentText"/>
    <w:uiPriority w:val="99"/>
    <w:semiHidden/>
    <w:locked/>
    <w:rsid w:val="003041E1"/>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041E1"/>
    <w:rPr>
      <w:b/>
      <w:bCs/>
    </w:rPr>
  </w:style>
  <w:style w:type="character" w:customStyle="1" w:styleId="CommentSubjectChar">
    <w:name w:val="Comment Subject Char"/>
    <w:link w:val="CommentSubject"/>
    <w:uiPriority w:val="99"/>
    <w:semiHidden/>
    <w:locked/>
    <w:rsid w:val="003041E1"/>
    <w:rPr>
      <w:rFonts w:ascii="Times New Roman" w:hAnsi="Times New Roman" w:cs="Times New Roman"/>
      <w:b/>
      <w:bCs/>
      <w:sz w:val="20"/>
      <w:szCs w:val="20"/>
      <w:lang w:eastAsia="lv-LV"/>
    </w:rPr>
  </w:style>
  <w:style w:type="character" w:customStyle="1" w:styleId="FooterChar1">
    <w:name w:val="Footer Char1"/>
    <w:uiPriority w:val="99"/>
    <w:locked/>
    <w:rsid w:val="0003325E"/>
    <w:rPr>
      <w:rFonts w:ascii="Calibri" w:hAnsi="Calibri" w:cs="Times New Roman"/>
      <w:sz w:val="26"/>
      <w:szCs w:val="26"/>
      <w:lang w:val="lv-LV" w:eastAsia="lv-LV" w:bidi="ar-SA"/>
    </w:rPr>
  </w:style>
  <w:style w:type="character" w:customStyle="1" w:styleId="apple-converted-space">
    <w:name w:val="apple-converted-space"/>
    <w:rsid w:val="0075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55623">
      <w:marLeft w:val="45"/>
      <w:marRight w:val="45"/>
      <w:marTop w:val="90"/>
      <w:marBottom w:val="90"/>
      <w:divBdr>
        <w:top w:val="none" w:sz="0" w:space="0" w:color="auto"/>
        <w:left w:val="none" w:sz="0" w:space="0" w:color="auto"/>
        <w:bottom w:val="none" w:sz="0" w:space="0" w:color="auto"/>
        <w:right w:val="none" w:sz="0" w:space="0" w:color="auto"/>
      </w:divBdr>
      <w:divsChild>
        <w:div w:id="1129055622">
          <w:marLeft w:val="0"/>
          <w:marRight w:val="0"/>
          <w:marTop w:val="240"/>
          <w:marBottom w:val="0"/>
          <w:divBdr>
            <w:top w:val="none" w:sz="0" w:space="0" w:color="auto"/>
            <w:left w:val="none" w:sz="0" w:space="0" w:color="auto"/>
            <w:bottom w:val="none" w:sz="0" w:space="0" w:color="auto"/>
            <w:right w:val="none" w:sz="0" w:space="0" w:color="auto"/>
          </w:divBdr>
        </w:div>
      </w:divsChild>
    </w:div>
    <w:div w:id="1129055624">
      <w:marLeft w:val="0"/>
      <w:marRight w:val="0"/>
      <w:marTop w:val="0"/>
      <w:marBottom w:val="0"/>
      <w:divBdr>
        <w:top w:val="none" w:sz="0" w:space="0" w:color="auto"/>
        <w:left w:val="none" w:sz="0" w:space="0" w:color="auto"/>
        <w:bottom w:val="none" w:sz="0" w:space="0" w:color="auto"/>
        <w:right w:val="none" w:sz="0" w:space="0" w:color="auto"/>
      </w:divBdr>
    </w:div>
    <w:div w:id="1129055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4094-par-uznemumu-ienakuma-nodokli" TargetMode="External"/><Relationship Id="rId13" Type="http://schemas.openxmlformats.org/officeDocument/2006/relationships/hyperlink" Target="http://eur-lex.europa.eu/eli/reg/2014/651?locale=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kumi.lv/ta/id/34094-par-uznemumu-ienakuma-nodokli" TargetMode="External"/><Relationship Id="rId12" Type="http://schemas.openxmlformats.org/officeDocument/2006/relationships/hyperlink" Target="http://likumi.lv/ta/id/34094-par-uznemumu-ienakuma-nodokl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dis.Rozkalns@em.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33946-par-nodokliem-un-nodevam" TargetMode="External"/><Relationship Id="rId5" Type="http://schemas.openxmlformats.org/officeDocument/2006/relationships/footnotes" Target="footnotes.xml"/><Relationship Id="rId15" Type="http://schemas.openxmlformats.org/officeDocument/2006/relationships/hyperlink" Target="http://likumi.lv/ta/id/185993-administrativo-teritoriju-un-apdzivoto-vietu-likums" TargetMode="External"/><Relationship Id="rId10" Type="http://schemas.openxmlformats.org/officeDocument/2006/relationships/hyperlink" Target="http://eur-lex.europa.eu/eli/reg/2014/651?locale=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eli/reg/2014/651?locale=LV" TargetMode="External"/><Relationship Id="rId14" Type="http://schemas.openxmlformats.org/officeDocument/2006/relationships/hyperlink" Target="http://likumi.lv/ta/id/185993-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1362</TotalTime>
  <Pages>9</Pages>
  <Words>2335</Words>
  <Characters>15528</Characters>
  <Application>Microsoft Office Word</Application>
  <DocSecurity>0</DocSecurity>
  <Lines>675</Lines>
  <Paragraphs>350</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3.pielikums</vt:lpstr>
    </vt:vector>
  </TitlesOfParts>
  <Company>LR Ekonomikas ministrija</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3.pielikums</dc:title>
  <dc:subject>Ministru kabineta noteikumu projekta 3.pielikums</dc:subject>
  <dc:creator>Edmunds Fernāts</dc:creator>
  <cp:keywords/>
  <dc:description>Edmunds.Fernats@em.gov.lv
67013053</dc:description>
  <cp:lastModifiedBy>Andis Rožkalns</cp:lastModifiedBy>
  <cp:revision>213</cp:revision>
  <cp:lastPrinted>2014-11-10T17:35:00Z</cp:lastPrinted>
  <dcterms:created xsi:type="dcterms:W3CDTF">2011-02-03T12:15:00Z</dcterms:created>
  <dcterms:modified xsi:type="dcterms:W3CDTF">2016-12-15T08:09:00Z</dcterms:modified>
</cp:coreProperties>
</file>