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71" w:rsidRPr="004C58DC" w:rsidRDefault="00D12371" w:rsidP="005D73DE">
      <w:pPr>
        <w:pStyle w:val="naislab"/>
        <w:spacing w:before="0" w:beforeAutospacing="0" w:after="0" w:afterAutospacing="0"/>
        <w:jc w:val="center"/>
        <w:rPr>
          <w:b/>
          <w:lang w:val="lv-LV"/>
        </w:rPr>
      </w:pPr>
      <w:bookmarkStart w:id="0" w:name="_GoBack"/>
      <w:bookmarkEnd w:id="0"/>
      <w:r w:rsidRPr="004C58DC">
        <w:rPr>
          <w:b/>
          <w:lang w:val="lv-LV"/>
        </w:rPr>
        <w:t>Ministru kabineta noteikumu projekta</w:t>
      </w:r>
    </w:p>
    <w:p w:rsidR="00B15943" w:rsidRPr="004C58DC" w:rsidRDefault="005668C2" w:rsidP="00B15943">
      <w:pPr>
        <w:jc w:val="center"/>
        <w:rPr>
          <w:b/>
          <w:lang w:val="lv-LV"/>
        </w:rPr>
      </w:pPr>
      <w:bookmarkStart w:id="1" w:name="OLE_LINK1"/>
      <w:bookmarkStart w:id="2" w:name="OLE_LINK2"/>
      <w:bookmarkStart w:id="3" w:name="OLE_LINK6"/>
      <w:bookmarkStart w:id="4" w:name="OLE_LINK5"/>
      <w:bookmarkStart w:id="5" w:name="OLE_LINK7"/>
      <w:bookmarkStart w:id="6" w:name="OLE_LINK8"/>
      <w:r w:rsidRPr="004C58DC">
        <w:rPr>
          <w:b/>
          <w:lang w:val="lv-LV"/>
        </w:rPr>
        <w:t>“</w:t>
      </w:r>
      <w:r w:rsidR="00B15943" w:rsidRPr="004C58DC">
        <w:rPr>
          <w:b/>
          <w:lang w:val="lv-LV"/>
        </w:rPr>
        <w:t>Muitošanas kārtība kuģa un gaisa kuģa apgādē</w:t>
      </w:r>
      <w:bookmarkEnd w:id="1"/>
      <w:bookmarkEnd w:id="2"/>
      <w:bookmarkEnd w:id="3"/>
      <w:bookmarkEnd w:id="4"/>
      <w:r w:rsidRPr="004C58DC">
        <w:rPr>
          <w:b/>
          <w:lang w:val="lv-LV"/>
        </w:rPr>
        <w:t>”</w:t>
      </w:r>
    </w:p>
    <w:p w:rsidR="00B15943" w:rsidRPr="004C58DC" w:rsidRDefault="00B15943" w:rsidP="00B15943">
      <w:pPr>
        <w:jc w:val="center"/>
        <w:rPr>
          <w:b/>
          <w:lang w:val="lv-LV"/>
        </w:rPr>
      </w:pPr>
      <w:r w:rsidRPr="004C58DC">
        <w:rPr>
          <w:b/>
          <w:bCs/>
          <w:lang w:val="lv-LV" w:eastAsia="lv-LV"/>
        </w:rPr>
        <w:t>sākotnējās ietekmes novērtējuma ziņojums (anotācija)</w:t>
      </w:r>
    </w:p>
    <w:p w:rsidR="00B15943" w:rsidRPr="005B49D3" w:rsidRDefault="00B15943" w:rsidP="004A668C">
      <w:pPr>
        <w:pStyle w:val="naisf"/>
        <w:spacing w:before="0" w:beforeAutospacing="0" w:after="0" w:afterAutospacing="0"/>
        <w:jc w:val="center"/>
        <w:rPr>
          <w:b/>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7"/>
        <w:gridCol w:w="2692"/>
        <w:gridCol w:w="5984"/>
      </w:tblGrid>
      <w:tr w:rsidR="005D73DE" w:rsidRPr="00533D31" w:rsidTr="00CA1F22">
        <w:tc>
          <w:tcPr>
            <w:tcW w:w="0" w:type="auto"/>
            <w:gridSpan w:val="3"/>
            <w:vAlign w:val="center"/>
          </w:tcPr>
          <w:bookmarkEnd w:id="5"/>
          <w:bookmarkEnd w:id="6"/>
          <w:p w:rsidR="00A162FE" w:rsidRPr="005B49D3" w:rsidRDefault="00A162FE" w:rsidP="005D73DE">
            <w:pPr>
              <w:jc w:val="center"/>
              <w:rPr>
                <w:b/>
                <w:bCs/>
                <w:lang w:val="lv-LV" w:eastAsia="lv-LV"/>
              </w:rPr>
            </w:pPr>
            <w:r w:rsidRPr="005B49D3">
              <w:rPr>
                <w:b/>
                <w:bCs/>
                <w:lang w:val="lv-LV" w:eastAsia="lv-LV"/>
              </w:rPr>
              <w:t>I. Tiesību akta projekta izstrādes nepieciešamība</w:t>
            </w:r>
          </w:p>
        </w:tc>
      </w:tr>
      <w:tr w:rsidR="005D73DE" w:rsidRPr="00EB1FE3" w:rsidTr="00100837">
        <w:tc>
          <w:tcPr>
            <w:tcW w:w="250" w:type="pct"/>
          </w:tcPr>
          <w:p w:rsidR="00A162FE" w:rsidRPr="00533D31" w:rsidRDefault="00A162FE" w:rsidP="00C21DCA">
            <w:pPr>
              <w:jc w:val="center"/>
              <w:rPr>
                <w:lang w:val="lv-LV" w:eastAsia="lv-LV"/>
              </w:rPr>
            </w:pPr>
            <w:r w:rsidRPr="00533D31">
              <w:rPr>
                <w:lang w:val="lv-LV" w:eastAsia="lv-LV"/>
              </w:rPr>
              <w:t>1.</w:t>
            </w:r>
          </w:p>
        </w:tc>
        <w:tc>
          <w:tcPr>
            <w:tcW w:w="1474" w:type="pct"/>
          </w:tcPr>
          <w:p w:rsidR="00A162FE" w:rsidRPr="00533D31" w:rsidRDefault="00A162FE" w:rsidP="005D73DE">
            <w:pPr>
              <w:jc w:val="both"/>
              <w:rPr>
                <w:lang w:val="lv-LV" w:eastAsia="lv-LV"/>
              </w:rPr>
            </w:pPr>
            <w:r w:rsidRPr="00533D31">
              <w:rPr>
                <w:lang w:val="lv-LV" w:eastAsia="lv-LV"/>
              </w:rPr>
              <w:t>Pamatojums</w:t>
            </w:r>
          </w:p>
        </w:tc>
        <w:tc>
          <w:tcPr>
            <w:tcW w:w="3276" w:type="pct"/>
          </w:tcPr>
          <w:p w:rsidR="00A162FE" w:rsidRPr="00533D31" w:rsidRDefault="00A228F0" w:rsidP="00AC66A5">
            <w:pPr>
              <w:ind w:left="57" w:right="57"/>
              <w:jc w:val="both"/>
              <w:rPr>
                <w:lang w:val="lv-LV" w:eastAsia="lv-LV"/>
              </w:rPr>
            </w:pPr>
            <w:r w:rsidRPr="00533D31">
              <w:rPr>
                <w:lang w:val="lv-LV" w:eastAsia="lv-LV"/>
              </w:rPr>
              <w:t>Muitas likuma 6.panta</w:t>
            </w:r>
            <w:r w:rsidR="00AC490A" w:rsidRPr="00533D31">
              <w:rPr>
                <w:lang w:val="lv-LV" w:eastAsia="lv-LV"/>
              </w:rPr>
              <w:t xml:space="preserve"> </w:t>
            </w:r>
            <w:r w:rsidR="006E1EA0" w:rsidRPr="00533D31">
              <w:rPr>
                <w:lang w:val="lv-LV" w:eastAsia="lv-LV"/>
              </w:rPr>
              <w:t>18</w:t>
            </w:r>
            <w:r w:rsidRPr="00533D31">
              <w:rPr>
                <w:lang w:val="lv-LV" w:eastAsia="lv-LV"/>
              </w:rPr>
              <w:t>.</w:t>
            </w:r>
            <w:r w:rsidR="00E173C6">
              <w:rPr>
                <w:lang w:val="lv-LV" w:eastAsia="lv-LV"/>
              </w:rPr>
              <w:t>punkts.</w:t>
            </w:r>
          </w:p>
          <w:p w:rsidR="00AC490A" w:rsidRPr="00533D31" w:rsidRDefault="00AC490A" w:rsidP="00AC66A5">
            <w:pPr>
              <w:ind w:left="57" w:right="57"/>
              <w:jc w:val="both"/>
              <w:rPr>
                <w:lang w:val="lv-LV" w:eastAsia="lv-LV"/>
              </w:rPr>
            </w:pPr>
          </w:p>
        </w:tc>
      </w:tr>
      <w:tr w:rsidR="005D73DE" w:rsidRPr="00EB1FE3" w:rsidTr="00100837">
        <w:tc>
          <w:tcPr>
            <w:tcW w:w="250" w:type="pct"/>
          </w:tcPr>
          <w:p w:rsidR="00A162FE" w:rsidRPr="00533D31" w:rsidRDefault="00A162FE" w:rsidP="00C21DCA">
            <w:pPr>
              <w:jc w:val="center"/>
              <w:rPr>
                <w:lang w:val="lv-LV" w:eastAsia="lv-LV"/>
              </w:rPr>
            </w:pPr>
            <w:r w:rsidRPr="00533D31">
              <w:rPr>
                <w:lang w:val="lv-LV" w:eastAsia="lv-LV"/>
              </w:rPr>
              <w:t>2.</w:t>
            </w:r>
          </w:p>
        </w:tc>
        <w:tc>
          <w:tcPr>
            <w:tcW w:w="1474" w:type="pct"/>
          </w:tcPr>
          <w:p w:rsidR="005357F8" w:rsidRDefault="00A162FE" w:rsidP="005D73DE">
            <w:pPr>
              <w:jc w:val="both"/>
              <w:rPr>
                <w:lang w:val="lv-LV" w:eastAsia="lv-LV"/>
              </w:rPr>
            </w:pPr>
            <w:r w:rsidRPr="00533D31">
              <w:rPr>
                <w:lang w:val="lv-LV" w:eastAsia="lv-LV"/>
              </w:rPr>
              <w:t xml:space="preserve">Pašreizējā situācija </w:t>
            </w:r>
            <w:r w:rsidR="006A073E" w:rsidRPr="00533D31">
              <w:rPr>
                <w:lang w:val="lv-LV"/>
              </w:rPr>
              <w:t>un problēmas, kuru risināšanai tiesību akta projekts izstrādāts, tiesiskā regulējuma mērķis un būtība</w:t>
            </w: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5357F8" w:rsidRPr="005357F8" w:rsidRDefault="005357F8" w:rsidP="005357F8">
            <w:pPr>
              <w:rPr>
                <w:lang w:val="lv-LV" w:eastAsia="lv-LV"/>
              </w:rPr>
            </w:pPr>
          </w:p>
          <w:p w:rsidR="00A162FE" w:rsidRPr="005357F8" w:rsidRDefault="00A162FE" w:rsidP="005357F8">
            <w:pPr>
              <w:rPr>
                <w:lang w:val="lv-LV" w:eastAsia="lv-LV"/>
              </w:rPr>
            </w:pPr>
          </w:p>
        </w:tc>
        <w:tc>
          <w:tcPr>
            <w:tcW w:w="3276" w:type="pct"/>
          </w:tcPr>
          <w:p w:rsidR="001B6665" w:rsidRPr="004A0E58" w:rsidRDefault="001B6665" w:rsidP="001B6665">
            <w:pPr>
              <w:ind w:left="57" w:right="57"/>
              <w:jc w:val="both"/>
              <w:rPr>
                <w:lang w:val="lv-LV" w:eastAsia="lv-LV"/>
              </w:rPr>
            </w:pPr>
            <w:r w:rsidRPr="004A0E58">
              <w:rPr>
                <w:lang w:val="lv-LV" w:eastAsia="lv-LV"/>
              </w:rPr>
              <w:t>Ar 2016.gada 1.maiju tiek piemērota Eiropas Parlamenta un Padomes 2013.gada 9.oktobra Regula (ES) Nr.952/2013,  ar ko izveido Savienības Muitas kodeksu (turpmāk – regula Nr.952/2013), Komisijas Deleģētā 2015.gada 28.jūlija regula (ES) 2015/2446, ar ko papildina Eiropas Parlamenta un Padomes Regulu (ES) Nr.952/2013 attiecībā uz sīki izstrādātiem noteikumiem, kuri attiecas uz dažiem Savienības Muitas kodeksa noteikumiem (turpmāk – regula Nr.2015/446</w:t>
            </w:r>
            <w:r>
              <w:rPr>
                <w:lang w:val="lv-LV" w:eastAsia="lv-LV"/>
              </w:rPr>
              <w:t>)</w:t>
            </w:r>
            <w:r w:rsidRPr="004A0E58">
              <w:rPr>
                <w:lang w:val="lv-LV" w:eastAsia="lv-LV"/>
              </w:rPr>
              <w:t>, kā arī Komisijas Īstenošanas 2015.gada 24.novembra regula (ES) 2015/2447</w:t>
            </w:r>
            <w:r>
              <w:rPr>
                <w:lang w:val="lv-LV" w:eastAsia="lv-LV"/>
              </w:rPr>
              <w:t>,</w:t>
            </w:r>
            <w:r w:rsidRPr="004A0E58">
              <w:rPr>
                <w:lang w:val="lv-LV" w:eastAsia="lv-LV"/>
              </w:rPr>
              <w:t xml:space="preserve"> ar ko paredz sīki izstrādātus noteikumus, kas vajadzīgi, lai īstenotu konkrētus noteikumus Eiropas Parlamenta un Padomes Regulā (ES) Nr.952/2013, ar ko izveido Savienības Muitas kodeksu (turpmāk - regula Nr.2015/2447). </w:t>
            </w:r>
          </w:p>
          <w:p w:rsidR="000E5CFE" w:rsidRDefault="001B6665" w:rsidP="001B6665">
            <w:pPr>
              <w:ind w:left="57" w:right="57"/>
              <w:jc w:val="both"/>
              <w:rPr>
                <w:lang w:val="lv-LV" w:eastAsia="lv-LV"/>
              </w:rPr>
            </w:pPr>
            <w:r w:rsidRPr="004A0E58">
              <w:rPr>
                <w:lang w:val="lv-LV" w:eastAsia="lv-LV"/>
              </w:rPr>
              <w:t>Saistībā ar regulu Nr.952/2013, regulu Nr.2015/446 un regulu Nr.2015/2447</w:t>
            </w:r>
            <w:r>
              <w:rPr>
                <w:lang w:val="lv-LV" w:eastAsia="lv-LV"/>
              </w:rPr>
              <w:t xml:space="preserve"> 2016.gada 2.jūnijā</w:t>
            </w:r>
            <w:r w:rsidRPr="004A0E58">
              <w:rPr>
                <w:lang w:val="lv-LV" w:eastAsia="lv-LV"/>
              </w:rPr>
              <w:t xml:space="preserve"> ir pieņemts jauns Muitas likums, kura 6.panta </w:t>
            </w:r>
            <w:r>
              <w:rPr>
                <w:lang w:val="lv-LV" w:eastAsia="lv-LV"/>
              </w:rPr>
              <w:t>18.punktā</w:t>
            </w:r>
            <w:r w:rsidRPr="004A0E58">
              <w:rPr>
                <w:lang w:val="lv-LV" w:eastAsia="lv-LV"/>
              </w:rPr>
              <w:t xml:space="preserve"> paredzēts deleģējums Ministru kabinetam noteikt muitošanas kārtību, apgādājot kuģi (tajā skaitā karakuģi) un gaisa kuģi ar krājumiem, rezerves daļām un aprīkojumu.</w:t>
            </w:r>
            <w:r w:rsidR="000E5CFE">
              <w:rPr>
                <w:lang w:val="lv-LV" w:eastAsia="lv-LV"/>
              </w:rPr>
              <w:t xml:space="preserve"> </w:t>
            </w:r>
          </w:p>
          <w:p w:rsidR="00F85446" w:rsidRDefault="00F85446" w:rsidP="00F85446">
            <w:pPr>
              <w:ind w:left="57" w:right="57"/>
              <w:jc w:val="both"/>
              <w:rPr>
                <w:rFonts w:eastAsiaTheme="minorHAnsi"/>
                <w:lang w:val="lv-LV"/>
              </w:rPr>
            </w:pPr>
          </w:p>
          <w:p w:rsidR="00F85446" w:rsidRPr="00533D31" w:rsidRDefault="00F85446" w:rsidP="00F85446">
            <w:pPr>
              <w:ind w:left="57" w:right="57"/>
              <w:jc w:val="both"/>
              <w:rPr>
                <w:rFonts w:eastAsiaTheme="minorHAnsi"/>
                <w:lang w:val="lv-LV"/>
              </w:rPr>
            </w:pPr>
            <w:r w:rsidRPr="00533D31">
              <w:rPr>
                <w:rFonts w:eastAsiaTheme="minorHAnsi"/>
                <w:lang w:val="lv-LV"/>
              </w:rPr>
              <w:t>Ministru kabineta noteikumu projekts nosaka muitošanas kārtību, apgādājot kuģi (tajā skaitā karakuģi) un gaisa kuģi ar krājumiem, rezerves daļām un aprīkojumu.</w:t>
            </w:r>
          </w:p>
          <w:p w:rsidR="00F85446" w:rsidRDefault="00F85446" w:rsidP="001B6665">
            <w:pPr>
              <w:ind w:left="57" w:right="57"/>
              <w:jc w:val="both"/>
              <w:rPr>
                <w:lang w:val="lv-LV" w:eastAsia="lv-LV"/>
              </w:rPr>
            </w:pPr>
          </w:p>
          <w:p w:rsidR="00D85014" w:rsidRPr="00533D31" w:rsidRDefault="00D85014" w:rsidP="001B6665">
            <w:pPr>
              <w:ind w:left="57" w:right="57"/>
              <w:jc w:val="both"/>
              <w:rPr>
                <w:rFonts w:eastAsiaTheme="minorHAnsi"/>
                <w:lang w:val="lv-LV"/>
              </w:rPr>
            </w:pPr>
            <w:r w:rsidRPr="00533D31">
              <w:rPr>
                <w:rFonts w:eastAsiaTheme="minorHAnsi"/>
                <w:lang w:val="lv-LV"/>
              </w:rPr>
              <w:t>Muitošanas kārtība</w:t>
            </w:r>
            <w:r w:rsidR="00692444">
              <w:rPr>
                <w:rFonts w:eastAsiaTheme="minorHAnsi"/>
                <w:lang w:val="lv-LV"/>
              </w:rPr>
              <w:t xml:space="preserve"> </w:t>
            </w:r>
            <w:r w:rsidR="00692444" w:rsidRPr="00692444">
              <w:rPr>
                <w:rFonts w:eastAsiaTheme="minorHAnsi"/>
                <w:lang w:val="lv-LV"/>
              </w:rPr>
              <w:t>kuģa un gaisa kuģa</w:t>
            </w:r>
            <w:r w:rsidRPr="00533D31">
              <w:rPr>
                <w:rFonts w:eastAsiaTheme="minorHAnsi"/>
                <w:lang w:val="lv-LV"/>
              </w:rPr>
              <w:t xml:space="preserve"> apgādē </w:t>
            </w:r>
            <w:r w:rsidR="00DE720D">
              <w:rPr>
                <w:rFonts w:eastAsiaTheme="minorHAnsi"/>
                <w:lang w:val="lv-LV"/>
              </w:rPr>
              <w:t xml:space="preserve">kopumā </w:t>
            </w:r>
            <w:r w:rsidRPr="00533D31">
              <w:rPr>
                <w:rFonts w:eastAsiaTheme="minorHAnsi"/>
                <w:lang w:val="lv-LV"/>
              </w:rPr>
              <w:t xml:space="preserve">tiek saglabāta tāda, kā to </w:t>
            </w:r>
            <w:r w:rsidR="00DE720D">
              <w:rPr>
                <w:rFonts w:eastAsiaTheme="minorHAnsi"/>
                <w:lang w:val="lv-LV"/>
              </w:rPr>
              <w:t>paredz</w:t>
            </w:r>
            <w:r w:rsidRPr="00533D31">
              <w:rPr>
                <w:rFonts w:eastAsiaTheme="minorHAnsi"/>
                <w:lang w:val="lv-LV"/>
              </w:rPr>
              <w:t xml:space="preserve"> </w:t>
            </w:r>
            <w:r w:rsidR="00AA2CBF" w:rsidRPr="00533D31">
              <w:rPr>
                <w:lang w:val="lv-LV"/>
              </w:rPr>
              <w:t xml:space="preserve">Ministru kabineta </w:t>
            </w:r>
            <w:r w:rsidRPr="00533D31">
              <w:rPr>
                <w:lang w:val="lv-LV"/>
              </w:rPr>
              <w:t xml:space="preserve">2010.gada 16.marta noteikumi Nr.249 „Muitošanas kārtība kuģa un gaisa kuģa apgādē” (turpmāk – </w:t>
            </w:r>
            <w:r w:rsidR="000E5CFE">
              <w:rPr>
                <w:lang w:val="lv-LV"/>
              </w:rPr>
              <w:t>MK</w:t>
            </w:r>
            <w:r w:rsidRPr="00533D31">
              <w:rPr>
                <w:lang w:val="lv-LV"/>
              </w:rPr>
              <w:t xml:space="preserve"> noteikumi Nr.249)</w:t>
            </w:r>
            <w:r w:rsidRPr="00533D31">
              <w:rPr>
                <w:rFonts w:eastAsiaTheme="minorHAnsi"/>
                <w:lang w:val="lv-LV"/>
              </w:rPr>
              <w:t>, vienlaikus redakcionāli precizējot atsevišķu punktu redakcijas attiecībā uz Savienības preču muitošanas kārtību</w:t>
            </w:r>
            <w:r w:rsidR="00DE720D">
              <w:rPr>
                <w:rFonts w:eastAsiaTheme="minorHAnsi"/>
                <w:lang w:val="lv-LV"/>
              </w:rPr>
              <w:t xml:space="preserve"> atbilstoši Eiropas Savienības jaunajam regulējumam  muitas jomā</w:t>
            </w:r>
            <w:r w:rsidRPr="00533D31">
              <w:rPr>
                <w:rFonts w:eastAsiaTheme="minorHAnsi"/>
                <w:lang w:val="lv-LV"/>
              </w:rPr>
              <w:t>.</w:t>
            </w:r>
          </w:p>
          <w:p w:rsidR="00F85446" w:rsidRDefault="00F85446" w:rsidP="00AC66A5">
            <w:pPr>
              <w:ind w:left="57" w:right="57"/>
              <w:jc w:val="both"/>
              <w:rPr>
                <w:lang w:val="lv-LV" w:eastAsia="lv-LV"/>
              </w:rPr>
            </w:pPr>
          </w:p>
          <w:p w:rsidR="00205A6B" w:rsidRDefault="00205A6B" w:rsidP="00AC66A5">
            <w:pPr>
              <w:ind w:left="57" w:right="57"/>
              <w:jc w:val="both"/>
              <w:rPr>
                <w:lang w:val="lv-LV" w:eastAsia="lv-LV"/>
              </w:rPr>
            </w:pPr>
            <w:r w:rsidRPr="00533D31">
              <w:rPr>
                <w:lang w:val="lv-LV" w:eastAsia="lv-LV"/>
              </w:rPr>
              <w:t xml:space="preserve">Salīdzinot ar </w:t>
            </w:r>
            <w:r w:rsidR="0093154F">
              <w:rPr>
                <w:lang w:val="lv-LV" w:eastAsia="lv-LV"/>
              </w:rPr>
              <w:t>iepriekš</w:t>
            </w:r>
            <w:r w:rsidR="0093154F" w:rsidRPr="00533D31">
              <w:rPr>
                <w:lang w:val="lv-LV" w:eastAsia="lv-LV"/>
              </w:rPr>
              <w:t xml:space="preserve">ējo </w:t>
            </w:r>
            <w:r w:rsidRPr="00533D31">
              <w:rPr>
                <w:lang w:val="lv-LV" w:eastAsia="lv-LV"/>
              </w:rPr>
              <w:t>regulējumu (Padomes 1992.gada 12.oktobra Regula (EEK) par Kopienas muitas kodeksa izveidi un Komisijas 1993.gada 2.jūlija Regula (EEK) Nr.2454/93, ar ko nosaka īstenošanas noteikumus Padomes Regulai (EEK) Nr.2913/92 par Kopienas Muitas kodeksa izveidi) attiecībā uz gaisa kuģu vai kuģu vajadzībām piegādātajām precēm, jaunais regulējums ievieš izmaiņas attiecībā uz Savienības preču muitošanas kārtību.</w:t>
            </w:r>
          </w:p>
          <w:p w:rsidR="00F85446" w:rsidRPr="00533D31" w:rsidRDefault="00F85446" w:rsidP="00AC66A5">
            <w:pPr>
              <w:ind w:left="57" w:right="57"/>
              <w:jc w:val="both"/>
              <w:rPr>
                <w:lang w:val="lv-LV" w:eastAsia="lv-LV"/>
              </w:rPr>
            </w:pPr>
          </w:p>
          <w:p w:rsidR="00994F18" w:rsidRDefault="00D8353E" w:rsidP="00F85446">
            <w:pPr>
              <w:pStyle w:val="considrant"/>
              <w:spacing w:before="0" w:after="0"/>
              <w:ind w:left="57" w:right="57"/>
            </w:pPr>
            <w:r w:rsidRPr="00533D31">
              <w:lastRenderedPageBreak/>
              <w:t>Komisijas 1993.gada 2.jūlija Regulas (EEK) Nr.2454/93</w:t>
            </w:r>
            <w:r w:rsidR="00946912" w:rsidRPr="00533D31">
              <w:t>,</w:t>
            </w:r>
            <w:r w:rsidRPr="00533D31">
              <w:t xml:space="preserve"> </w:t>
            </w:r>
            <w:r w:rsidRPr="00533D31">
              <w:rPr>
                <w:rFonts w:eastAsia="Times New Roman"/>
              </w:rPr>
              <w:t>ar ko nosaka īstenošanas noteikumus padomes Regulai (EEK) Nr.2913/92 par Kopienas Muitas kodeksa izveidi</w:t>
            </w:r>
            <w:r w:rsidR="00946912" w:rsidRPr="00533D31">
              <w:rPr>
                <w:rFonts w:eastAsia="Times New Roman"/>
              </w:rPr>
              <w:t>,</w:t>
            </w:r>
            <w:r w:rsidR="00044D27" w:rsidRPr="00533D31">
              <w:t xml:space="preserve"> </w:t>
            </w:r>
            <w:r w:rsidRPr="00533D31">
              <w:t>7</w:t>
            </w:r>
            <w:r w:rsidR="00044D27" w:rsidRPr="00533D31">
              <w:t>86.panta 2.punkta b)</w:t>
            </w:r>
            <w:r w:rsidR="00946912" w:rsidRPr="00533D31">
              <w:t xml:space="preserve"> apakšpunkt</w:t>
            </w:r>
            <w:r w:rsidR="0006298C">
              <w:t>ā</w:t>
            </w:r>
            <w:r w:rsidR="00820F85" w:rsidRPr="00533D31">
              <w:t xml:space="preserve"> </w:t>
            </w:r>
            <w:r w:rsidR="00F85446">
              <w:t xml:space="preserve">bija </w:t>
            </w:r>
            <w:r w:rsidR="0006298C" w:rsidRPr="00533D31">
              <w:t>no</w:t>
            </w:r>
            <w:r w:rsidR="0006298C">
              <w:t>teikts</w:t>
            </w:r>
            <w:r w:rsidRPr="00533D31">
              <w:t>, ka, piegādājot kuģim vai gaisa kuģim Kopienas preces kā krājumus, kuriem piemēro atbrīvojumu no nodokļa, neatkarīgi no kuģa vai gaisa kuģa galamērķa, jāievēro formalitātes attiecībā uz eksporta deklarāciju.</w:t>
            </w:r>
            <w:r w:rsidR="00F302BA" w:rsidRPr="00533D31">
              <w:t xml:space="preserve"> </w:t>
            </w:r>
          </w:p>
          <w:p w:rsidR="00951D65" w:rsidRPr="003B386E" w:rsidRDefault="00621FB4" w:rsidP="00F85446">
            <w:pPr>
              <w:pStyle w:val="considrant"/>
              <w:spacing w:before="0" w:after="0"/>
              <w:ind w:left="57" w:right="57"/>
            </w:pPr>
            <w:r w:rsidRPr="003B386E">
              <w:t xml:space="preserve">Savukārt </w:t>
            </w:r>
            <w:r w:rsidR="00C0059C" w:rsidRPr="003B386E">
              <w:t>r</w:t>
            </w:r>
            <w:r w:rsidR="00A51E13" w:rsidRPr="003B386E">
              <w:t>egulas</w:t>
            </w:r>
            <w:r w:rsidR="00A37DDB" w:rsidRPr="003B386E">
              <w:t xml:space="preserve"> </w:t>
            </w:r>
            <w:r w:rsidR="00A51E13" w:rsidRPr="003B386E">
              <w:t>Nr.952/2013</w:t>
            </w:r>
            <w:r w:rsidR="00ED63D4" w:rsidRPr="003B386E">
              <w:t xml:space="preserve"> </w:t>
            </w:r>
            <w:r w:rsidR="009A0383" w:rsidRPr="003B386E">
              <w:t>269.panta 3.punkt</w:t>
            </w:r>
            <w:r w:rsidR="0006298C" w:rsidRPr="003B386E">
              <w:t>ā</w:t>
            </w:r>
            <w:r w:rsidR="009A0383" w:rsidRPr="003B386E">
              <w:t xml:space="preserve"> </w:t>
            </w:r>
            <w:r w:rsidR="0006298C" w:rsidRPr="003B386E">
              <w:t>noteikts</w:t>
            </w:r>
            <w:r w:rsidR="009A0383" w:rsidRPr="003B386E">
              <w:t>, ka formalitātes uz eksporta muitas deklarāciju, kas noteiktas tiesību aktos muitas jomā, piemēro 2.punkta a), b) un c) apakšpunktā minētajos gadījumos, t.i.,</w:t>
            </w:r>
            <w:r w:rsidR="00994F18" w:rsidRPr="003B386E">
              <w:t xml:space="preserve"> cita starpā arī</w:t>
            </w:r>
            <w:r w:rsidR="009A0383" w:rsidRPr="003B386E">
              <w:t xml:space="preserve"> gaisa kuģu vai kuģu vajadzībām piegādātajām Savienības precēm, kuras ir atbrīvotas no PVN vai akcīzes nodokļa, neatkarīgi no gaisa kuģa vai kuģa galamērķa,</w:t>
            </w:r>
            <w:r w:rsidR="00994F18" w:rsidRPr="003B386E">
              <w:t xml:space="preserve"> un par kurām ir vajadzīgs pierādījums par šādu piegādi.</w:t>
            </w:r>
            <w:r w:rsidR="009A0383" w:rsidRPr="003B386E">
              <w:t xml:space="preserve"> </w:t>
            </w:r>
          </w:p>
          <w:p w:rsidR="00951D65" w:rsidRPr="003B386E" w:rsidRDefault="00026427" w:rsidP="00F85446">
            <w:pPr>
              <w:pStyle w:val="considrant"/>
              <w:spacing w:before="0" w:after="0"/>
              <w:ind w:left="57" w:right="57"/>
            </w:pPr>
            <w:r w:rsidRPr="003B386E">
              <w:t xml:space="preserve">Tādējādi </w:t>
            </w:r>
            <w:r w:rsidR="00F85446" w:rsidRPr="003B386E">
              <w:t xml:space="preserve">šobrīd </w:t>
            </w:r>
            <w:r w:rsidRPr="003B386E">
              <w:t>jaunais regulējums paredz plašāku preču loku, kam</w:t>
            </w:r>
            <w:r w:rsidR="00F85446" w:rsidRPr="003B386E">
              <w:t>, saskaņā ar Regulas Nr.952/2013 269.pantu,</w:t>
            </w:r>
            <w:r w:rsidRPr="003B386E">
              <w:t xml:space="preserve"> jāpiemēro eksporta formalitātes</w:t>
            </w:r>
            <w:r w:rsidR="00F85446" w:rsidRPr="003B386E">
              <w:t xml:space="preserve"> un tie ir </w:t>
            </w:r>
            <w:r w:rsidRPr="003B386E">
              <w:t>ne tikai krājumi</w:t>
            </w:r>
            <w:r w:rsidR="00F85446" w:rsidRPr="003B386E">
              <w:t xml:space="preserve"> (kā bija līdz šim)</w:t>
            </w:r>
            <w:r w:rsidRPr="003B386E">
              <w:t>, bet vis</w:t>
            </w:r>
            <w:r w:rsidR="00F85446" w:rsidRPr="003B386E">
              <w:t>as</w:t>
            </w:r>
            <w:r w:rsidRPr="003B386E">
              <w:t xml:space="preserve"> piegādāt</w:t>
            </w:r>
            <w:r w:rsidR="00F85446" w:rsidRPr="003B386E">
              <w:t>ās</w:t>
            </w:r>
            <w:r w:rsidRPr="003B386E">
              <w:t xml:space="preserve"> Savienības prec</w:t>
            </w:r>
            <w:r w:rsidR="00F85446" w:rsidRPr="003B386E">
              <w:t>es, tajā skaitā arī aprīkojums un rezerves daļ</w:t>
            </w:r>
            <w:r w:rsidR="00D43F58" w:rsidRPr="003B386E">
              <w:t>a</w:t>
            </w:r>
            <w:r w:rsidR="00F85446" w:rsidRPr="003B386E">
              <w:t>s, par kurām ir vajadzīgs pierādījums, ka tās kuģim vai gaisa kuģim piegādātas ar atbrīvojumu no PVN vai akcīzes nodokļa.</w:t>
            </w:r>
            <w:r w:rsidR="00951D65" w:rsidRPr="003B386E">
              <w:t xml:space="preserve"> Tātad, ja šāds pierādījums nav vajadzīgs, respektīvi, ja precei netiek piemērots atbrīvojums no PVN vai akcīzes nodokļa, tad eksporta formalitātes šādām precēm nav jāpiemēro.</w:t>
            </w:r>
          </w:p>
          <w:p w:rsidR="00D23409" w:rsidRPr="003B386E" w:rsidRDefault="00D23409" w:rsidP="00F85446">
            <w:pPr>
              <w:pStyle w:val="considrant"/>
              <w:spacing w:before="0" w:after="0"/>
              <w:ind w:left="57" w:right="57"/>
            </w:pPr>
            <w:r w:rsidRPr="003B386E">
              <w:t>Lai izvērtētu, kuros gadījumos regulas Nr.952/2013 269.panta ietvarā ir jāpiemēro formalitātes attiecībā uz muitas deklarāciju</w:t>
            </w:r>
            <w:r w:rsidR="001B40BD" w:rsidRPr="003B386E">
              <w:t>, ir jāidentificē, vai ir nepieciešams pierādījums, ka kuģis vai gaisa kuģis ir apgādāts ar preci, kura ir atbrīvota no pievienotās vērtības nodokļa vai akcīzes nodokļa (regulas Nr.952/2013 269.panta 2.punkta c)apakšpunkts).</w:t>
            </w:r>
          </w:p>
          <w:p w:rsidR="009E5C2E" w:rsidRPr="003B386E" w:rsidRDefault="009E5C2E" w:rsidP="00F85446">
            <w:pPr>
              <w:pStyle w:val="considrant"/>
              <w:spacing w:before="0" w:after="0"/>
              <w:ind w:left="57" w:right="57"/>
              <w:rPr>
                <w:b/>
              </w:rPr>
            </w:pPr>
            <w:r w:rsidRPr="003B386E">
              <w:rPr>
                <w:b/>
              </w:rPr>
              <w:t>Pierādījums par to, ka prece atbrīvota no pievienotās vērtības nodokļa</w:t>
            </w:r>
          </w:p>
          <w:p w:rsidR="00F1458A" w:rsidRPr="003B386E" w:rsidRDefault="009E5C2E" w:rsidP="00F1458A">
            <w:pPr>
              <w:pStyle w:val="considrant"/>
              <w:spacing w:before="0" w:after="0"/>
              <w:ind w:left="57" w:right="57"/>
            </w:pPr>
            <w:r w:rsidRPr="003B386E">
              <w:t>R</w:t>
            </w:r>
            <w:r w:rsidR="006077F7" w:rsidRPr="003B386E">
              <w:t>egulas Nr.952/2013 269.panta 3.punta c) apakšpunktā minētais pierādījums par to, ka prece atbrīvota no pievienotās vērtības nodokļa, ir nepieciešams gadījumos, ja notikusi preces piegāde Pievienotās vērtības nodokļa likuma izpratnē, un proti, s</w:t>
            </w:r>
            <w:r w:rsidR="00743613" w:rsidRPr="003B386E">
              <w:t xml:space="preserve">askaņā ar Pievienotās vērtības nodokļa likuma 47. un 48.pantu </w:t>
            </w:r>
            <w:r w:rsidR="00B01F86" w:rsidRPr="003B386E">
              <w:t xml:space="preserve"> </w:t>
            </w:r>
            <w:r w:rsidR="00743613" w:rsidRPr="003B386E">
              <w:t>pievienotās vērtības 0 procentu likmi</w:t>
            </w:r>
            <w:r w:rsidR="006077F7" w:rsidRPr="003B386E">
              <w:t xml:space="preserve"> (jeb atbrīvojumu no pievienotās vērtības nodokļa)</w:t>
            </w:r>
            <w:r w:rsidR="00743613" w:rsidRPr="003B386E">
              <w:t xml:space="preserve"> piemēro kuģu un gaisa kuģu rezerves daļu un tajos iebūvētā vai lietotā aprīkojuma piegādei un importam, kā arī degvielas </w:t>
            </w:r>
            <w:proofErr w:type="spellStart"/>
            <w:r w:rsidR="00743613" w:rsidRPr="003B386E">
              <w:t>uzpildei</w:t>
            </w:r>
            <w:proofErr w:type="spellEnd"/>
            <w:r w:rsidR="00743613" w:rsidRPr="003B386E">
              <w:t xml:space="preserve"> šiem kuģiem un gaisa kuģiem.</w:t>
            </w:r>
            <w:r w:rsidR="004E6DC5" w:rsidRPr="003B386E">
              <w:t xml:space="preserve"> </w:t>
            </w:r>
            <w:r w:rsidR="00D3054E" w:rsidRPr="003B386E">
              <w:t xml:space="preserve">Tāpat, pievienotās vērtības nodokļa 0 procentu likmi piemēro kuģu un gaisa kuģu apgādei paredzēto preču piegādei, to pārbūvei, remontam, tehniskajai apkopei, fraktēšanai un nomai, tāpat arī kuģos un gaisa kuģos iebūvētā vai tajos lietotā aprīkojuma remontam, tehniskajai apkopei un nomai, </w:t>
            </w:r>
            <w:r w:rsidR="00D3054E" w:rsidRPr="003B386E">
              <w:lastRenderedPageBreak/>
              <w:t>kā arī pakalpojumiem, kas sniegti, lai nodrošinātu kuģu un gaisa kuģu vai to kravu tiešās vajadzības, tai skaitā kuģu aģentu sniegtajiem pakalpojumiem.</w:t>
            </w:r>
            <w:r w:rsidR="00534B4B" w:rsidRPr="003B386E">
              <w:t xml:space="preserve"> </w:t>
            </w:r>
          </w:p>
          <w:p w:rsidR="00F1458A" w:rsidRPr="003B386E" w:rsidRDefault="00534B4B" w:rsidP="00F1458A">
            <w:pPr>
              <w:pStyle w:val="considrant"/>
              <w:spacing w:before="0" w:after="0"/>
              <w:ind w:left="57" w:right="57"/>
            </w:pPr>
            <w:r w:rsidRPr="003B386E">
              <w:t>Piegāde, saskaņā ar Pievienotās vērtības nodokļa likuma 1.panta 20.punktu, jāsaprot kā darījums, kas izpaužas kā īpašuma tiesību uz lietu nodošana citai personai, lai tā varētu rīkoties ar lietu.</w:t>
            </w:r>
            <w:r w:rsidR="00023015" w:rsidRPr="003B386E">
              <w:t xml:space="preserve"> </w:t>
            </w:r>
          </w:p>
          <w:p w:rsidR="00F1458A" w:rsidRPr="003B386E" w:rsidRDefault="00023015" w:rsidP="00F1458A">
            <w:pPr>
              <w:pStyle w:val="considrant"/>
              <w:spacing w:before="0" w:after="0"/>
              <w:ind w:left="57" w:right="57"/>
            </w:pPr>
            <w:r w:rsidRPr="003B386E">
              <w:t>Tātad, regulas Nr.952/2013 269.panta otrās daļas c) punktā minētajām Savienības precēm piemēro eksporta procedūru tikai tajos gadījumos, ja par tām vajadzīgs pierādījums, ka preču piegāde notikusi ar pievienotās vērtības 0 procentu likmi, respektīvi, tikai tajos gadījumos, ja attiecībā uz preci ir nodotas īpašuma tiesības citai personai.</w:t>
            </w:r>
          </w:p>
          <w:p w:rsidR="000E2FA0" w:rsidRPr="003B386E" w:rsidRDefault="00023015" w:rsidP="00F1458A">
            <w:pPr>
              <w:pStyle w:val="considrant"/>
              <w:spacing w:before="0" w:after="0"/>
              <w:ind w:left="57" w:right="57"/>
            </w:pPr>
            <w:r w:rsidRPr="003B386E">
              <w:t>Līdz ar to, ja notikusi, piemēram, gaisa kuģa apgāde, apgādājo</w:t>
            </w:r>
            <w:r w:rsidR="00077AC5" w:rsidRPr="003B386E">
              <w:t>t gaisa kuģi ar Savienības prec</w:t>
            </w:r>
            <w:r w:rsidRPr="003B386E">
              <w:t>i</w:t>
            </w:r>
            <w:r w:rsidR="008964B6" w:rsidRPr="003B386E">
              <w:t xml:space="preserve"> un īpašuma tiesības attiecībā uz preci nav mainījušās, šādai precei nav nepieciešams noformēt muitas proced</w:t>
            </w:r>
            <w:r w:rsidR="000E2FA0" w:rsidRPr="003B386E">
              <w:t xml:space="preserve">ūru </w:t>
            </w:r>
            <w:r w:rsidR="00077AC5" w:rsidRPr="003B386E">
              <w:t xml:space="preserve">- </w:t>
            </w:r>
            <w:r w:rsidR="000E2FA0" w:rsidRPr="003B386E">
              <w:t xml:space="preserve">eksports. Kā piemēru, kad Savienības precei nav jānoformē muitas procedūra – eksports, var minēt </w:t>
            </w:r>
            <w:r w:rsidR="008335AA" w:rsidRPr="003B386E">
              <w:t>šādu situāciju:</w:t>
            </w:r>
          </w:p>
          <w:p w:rsidR="00077AC5" w:rsidRPr="003B386E" w:rsidRDefault="008335AA" w:rsidP="008335AA">
            <w:pPr>
              <w:pStyle w:val="tv2132"/>
              <w:spacing w:line="240" w:lineRule="auto"/>
              <w:ind w:firstLine="0"/>
              <w:jc w:val="both"/>
              <w:rPr>
                <w:color w:val="auto"/>
                <w:sz w:val="24"/>
                <w:szCs w:val="24"/>
              </w:rPr>
            </w:pPr>
            <w:r w:rsidRPr="003B386E">
              <w:rPr>
                <w:color w:val="auto"/>
                <w:sz w:val="24"/>
                <w:szCs w:val="24"/>
              </w:rPr>
              <w:t>lidsabiedrības</w:t>
            </w:r>
            <w:r w:rsidR="00077AC5" w:rsidRPr="003B386E">
              <w:rPr>
                <w:color w:val="auto"/>
                <w:sz w:val="24"/>
                <w:szCs w:val="24"/>
              </w:rPr>
              <w:t xml:space="preserve"> </w:t>
            </w:r>
            <w:r w:rsidR="007245EE" w:rsidRPr="003B386E">
              <w:rPr>
                <w:color w:val="auto"/>
                <w:sz w:val="24"/>
                <w:szCs w:val="24"/>
              </w:rPr>
              <w:t>lidmašīna reģistrēta Latv</w:t>
            </w:r>
            <w:r w:rsidR="00077AC5" w:rsidRPr="003B386E">
              <w:rPr>
                <w:color w:val="auto"/>
                <w:sz w:val="24"/>
                <w:szCs w:val="24"/>
              </w:rPr>
              <w:t>ijas Republikā. L</w:t>
            </w:r>
            <w:r w:rsidRPr="003B386E">
              <w:rPr>
                <w:color w:val="auto"/>
                <w:sz w:val="24"/>
                <w:szCs w:val="24"/>
              </w:rPr>
              <w:t>idmašīnas apkopes laikā tai tiek</w:t>
            </w:r>
            <w:r w:rsidR="00077AC5" w:rsidRPr="003B386E">
              <w:rPr>
                <w:color w:val="auto"/>
                <w:sz w:val="24"/>
                <w:szCs w:val="24"/>
              </w:rPr>
              <w:t xml:space="preserve"> konstatēts viens bojāts komponents, piemēram </w:t>
            </w:r>
            <w:proofErr w:type="spellStart"/>
            <w:r w:rsidR="00077AC5" w:rsidRPr="003B386E">
              <w:rPr>
                <w:i/>
                <w:color w:val="auto"/>
                <w:sz w:val="24"/>
                <w:szCs w:val="24"/>
              </w:rPr>
              <w:t>exit</w:t>
            </w:r>
            <w:proofErr w:type="spellEnd"/>
            <w:r w:rsidR="00077AC5" w:rsidRPr="003B386E">
              <w:rPr>
                <w:i/>
                <w:color w:val="auto"/>
                <w:sz w:val="24"/>
                <w:szCs w:val="24"/>
              </w:rPr>
              <w:t xml:space="preserve"> </w:t>
            </w:r>
            <w:proofErr w:type="spellStart"/>
            <w:r w:rsidR="00077AC5" w:rsidRPr="003B386E">
              <w:rPr>
                <w:i/>
                <w:color w:val="auto"/>
                <w:sz w:val="24"/>
                <w:szCs w:val="24"/>
              </w:rPr>
              <w:t>light</w:t>
            </w:r>
            <w:proofErr w:type="spellEnd"/>
            <w:r w:rsidR="00077AC5" w:rsidRPr="003B386E">
              <w:rPr>
                <w:i/>
                <w:color w:val="auto"/>
                <w:sz w:val="24"/>
                <w:szCs w:val="24"/>
              </w:rPr>
              <w:t xml:space="preserve"> Nr.1</w:t>
            </w:r>
            <w:r w:rsidR="00077AC5" w:rsidRPr="003B386E">
              <w:rPr>
                <w:color w:val="auto"/>
                <w:sz w:val="24"/>
                <w:szCs w:val="24"/>
              </w:rPr>
              <w:t xml:space="preserve">, kas tika izņemts no lidmašīnas. Bojātā komponenta vietā no </w:t>
            </w:r>
            <w:r w:rsidR="00EA39C4" w:rsidRPr="003B386E">
              <w:rPr>
                <w:color w:val="auto"/>
                <w:sz w:val="24"/>
                <w:szCs w:val="24"/>
              </w:rPr>
              <w:t xml:space="preserve">lidsabiedrības </w:t>
            </w:r>
            <w:r w:rsidR="00077AC5" w:rsidRPr="003B386E">
              <w:rPr>
                <w:color w:val="auto"/>
                <w:sz w:val="24"/>
                <w:szCs w:val="24"/>
              </w:rPr>
              <w:t xml:space="preserve"> noliktavas, kas atrodas Starptautiskās lidostas Rīga teritorijā</w:t>
            </w:r>
            <w:r w:rsidR="00EA39C4" w:rsidRPr="003B386E">
              <w:rPr>
                <w:color w:val="auto"/>
                <w:sz w:val="24"/>
                <w:szCs w:val="24"/>
              </w:rPr>
              <w:t>,</w:t>
            </w:r>
            <w:r w:rsidR="00077AC5" w:rsidRPr="003B386E">
              <w:rPr>
                <w:color w:val="auto"/>
                <w:sz w:val="24"/>
                <w:szCs w:val="24"/>
              </w:rPr>
              <w:t xml:space="preserve"> tiek piegādāts jauns komponents un tehniķis to uzstāda lidmašīnai pirms izlidošanas. Šādā gadījumā muitas procedūra – eksports nav jānoformē, jo komponentam, kas lidmašīnai tika uzstādīts bojātā vietā, netika mainītas īpašumtiesības, līdz ar ko nenotika preces piegāde Pievienotās vērtības nodokļa likuma izpratnē</w:t>
            </w:r>
            <w:r w:rsidR="009D2A9F" w:rsidRPr="003B386E">
              <w:rPr>
                <w:color w:val="auto"/>
                <w:sz w:val="24"/>
                <w:szCs w:val="24"/>
              </w:rPr>
              <w:t xml:space="preserve"> - attiecīgi netika piemērota pievienotās vērtības nodokļa 0% likme, līdz ar to nav nepieciešams pierādījums par šādas preces piegādi atbilstoši regulas Nr.952/2013 269.panta 2.punkta c)apakšpunktam. </w:t>
            </w:r>
          </w:p>
          <w:p w:rsidR="00A170B0" w:rsidRPr="003B386E" w:rsidRDefault="00A170B0" w:rsidP="008335AA">
            <w:pPr>
              <w:pStyle w:val="tv2132"/>
              <w:spacing w:line="240" w:lineRule="auto"/>
              <w:ind w:firstLine="0"/>
              <w:jc w:val="both"/>
              <w:rPr>
                <w:color w:val="auto"/>
                <w:sz w:val="24"/>
                <w:szCs w:val="24"/>
              </w:rPr>
            </w:pPr>
          </w:p>
          <w:p w:rsidR="00A170B0" w:rsidRPr="003B386E" w:rsidRDefault="00A170B0" w:rsidP="00A170B0">
            <w:pPr>
              <w:pStyle w:val="considrant"/>
              <w:spacing w:before="0" w:after="0"/>
              <w:ind w:left="57" w:right="57"/>
              <w:rPr>
                <w:b/>
              </w:rPr>
            </w:pPr>
            <w:r w:rsidRPr="003B386E">
              <w:rPr>
                <w:b/>
              </w:rPr>
              <w:t>Pierādījums par to, ka prece atbrīvota no akcīzes nodokļa</w:t>
            </w:r>
          </w:p>
          <w:p w:rsidR="00BC7AE2" w:rsidRPr="003B386E" w:rsidRDefault="00A170B0" w:rsidP="0005746E">
            <w:pPr>
              <w:pStyle w:val="tv2132"/>
              <w:spacing w:line="240" w:lineRule="auto"/>
              <w:ind w:firstLine="0"/>
              <w:jc w:val="both"/>
              <w:rPr>
                <w:color w:val="auto"/>
                <w:sz w:val="24"/>
                <w:szCs w:val="24"/>
              </w:rPr>
            </w:pPr>
            <w:r w:rsidRPr="003B386E">
              <w:rPr>
                <w:color w:val="auto"/>
                <w:sz w:val="24"/>
                <w:szCs w:val="24"/>
              </w:rPr>
              <w:t>F</w:t>
            </w:r>
            <w:r w:rsidR="00EC6B29" w:rsidRPr="003B386E">
              <w:rPr>
                <w:color w:val="auto"/>
                <w:sz w:val="24"/>
                <w:szCs w:val="24"/>
              </w:rPr>
              <w:t>ormalitātes attiecībā uz eksporta muitas deklarāciju gaisa kuģu vai kuģu vajadzībām piegādātajām akcīzes precēm, kam ir Savienības muitas statuss, neatkarīgi no kuģa vai gaisa kuģa galamērķa noformē gadījumos, ja par šim precēm nepieciešams pierādījums, ka tām piemērots atbrīvojums no akcīzes nodokļa</w:t>
            </w:r>
            <w:r w:rsidR="00047821" w:rsidRPr="003B386E">
              <w:rPr>
                <w:color w:val="auto"/>
                <w:sz w:val="24"/>
                <w:szCs w:val="24"/>
              </w:rPr>
              <w:t xml:space="preserve">. Likuma “Par akcīzes nodokli” 18.panta pirmās daļas 2. un 3.punkts nosaka, ka naftas produkti, kurus piegādā un izmanto gaisakuģi un kuģi (kuri netiek izmantoti privātai atpūtai un izklaidei) ir atbrīvoti no akcīzes nodokļa Ministru kabineta noteiktajā kārtībā un minēto kārtību reglamentē </w:t>
            </w:r>
            <w:r w:rsidR="00EC6B29" w:rsidRPr="003B386E">
              <w:rPr>
                <w:color w:val="auto"/>
                <w:sz w:val="24"/>
                <w:szCs w:val="24"/>
              </w:rPr>
              <w:t xml:space="preserve">Ministru kabineta 2007.gada 31.jūlija noteikumi Nr.525 “Kārtība, kādā atsevišķiem naftas produktiem piemēro samazinātu akcīzes nodokļa likmi vai atbrīvojumu no akcīzes nodokļa” (turpmāk – MK noteikumi Nr.525). </w:t>
            </w:r>
          </w:p>
          <w:p w:rsidR="007C6C23" w:rsidRPr="003B386E" w:rsidRDefault="0005746E" w:rsidP="0005746E">
            <w:pPr>
              <w:pStyle w:val="tv2132"/>
              <w:spacing w:line="240" w:lineRule="auto"/>
              <w:ind w:firstLine="0"/>
              <w:jc w:val="both"/>
              <w:rPr>
                <w:color w:val="auto"/>
                <w:sz w:val="24"/>
                <w:szCs w:val="24"/>
              </w:rPr>
            </w:pPr>
            <w:r w:rsidRPr="003B386E">
              <w:rPr>
                <w:color w:val="auto"/>
                <w:sz w:val="24"/>
                <w:szCs w:val="24"/>
              </w:rPr>
              <w:lastRenderedPageBreak/>
              <w:t xml:space="preserve">Saskaņā ar MK noteikumu Nr.525 92. un 93.punktu </w:t>
            </w:r>
            <w:bookmarkStart w:id="7" w:name="p-121142"/>
            <w:bookmarkStart w:id="8" w:name="p92"/>
            <w:bookmarkEnd w:id="7"/>
            <w:bookmarkEnd w:id="8"/>
            <w:r w:rsidRPr="003B386E">
              <w:rPr>
                <w:color w:val="auto"/>
                <w:sz w:val="24"/>
                <w:szCs w:val="24"/>
              </w:rPr>
              <w:t>n</w:t>
            </w:r>
            <w:r w:rsidR="007C6C23" w:rsidRPr="003B386E">
              <w:rPr>
                <w:color w:val="auto"/>
                <w:sz w:val="24"/>
                <w:szCs w:val="24"/>
              </w:rPr>
              <w:t xml:space="preserve">aftas produktus, kas paredzēti izmantošanai </w:t>
            </w:r>
            <w:r w:rsidRPr="003B386E">
              <w:rPr>
                <w:color w:val="auto"/>
                <w:sz w:val="24"/>
                <w:szCs w:val="24"/>
              </w:rPr>
              <w:t>gaisa kuģos un kuģos</w:t>
            </w:r>
            <w:r w:rsidR="007C6C23" w:rsidRPr="003B386E">
              <w:rPr>
                <w:color w:val="auto"/>
                <w:sz w:val="24"/>
                <w:szCs w:val="24"/>
              </w:rPr>
              <w:t xml:space="preserve">, atbrīvo no </w:t>
            </w:r>
            <w:r w:rsidRPr="003B386E">
              <w:rPr>
                <w:color w:val="auto"/>
                <w:sz w:val="24"/>
                <w:szCs w:val="24"/>
              </w:rPr>
              <w:t xml:space="preserve">akcīzes </w:t>
            </w:r>
            <w:r w:rsidR="007C6C23" w:rsidRPr="003B386E">
              <w:rPr>
                <w:color w:val="auto"/>
                <w:sz w:val="24"/>
                <w:szCs w:val="24"/>
              </w:rPr>
              <w:t>nodokļa, ja tos izmanto tādos kuģos un gaisa kuģos, kurus izmanto nevis privātai atpūtai un izklaidei, bet komerciāliem nolūkiem vai citiem mērķiem (piemēram, starptautiskiem pasažieru vai preču pārvadājumiem, glābšanas dienestu darbībai, zivsaimniecī</w:t>
            </w:r>
            <w:r w:rsidR="007C6C23" w:rsidRPr="003B386E">
              <w:rPr>
                <w:color w:val="auto"/>
                <w:sz w:val="24"/>
                <w:szCs w:val="24"/>
              </w:rPr>
              <w:softHyphen/>
              <w:t>bas nodrošināšanai, kuģu būvēšanai, izmēģināšanai un uzturēšanai, kā arī kuģos un citos peldlīdzekļos, kurus izmanto ūdensceļu padziļināšanā un paplašinā</w:t>
            </w:r>
            <w:r w:rsidR="007C6C23" w:rsidRPr="003B386E">
              <w:rPr>
                <w:color w:val="auto"/>
                <w:sz w:val="24"/>
                <w:szCs w:val="24"/>
              </w:rPr>
              <w:softHyphen/>
              <w:t>šanā).</w:t>
            </w:r>
          </w:p>
          <w:p w:rsidR="00D03366" w:rsidRPr="003B386E" w:rsidRDefault="00D03366" w:rsidP="0005746E">
            <w:pPr>
              <w:pStyle w:val="tv2132"/>
              <w:spacing w:line="240" w:lineRule="auto"/>
              <w:ind w:firstLine="0"/>
              <w:jc w:val="both"/>
              <w:rPr>
                <w:color w:val="auto"/>
                <w:sz w:val="24"/>
                <w:szCs w:val="24"/>
              </w:rPr>
            </w:pPr>
            <w:r w:rsidRPr="003B386E">
              <w:rPr>
                <w:color w:val="auto"/>
                <w:sz w:val="24"/>
                <w:szCs w:val="24"/>
              </w:rPr>
              <w:t xml:space="preserve">Saskaņā ar likuma “Par akcīzes nodokli” 21.panta sesto daļu no akcīzes nodokļa atbrīvo akcīzes preces (izņemot naftas produktus), kuras piegādā kuģiem un gaisakuģiem, kas veic starptautiskus pārvadājumus (arī starp dalībvalstīm), ar nosacījumu, ka šīs preces tiek realizētas (arī gadījumos, kad preču vērtība tiek iekļauta biļetes cenā) uz attiecīgā kuģa vai gaisakuģa mazumtirdzniecībā patērēšanai uz vietas (izņemot realizēšanu mazumtirdzniecībā </w:t>
            </w:r>
            <w:proofErr w:type="spellStart"/>
            <w:r w:rsidRPr="003B386E">
              <w:rPr>
                <w:color w:val="auto"/>
                <w:sz w:val="24"/>
                <w:szCs w:val="24"/>
              </w:rPr>
              <w:t>promnešanai</w:t>
            </w:r>
            <w:proofErr w:type="spellEnd"/>
            <w:r w:rsidRPr="003B386E">
              <w:rPr>
                <w:color w:val="auto"/>
                <w:sz w:val="24"/>
                <w:szCs w:val="24"/>
              </w:rPr>
              <w:t xml:space="preserve">) vai tiek izmantotas kuģa apkalpes apgādei. Šajā gadījumā konkrētā kuģa vai gaisakuģa kapteinis piegādātājam — nodokļa maksātājam </w:t>
            </w:r>
            <w:proofErr w:type="spellStart"/>
            <w:r w:rsidRPr="003B386E">
              <w:rPr>
                <w:color w:val="auto"/>
                <w:sz w:val="24"/>
                <w:szCs w:val="24"/>
              </w:rPr>
              <w:t>rakstveidā</w:t>
            </w:r>
            <w:proofErr w:type="spellEnd"/>
            <w:r w:rsidRPr="003B386E">
              <w:rPr>
                <w:color w:val="auto"/>
                <w:sz w:val="24"/>
                <w:szCs w:val="24"/>
              </w:rPr>
              <w:t xml:space="preserve"> apliecina, ka saņemtās akcīzes preces (norādot produkta veidu, nosaukumu, daudzumu un akcīzes preču izmantošanas mērķi) netiks izmantotas citādi.</w:t>
            </w:r>
          </w:p>
          <w:p w:rsidR="00BC7AE2" w:rsidRPr="003B386E" w:rsidRDefault="00BC7AE2" w:rsidP="0005746E">
            <w:pPr>
              <w:pStyle w:val="tv2132"/>
              <w:spacing w:line="240" w:lineRule="auto"/>
              <w:ind w:firstLine="0"/>
              <w:jc w:val="both"/>
              <w:rPr>
                <w:color w:val="auto"/>
                <w:sz w:val="24"/>
                <w:szCs w:val="24"/>
              </w:rPr>
            </w:pPr>
          </w:p>
          <w:p w:rsidR="007C6C23" w:rsidRPr="003B386E" w:rsidRDefault="00BC7AE2" w:rsidP="00F1458A">
            <w:pPr>
              <w:pStyle w:val="tv2132"/>
              <w:spacing w:line="240" w:lineRule="auto"/>
              <w:ind w:firstLine="0"/>
              <w:jc w:val="both"/>
              <w:rPr>
                <w:vanish/>
                <w:color w:val="auto"/>
              </w:rPr>
            </w:pPr>
            <w:r w:rsidRPr="003B386E">
              <w:rPr>
                <w:color w:val="auto"/>
                <w:sz w:val="24"/>
                <w:szCs w:val="24"/>
              </w:rPr>
              <w:t xml:space="preserve">Noteikumu projekta 3.punkts paredz, ka Regulas Nr.2015/2446 </w:t>
            </w:r>
            <w:r w:rsidR="00783BEA" w:rsidRPr="003B386E">
              <w:rPr>
                <w:color w:val="auto"/>
                <w:sz w:val="24"/>
                <w:szCs w:val="24"/>
              </w:rPr>
              <w:t>137.panta 1.punkta b) apakšpunkta</w:t>
            </w:r>
            <w:r w:rsidRPr="003B386E">
              <w:rPr>
                <w:color w:val="auto"/>
                <w:sz w:val="24"/>
                <w:szCs w:val="24"/>
              </w:rPr>
              <w:t xml:space="preserve"> minētajā mutiskās deklarēšanas gadījumā persona noformē preču pavaddokumentu, kura kopiju iesniedz  muitas iestādē, kuras kontrolē atrodas apgādājamais kuģis vai gaisa kuģis. Tas nozīmē, ja kuģa vai gaisa kuģa vajadzībām tiek piegādāta komerciāla prece, kuras vērtība nepārsniedz </w:t>
            </w:r>
            <w:r w:rsidR="00783BEA" w:rsidRPr="003B386E">
              <w:rPr>
                <w:color w:val="auto"/>
                <w:sz w:val="24"/>
                <w:szCs w:val="24"/>
              </w:rPr>
              <w:t>EUR 1000 vai kuras neto svars nepārsniedz EUR 1000, tad eksporta muitas deklarācija par regulas Nr.952/2013 269.panta 2.punkta c) apakšpunktā minētajām precēm (kuras ir atbrīvotas no pievienotās vērtības nodokļa un akcīzes nodokļa un par kurām ir vajadzīgs pierādījums, ka ar tām apgādāts kuģis vai gaisa kuģis) var iesniegt mutiski</w:t>
            </w:r>
            <w:r w:rsidR="005C6FC6" w:rsidRPr="003B386E">
              <w:rPr>
                <w:color w:val="auto"/>
                <w:sz w:val="24"/>
                <w:szCs w:val="24"/>
              </w:rPr>
              <w:t xml:space="preserve"> - persona noformē preču pavaddokumentu, kura kopiju iesniedz  muitas iestādē, kuras kontrolē atrodas apgādājamais kuģis vai gaisa kuģis</w:t>
            </w:r>
            <w:r w:rsidR="00783BEA" w:rsidRPr="003B386E">
              <w:rPr>
                <w:color w:val="auto"/>
                <w:sz w:val="24"/>
                <w:szCs w:val="24"/>
              </w:rPr>
              <w:t>.</w:t>
            </w:r>
            <w:r w:rsidR="007C6C23" w:rsidRPr="003B386E">
              <w:rPr>
                <w:vanish/>
                <w:color w:val="auto"/>
              </w:rPr>
              <w:t>100</w:t>
            </w:r>
          </w:p>
          <w:p w:rsidR="007C6C23" w:rsidRPr="003B386E" w:rsidRDefault="007C6C23" w:rsidP="007C6C23">
            <w:pPr>
              <w:pStyle w:val="tv2132"/>
              <w:spacing w:line="240" w:lineRule="auto"/>
              <w:ind w:firstLine="720"/>
              <w:jc w:val="both"/>
              <w:rPr>
                <w:color w:val="auto"/>
                <w:sz w:val="24"/>
                <w:szCs w:val="24"/>
              </w:rPr>
            </w:pPr>
            <w:bookmarkStart w:id="9" w:name="p-121144"/>
            <w:bookmarkStart w:id="10" w:name="p93"/>
            <w:bookmarkEnd w:id="9"/>
            <w:bookmarkEnd w:id="10"/>
          </w:p>
          <w:p w:rsidR="00B04199" w:rsidRPr="00F1458A" w:rsidRDefault="00B04199" w:rsidP="00AC66A5">
            <w:pPr>
              <w:pStyle w:val="considrant"/>
              <w:spacing w:before="0" w:after="0"/>
              <w:ind w:left="57" w:right="57"/>
            </w:pPr>
            <w:proofErr w:type="spellStart"/>
            <w:r w:rsidRPr="00F1458A">
              <w:t>Ārpussavienības</w:t>
            </w:r>
            <w:proofErr w:type="spellEnd"/>
            <w:r w:rsidRPr="00F1458A">
              <w:t xml:space="preserve"> precēm</w:t>
            </w:r>
            <w:r w:rsidR="004C15E9" w:rsidRPr="00F1458A">
              <w:t xml:space="preserve"> tiek saglabāta esošā muitas procedūru piemērošanas kārtība</w:t>
            </w:r>
            <w:r w:rsidRPr="00F1458A">
              <w:t xml:space="preserve"> atbilstoši preču iedalījumam </w:t>
            </w:r>
            <w:r w:rsidR="0002181B" w:rsidRPr="00F1458A">
              <w:t>–</w:t>
            </w:r>
            <w:r w:rsidRPr="00F1458A">
              <w:t xml:space="preserve"> krājum</w:t>
            </w:r>
            <w:r w:rsidR="0002181B" w:rsidRPr="00F1458A">
              <w:t>i vai</w:t>
            </w:r>
            <w:r w:rsidR="004C15E9" w:rsidRPr="00F1458A">
              <w:t xml:space="preserve"> aprīkojums un rezerves daļas</w:t>
            </w:r>
            <w:r w:rsidRPr="00F1458A">
              <w:rPr>
                <w:i/>
              </w:rPr>
              <w:t>.</w:t>
            </w:r>
          </w:p>
          <w:p w:rsidR="002871CC" w:rsidRDefault="000E5CFE" w:rsidP="00AC66A5">
            <w:pPr>
              <w:pStyle w:val="considrant"/>
              <w:spacing w:before="0" w:after="0"/>
              <w:ind w:left="57" w:right="57"/>
            </w:pPr>
            <w:r w:rsidRPr="00F1458A">
              <w:t>MK</w:t>
            </w:r>
            <w:r w:rsidR="002871CC" w:rsidRPr="00F1458A">
              <w:t xml:space="preserve"> noteikumos Nr.249</w:t>
            </w:r>
            <w:r w:rsidR="00F8277F" w:rsidRPr="00F1458A">
              <w:t xml:space="preserve"> </w:t>
            </w:r>
            <w:r w:rsidR="002871CC" w:rsidRPr="00F1458A">
              <w:t xml:space="preserve">ir atrunāta </w:t>
            </w:r>
            <w:proofErr w:type="spellStart"/>
            <w:r w:rsidR="002871CC" w:rsidRPr="00F1458A">
              <w:t>bunkurētājkuģa</w:t>
            </w:r>
            <w:proofErr w:type="spellEnd"/>
            <w:r w:rsidR="002871CC" w:rsidRPr="00F1458A">
              <w:t xml:space="preserve"> izmantošana kuģa apgādē</w:t>
            </w:r>
            <w:r w:rsidRPr="00F1458A">
              <w:t>, taču r</w:t>
            </w:r>
            <w:r w:rsidR="002871CC" w:rsidRPr="00F1458A">
              <w:t>eiz</w:t>
            </w:r>
            <w:r w:rsidR="00384E64" w:rsidRPr="00F1458A">
              <w:t xml:space="preserve">ē ar jauno Muitas likuma 6.panta </w:t>
            </w:r>
            <w:r w:rsidR="0077139E" w:rsidRPr="00F1458A">
              <w:t>5.punktā</w:t>
            </w:r>
            <w:r w:rsidR="00384E64" w:rsidRPr="00F1458A">
              <w:t xml:space="preserve"> paredzēto </w:t>
            </w:r>
            <w:r w:rsidR="00384E64">
              <w:t>deleģējumu</w:t>
            </w:r>
            <w:r w:rsidR="002871CC">
              <w:t xml:space="preserve"> tiek virzīti jauni Ministru kabineta noteikumi par preču uzskaites un identificēšanas kārtību muitas noliktavā.</w:t>
            </w:r>
            <w:r>
              <w:t xml:space="preserve"> </w:t>
            </w:r>
          </w:p>
          <w:p w:rsidR="00C2333F" w:rsidRPr="00C2333F" w:rsidRDefault="00384E64" w:rsidP="00C2333F">
            <w:pPr>
              <w:pStyle w:val="considrant"/>
              <w:spacing w:before="0" w:after="0"/>
              <w:ind w:left="57" w:right="57"/>
            </w:pPr>
            <w:r>
              <w:t xml:space="preserve">Tādējādi Ministru kabineta noteikumos </w:t>
            </w:r>
            <w:r w:rsidR="00F8277F">
              <w:t xml:space="preserve">nav nepieciešams saglabāt regulējumu, kāds ietverts </w:t>
            </w:r>
            <w:r w:rsidR="000E5CFE">
              <w:t>MK</w:t>
            </w:r>
            <w:r w:rsidR="00F8277F" w:rsidRPr="00BD58EC">
              <w:t xml:space="preserve"> noteikum</w:t>
            </w:r>
            <w:r w:rsidR="00F8277F">
              <w:t>u</w:t>
            </w:r>
            <w:r w:rsidR="00F8277F" w:rsidRPr="00BD58EC">
              <w:t xml:space="preserve"> Nr.249 </w:t>
            </w:r>
            <w:r w:rsidR="00F8277F">
              <w:t>IV</w:t>
            </w:r>
            <w:r w:rsidR="00245577">
              <w:t>.</w:t>
            </w:r>
            <w:r w:rsidR="00F8277F">
              <w:t xml:space="preserve"> </w:t>
            </w:r>
            <w:r w:rsidR="00245577">
              <w:t>nodaļā</w:t>
            </w:r>
            <w:r w:rsidR="00F8277F">
              <w:t xml:space="preserve">, kas noteica </w:t>
            </w:r>
            <w:proofErr w:type="spellStart"/>
            <w:r w:rsidR="00F8277F">
              <w:t>bunkurētājkuģa</w:t>
            </w:r>
            <w:proofErr w:type="spellEnd"/>
            <w:r w:rsidR="00EE40CB">
              <w:t>, kuru izmanto kā muitas noliktavu,</w:t>
            </w:r>
            <w:r w:rsidR="00F8277F">
              <w:t xml:space="preserve"> </w:t>
            </w:r>
            <w:r w:rsidR="00F8277F" w:rsidRPr="00C2333F">
              <w:t>izmantošanas kārtību kuģu apgādē.</w:t>
            </w:r>
            <w:r w:rsidR="00C2333F" w:rsidRPr="00C2333F">
              <w:t xml:space="preserve"> </w:t>
            </w:r>
          </w:p>
          <w:p w:rsidR="00C2333F" w:rsidRPr="00C2333F" w:rsidRDefault="00C2333F" w:rsidP="00C2333F">
            <w:pPr>
              <w:pStyle w:val="considrant"/>
              <w:spacing w:before="0" w:after="0"/>
              <w:ind w:left="57" w:right="57"/>
            </w:pPr>
            <w:r w:rsidRPr="00C2333F">
              <w:lastRenderedPageBreak/>
              <w:t>Līdz ar noteikumu projekta spēkā stāšanos, zaudē spēku Ministru kabineta 2010.gada 16.marta noteikum</w:t>
            </w:r>
            <w:r>
              <w:t>i</w:t>
            </w:r>
            <w:r w:rsidRPr="00C2333F">
              <w:t xml:space="preserve"> Nr.249 "</w:t>
            </w:r>
            <w:hyperlink r:id="rId8" w:tgtFrame="_blank" w:history="1">
              <w:r w:rsidRPr="00C2333F">
                <w:t>Muitošanas kārtība kuģa un gaisa kuģa apgādē</w:t>
              </w:r>
            </w:hyperlink>
            <w:r w:rsidRPr="00C2333F">
              <w:t>" (Latvijas Vēstnesis, 2010, 45.nr.).</w:t>
            </w:r>
          </w:p>
          <w:p w:rsidR="004B70AD" w:rsidRPr="00533D31" w:rsidRDefault="004B70AD" w:rsidP="00AC66A5">
            <w:pPr>
              <w:ind w:left="57" w:right="57"/>
              <w:jc w:val="both"/>
              <w:rPr>
                <w:lang w:val="lv-LV"/>
              </w:rPr>
            </w:pPr>
          </w:p>
        </w:tc>
      </w:tr>
      <w:tr w:rsidR="005D73DE" w:rsidRPr="00533D31" w:rsidTr="00100837">
        <w:tc>
          <w:tcPr>
            <w:tcW w:w="250" w:type="pct"/>
          </w:tcPr>
          <w:p w:rsidR="00A162FE" w:rsidRPr="00533D31" w:rsidRDefault="00794CB4" w:rsidP="004A065F">
            <w:pPr>
              <w:rPr>
                <w:lang w:val="lv-LV" w:eastAsia="lv-LV"/>
              </w:rPr>
            </w:pPr>
            <w:r w:rsidRPr="00533D31">
              <w:rPr>
                <w:lang w:val="lv-LV" w:eastAsia="lv-LV"/>
              </w:rPr>
              <w:lastRenderedPageBreak/>
              <w:t xml:space="preserve">  3.</w:t>
            </w:r>
          </w:p>
        </w:tc>
        <w:tc>
          <w:tcPr>
            <w:tcW w:w="1474" w:type="pct"/>
          </w:tcPr>
          <w:p w:rsidR="00A162FE" w:rsidRPr="00533D31" w:rsidRDefault="00100837" w:rsidP="005D73DE">
            <w:pPr>
              <w:jc w:val="both"/>
              <w:rPr>
                <w:lang w:val="lv-LV" w:eastAsia="lv-LV"/>
              </w:rPr>
            </w:pPr>
            <w:r w:rsidRPr="00533D31">
              <w:rPr>
                <w:lang w:val="lv-LV" w:eastAsia="lv-LV"/>
              </w:rPr>
              <w:t>Projekta izstrādē iesaistītās institūcijas</w:t>
            </w:r>
          </w:p>
        </w:tc>
        <w:tc>
          <w:tcPr>
            <w:tcW w:w="3276" w:type="pct"/>
          </w:tcPr>
          <w:p w:rsidR="00A162FE" w:rsidRPr="00533D31" w:rsidRDefault="00163CED" w:rsidP="00AC66A5">
            <w:pPr>
              <w:ind w:left="57" w:right="57"/>
              <w:jc w:val="both"/>
              <w:rPr>
                <w:highlight w:val="yellow"/>
                <w:lang w:val="lv-LV" w:eastAsia="lv-LV"/>
              </w:rPr>
            </w:pPr>
            <w:r w:rsidRPr="00533D31">
              <w:rPr>
                <w:lang w:val="lv-LV"/>
              </w:rPr>
              <w:t>Valsts ieņēmumu dienests</w:t>
            </w:r>
            <w:r w:rsidR="0061647B" w:rsidRPr="00533D31">
              <w:rPr>
                <w:lang w:val="lv-LV"/>
              </w:rPr>
              <w:t xml:space="preserve"> </w:t>
            </w:r>
          </w:p>
        </w:tc>
      </w:tr>
      <w:tr w:rsidR="005D73DE" w:rsidRPr="00533D31" w:rsidTr="00100837">
        <w:tc>
          <w:tcPr>
            <w:tcW w:w="250" w:type="pct"/>
          </w:tcPr>
          <w:p w:rsidR="00A162FE" w:rsidRPr="00533D31" w:rsidRDefault="00A162FE" w:rsidP="00C21DCA">
            <w:pPr>
              <w:jc w:val="center"/>
              <w:rPr>
                <w:lang w:val="lv-LV" w:eastAsia="lv-LV"/>
              </w:rPr>
            </w:pPr>
            <w:r w:rsidRPr="00533D31">
              <w:rPr>
                <w:lang w:val="lv-LV" w:eastAsia="lv-LV"/>
              </w:rPr>
              <w:t>4.</w:t>
            </w:r>
          </w:p>
        </w:tc>
        <w:tc>
          <w:tcPr>
            <w:tcW w:w="1474" w:type="pct"/>
          </w:tcPr>
          <w:p w:rsidR="00A162FE" w:rsidRPr="00533D31" w:rsidRDefault="006A073E" w:rsidP="005D73DE">
            <w:pPr>
              <w:jc w:val="both"/>
              <w:rPr>
                <w:lang w:val="lv-LV" w:eastAsia="lv-LV"/>
              </w:rPr>
            </w:pPr>
            <w:r w:rsidRPr="00533D31">
              <w:rPr>
                <w:lang w:val="lv-LV" w:eastAsia="lv-LV"/>
              </w:rPr>
              <w:t>Cita informācija</w:t>
            </w:r>
          </w:p>
        </w:tc>
        <w:tc>
          <w:tcPr>
            <w:tcW w:w="3276" w:type="pct"/>
          </w:tcPr>
          <w:p w:rsidR="00A162FE" w:rsidRPr="00533D31" w:rsidRDefault="006E0EFF" w:rsidP="00AC66A5">
            <w:pPr>
              <w:ind w:left="57" w:right="57"/>
              <w:jc w:val="both"/>
              <w:rPr>
                <w:highlight w:val="yellow"/>
                <w:lang w:val="lv-LV"/>
              </w:rPr>
            </w:pPr>
            <w:r w:rsidRPr="00533D31">
              <w:rPr>
                <w:lang w:val="lv-LV"/>
              </w:rPr>
              <w:t>Nav</w:t>
            </w:r>
          </w:p>
        </w:tc>
      </w:tr>
    </w:tbl>
    <w:p w:rsidR="00C21DCA" w:rsidRPr="00533D31" w:rsidRDefault="00C21DCA">
      <w:pPr>
        <w:rPr>
          <w:lang w:val="lv-LV"/>
        </w:rPr>
      </w:pPr>
    </w:p>
    <w:tbl>
      <w:tblPr>
        <w:tblStyle w:val="TableGrid"/>
        <w:tblW w:w="0" w:type="auto"/>
        <w:tblInd w:w="108" w:type="dxa"/>
        <w:tblLook w:val="04A0" w:firstRow="1" w:lastRow="0" w:firstColumn="1" w:lastColumn="0" w:noHBand="0" w:noVBand="1"/>
      </w:tblPr>
      <w:tblGrid>
        <w:gridCol w:w="426"/>
        <w:gridCol w:w="4110"/>
        <w:gridCol w:w="4536"/>
      </w:tblGrid>
      <w:tr w:rsidR="00C61EA1" w:rsidRPr="00EB1FE3" w:rsidTr="004F3C1F">
        <w:tc>
          <w:tcPr>
            <w:tcW w:w="9072" w:type="dxa"/>
            <w:gridSpan w:val="3"/>
          </w:tcPr>
          <w:p w:rsidR="00C61EA1" w:rsidRPr="005B49D3" w:rsidRDefault="00C61EA1" w:rsidP="00C61EA1">
            <w:pPr>
              <w:jc w:val="center"/>
              <w:rPr>
                <w:b/>
                <w:lang w:val="lv-LV"/>
              </w:rPr>
            </w:pPr>
            <w:r w:rsidRPr="005B49D3">
              <w:rPr>
                <w:b/>
                <w:lang w:val="lv-LV"/>
              </w:rPr>
              <w:t>II. Tiesību akta projekta ietekme uz sabiedrību, tautsaimniecības attīstību un administratīvo slogu</w:t>
            </w:r>
          </w:p>
        </w:tc>
      </w:tr>
      <w:tr w:rsidR="00C61EA1" w:rsidRPr="00533D31" w:rsidTr="004F3C1F">
        <w:tc>
          <w:tcPr>
            <w:tcW w:w="426" w:type="dxa"/>
          </w:tcPr>
          <w:p w:rsidR="00C61EA1" w:rsidRPr="00533D31" w:rsidRDefault="00C61EA1">
            <w:pPr>
              <w:rPr>
                <w:lang w:val="lv-LV"/>
              </w:rPr>
            </w:pPr>
            <w:r w:rsidRPr="00533D31">
              <w:rPr>
                <w:lang w:val="lv-LV"/>
              </w:rPr>
              <w:t>1.</w:t>
            </w:r>
          </w:p>
        </w:tc>
        <w:tc>
          <w:tcPr>
            <w:tcW w:w="4110" w:type="dxa"/>
          </w:tcPr>
          <w:p w:rsidR="00C61EA1" w:rsidRPr="00533D31" w:rsidRDefault="00C61EA1">
            <w:pPr>
              <w:rPr>
                <w:lang w:val="lv-LV"/>
              </w:rPr>
            </w:pPr>
            <w:r w:rsidRPr="00533D31">
              <w:rPr>
                <w:lang w:val="lv-LV"/>
              </w:rPr>
              <w:t xml:space="preserve">Sabiedrības </w:t>
            </w:r>
            <w:proofErr w:type="spellStart"/>
            <w:r w:rsidRPr="00533D31">
              <w:rPr>
                <w:lang w:val="lv-LV"/>
              </w:rPr>
              <w:t>mērķgrupas</w:t>
            </w:r>
            <w:proofErr w:type="spellEnd"/>
            <w:r w:rsidRPr="00533D31">
              <w:rPr>
                <w:lang w:val="lv-LV"/>
              </w:rPr>
              <w:t>, kuras tiesiskais regulējums ietekmē vai varētu ietekmēt</w:t>
            </w:r>
          </w:p>
        </w:tc>
        <w:tc>
          <w:tcPr>
            <w:tcW w:w="4536" w:type="dxa"/>
          </w:tcPr>
          <w:p w:rsidR="00C61EA1" w:rsidRPr="00533D31" w:rsidRDefault="00AF1164" w:rsidP="004A0E58">
            <w:pPr>
              <w:jc w:val="both"/>
              <w:rPr>
                <w:lang w:val="lv-LV" w:eastAsia="lv-LV"/>
              </w:rPr>
            </w:pPr>
            <w:r w:rsidRPr="00533D31">
              <w:rPr>
                <w:lang w:val="lv-LV"/>
              </w:rPr>
              <w:t>Ministru kabineta</w:t>
            </w:r>
            <w:r w:rsidRPr="00533D31">
              <w:rPr>
                <w:lang w:val="lv-LV" w:eastAsia="lv-LV"/>
              </w:rPr>
              <w:t xml:space="preserve"> noteikumu </w:t>
            </w:r>
            <w:proofErr w:type="spellStart"/>
            <w:r w:rsidR="00E8112B" w:rsidRPr="00533D31">
              <w:rPr>
                <w:lang w:val="lv-LV" w:eastAsia="lv-LV"/>
              </w:rPr>
              <w:t>mērķ</w:t>
            </w:r>
            <w:r w:rsidRPr="00533D31">
              <w:rPr>
                <w:lang w:val="lv-LV" w:eastAsia="lv-LV"/>
              </w:rPr>
              <w:t>grupas</w:t>
            </w:r>
            <w:proofErr w:type="spellEnd"/>
            <w:r w:rsidRPr="00533D31">
              <w:rPr>
                <w:lang w:val="lv-LV" w:eastAsia="lv-LV"/>
              </w:rPr>
              <w:t xml:space="preserve"> ir juridiskas un fiziskas personas, kas </w:t>
            </w:r>
            <w:r w:rsidR="00E414E2" w:rsidRPr="00533D31">
              <w:rPr>
                <w:lang w:val="lv-LV" w:eastAsia="lv-LV"/>
              </w:rPr>
              <w:t>veic kuģu</w:t>
            </w:r>
            <w:r w:rsidR="004D0DE6">
              <w:rPr>
                <w:lang w:val="lv-LV" w:eastAsia="lv-LV"/>
              </w:rPr>
              <w:t xml:space="preserve"> un gaisa kuģu</w:t>
            </w:r>
            <w:r w:rsidR="00E414E2" w:rsidRPr="00533D31">
              <w:rPr>
                <w:lang w:val="lv-LV" w:eastAsia="lv-LV"/>
              </w:rPr>
              <w:t xml:space="preserve"> apgādi. </w:t>
            </w:r>
          </w:p>
        </w:tc>
      </w:tr>
      <w:tr w:rsidR="00C61EA1" w:rsidRPr="00533D31" w:rsidTr="004F3C1F">
        <w:tc>
          <w:tcPr>
            <w:tcW w:w="426" w:type="dxa"/>
          </w:tcPr>
          <w:p w:rsidR="00C61EA1" w:rsidRPr="00533D31" w:rsidRDefault="00F52412">
            <w:pPr>
              <w:rPr>
                <w:lang w:val="lv-LV"/>
              </w:rPr>
            </w:pPr>
            <w:r w:rsidRPr="00533D31">
              <w:rPr>
                <w:lang w:val="lv-LV"/>
              </w:rPr>
              <w:t>2.</w:t>
            </w:r>
          </w:p>
        </w:tc>
        <w:tc>
          <w:tcPr>
            <w:tcW w:w="4110" w:type="dxa"/>
          </w:tcPr>
          <w:p w:rsidR="00C61EA1" w:rsidRPr="00533D31" w:rsidRDefault="00C61EA1">
            <w:pPr>
              <w:rPr>
                <w:lang w:val="lv-LV"/>
              </w:rPr>
            </w:pPr>
            <w:r w:rsidRPr="00533D31">
              <w:rPr>
                <w:lang w:val="lv-LV"/>
              </w:rPr>
              <w:t>Tiesiskā regulējuma ietekme uz tautsaimniecību un administratīvo slogu</w:t>
            </w:r>
          </w:p>
        </w:tc>
        <w:tc>
          <w:tcPr>
            <w:tcW w:w="4536" w:type="dxa"/>
          </w:tcPr>
          <w:p w:rsidR="00C61EA1" w:rsidRPr="00533D31" w:rsidRDefault="005F00AE" w:rsidP="003B251D">
            <w:pPr>
              <w:jc w:val="both"/>
              <w:rPr>
                <w:lang w:val="lv-LV"/>
              </w:rPr>
            </w:pPr>
            <w:r w:rsidRPr="00533D31">
              <w:rPr>
                <w:lang w:val="lv-LV" w:eastAsia="lv-LV"/>
              </w:rPr>
              <w:t>Noteikumu projekts neietekmē tautsaimniecību un nerada papildu administratīvo slogu.</w:t>
            </w:r>
          </w:p>
        </w:tc>
      </w:tr>
      <w:tr w:rsidR="00C61EA1" w:rsidRPr="00533D31" w:rsidTr="004F3C1F">
        <w:tc>
          <w:tcPr>
            <w:tcW w:w="426" w:type="dxa"/>
          </w:tcPr>
          <w:p w:rsidR="00C61EA1" w:rsidRPr="00533D31" w:rsidRDefault="00F52412">
            <w:pPr>
              <w:rPr>
                <w:lang w:val="lv-LV"/>
              </w:rPr>
            </w:pPr>
            <w:r w:rsidRPr="00533D31">
              <w:rPr>
                <w:lang w:val="lv-LV"/>
              </w:rPr>
              <w:t>3.</w:t>
            </w:r>
          </w:p>
        </w:tc>
        <w:tc>
          <w:tcPr>
            <w:tcW w:w="4110" w:type="dxa"/>
          </w:tcPr>
          <w:p w:rsidR="00C61EA1" w:rsidRPr="00533D31" w:rsidRDefault="00F52412">
            <w:pPr>
              <w:rPr>
                <w:lang w:val="lv-LV"/>
              </w:rPr>
            </w:pPr>
            <w:r w:rsidRPr="00533D31">
              <w:rPr>
                <w:lang w:val="lv-LV"/>
              </w:rPr>
              <w:t>Administratīvo izmaksu monetārs novērtējums</w:t>
            </w:r>
          </w:p>
        </w:tc>
        <w:tc>
          <w:tcPr>
            <w:tcW w:w="4536" w:type="dxa"/>
          </w:tcPr>
          <w:p w:rsidR="00C61EA1" w:rsidRPr="00533D31" w:rsidRDefault="00BF316C">
            <w:pPr>
              <w:rPr>
                <w:lang w:val="lv-LV"/>
              </w:rPr>
            </w:pPr>
            <w:r>
              <w:rPr>
                <w:lang w:val="lv-LV" w:eastAsia="lv-LV"/>
              </w:rPr>
              <w:t>P</w:t>
            </w:r>
            <w:r w:rsidR="00C969CA" w:rsidRPr="00533D31">
              <w:rPr>
                <w:lang w:val="lv-LV" w:eastAsia="lv-LV"/>
              </w:rPr>
              <w:t>rojekts šo jomu neskar.</w:t>
            </w:r>
          </w:p>
        </w:tc>
      </w:tr>
      <w:tr w:rsidR="00C61EA1" w:rsidRPr="00533D31" w:rsidTr="004F3C1F">
        <w:tc>
          <w:tcPr>
            <w:tcW w:w="426" w:type="dxa"/>
          </w:tcPr>
          <w:p w:rsidR="00C61EA1" w:rsidRPr="00533D31" w:rsidRDefault="00F52412">
            <w:pPr>
              <w:rPr>
                <w:lang w:val="lv-LV"/>
              </w:rPr>
            </w:pPr>
            <w:r w:rsidRPr="00533D31">
              <w:rPr>
                <w:lang w:val="lv-LV"/>
              </w:rPr>
              <w:t>4.</w:t>
            </w:r>
          </w:p>
        </w:tc>
        <w:tc>
          <w:tcPr>
            <w:tcW w:w="4110" w:type="dxa"/>
          </w:tcPr>
          <w:p w:rsidR="00C61EA1" w:rsidRPr="00533D31" w:rsidRDefault="00F52412">
            <w:pPr>
              <w:rPr>
                <w:lang w:val="lv-LV"/>
              </w:rPr>
            </w:pPr>
            <w:r w:rsidRPr="00533D31">
              <w:rPr>
                <w:lang w:val="lv-LV"/>
              </w:rPr>
              <w:t>Cita informācija</w:t>
            </w:r>
          </w:p>
          <w:p w:rsidR="00F52412" w:rsidRPr="00533D31" w:rsidRDefault="00F52412">
            <w:pPr>
              <w:rPr>
                <w:lang w:val="lv-LV"/>
              </w:rPr>
            </w:pPr>
          </w:p>
        </w:tc>
        <w:tc>
          <w:tcPr>
            <w:tcW w:w="4536" w:type="dxa"/>
          </w:tcPr>
          <w:p w:rsidR="00C61EA1" w:rsidRPr="00533D31" w:rsidRDefault="00F52412">
            <w:pPr>
              <w:rPr>
                <w:lang w:val="lv-LV"/>
              </w:rPr>
            </w:pPr>
            <w:r w:rsidRPr="00533D31">
              <w:rPr>
                <w:lang w:val="lv-LV"/>
              </w:rPr>
              <w:t>Nav</w:t>
            </w:r>
          </w:p>
        </w:tc>
      </w:tr>
    </w:tbl>
    <w:p w:rsidR="00C969CA" w:rsidRDefault="00C969CA" w:rsidP="004F3C1F">
      <w:pPr>
        <w:rPr>
          <w:rFonts w:eastAsia="Calibri"/>
          <w:i/>
          <w:szCs w:val="22"/>
          <w:lang w:val="lv-LV"/>
        </w:rPr>
      </w:pPr>
    </w:p>
    <w:p w:rsidR="00241162" w:rsidRPr="00533D31" w:rsidRDefault="00241162" w:rsidP="00241162">
      <w:pPr>
        <w:rPr>
          <w:vanish/>
          <w:lang w:val="lv-LV" w:eastAsia="lv-LV"/>
        </w:rPr>
      </w:pPr>
    </w:p>
    <w:tbl>
      <w:tblPr>
        <w:tblStyle w:val="TableGrid"/>
        <w:tblW w:w="4884" w:type="pct"/>
        <w:tblInd w:w="108" w:type="dxa"/>
        <w:tblLook w:val="04A0" w:firstRow="1" w:lastRow="0" w:firstColumn="1" w:lastColumn="0" w:noHBand="0" w:noVBand="1"/>
      </w:tblPr>
      <w:tblGrid>
        <w:gridCol w:w="396"/>
        <w:gridCol w:w="3294"/>
        <w:gridCol w:w="5382"/>
      </w:tblGrid>
      <w:tr w:rsidR="00241162" w:rsidRPr="00533D31" w:rsidTr="001C5BFC">
        <w:trPr>
          <w:trHeight w:val="350"/>
        </w:trPr>
        <w:tc>
          <w:tcPr>
            <w:tcW w:w="5000" w:type="pct"/>
            <w:gridSpan w:val="3"/>
            <w:hideMark/>
          </w:tcPr>
          <w:p w:rsidR="00241162" w:rsidRPr="00533D31" w:rsidRDefault="00241162" w:rsidP="004F3C1F">
            <w:pPr>
              <w:spacing w:before="100" w:beforeAutospacing="1" w:after="100" w:afterAutospacing="1"/>
              <w:jc w:val="center"/>
              <w:rPr>
                <w:lang w:val="lv-LV" w:eastAsia="lv-LV"/>
              </w:rPr>
            </w:pPr>
            <w:r w:rsidRPr="00533D31">
              <w:rPr>
                <w:b/>
                <w:bCs/>
                <w:lang w:val="lv-LV" w:eastAsia="lv-LV"/>
              </w:rPr>
              <w:t>V. Tiesību akta projekta atbilstība Latvijas Republikas starptautiskajām saistībām</w:t>
            </w:r>
          </w:p>
        </w:tc>
      </w:tr>
      <w:tr w:rsidR="00241162" w:rsidRPr="00533D31" w:rsidTr="001C5BFC">
        <w:tc>
          <w:tcPr>
            <w:tcW w:w="218" w:type="pct"/>
            <w:hideMark/>
          </w:tcPr>
          <w:p w:rsidR="00241162" w:rsidRPr="00533D31" w:rsidRDefault="00241162" w:rsidP="002777EB">
            <w:pPr>
              <w:rPr>
                <w:lang w:val="lv-LV" w:eastAsia="lv-LV"/>
              </w:rPr>
            </w:pPr>
            <w:r w:rsidRPr="00533D31">
              <w:rPr>
                <w:lang w:val="lv-LV" w:eastAsia="lv-LV"/>
              </w:rPr>
              <w:t>1.</w:t>
            </w:r>
          </w:p>
        </w:tc>
        <w:tc>
          <w:tcPr>
            <w:tcW w:w="1816" w:type="pct"/>
            <w:hideMark/>
          </w:tcPr>
          <w:p w:rsidR="00241162" w:rsidRPr="00533D31" w:rsidRDefault="00241162" w:rsidP="002777EB">
            <w:pPr>
              <w:rPr>
                <w:lang w:val="lv-LV" w:eastAsia="lv-LV"/>
              </w:rPr>
            </w:pPr>
            <w:r w:rsidRPr="00533D31">
              <w:rPr>
                <w:lang w:val="lv-LV" w:eastAsia="lv-LV"/>
              </w:rPr>
              <w:t>Saistības pret Eiropas Savienību</w:t>
            </w:r>
          </w:p>
        </w:tc>
        <w:tc>
          <w:tcPr>
            <w:tcW w:w="2966" w:type="pct"/>
            <w:hideMark/>
          </w:tcPr>
          <w:p w:rsidR="005242F8" w:rsidRDefault="00241162" w:rsidP="002777EB">
            <w:pPr>
              <w:jc w:val="both"/>
              <w:rPr>
                <w:lang w:val="lv-LV" w:eastAsia="lv-LV"/>
              </w:rPr>
            </w:pPr>
            <w:r w:rsidRPr="00533D31">
              <w:rPr>
                <w:lang w:val="lv-LV" w:eastAsia="lv-LV"/>
              </w:rPr>
              <w:t>Regula Nr.952/2013</w:t>
            </w:r>
            <w:r w:rsidR="005242F8">
              <w:rPr>
                <w:lang w:val="lv-LV" w:eastAsia="lv-LV"/>
              </w:rPr>
              <w:t>;</w:t>
            </w:r>
          </w:p>
          <w:p w:rsidR="00241162" w:rsidRPr="00533D31" w:rsidRDefault="005242F8" w:rsidP="005242F8">
            <w:pPr>
              <w:jc w:val="both"/>
              <w:rPr>
                <w:lang w:val="lv-LV" w:eastAsia="lv-LV"/>
              </w:rPr>
            </w:pPr>
            <w:r>
              <w:rPr>
                <w:lang w:val="lv-LV" w:eastAsia="lv-LV"/>
              </w:rPr>
              <w:t>R</w:t>
            </w:r>
            <w:r w:rsidR="00241162" w:rsidRPr="00533D31">
              <w:rPr>
                <w:lang w:val="lv-LV" w:eastAsia="lv-LV"/>
              </w:rPr>
              <w:t>egula Nr</w:t>
            </w:r>
            <w:r w:rsidR="00BF316C">
              <w:rPr>
                <w:lang w:val="lv-LV" w:eastAsia="lv-LV"/>
              </w:rPr>
              <w:t>.2015/2446</w:t>
            </w:r>
            <w:r>
              <w:rPr>
                <w:lang w:val="lv-LV" w:eastAsia="lv-LV"/>
              </w:rPr>
              <w:t>.</w:t>
            </w:r>
          </w:p>
        </w:tc>
      </w:tr>
      <w:tr w:rsidR="00241162" w:rsidRPr="00533D31" w:rsidTr="001C5BFC">
        <w:tc>
          <w:tcPr>
            <w:tcW w:w="218" w:type="pct"/>
            <w:hideMark/>
          </w:tcPr>
          <w:p w:rsidR="00241162" w:rsidRPr="00533D31" w:rsidRDefault="00241162" w:rsidP="002777EB">
            <w:pPr>
              <w:rPr>
                <w:lang w:val="lv-LV" w:eastAsia="lv-LV"/>
              </w:rPr>
            </w:pPr>
            <w:r w:rsidRPr="00533D31">
              <w:rPr>
                <w:lang w:val="lv-LV" w:eastAsia="lv-LV"/>
              </w:rPr>
              <w:t>2.</w:t>
            </w:r>
          </w:p>
        </w:tc>
        <w:tc>
          <w:tcPr>
            <w:tcW w:w="1816" w:type="pct"/>
            <w:hideMark/>
          </w:tcPr>
          <w:p w:rsidR="00241162" w:rsidRPr="00533D31" w:rsidRDefault="00241162" w:rsidP="002777EB">
            <w:pPr>
              <w:rPr>
                <w:lang w:val="lv-LV" w:eastAsia="lv-LV"/>
              </w:rPr>
            </w:pPr>
            <w:r w:rsidRPr="00533D31">
              <w:rPr>
                <w:lang w:val="lv-LV" w:eastAsia="lv-LV"/>
              </w:rPr>
              <w:t>Citas starptautiskās saistības</w:t>
            </w:r>
          </w:p>
        </w:tc>
        <w:tc>
          <w:tcPr>
            <w:tcW w:w="2966" w:type="pct"/>
            <w:hideMark/>
          </w:tcPr>
          <w:p w:rsidR="00241162" w:rsidRPr="00533D31" w:rsidRDefault="00DB41B1" w:rsidP="002777EB">
            <w:pPr>
              <w:rPr>
                <w:lang w:val="lv-LV" w:eastAsia="lv-LV"/>
              </w:rPr>
            </w:pPr>
            <w:r>
              <w:rPr>
                <w:lang w:val="lv-LV" w:eastAsia="lv-LV"/>
              </w:rPr>
              <w:t>P</w:t>
            </w:r>
            <w:r w:rsidR="00CB0546" w:rsidRPr="00CB0546">
              <w:rPr>
                <w:lang w:val="lv-LV" w:eastAsia="lv-LV"/>
              </w:rPr>
              <w:t>rojekts šo jomu neskar.</w:t>
            </w:r>
          </w:p>
        </w:tc>
      </w:tr>
      <w:tr w:rsidR="00241162" w:rsidRPr="00533D31" w:rsidTr="001C5BFC">
        <w:tc>
          <w:tcPr>
            <w:tcW w:w="218" w:type="pct"/>
            <w:hideMark/>
          </w:tcPr>
          <w:p w:rsidR="00241162" w:rsidRPr="00533D31" w:rsidRDefault="00241162" w:rsidP="002777EB">
            <w:pPr>
              <w:rPr>
                <w:lang w:val="lv-LV" w:eastAsia="lv-LV"/>
              </w:rPr>
            </w:pPr>
            <w:r w:rsidRPr="00533D31">
              <w:rPr>
                <w:lang w:val="lv-LV" w:eastAsia="lv-LV"/>
              </w:rPr>
              <w:t>3.</w:t>
            </w:r>
          </w:p>
        </w:tc>
        <w:tc>
          <w:tcPr>
            <w:tcW w:w="1816" w:type="pct"/>
            <w:hideMark/>
          </w:tcPr>
          <w:p w:rsidR="00241162" w:rsidRPr="00533D31" w:rsidRDefault="00241162" w:rsidP="002777EB">
            <w:pPr>
              <w:rPr>
                <w:lang w:val="lv-LV" w:eastAsia="lv-LV"/>
              </w:rPr>
            </w:pPr>
            <w:r w:rsidRPr="00533D31">
              <w:rPr>
                <w:lang w:val="lv-LV" w:eastAsia="lv-LV"/>
              </w:rPr>
              <w:t>Cita informācija</w:t>
            </w:r>
          </w:p>
        </w:tc>
        <w:tc>
          <w:tcPr>
            <w:tcW w:w="2966" w:type="pct"/>
            <w:hideMark/>
          </w:tcPr>
          <w:p w:rsidR="00241162" w:rsidRPr="00533D31" w:rsidRDefault="00241162" w:rsidP="002777EB">
            <w:pPr>
              <w:spacing w:before="100" w:beforeAutospacing="1" w:after="100" w:afterAutospacing="1"/>
              <w:rPr>
                <w:lang w:val="lv-LV" w:eastAsia="lv-LV"/>
              </w:rPr>
            </w:pPr>
            <w:r w:rsidRPr="00533D31">
              <w:rPr>
                <w:lang w:val="lv-LV" w:eastAsia="lv-LV"/>
              </w:rPr>
              <w:t>Nav</w:t>
            </w:r>
          </w:p>
        </w:tc>
      </w:tr>
    </w:tbl>
    <w:p w:rsidR="00241162" w:rsidRPr="00533D31" w:rsidRDefault="00241162" w:rsidP="00241162">
      <w:pPr>
        <w:jc w:val="center"/>
        <w:rPr>
          <w:vanish/>
          <w:lang w:val="lv-LV" w:eastAsia="lv-LV"/>
        </w:rPr>
      </w:pPr>
    </w:p>
    <w:tbl>
      <w:tblPr>
        <w:tblStyle w:val="TableGrid"/>
        <w:tblW w:w="4884" w:type="pct"/>
        <w:tblInd w:w="108" w:type="dxa"/>
        <w:tblLook w:val="04A0" w:firstRow="1" w:lastRow="0" w:firstColumn="1" w:lastColumn="0" w:noHBand="0" w:noVBand="1"/>
      </w:tblPr>
      <w:tblGrid>
        <w:gridCol w:w="2304"/>
        <w:gridCol w:w="44"/>
        <w:gridCol w:w="2328"/>
        <w:gridCol w:w="368"/>
        <w:gridCol w:w="1960"/>
        <w:gridCol w:w="2068"/>
      </w:tblGrid>
      <w:tr w:rsidR="00ED52C4" w:rsidRPr="00EB1FE3" w:rsidTr="001C5BFC">
        <w:tc>
          <w:tcPr>
            <w:tcW w:w="5000" w:type="pct"/>
            <w:gridSpan w:val="6"/>
            <w:hideMark/>
          </w:tcPr>
          <w:p w:rsidR="00241162" w:rsidRPr="00533D31" w:rsidRDefault="00241162" w:rsidP="004F3C1F">
            <w:pPr>
              <w:spacing w:before="100" w:beforeAutospacing="1" w:after="100" w:afterAutospacing="1"/>
              <w:jc w:val="center"/>
              <w:rPr>
                <w:lang w:val="lv-LV" w:eastAsia="lv-LV"/>
              </w:rPr>
            </w:pPr>
            <w:r w:rsidRPr="00533D31">
              <w:rPr>
                <w:b/>
                <w:bCs/>
                <w:lang w:val="lv-LV" w:eastAsia="lv-LV"/>
              </w:rPr>
              <w:t>1.tabula</w:t>
            </w:r>
            <w:r w:rsidRPr="00533D31">
              <w:rPr>
                <w:b/>
                <w:bCs/>
                <w:lang w:val="lv-LV" w:eastAsia="lv-LV"/>
              </w:rPr>
              <w:br/>
            </w:r>
            <w:r w:rsidR="00ED52C4">
              <w:rPr>
                <w:b/>
                <w:bCs/>
                <w:lang w:val="lv-LV" w:eastAsia="lv-LV"/>
              </w:rPr>
              <w:t xml:space="preserve"> </w:t>
            </w:r>
            <w:r w:rsidRPr="00533D31">
              <w:rPr>
                <w:b/>
                <w:bCs/>
                <w:lang w:val="lv-LV" w:eastAsia="lv-LV"/>
              </w:rPr>
              <w:t>Tiesību akta projekta atbilstība ES tiesību aktiem</w:t>
            </w:r>
          </w:p>
        </w:tc>
      </w:tr>
      <w:tr w:rsidR="00ED52C4" w:rsidRPr="00533D31" w:rsidTr="001C5BFC">
        <w:tc>
          <w:tcPr>
            <w:tcW w:w="1294" w:type="pct"/>
            <w:gridSpan w:val="2"/>
            <w:hideMark/>
          </w:tcPr>
          <w:p w:rsidR="00241162" w:rsidRPr="00533D31" w:rsidRDefault="00241162" w:rsidP="002777EB">
            <w:pPr>
              <w:rPr>
                <w:lang w:val="lv-LV" w:eastAsia="lv-LV"/>
              </w:rPr>
            </w:pPr>
            <w:r w:rsidRPr="00533D31">
              <w:rPr>
                <w:lang w:val="lv-LV" w:eastAsia="lv-LV"/>
              </w:rPr>
              <w:t>Attiecīgā ES tiesību akta datums, numurs un nosaukums</w:t>
            </w:r>
          </w:p>
        </w:tc>
        <w:tc>
          <w:tcPr>
            <w:tcW w:w="3706" w:type="pct"/>
            <w:gridSpan w:val="4"/>
            <w:hideMark/>
          </w:tcPr>
          <w:p w:rsidR="005242F8" w:rsidRDefault="005242F8" w:rsidP="005242F8">
            <w:pPr>
              <w:jc w:val="both"/>
              <w:rPr>
                <w:lang w:val="lv-LV" w:eastAsia="lv-LV"/>
              </w:rPr>
            </w:pPr>
            <w:r w:rsidRPr="00533D31">
              <w:rPr>
                <w:lang w:val="lv-LV" w:eastAsia="lv-LV"/>
              </w:rPr>
              <w:t>Regula Nr.952/2013</w:t>
            </w:r>
            <w:r>
              <w:rPr>
                <w:lang w:val="lv-LV" w:eastAsia="lv-LV"/>
              </w:rPr>
              <w:t>;</w:t>
            </w:r>
          </w:p>
          <w:p w:rsidR="00241162" w:rsidRPr="00533D31" w:rsidRDefault="005242F8" w:rsidP="005242F8">
            <w:pPr>
              <w:jc w:val="both"/>
              <w:rPr>
                <w:lang w:val="lv-LV" w:eastAsia="lv-LV"/>
              </w:rPr>
            </w:pPr>
            <w:r>
              <w:rPr>
                <w:lang w:val="lv-LV" w:eastAsia="lv-LV"/>
              </w:rPr>
              <w:t>R</w:t>
            </w:r>
            <w:r w:rsidRPr="00533D31">
              <w:rPr>
                <w:lang w:val="lv-LV" w:eastAsia="lv-LV"/>
              </w:rPr>
              <w:t>egula Nr</w:t>
            </w:r>
            <w:r>
              <w:rPr>
                <w:lang w:val="lv-LV" w:eastAsia="lv-LV"/>
              </w:rPr>
              <w:t>.2015/2446.</w:t>
            </w:r>
          </w:p>
        </w:tc>
      </w:tr>
      <w:tr w:rsidR="00ED52C4" w:rsidRPr="00533D31" w:rsidTr="00FD736E">
        <w:tc>
          <w:tcPr>
            <w:tcW w:w="1294" w:type="pct"/>
            <w:gridSpan w:val="2"/>
            <w:hideMark/>
          </w:tcPr>
          <w:p w:rsidR="00241162" w:rsidRPr="00533D31" w:rsidRDefault="00241162" w:rsidP="002777EB">
            <w:pPr>
              <w:spacing w:before="100" w:beforeAutospacing="1" w:after="100" w:afterAutospacing="1"/>
              <w:rPr>
                <w:lang w:val="lv-LV" w:eastAsia="lv-LV"/>
              </w:rPr>
            </w:pPr>
            <w:r w:rsidRPr="00533D31">
              <w:rPr>
                <w:lang w:val="lv-LV" w:eastAsia="lv-LV"/>
              </w:rPr>
              <w:t>A</w:t>
            </w:r>
          </w:p>
        </w:tc>
        <w:tc>
          <w:tcPr>
            <w:tcW w:w="1283" w:type="pct"/>
            <w:hideMark/>
          </w:tcPr>
          <w:p w:rsidR="00241162" w:rsidRPr="00533D31" w:rsidRDefault="00241162" w:rsidP="002777EB">
            <w:pPr>
              <w:spacing w:before="100" w:beforeAutospacing="1" w:after="100" w:afterAutospacing="1"/>
              <w:rPr>
                <w:lang w:val="lv-LV" w:eastAsia="lv-LV"/>
              </w:rPr>
            </w:pPr>
            <w:r w:rsidRPr="00533D31">
              <w:rPr>
                <w:lang w:val="lv-LV" w:eastAsia="lv-LV"/>
              </w:rPr>
              <w:t>B</w:t>
            </w:r>
          </w:p>
        </w:tc>
        <w:tc>
          <w:tcPr>
            <w:tcW w:w="1283" w:type="pct"/>
            <w:gridSpan w:val="2"/>
            <w:hideMark/>
          </w:tcPr>
          <w:p w:rsidR="00241162" w:rsidRPr="00533D31" w:rsidRDefault="00241162" w:rsidP="002777EB">
            <w:pPr>
              <w:spacing w:before="100" w:beforeAutospacing="1" w:after="100" w:afterAutospacing="1"/>
              <w:rPr>
                <w:lang w:val="lv-LV" w:eastAsia="lv-LV"/>
              </w:rPr>
            </w:pPr>
            <w:r w:rsidRPr="00533D31">
              <w:rPr>
                <w:lang w:val="lv-LV" w:eastAsia="lv-LV"/>
              </w:rPr>
              <w:t>C</w:t>
            </w:r>
          </w:p>
        </w:tc>
        <w:tc>
          <w:tcPr>
            <w:tcW w:w="1140" w:type="pct"/>
            <w:hideMark/>
          </w:tcPr>
          <w:p w:rsidR="00241162" w:rsidRPr="00533D31" w:rsidRDefault="00241162" w:rsidP="002777EB">
            <w:pPr>
              <w:spacing w:before="100" w:beforeAutospacing="1" w:after="100" w:afterAutospacing="1"/>
              <w:rPr>
                <w:lang w:val="lv-LV" w:eastAsia="lv-LV"/>
              </w:rPr>
            </w:pPr>
            <w:r w:rsidRPr="00533D31">
              <w:rPr>
                <w:lang w:val="lv-LV" w:eastAsia="lv-LV"/>
              </w:rPr>
              <w:t>D</w:t>
            </w:r>
          </w:p>
        </w:tc>
      </w:tr>
      <w:tr w:rsidR="00ED52C4" w:rsidRPr="00EB1FE3" w:rsidTr="00FD736E">
        <w:tc>
          <w:tcPr>
            <w:tcW w:w="1294" w:type="pct"/>
            <w:gridSpan w:val="2"/>
            <w:hideMark/>
          </w:tcPr>
          <w:p w:rsidR="00241162" w:rsidRPr="00533D31" w:rsidRDefault="00241162" w:rsidP="002777EB">
            <w:pPr>
              <w:rPr>
                <w:lang w:val="lv-LV" w:eastAsia="lv-LV"/>
              </w:rPr>
            </w:pPr>
            <w:r w:rsidRPr="00533D31">
              <w:rPr>
                <w:lang w:val="lv-LV" w:eastAsia="lv-LV"/>
              </w:rPr>
              <w:t>Attiecīgā ES tiesību akta panta numurs (uzskaitot katru tiesību akta vienību – pantu, daļu, punktu, apakšpunktu)</w:t>
            </w:r>
          </w:p>
        </w:tc>
        <w:tc>
          <w:tcPr>
            <w:tcW w:w="1283" w:type="pct"/>
            <w:hideMark/>
          </w:tcPr>
          <w:p w:rsidR="00241162" w:rsidRPr="00533D31" w:rsidRDefault="00241162" w:rsidP="002777EB">
            <w:pPr>
              <w:rPr>
                <w:lang w:val="lv-LV" w:eastAsia="lv-LV"/>
              </w:rPr>
            </w:pPr>
            <w:r w:rsidRPr="00533D31">
              <w:rPr>
                <w:lang w:val="lv-LV" w:eastAsia="lv-LV"/>
              </w:rPr>
              <w:t>Projekta vienība, kas pārņem vai ievieš katru šīs tabulas A ailē minēto ES tiesību akta vienību, vai tiesību akts, kur attiecīgā ES tiesību akta vienība pārņemta vai ieviesta</w:t>
            </w:r>
          </w:p>
        </w:tc>
        <w:tc>
          <w:tcPr>
            <w:tcW w:w="1283" w:type="pct"/>
            <w:gridSpan w:val="2"/>
            <w:hideMark/>
          </w:tcPr>
          <w:p w:rsidR="00241162" w:rsidRPr="00533D31" w:rsidRDefault="00241162" w:rsidP="002777EB">
            <w:pPr>
              <w:rPr>
                <w:lang w:val="lv-LV" w:eastAsia="lv-LV"/>
              </w:rPr>
            </w:pPr>
            <w:r w:rsidRPr="00533D31">
              <w:rPr>
                <w:lang w:val="lv-LV" w:eastAsia="lv-LV"/>
              </w:rPr>
              <w:t xml:space="preserve">Informācija par to, vai šīs tabulas A ailē minētās ES tiesību akta vienības tiek pārņemtas vai ieviestas pilnībā vai daļēji. </w:t>
            </w:r>
          </w:p>
          <w:p w:rsidR="00241162" w:rsidRPr="00533D31" w:rsidRDefault="00241162" w:rsidP="002777EB">
            <w:pPr>
              <w:spacing w:before="100" w:beforeAutospacing="1" w:after="100" w:afterAutospacing="1"/>
              <w:rPr>
                <w:lang w:val="lv-LV" w:eastAsia="lv-LV"/>
              </w:rPr>
            </w:pPr>
            <w:r w:rsidRPr="00533D31">
              <w:rPr>
                <w:lang w:val="lv-LV" w:eastAsia="lv-LV"/>
              </w:rPr>
              <w:t xml:space="preserve">Ja attiecīgā ES tiesību akta vienība tiek pārņemta vai ieviesta daļēji, sniedz attiecīgu skaidrojumu, kā arī precīzi norāda, kad un kādā veidā ES tiesību akta vienība </w:t>
            </w:r>
            <w:r w:rsidRPr="00533D31">
              <w:rPr>
                <w:lang w:val="lv-LV" w:eastAsia="lv-LV"/>
              </w:rPr>
              <w:lastRenderedPageBreak/>
              <w:t>tiks pārņemta vai ieviesta pilnībā.</w:t>
            </w:r>
          </w:p>
          <w:p w:rsidR="00241162" w:rsidRPr="00533D31" w:rsidRDefault="00241162" w:rsidP="002777EB">
            <w:pPr>
              <w:spacing w:before="100" w:beforeAutospacing="1" w:after="100" w:afterAutospacing="1"/>
              <w:rPr>
                <w:lang w:val="lv-LV" w:eastAsia="lv-LV"/>
              </w:rPr>
            </w:pPr>
            <w:r w:rsidRPr="00533D31">
              <w:rPr>
                <w:lang w:val="lv-LV" w:eastAsia="lv-LV"/>
              </w:rPr>
              <w:t>Norāda institūciju, kas ir atbildīga par šo saistību izpildi pilnībā</w:t>
            </w:r>
          </w:p>
        </w:tc>
        <w:tc>
          <w:tcPr>
            <w:tcW w:w="1140" w:type="pct"/>
            <w:hideMark/>
          </w:tcPr>
          <w:p w:rsidR="00241162" w:rsidRPr="00533D31" w:rsidRDefault="00241162" w:rsidP="002777EB">
            <w:pPr>
              <w:rPr>
                <w:lang w:val="lv-LV" w:eastAsia="lv-LV"/>
              </w:rPr>
            </w:pPr>
            <w:r w:rsidRPr="00533D31">
              <w:rPr>
                <w:lang w:val="lv-LV" w:eastAsia="lv-LV"/>
              </w:rPr>
              <w:lastRenderedPageBreak/>
              <w:t xml:space="preserve">Informācija par to, vai šīs tabulas B ailē minētās projekta vienības paredz stingrākas prasības nekā šīs tabulas A ailē minētās ES tiesību akta vienības. </w:t>
            </w:r>
          </w:p>
          <w:p w:rsidR="00241162" w:rsidRPr="00533D31" w:rsidRDefault="00241162" w:rsidP="002777EB">
            <w:pPr>
              <w:spacing w:before="100" w:beforeAutospacing="1" w:after="100" w:afterAutospacing="1"/>
              <w:rPr>
                <w:lang w:val="lv-LV" w:eastAsia="lv-LV"/>
              </w:rPr>
            </w:pPr>
            <w:r w:rsidRPr="00533D31">
              <w:rPr>
                <w:lang w:val="lv-LV" w:eastAsia="lv-LV"/>
              </w:rPr>
              <w:t xml:space="preserve">Ja projekts satur stingrākas prasības nekā attiecīgais ES tiesību akts, norāda pamatojumu un </w:t>
            </w:r>
            <w:r w:rsidRPr="00533D31">
              <w:rPr>
                <w:lang w:val="lv-LV" w:eastAsia="lv-LV"/>
              </w:rPr>
              <w:lastRenderedPageBreak/>
              <w:t>samērīgumu.</w:t>
            </w:r>
          </w:p>
          <w:p w:rsidR="00241162" w:rsidRPr="00533D31" w:rsidRDefault="00241162" w:rsidP="002777EB">
            <w:pPr>
              <w:spacing w:before="100" w:beforeAutospacing="1" w:after="100" w:afterAutospacing="1"/>
              <w:rPr>
                <w:lang w:val="lv-LV" w:eastAsia="lv-LV"/>
              </w:rPr>
            </w:pPr>
            <w:r w:rsidRPr="00533D31">
              <w:rPr>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D736E" w:rsidRPr="00EB1FE3" w:rsidTr="00FD736E">
        <w:tc>
          <w:tcPr>
            <w:tcW w:w="1294" w:type="pct"/>
            <w:gridSpan w:val="2"/>
          </w:tcPr>
          <w:p w:rsidR="00FD736E" w:rsidRPr="00711180" w:rsidRDefault="00FD736E" w:rsidP="00FD736E">
            <w:pPr>
              <w:rPr>
                <w:lang w:val="lv-LV"/>
              </w:rPr>
            </w:pPr>
            <w:r w:rsidRPr="00711180">
              <w:rPr>
                <w:lang w:val="lv-LV"/>
              </w:rPr>
              <w:lastRenderedPageBreak/>
              <w:t xml:space="preserve">Regulas Nr.952/2013 </w:t>
            </w:r>
          </w:p>
          <w:p w:rsidR="00FD736E" w:rsidRPr="00711180" w:rsidRDefault="00FD736E" w:rsidP="00FD736E">
            <w:pPr>
              <w:rPr>
                <w:lang w:val="lv-LV"/>
              </w:rPr>
            </w:pPr>
            <w:r w:rsidRPr="00711180">
              <w:rPr>
                <w:lang w:val="lv-LV"/>
              </w:rPr>
              <w:t>269.panta 3.punkts</w:t>
            </w:r>
            <w:r w:rsidR="005242F8" w:rsidRPr="00711180">
              <w:rPr>
                <w:lang w:val="lv-LV"/>
              </w:rPr>
              <w:t>;</w:t>
            </w:r>
          </w:p>
          <w:p w:rsidR="005242F8" w:rsidRPr="00711180" w:rsidRDefault="005242F8" w:rsidP="00FD736E">
            <w:pPr>
              <w:rPr>
                <w:lang w:val="lv-LV"/>
              </w:rPr>
            </w:pPr>
          </w:p>
          <w:p w:rsidR="005242F8" w:rsidRPr="00711180" w:rsidRDefault="005242F8" w:rsidP="00FD736E">
            <w:pPr>
              <w:rPr>
                <w:lang w:val="lv-LV"/>
              </w:rPr>
            </w:pPr>
            <w:r w:rsidRPr="00711180">
              <w:rPr>
                <w:lang w:val="lv-LV"/>
              </w:rPr>
              <w:t>Regulas Nr.2015/2446 137.panta 1.punkta b) apakšpunkts</w:t>
            </w:r>
          </w:p>
          <w:p w:rsidR="00FD736E" w:rsidRPr="00711180" w:rsidRDefault="00FD736E" w:rsidP="002777EB">
            <w:pPr>
              <w:rPr>
                <w:lang w:val="lv-LV" w:eastAsia="lv-LV"/>
              </w:rPr>
            </w:pPr>
          </w:p>
        </w:tc>
        <w:tc>
          <w:tcPr>
            <w:tcW w:w="1283" w:type="pct"/>
          </w:tcPr>
          <w:p w:rsidR="00FD736E" w:rsidRPr="00533D31" w:rsidRDefault="00FD736E" w:rsidP="002777EB">
            <w:pPr>
              <w:rPr>
                <w:lang w:val="lv-LV" w:eastAsia="lv-LV"/>
              </w:rPr>
            </w:pPr>
            <w:r>
              <w:rPr>
                <w:lang w:val="lv-LV" w:eastAsia="lv-LV"/>
              </w:rPr>
              <w:t>Noteikumu projekta 3.punkts</w:t>
            </w:r>
          </w:p>
        </w:tc>
        <w:tc>
          <w:tcPr>
            <w:tcW w:w="1283" w:type="pct"/>
            <w:gridSpan w:val="2"/>
          </w:tcPr>
          <w:p w:rsidR="00FD736E" w:rsidRPr="00533D31" w:rsidRDefault="00FD736E" w:rsidP="00FD736E">
            <w:pPr>
              <w:spacing w:after="100" w:afterAutospacing="1"/>
              <w:rPr>
                <w:lang w:val="lv-LV"/>
              </w:rPr>
            </w:pPr>
            <w:r w:rsidRPr="00533D31">
              <w:rPr>
                <w:lang w:val="lv-LV"/>
              </w:rPr>
              <w:t>Tiek ieviests pilnībā</w:t>
            </w:r>
          </w:p>
          <w:p w:rsidR="00FD736E" w:rsidRPr="00533D31" w:rsidRDefault="00FD736E" w:rsidP="002777EB">
            <w:pPr>
              <w:rPr>
                <w:lang w:val="lv-LV" w:eastAsia="lv-LV"/>
              </w:rPr>
            </w:pPr>
          </w:p>
        </w:tc>
        <w:tc>
          <w:tcPr>
            <w:tcW w:w="1140" w:type="pct"/>
          </w:tcPr>
          <w:p w:rsidR="00FD736E" w:rsidRPr="00533D31" w:rsidRDefault="00FD736E" w:rsidP="00FD736E">
            <w:pPr>
              <w:spacing w:after="100" w:afterAutospacing="1"/>
              <w:rPr>
                <w:lang w:val="lv-LV"/>
              </w:rPr>
            </w:pPr>
            <w:r w:rsidRPr="00533D31">
              <w:rPr>
                <w:lang w:val="lv-LV"/>
              </w:rPr>
              <w:t>Neparedz stingrākas prasības</w:t>
            </w:r>
          </w:p>
          <w:p w:rsidR="00FD736E" w:rsidRPr="00533D31" w:rsidRDefault="00FD736E" w:rsidP="002777EB">
            <w:pPr>
              <w:rPr>
                <w:lang w:val="lv-LV" w:eastAsia="lv-LV"/>
              </w:rPr>
            </w:pPr>
          </w:p>
        </w:tc>
      </w:tr>
      <w:tr w:rsidR="00FD736E" w:rsidRPr="00EB1FE3" w:rsidTr="00FD736E">
        <w:tc>
          <w:tcPr>
            <w:tcW w:w="1294" w:type="pct"/>
            <w:gridSpan w:val="2"/>
          </w:tcPr>
          <w:p w:rsidR="00FD736E" w:rsidRPr="00711180" w:rsidRDefault="00FD736E" w:rsidP="00FD736E">
            <w:pPr>
              <w:rPr>
                <w:lang w:val="lv-LV"/>
              </w:rPr>
            </w:pPr>
            <w:r w:rsidRPr="00711180">
              <w:rPr>
                <w:lang w:val="lv-LV"/>
              </w:rPr>
              <w:t xml:space="preserve">Regulas Nr.952/2013 </w:t>
            </w:r>
          </w:p>
          <w:p w:rsidR="00FD736E" w:rsidRPr="00711180" w:rsidRDefault="00144C97" w:rsidP="00FD736E">
            <w:pPr>
              <w:rPr>
                <w:lang w:val="lv-LV"/>
              </w:rPr>
            </w:pPr>
            <w:r w:rsidRPr="00711180">
              <w:rPr>
                <w:lang w:val="lv-LV"/>
              </w:rPr>
              <w:t>188</w:t>
            </w:r>
            <w:r w:rsidR="00FD736E" w:rsidRPr="00711180">
              <w:rPr>
                <w:lang w:val="lv-LV"/>
              </w:rPr>
              <w:t>.pant</w:t>
            </w:r>
            <w:r w:rsidRPr="00711180">
              <w:rPr>
                <w:lang w:val="lv-LV"/>
              </w:rPr>
              <w:t>s</w:t>
            </w:r>
          </w:p>
          <w:p w:rsidR="00FD736E" w:rsidRPr="00711180" w:rsidRDefault="00FD736E" w:rsidP="00FD736E">
            <w:pPr>
              <w:spacing w:after="100" w:afterAutospacing="1"/>
              <w:rPr>
                <w:lang w:val="lv-LV"/>
              </w:rPr>
            </w:pPr>
          </w:p>
          <w:p w:rsidR="00FD736E" w:rsidRPr="00711180" w:rsidRDefault="00FD736E" w:rsidP="002777EB">
            <w:pPr>
              <w:rPr>
                <w:lang w:val="lv-LV" w:eastAsia="lv-LV"/>
              </w:rPr>
            </w:pPr>
          </w:p>
        </w:tc>
        <w:tc>
          <w:tcPr>
            <w:tcW w:w="1283" w:type="pct"/>
          </w:tcPr>
          <w:p w:rsidR="00FD736E" w:rsidRPr="00533D31" w:rsidRDefault="00FD736E" w:rsidP="00144C97">
            <w:pPr>
              <w:rPr>
                <w:lang w:val="lv-LV" w:eastAsia="lv-LV"/>
              </w:rPr>
            </w:pPr>
            <w:r>
              <w:rPr>
                <w:lang w:val="lv-LV"/>
              </w:rPr>
              <w:t xml:space="preserve">4.1.apakšpunkts </w:t>
            </w:r>
          </w:p>
        </w:tc>
        <w:tc>
          <w:tcPr>
            <w:tcW w:w="1283" w:type="pct"/>
            <w:gridSpan w:val="2"/>
          </w:tcPr>
          <w:p w:rsidR="00FD736E" w:rsidRPr="00533D31" w:rsidRDefault="00FD736E" w:rsidP="00FD736E">
            <w:pPr>
              <w:spacing w:after="100" w:afterAutospacing="1"/>
              <w:rPr>
                <w:lang w:val="lv-LV"/>
              </w:rPr>
            </w:pPr>
            <w:r w:rsidRPr="00533D31">
              <w:rPr>
                <w:lang w:val="lv-LV"/>
              </w:rPr>
              <w:t>Tiek ieviests pilnībā</w:t>
            </w:r>
          </w:p>
          <w:p w:rsidR="00FD736E" w:rsidRPr="00533D31" w:rsidRDefault="00FD736E" w:rsidP="002777EB">
            <w:pPr>
              <w:rPr>
                <w:lang w:val="lv-LV" w:eastAsia="lv-LV"/>
              </w:rPr>
            </w:pPr>
          </w:p>
        </w:tc>
        <w:tc>
          <w:tcPr>
            <w:tcW w:w="1140" w:type="pct"/>
          </w:tcPr>
          <w:p w:rsidR="00FD736E" w:rsidRPr="00533D31" w:rsidRDefault="00FD736E" w:rsidP="00FD736E">
            <w:pPr>
              <w:spacing w:after="100" w:afterAutospacing="1"/>
              <w:rPr>
                <w:lang w:val="lv-LV"/>
              </w:rPr>
            </w:pPr>
            <w:r w:rsidRPr="00533D31">
              <w:rPr>
                <w:lang w:val="lv-LV"/>
              </w:rPr>
              <w:t>Neparedz stingrākas prasības</w:t>
            </w:r>
          </w:p>
          <w:p w:rsidR="00FD736E" w:rsidRPr="00533D31" w:rsidRDefault="00FD736E" w:rsidP="002777EB">
            <w:pPr>
              <w:rPr>
                <w:lang w:val="lv-LV" w:eastAsia="lv-LV"/>
              </w:rPr>
            </w:pPr>
          </w:p>
        </w:tc>
      </w:tr>
      <w:tr w:rsidR="00ED52C4" w:rsidRPr="00533D31" w:rsidTr="001C5BFC">
        <w:tc>
          <w:tcPr>
            <w:tcW w:w="1294" w:type="pct"/>
            <w:gridSpan w:val="2"/>
            <w:hideMark/>
          </w:tcPr>
          <w:p w:rsidR="00241162" w:rsidRPr="00533D31" w:rsidRDefault="00241162" w:rsidP="002777EB">
            <w:pPr>
              <w:rPr>
                <w:lang w:val="lv-LV" w:eastAsia="lv-LV"/>
              </w:rPr>
            </w:pPr>
            <w:r w:rsidRPr="00533D31">
              <w:rPr>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06" w:type="pct"/>
            <w:gridSpan w:val="4"/>
            <w:hideMark/>
          </w:tcPr>
          <w:p w:rsidR="00241162" w:rsidRPr="00533D31" w:rsidRDefault="00241162" w:rsidP="00B17821">
            <w:pPr>
              <w:rPr>
                <w:lang w:val="lv-LV" w:eastAsia="lv-LV"/>
              </w:rPr>
            </w:pPr>
            <w:r w:rsidRPr="00533D31">
              <w:rPr>
                <w:lang w:val="lv-LV" w:eastAsia="lv-LV"/>
              </w:rPr>
              <w:t>N</w:t>
            </w:r>
            <w:r w:rsidR="00B17821">
              <w:rPr>
                <w:lang w:val="lv-LV" w:eastAsia="lv-LV"/>
              </w:rPr>
              <w:t>oteikumu projekts šo</w:t>
            </w:r>
            <w:r w:rsidRPr="00533D31">
              <w:rPr>
                <w:lang w:val="lv-LV" w:eastAsia="lv-LV"/>
              </w:rPr>
              <w:t xml:space="preserve"> </w:t>
            </w:r>
            <w:r w:rsidR="00B17821">
              <w:rPr>
                <w:lang w:val="lv-LV" w:eastAsia="lv-LV"/>
              </w:rPr>
              <w:t>jomu neskar.</w:t>
            </w:r>
          </w:p>
        </w:tc>
      </w:tr>
      <w:tr w:rsidR="00ED52C4" w:rsidRPr="00533D31" w:rsidTr="001C5BFC">
        <w:tc>
          <w:tcPr>
            <w:tcW w:w="1294" w:type="pct"/>
            <w:gridSpan w:val="2"/>
            <w:hideMark/>
          </w:tcPr>
          <w:p w:rsidR="00241162" w:rsidRPr="00533D31" w:rsidRDefault="00241162" w:rsidP="002777EB">
            <w:pPr>
              <w:rPr>
                <w:lang w:val="lv-LV" w:eastAsia="lv-LV"/>
              </w:rPr>
            </w:pPr>
            <w:r w:rsidRPr="00533D31">
              <w:rPr>
                <w:lang w:val="lv-LV" w:eastAsia="lv-LV"/>
              </w:rPr>
              <w:t>Cita informācija</w:t>
            </w:r>
          </w:p>
        </w:tc>
        <w:tc>
          <w:tcPr>
            <w:tcW w:w="3706" w:type="pct"/>
            <w:gridSpan w:val="4"/>
            <w:hideMark/>
          </w:tcPr>
          <w:p w:rsidR="00241162" w:rsidRPr="00533D31" w:rsidRDefault="00241162" w:rsidP="002777EB">
            <w:pPr>
              <w:rPr>
                <w:lang w:val="lv-LV" w:eastAsia="lv-LV"/>
              </w:rPr>
            </w:pPr>
            <w:r w:rsidRPr="00533D31">
              <w:rPr>
                <w:lang w:val="lv-LV" w:eastAsia="lv-LV"/>
              </w:rPr>
              <w:t>Nav</w:t>
            </w:r>
          </w:p>
        </w:tc>
      </w:tr>
      <w:tr w:rsidR="00DE364F" w:rsidRPr="00DE364F" w:rsidTr="001C5BFC">
        <w:tc>
          <w:tcPr>
            <w:tcW w:w="5000" w:type="pct"/>
            <w:gridSpan w:val="6"/>
            <w:hideMark/>
          </w:tcPr>
          <w:p w:rsidR="005E3AB7" w:rsidRPr="00DE364F" w:rsidRDefault="005E3AB7" w:rsidP="004F3C1F">
            <w:pPr>
              <w:jc w:val="center"/>
              <w:rPr>
                <w:b/>
                <w:bCs/>
                <w:lang w:val="lv-LV" w:eastAsia="lv-LV"/>
              </w:rPr>
            </w:pPr>
            <w:r w:rsidRPr="00DE364F">
              <w:rPr>
                <w:b/>
                <w:bCs/>
                <w:lang w:val="lv-LV"/>
              </w:rPr>
              <w:t>2.tabula</w:t>
            </w:r>
            <w:r w:rsidRPr="00DE364F">
              <w:rPr>
                <w:b/>
                <w:bCs/>
                <w:lang w:val="lv-LV"/>
              </w:rPr>
              <w:br/>
              <w:t>Ar tiesību akta projektu izpildītās vai uzņemtās saistības, kas izriet no starptautiskajiem tiesību aktiem vai starptautiskas institūcijas vai organizācijas dokumentiem.</w:t>
            </w:r>
            <w:r w:rsidRPr="00DE364F">
              <w:rPr>
                <w:b/>
                <w:bCs/>
                <w:lang w:val="lv-LV"/>
              </w:rPr>
              <w:br/>
              <w:t>Pasākumi šo saistību izpildei</w:t>
            </w:r>
          </w:p>
        </w:tc>
      </w:tr>
      <w:tr w:rsidR="00DE364F" w:rsidRPr="00DE364F" w:rsidTr="001C5BFC">
        <w:tc>
          <w:tcPr>
            <w:tcW w:w="1270" w:type="pct"/>
            <w:hideMark/>
          </w:tcPr>
          <w:p w:rsidR="005E3AB7" w:rsidRPr="00DE364F" w:rsidRDefault="005E3AB7">
            <w:pPr>
              <w:rPr>
                <w:lang w:val="lv-LV"/>
              </w:rPr>
            </w:pPr>
            <w:r w:rsidRPr="00DE364F">
              <w:rPr>
                <w:lang w:val="lv-LV"/>
              </w:rPr>
              <w:t xml:space="preserve">Attiecīgā </w:t>
            </w:r>
            <w:r w:rsidRPr="00DE364F">
              <w:rPr>
                <w:lang w:val="lv-LV"/>
              </w:rPr>
              <w:lastRenderedPageBreak/>
              <w:t>starptautiskā tiesību akta vai starptautiskas institūcijas vai organizācijas dokumenta (turpmāk – starptautiskais dokuments) datums, numurs un nosaukums</w:t>
            </w:r>
          </w:p>
        </w:tc>
        <w:tc>
          <w:tcPr>
            <w:tcW w:w="3730" w:type="pct"/>
            <w:gridSpan w:val="5"/>
            <w:hideMark/>
          </w:tcPr>
          <w:p w:rsidR="005E3AB7" w:rsidRPr="00DE364F" w:rsidRDefault="00B17821">
            <w:pPr>
              <w:rPr>
                <w:lang w:val="lv-LV"/>
              </w:rPr>
            </w:pPr>
            <w:r w:rsidRPr="00DE364F">
              <w:rPr>
                <w:lang w:val="lv-LV"/>
              </w:rPr>
              <w:lastRenderedPageBreak/>
              <w:t>Noteikumu projekts šo jomu neskar.</w:t>
            </w:r>
          </w:p>
        </w:tc>
      </w:tr>
      <w:tr w:rsidR="00DE364F" w:rsidRPr="00DE364F" w:rsidTr="001C5BFC">
        <w:tc>
          <w:tcPr>
            <w:tcW w:w="1270" w:type="pct"/>
            <w:hideMark/>
          </w:tcPr>
          <w:p w:rsidR="005E3AB7" w:rsidRPr="00DE364F" w:rsidRDefault="005E3AB7" w:rsidP="004F3C1F">
            <w:pPr>
              <w:jc w:val="center"/>
              <w:rPr>
                <w:lang w:val="lv-LV"/>
              </w:rPr>
            </w:pPr>
            <w:r w:rsidRPr="00DE364F">
              <w:rPr>
                <w:lang w:val="lv-LV"/>
              </w:rPr>
              <w:t>A</w:t>
            </w:r>
          </w:p>
        </w:tc>
        <w:tc>
          <w:tcPr>
            <w:tcW w:w="1510" w:type="pct"/>
            <w:gridSpan w:val="3"/>
            <w:hideMark/>
          </w:tcPr>
          <w:p w:rsidR="005E3AB7" w:rsidRPr="00DE364F" w:rsidRDefault="005E3AB7" w:rsidP="004F3C1F">
            <w:pPr>
              <w:jc w:val="center"/>
              <w:rPr>
                <w:lang w:val="lv-LV"/>
              </w:rPr>
            </w:pPr>
            <w:r w:rsidRPr="00DE364F">
              <w:rPr>
                <w:lang w:val="lv-LV"/>
              </w:rPr>
              <w:t>B</w:t>
            </w:r>
          </w:p>
        </w:tc>
        <w:tc>
          <w:tcPr>
            <w:tcW w:w="2220" w:type="pct"/>
            <w:gridSpan w:val="2"/>
            <w:hideMark/>
          </w:tcPr>
          <w:p w:rsidR="005E3AB7" w:rsidRPr="00DE364F" w:rsidRDefault="005E3AB7" w:rsidP="004F3C1F">
            <w:pPr>
              <w:jc w:val="center"/>
              <w:rPr>
                <w:lang w:val="lv-LV"/>
              </w:rPr>
            </w:pPr>
            <w:r w:rsidRPr="00DE364F">
              <w:rPr>
                <w:lang w:val="lv-LV"/>
              </w:rPr>
              <w:t>C</w:t>
            </w:r>
          </w:p>
        </w:tc>
      </w:tr>
      <w:tr w:rsidR="00DE364F" w:rsidRPr="00EB1FE3" w:rsidTr="001C5BFC">
        <w:tc>
          <w:tcPr>
            <w:tcW w:w="1270" w:type="pct"/>
            <w:hideMark/>
          </w:tcPr>
          <w:p w:rsidR="005E3AB7" w:rsidRPr="00DE364F" w:rsidRDefault="005E3AB7">
            <w:pPr>
              <w:rPr>
                <w:lang w:val="lv-LV"/>
              </w:rPr>
            </w:pPr>
            <w:r w:rsidRPr="00DE364F">
              <w:rPr>
                <w:lang w:val="lv-LV"/>
              </w:rPr>
              <w:t xml:space="preserve">Starptautiskās saistības (pēc būtības), kas izriet no norādītā starptautiskā dokumenta. </w:t>
            </w:r>
          </w:p>
          <w:p w:rsidR="005E3AB7" w:rsidRPr="00DE364F" w:rsidRDefault="005E3AB7" w:rsidP="004F3C1F">
            <w:pPr>
              <w:rPr>
                <w:lang w:val="lv-LV"/>
              </w:rPr>
            </w:pPr>
            <w:r w:rsidRPr="00DE364F">
              <w:rPr>
                <w:lang w:val="lv-LV"/>
              </w:rPr>
              <w:t>Konkrēti veicamie pasākumi vai uzdevumi, kas nepieciešami šo starptautisko saistību izpildei</w:t>
            </w:r>
          </w:p>
        </w:tc>
        <w:tc>
          <w:tcPr>
            <w:tcW w:w="1510" w:type="pct"/>
            <w:gridSpan w:val="3"/>
            <w:hideMark/>
          </w:tcPr>
          <w:p w:rsidR="005E3AB7" w:rsidRPr="00DE364F" w:rsidRDefault="005E3AB7">
            <w:pPr>
              <w:rPr>
                <w:lang w:val="lv-LV"/>
              </w:rPr>
            </w:pPr>
            <w:r w:rsidRPr="00DE364F">
              <w:rPr>
                <w:lang w:val="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20" w:type="pct"/>
            <w:gridSpan w:val="2"/>
            <w:hideMark/>
          </w:tcPr>
          <w:p w:rsidR="005E3AB7" w:rsidRPr="00DE364F" w:rsidRDefault="005E3AB7">
            <w:pPr>
              <w:rPr>
                <w:lang w:val="lv-LV"/>
              </w:rPr>
            </w:pPr>
            <w:r w:rsidRPr="00DE364F">
              <w:rPr>
                <w:lang w:val="lv-LV"/>
              </w:rPr>
              <w:t xml:space="preserve">Informācija par to, vai starptautiskās saistības, kas minētas šīs tabulas A ailē, tiek izpildītas pilnībā vai daļēji. </w:t>
            </w:r>
          </w:p>
          <w:p w:rsidR="005E3AB7" w:rsidRPr="00DE364F" w:rsidRDefault="005E3AB7" w:rsidP="004F3C1F">
            <w:pPr>
              <w:rPr>
                <w:lang w:val="lv-LV"/>
              </w:rPr>
            </w:pPr>
            <w:r w:rsidRPr="00DE364F">
              <w:rPr>
                <w:lang w:val="lv-LV"/>
              </w:rPr>
              <w:t>Ja attiecīgās starptautiskās saistības tiek izpildītas daļēji, sniedz skaidrojumu, kā arī precīzi norāda, kad un kādā veidā starptautiskās saistības tiks izpildītas pilnībā.</w:t>
            </w:r>
          </w:p>
          <w:p w:rsidR="005E3AB7" w:rsidRPr="00DE364F" w:rsidRDefault="005E3AB7" w:rsidP="004F3C1F">
            <w:pPr>
              <w:rPr>
                <w:lang w:val="lv-LV"/>
              </w:rPr>
            </w:pPr>
            <w:r w:rsidRPr="00DE364F">
              <w:rPr>
                <w:lang w:val="lv-LV"/>
              </w:rPr>
              <w:t>Norāda institūciju, kas ir atbildīga par šo saistību izpildi pilnībā</w:t>
            </w:r>
          </w:p>
        </w:tc>
      </w:tr>
      <w:tr w:rsidR="00DE364F" w:rsidRPr="00DE364F" w:rsidTr="001C5BFC">
        <w:tc>
          <w:tcPr>
            <w:tcW w:w="1270" w:type="pct"/>
            <w:hideMark/>
          </w:tcPr>
          <w:p w:rsidR="005E3AB7" w:rsidRPr="00DE364F" w:rsidRDefault="005E3AB7">
            <w:pPr>
              <w:rPr>
                <w:lang w:val="lv-LV"/>
              </w:rPr>
            </w:pPr>
            <w:r w:rsidRPr="00DE364F">
              <w:rPr>
                <w:lang w:val="lv-LV"/>
              </w:rPr>
              <w:t>Iekļauj informāciju atbilstoši instrukcijas 58.1.apakšpunktā noteiktajam</w:t>
            </w:r>
          </w:p>
        </w:tc>
        <w:tc>
          <w:tcPr>
            <w:tcW w:w="1510" w:type="pct"/>
            <w:gridSpan w:val="3"/>
            <w:hideMark/>
          </w:tcPr>
          <w:p w:rsidR="005E3AB7" w:rsidRPr="00DE364F" w:rsidRDefault="0049010D">
            <w:pPr>
              <w:rPr>
                <w:lang w:val="lv-LV"/>
              </w:rPr>
            </w:pPr>
            <w:r>
              <w:rPr>
                <w:lang w:val="lv-LV"/>
              </w:rPr>
              <w:t>P</w:t>
            </w:r>
            <w:r w:rsidR="0094353F" w:rsidRPr="00DE364F">
              <w:rPr>
                <w:lang w:val="lv-LV"/>
              </w:rPr>
              <w:t>rojekts šo jomu neskar.</w:t>
            </w:r>
          </w:p>
        </w:tc>
        <w:tc>
          <w:tcPr>
            <w:tcW w:w="2220" w:type="pct"/>
            <w:gridSpan w:val="2"/>
            <w:hideMark/>
          </w:tcPr>
          <w:p w:rsidR="005E3AB7" w:rsidRPr="00DE364F" w:rsidRDefault="0049010D" w:rsidP="004F3C1F">
            <w:pPr>
              <w:rPr>
                <w:lang w:val="lv-LV"/>
              </w:rPr>
            </w:pPr>
            <w:r>
              <w:rPr>
                <w:lang w:val="lv-LV"/>
              </w:rPr>
              <w:t>P</w:t>
            </w:r>
            <w:r w:rsidR="0094353F" w:rsidRPr="00DE364F">
              <w:rPr>
                <w:lang w:val="lv-LV"/>
              </w:rPr>
              <w:t>rojekts šo jomu neskar.</w:t>
            </w:r>
          </w:p>
        </w:tc>
      </w:tr>
      <w:tr w:rsidR="00DE364F" w:rsidRPr="00DE364F" w:rsidTr="001C5BFC">
        <w:tc>
          <w:tcPr>
            <w:tcW w:w="1270" w:type="pct"/>
            <w:hideMark/>
          </w:tcPr>
          <w:p w:rsidR="005E3AB7" w:rsidRPr="00DE364F" w:rsidRDefault="005E3AB7">
            <w:pPr>
              <w:rPr>
                <w:lang w:val="lv-LV"/>
              </w:rPr>
            </w:pPr>
            <w:r w:rsidRPr="00DE364F">
              <w:rPr>
                <w:lang w:val="lv-LV"/>
              </w:rPr>
              <w:t>Vai starptautiskajā dokumentā paredzētās saistības nav pretrunā ar jau esošajām Latvijas Republikas starptautiskajām saistībām</w:t>
            </w:r>
          </w:p>
        </w:tc>
        <w:tc>
          <w:tcPr>
            <w:tcW w:w="3730" w:type="pct"/>
            <w:gridSpan w:val="5"/>
            <w:hideMark/>
          </w:tcPr>
          <w:p w:rsidR="005E3AB7" w:rsidRPr="00DE364F" w:rsidRDefault="0049010D">
            <w:pPr>
              <w:rPr>
                <w:lang w:val="lv-LV"/>
              </w:rPr>
            </w:pPr>
            <w:r>
              <w:rPr>
                <w:lang w:val="lv-LV"/>
              </w:rPr>
              <w:t>P</w:t>
            </w:r>
            <w:r w:rsidR="0094353F" w:rsidRPr="00DE364F">
              <w:rPr>
                <w:lang w:val="lv-LV"/>
              </w:rPr>
              <w:t>rojekts šo jomu neskar.</w:t>
            </w:r>
          </w:p>
        </w:tc>
      </w:tr>
      <w:tr w:rsidR="00DE364F" w:rsidRPr="00DE364F" w:rsidTr="001C5BFC">
        <w:tc>
          <w:tcPr>
            <w:tcW w:w="1270" w:type="pct"/>
            <w:hideMark/>
          </w:tcPr>
          <w:p w:rsidR="005E3AB7" w:rsidRPr="00DE364F" w:rsidRDefault="005E3AB7">
            <w:pPr>
              <w:rPr>
                <w:lang w:val="lv-LV"/>
              </w:rPr>
            </w:pPr>
            <w:r w:rsidRPr="00DE364F">
              <w:rPr>
                <w:lang w:val="lv-LV"/>
              </w:rPr>
              <w:t>Cita informācija</w:t>
            </w:r>
          </w:p>
        </w:tc>
        <w:tc>
          <w:tcPr>
            <w:tcW w:w="3730" w:type="pct"/>
            <w:gridSpan w:val="5"/>
            <w:hideMark/>
          </w:tcPr>
          <w:p w:rsidR="005E3AB7" w:rsidRPr="00DE364F" w:rsidRDefault="005E3AB7" w:rsidP="004F3C1F">
            <w:pPr>
              <w:rPr>
                <w:lang w:val="lv-LV"/>
              </w:rPr>
            </w:pPr>
            <w:r w:rsidRPr="00DE364F">
              <w:rPr>
                <w:lang w:val="lv-LV"/>
              </w:rPr>
              <w:t>Nav</w:t>
            </w:r>
          </w:p>
        </w:tc>
      </w:tr>
    </w:tbl>
    <w:p w:rsidR="005E3AB7" w:rsidRPr="00DE364F" w:rsidRDefault="005E3AB7" w:rsidP="004F3C1F">
      <w:pPr>
        <w:rPr>
          <w:rFonts w:eastAsia="Calibri"/>
          <w:szCs w:val="22"/>
          <w:lang w:val="lv-LV"/>
        </w:rPr>
      </w:pPr>
    </w:p>
    <w:tbl>
      <w:tblPr>
        <w:tblW w:w="495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6"/>
        <w:gridCol w:w="37"/>
        <w:gridCol w:w="1583"/>
        <w:gridCol w:w="1818"/>
        <w:gridCol w:w="5122"/>
      </w:tblGrid>
      <w:tr w:rsidR="005D73DE" w:rsidRPr="00EB1FE3" w:rsidTr="001C5BFC">
        <w:trPr>
          <w:trHeight w:val="222"/>
          <w:jc w:val="center"/>
        </w:trPr>
        <w:tc>
          <w:tcPr>
            <w:tcW w:w="5000" w:type="pct"/>
            <w:gridSpan w:val="5"/>
            <w:tcBorders>
              <w:top w:val="outset" w:sz="6" w:space="0" w:color="000000"/>
              <w:left w:val="outset" w:sz="6" w:space="0" w:color="000000"/>
              <w:bottom w:val="outset" w:sz="6" w:space="0" w:color="000000"/>
              <w:right w:val="outset" w:sz="6" w:space="0" w:color="000000"/>
            </w:tcBorders>
          </w:tcPr>
          <w:p w:rsidR="00E35982" w:rsidRPr="005B49D3" w:rsidRDefault="00E35982" w:rsidP="00991737">
            <w:pPr>
              <w:jc w:val="center"/>
              <w:rPr>
                <w:b/>
                <w:bCs/>
                <w:lang w:val="lv-LV" w:eastAsia="lv-LV"/>
              </w:rPr>
            </w:pPr>
            <w:r w:rsidRPr="005B49D3">
              <w:rPr>
                <w:b/>
                <w:bCs/>
                <w:lang w:val="lv-LV" w:eastAsia="lv-LV"/>
              </w:rPr>
              <w:t xml:space="preserve">VI. Sabiedrības līdzdalība </w:t>
            </w:r>
            <w:r w:rsidR="00AC0691" w:rsidRPr="005B49D3">
              <w:rPr>
                <w:b/>
                <w:bCs/>
                <w:lang w:val="lv-LV"/>
              </w:rPr>
              <w:t>un komunikācijas aktivitātes</w:t>
            </w:r>
          </w:p>
        </w:tc>
      </w:tr>
      <w:tr w:rsidR="005D73DE" w:rsidRPr="00533D31" w:rsidTr="001C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74" w:type="pct"/>
          </w:tcPr>
          <w:p w:rsidR="0013088C" w:rsidRPr="00533D31" w:rsidRDefault="0013088C" w:rsidP="005D73DE">
            <w:pPr>
              <w:pStyle w:val="naiskr"/>
              <w:spacing w:before="0" w:beforeAutospacing="0" w:after="0" w:afterAutospacing="0"/>
            </w:pPr>
            <w:r w:rsidRPr="00533D31">
              <w:t>1.</w:t>
            </w:r>
          </w:p>
        </w:tc>
        <w:tc>
          <w:tcPr>
            <w:tcW w:w="894" w:type="pct"/>
            <w:gridSpan w:val="2"/>
          </w:tcPr>
          <w:p w:rsidR="0013088C" w:rsidRPr="00533D31" w:rsidRDefault="00A96BC5" w:rsidP="005D73DE">
            <w:pPr>
              <w:pStyle w:val="naiskr"/>
              <w:spacing w:before="0" w:beforeAutospacing="0" w:after="0" w:afterAutospacing="0"/>
              <w:jc w:val="both"/>
            </w:pPr>
            <w:r w:rsidRPr="00533D31">
              <w:t>Plānotās sabiedrības līdzdalības un komunikācijas aktivitātes saistībā ar projektu</w:t>
            </w:r>
          </w:p>
        </w:tc>
        <w:tc>
          <w:tcPr>
            <w:tcW w:w="3832" w:type="pct"/>
            <w:gridSpan w:val="2"/>
          </w:tcPr>
          <w:p w:rsidR="00AA1496" w:rsidRPr="00533D31" w:rsidRDefault="0049010D" w:rsidP="00226A3A">
            <w:pPr>
              <w:pStyle w:val="naiskr"/>
              <w:spacing w:before="0" w:after="0"/>
              <w:ind w:left="57" w:right="57"/>
              <w:jc w:val="both"/>
            </w:pPr>
            <w:r w:rsidRPr="0049010D">
              <w:t>Sabiedrības līdzdalība ir nodrošināta, publicējot uzziņu par MK noteikumu projekta izstrādes uzsākšanu 2016.gada 5.februārī Finanšu ministrijas tīmekļvietnē sadaļā “Sabiedrības līdzdalība”.</w:t>
            </w:r>
          </w:p>
        </w:tc>
      </w:tr>
      <w:tr w:rsidR="005D73DE" w:rsidRPr="00EB1FE3" w:rsidTr="001C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74" w:type="pct"/>
          </w:tcPr>
          <w:p w:rsidR="0013088C" w:rsidRPr="00533D31" w:rsidRDefault="0013088C" w:rsidP="005D73DE">
            <w:pPr>
              <w:pStyle w:val="naiskr"/>
              <w:spacing w:before="0" w:beforeAutospacing="0" w:after="0" w:afterAutospacing="0"/>
            </w:pPr>
            <w:r w:rsidRPr="00533D31">
              <w:t>2.</w:t>
            </w:r>
          </w:p>
        </w:tc>
        <w:tc>
          <w:tcPr>
            <w:tcW w:w="894" w:type="pct"/>
            <w:gridSpan w:val="2"/>
          </w:tcPr>
          <w:p w:rsidR="0013088C" w:rsidRPr="00533D31" w:rsidRDefault="0013088C" w:rsidP="005D73DE">
            <w:pPr>
              <w:pStyle w:val="naiskr"/>
              <w:spacing w:before="0" w:beforeAutospacing="0" w:after="0" w:afterAutospacing="0"/>
              <w:jc w:val="both"/>
            </w:pPr>
            <w:r w:rsidRPr="00533D31">
              <w:t>Sabiedrības līdzdalība projekta izstrādē</w:t>
            </w:r>
          </w:p>
        </w:tc>
        <w:tc>
          <w:tcPr>
            <w:tcW w:w="3832" w:type="pct"/>
            <w:gridSpan w:val="2"/>
          </w:tcPr>
          <w:p w:rsidR="0013088C" w:rsidRPr="00533D31" w:rsidRDefault="009F29B3" w:rsidP="00711180">
            <w:pPr>
              <w:pStyle w:val="naiskr"/>
              <w:spacing w:before="0" w:beforeAutospacing="0" w:after="0" w:afterAutospacing="0"/>
              <w:jc w:val="both"/>
            </w:pPr>
            <w:r w:rsidRPr="0035308D">
              <w:t>MK noteikumu projekt</w:t>
            </w:r>
            <w:r>
              <w:t>s</w:t>
            </w:r>
            <w:r w:rsidRPr="0035308D">
              <w:t xml:space="preserve"> izskatīt</w:t>
            </w:r>
            <w:r>
              <w:t>s</w:t>
            </w:r>
            <w:r w:rsidRPr="0035308D">
              <w:t xml:space="preserve"> Konsultatīvajā padomē muitas politikas jomā. </w:t>
            </w:r>
          </w:p>
        </w:tc>
      </w:tr>
      <w:tr w:rsidR="005D73DE" w:rsidRPr="00533D31" w:rsidTr="001C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jc w:val="center"/>
        </w:trPr>
        <w:tc>
          <w:tcPr>
            <w:tcW w:w="274" w:type="pct"/>
          </w:tcPr>
          <w:p w:rsidR="0013088C" w:rsidRPr="00533D31" w:rsidRDefault="0013088C" w:rsidP="005D73DE">
            <w:pPr>
              <w:pStyle w:val="naiskr"/>
              <w:spacing w:before="0" w:beforeAutospacing="0" w:after="0" w:afterAutospacing="0"/>
            </w:pPr>
            <w:r w:rsidRPr="00533D31">
              <w:t>3.</w:t>
            </w:r>
          </w:p>
        </w:tc>
        <w:tc>
          <w:tcPr>
            <w:tcW w:w="894" w:type="pct"/>
            <w:gridSpan w:val="2"/>
          </w:tcPr>
          <w:p w:rsidR="0013088C" w:rsidRPr="00533D31" w:rsidRDefault="0013088C" w:rsidP="005D73DE">
            <w:pPr>
              <w:pStyle w:val="naiskr"/>
              <w:spacing w:before="0" w:beforeAutospacing="0" w:after="0" w:afterAutospacing="0"/>
              <w:jc w:val="both"/>
            </w:pPr>
            <w:r w:rsidRPr="00533D31">
              <w:t xml:space="preserve">Sabiedrības līdzdalības </w:t>
            </w:r>
            <w:r w:rsidRPr="00533D31">
              <w:lastRenderedPageBreak/>
              <w:t>rezultāti</w:t>
            </w:r>
          </w:p>
        </w:tc>
        <w:tc>
          <w:tcPr>
            <w:tcW w:w="3832" w:type="pct"/>
            <w:gridSpan w:val="2"/>
          </w:tcPr>
          <w:p w:rsidR="00AC7264" w:rsidRPr="00533D31" w:rsidRDefault="009F29B3" w:rsidP="00C52FF6">
            <w:pPr>
              <w:jc w:val="both"/>
              <w:rPr>
                <w:lang w:val="lv-LV"/>
              </w:rPr>
            </w:pPr>
            <w:proofErr w:type="spellStart"/>
            <w:r w:rsidRPr="0035308D">
              <w:lastRenderedPageBreak/>
              <w:t>Konsultatīvās</w:t>
            </w:r>
            <w:proofErr w:type="spellEnd"/>
            <w:r w:rsidRPr="0035308D">
              <w:t xml:space="preserve"> </w:t>
            </w:r>
            <w:proofErr w:type="spellStart"/>
            <w:r w:rsidRPr="0035308D">
              <w:t>padomes</w:t>
            </w:r>
            <w:proofErr w:type="spellEnd"/>
            <w:r w:rsidRPr="0035308D">
              <w:t xml:space="preserve"> </w:t>
            </w:r>
            <w:proofErr w:type="spellStart"/>
            <w:r w:rsidRPr="0035308D">
              <w:t>muitas</w:t>
            </w:r>
            <w:proofErr w:type="spellEnd"/>
            <w:r w:rsidRPr="0035308D">
              <w:t xml:space="preserve"> </w:t>
            </w:r>
            <w:proofErr w:type="spellStart"/>
            <w:r w:rsidRPr="0035308D">
              <w:t>politikas</w:t>
            </w:r>
            <w:proofErr w:type="spellEnd"/>
            <w:r w:rsidRPr="0035308D">
              <w:t xml:space="preserve"> </w:t>
            </w:r>
            <w:proofErr w:type="spellStart"/>
            <w:r w:rsidRPr="0035308D">
              <w:t>jomā</w:t>
            </w:r>
            <w:proofErr w:type="spellEnd"/>
            <w:r w:rsidRPr="0035308D">
              <w:t xml:space="preserve"> </w:t>
            </w:r>
            <w:proofErr w:type="spellStart"/>
            <w:r w:rsidRPr="0035308D">
              <w:t>locekļi</w:t>
            </w:r>
            <w:proofErr w:type="spellEnd"/>
            <w:r w:rsidRPr="0035308D">
              <w:t xml:space="preserve"> </w:t>
            </w:r>
            <w:proofErr w:type="spellStart"/>
            <w:r w:rsidRPr="0035308D">
              <w:t>atbalst</w:t>
            </w:r>
            <w:r>
              <w:t>a</w:t>
            </w:r>
            <w:proofErr w:type="spellEnd"/>
            <w:r w:rsidRPr="0035308D">
              <w:t xml:space="preserve"> MK </w:t>
            </w:r>
            <w:proofErr w:type="spellStart"/>
            <w:r w:rsidRPr="0035308D">
              <w:t>noteikumu</w:t>
            </w:r>
            <w:proofErr w:type="spellEnd"/>
            <w:r w:rsidRPr="0035308D">
              <w:t xml:space="preserve"> </w:t>
            </w:r>
            <w:proofErr w:type="spellStart"/>
            <w:r w:rsidRPr="0035308D">
              <w:t>projekta</w:t>
            </w:r>
            <w:proofErr w:type="spellEnd"/>
            <w:r w:rsidRPr="0035308D">
              <w:t xml:space="preserve"> </w:t>
            </w:r>
            <w:proofErr w:type="spellStart"/>
            <w:r w:rsidRPr="0035308D">
              <w:t>virzību</w:t>
            </w:r>
            <w:proofErr w:type="spellEnd"/>
            <w:r w:rsidR="000C6EC3">
              <w:t xml:space="preserve"> </w:t>
            </w:r>
            <w:proofErr w:type="spellStart"/>
            <w:r w:rsidR="000C6EC3">
              <w:t>piedāvātajā</w:t>
            </w:r>
            <w:proofErr w:type="spellEnd"/>
            <w:r w:rsidR="000C6EC3">
              <w:t xml:space="preserve"> </w:t>
            </w:r>
            <w:proofErr w:type="spellStart"/>
            <w:r w:rsidR="000C6EC3">
              <w:t>redakcijā</w:t>
            </w:r>
            <w:proofErr w:type="spellEnd"/>
            <w:r w:rsidRPr="0035308D">
              <w:rPr>
                <w:iCs/>
              </w:rPr>
              <w:t>.</w:t>
            </w:r>
          </w:p>
        </w:tc>
      </w:tr>
      <w:tr w:rsidR="005D73DE" w:rsidRPr="00533D31" w:rsidTr="001C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tcBorders>
              <w:bottom w:val="single" w:sz="4" w:space="0" w:color="auto"/>
            </w:tcBorders>
          </w:tcPr>
          <w:p w:rsidR="0013088C" w:rsidRPr="00533D31" w:rsidRDefault="00A96BC5" w:rsidP="005D73DE">
            <w:pPr>
              <w:pStyle w:val="naiskr"/>
              <w:spacing w:before="0" w:beforeAutospacing="0" w:after="0" w:afterAutospacing="0"/>
            </w:pPr>
            <w:r w:rsidRPr="00533D31">
              <w:t>4</w:t>
            </w:r>
            <w:r w:rsidR="0013088C" w:rsidRPr="00533D31">
              <w:t>.</w:t>
            </w:r>
          </w:p>
        </w:tc>
        <w:tc>
          <w:tcPr>
            <w:tcW w:w="894" w:type="pct"/>
            <w:gridSpan w:val="2"/>
            <w:tcBorders>
              <w:bottom w:val="single" w:sz="4" w:space="0" w:color="auto"/>
            </w:tcBorders>
          </w:tcPr>
          <w:p w:rsidR="0013088C" w:rsidRPr="00533D31" w:rsidRDefault="0013088C" w:rsidP="005D73DE">
            <w:pPr>
              <w:pStyle w:val="naiskr"/>
              <w:spacing w:before="0" w:beforeAutospacing="0" w:after="0" w:afterAutospacing="0"/>
              <w:jc w:val="both"/>
            </w:pPr>
            <w:r w:rsidRPr="00533D31">
              <w:t>Cita informācija</w:t>
            </w:r>
          </w:p>
        </w:tc>
        <w:tc>
          <w:tcPr>
            <w:tcW w:w="3832" w:type="pct"/>
            <w:gridSpan w:val="2"/>
            <w:tcBorders>
              <w:bottom w:val="single" w:sz="4" w:space="0" w:color="auto"/>
            </w:tcBorders>
          </w:tcPr>
          <w:p w:rsidR="0013088C" w:rsidRPr="00533D31" w:rsidRDefault="006B23B4" w:rsidP="005D73DE">
            <w:pPr>
              <w:pStyle w:val="naisc"/>
              <w:spacing w:before="0" w:beforeAutospacing="0" w:after="0" w:afterAutospacing="0"/>
              <w:jc w:val="left"/>
              <w:rPr>
                <w:sz w:val="24"/>
                <w:szCs w:val="24"/>
                <w:lang w:val="lv-LV"/>
              </w:rPr>
            </w:pPr>
            <w:r w:rsidRPr="00533D31">
              <w:rPr>
                <w:sz w:val="24"/>
                <w:szCs w:val="24"/>
                <w:lang w:val="lv-LV"/>
              </w:rPr>
              <w:t>Nav</w:t>
            </w:r>
          </w:p>
        </w:tc>
      </w:tr>
      <w:tr w:rsidR="002706FB" w:rsidRPr="00533D31" w:rsidTr="001C5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4" w:type="pct"/>
            <w:tcBorders>
              <w:left w:val="nil"/>
              <w:right w:val="nil"/>
            </w:tcBorders>
          </w:tcPr>
          <w:p w:rsidR="002706FB" w:rsidRPr="00533D31" w:rsidRDefault="002706FB" w:rsidP="005D73DE">
            <w:pPr>
              <w:pStyle w:val="naiskr"/>
              <w:spacing w:before="0" w:beforeAutospacing="0" w:after="0" w:afterAutospacing="0"/>
            </w:pPr>
          </w:p>
        </w:tc>
        <w:tc>
          <w:tcPr>
            <w:tcW w:w="894" w:type="pct"/>
            <w:gridSpan w:val="2"/>
            <w:tcBorders>
              <w:left w:val="nil"/>
              <w:right w:val="nil"/>
            </w:tcBorders>
          </w:tcPr>
          <w:p w:rsidR="002706FB" w:rsidRPr="00533D31" w:rsidRDefault="002706FB">
            <w:pPr>
              <w:pStyle w:val="naiskr"/>
              <w:spacing w:before="0" w:beforeAutospacing="0" w:after="0" w:afterAutospacing="0"/>
              <w:jc w:val="both"/>
            </w:pPr>
          </w:p>
        </w:tc>
        <w:tc>
          <w:tcPr>
            <w:tcW w:w="3832" w:type="pct"/>
            <w:gridSpan w:val="2"/>
            <w:tcBorders>
              <w:left w:val="nil"/>
              <w:right w:val="nil"/>
            </w:tcBorders>
          </w:tcPr>
          <w:p w:rsidR="002706FB" w:rsidRPr="00533D31" w:rsidRDefault="002706FB" w:rsidP="005D73DE">
            <w:pPr>
              <w:pStyle w:val="naisc"/>
              <w:spacing w:before="0" w:beforeAutospacing="0" w:after="0" w:afterAutospacing="0"/>
              <w:jc w:val="left"/>
              <w:rPr>
                <w:sz w:val="24"/>
                <w:szCs w:val="24"/>
                <w:lang w:val="lv-LV"/>
              </w:rPr>
            </w:pPr>
          </w:p>
        </w:tc>
      </w:tr>
      <w:tr w:rsidR="005D73DE" w:rsidRPr="005B49D3" w:rsidTr="001C5BFC">
        <w:trPr>
          <w:trHeight w:val="222"/>
          <w:jc w:val="center"/>
        </w:trPr>
        <w:tc>
          <w:tcPr>
            <w:tcW w:w="5000" w:type="pct"/>
            <w:gridSpan w:val="5"/>
            <w:tcBorders>
              <w:top w:val="outset" w:sz="6" w:space="0" w:color="000000"/>
              <w:left w:val="outset" w:sz="6" w:space="0" w:color="000000"/>
              <w:bottom w:val="outset" w:sz="6" w:space="0" w:color="000000"/>
              <w:right w:val="outset" w:sz="6" w:space="0" w:color="000000"/>
            </w:tcBorders>
          </w:tcPr>
          <w:p w:rsidR="00A162FE" w:rsidRPr="005B49D3" w:rsidRDefault="00A162FE" w:rsidP="00991737">
            <w:pPr>
              <w:jc w:val="center"/>
              <w:rPr>
                <w:b/>
                <w:bCs/>
                <w:lang w:val="lv-LV" w:eastAsia="lv-LV"/>
              </w:rPr>
            </w:pPr>
            <w:r w:rsidRPr="005B49D3">
              <w:rPr>
                <w:b/>
                <w:bCs/>
                <w:lang w:val="lv-LV" w:eastAsia="lv-LV"/>
              </w:rPr>
              <w:t>VII. Tiesību akta projekta izpildes nodrošināšana un tās ietekme uz institūcijām</w:t>
            </w:r>
          </w:p>
        </w:tc>
      </w:tr>
      <w:tr w:rsidR="005D73DE" w:rsidRPr="00533D31" w:rsidTr="001C5BFC">
        <w:trPr>
          <w:jc w:val="center"/>
        </w:trPr>
        <w:tc>
          <w:tcPr>
            <w:tcW w:w="294" w:type="pct"/>
            <w:gridSpan w:val="2"/>
            <w:tcBorders>
              <w:top w:val="outset" w:sz="6" w:space="0" w:color="000000"/>
              <w:left w:val="outset" w:sz="6" w:space="0" w:color="000000"/>
              <w:bottom w:val="outset" w:sz="6" w:space="0" w:color="000000"/>
              <w:right w:val="outset" w:sz="6" w:space="0" w:color="000000"/>
            </w:tcBorders>
          </w:tcPr>
          <w:p w:rsidR="002C46AC" w:rsidRPr="00533D31" w:rsidRDefault="002C46AC" w:rsidP="005D73DE">
            <w:pPr>
              <w:rPr>
                <w:lang w:val="lv-LV" w:eastAsia="lv-LV"/>
              </w:rPr>
            </w:pPr>
            <w:r w:rsidRPr="00533D31">
              <w:rPr>
                <w:lang w:val="lv-LV" w:eastAsia="lv-LV"/>
              </w:rPr>
              <w:t>1.</w:t>
            </w:r>
          </w:p>
        </w:tc>
        <w:tc>
          <w:tcPr>
            <w:tcW w:w="1878" w:type="pct"/>
            <w:gridSpan w:val="2"/>
            <w:tcBorders>
              <w:top w:val="outset" w:sz="6" w:space="0" w:color="000000"/>
              <w:left w:val="outset" w:sz="6" w:space="0" w:color="000000"/>
              <w:bottom w:val="outset" w:sz="6" w:space="0" w:color="000000"/>
              <w:right w:val="outset" w:sz="6" w:space="0" w:color="000000"/>
            </w:tcBorders>
          </w:tcPr>
          <w:p w:rsidR="002C46AC" w:rsidRPr="00533D31" w:rsidRDefault="002C46AC" w:rsidP="009E2709">
            <w:pPr>
              <w:jc w:val="both"/>
              <w:rPr>
                <w:lang w:val="lv-LV" w:eastAsia="lv-LV"/>
              </w:rPr>
            </w:pPr>
            <w:r w:rsidRPr="00533D31">
              <w:rPr>
                <w:lang w:val="lv-LV" w:eastAsia="lv-LV"/>
              </w:rPr>
              <w:t>Projekta izpildē iesaistītās institūcijas</w:t>
            </w:r>
          </w:p>
        </w:tc>
        <w:tc>
          <w:tcPr>
            <w:tcW w:w="2827" w:type="pct"/>
            <w:tcBorders>
              <w:top w:val="outset" w:sz="6" w:space="0" w:color="000000"/>
              <w:left w:val="outset" w:sz="6" w:space="0" w:color="000000"/>
              <w:bottom w:val="outset" w:sz="6" w:space="0" w:color="000000"/>
              <w:right w:val="outset" w:sz="6" w:space="0" w:color="000000"/>
            </w:tcBorders>
          </w:tcPr>
          <w:p w:rsidR="002C46AC" w:rsidRPr="00533D31" w:rsidRDefault="00163CED" w:rsidP="003E7CBC">
            <w:pPr>
              <w:pStyle w:val="Footer"/>
              <w:tabs>
                <w:tab w:val="clear" w:pos="4153"/>
                <w:tab w:val="clear" w:pos="8306"/>
              </w:tabs>
              <w:snapToGrid/>
              <w:jc w:val="both"/>
              <w:rPr>
                <w:rFonts w:ascii="Times New Roman" w:hAnsi="Times New Roman"/>
                <w:sz w:val="24"/>
                <w:szCs w:val="24"/>
              </w:rPr>
            </w:pPr>
            <w:r w:rsidRPr="00533D31">
              <w:rPr>
                <w:rFonts w:ascii="Times New Roman" w:hAnsi="Times New Roman"/>
                <w:sz w:val="24"/>
                <w:szCs w:val="24"/>
              </w:rPr>
              <w:t>Valsts ieņēmumu dienests</w:t>
            </w:r>
          </w:p>
        </w:tc>
      </w:tr>
      <w:tr w:rsidR="005D73DE" w:rsidRPr="00533D31" w:rsidTr="001C5BFC">
        <w:trPr>
          <w:jc w:val="center"/>
        </w:trPr>
        <w:tc>
          <w:tcPr>
            <w:tcW w:w="294" w:type="pct"/>
            <w:gridSpan w:val="2"/>
            <w:tcBorders>
              <w:top w:val="outset" w:sz="6" w:space="0" w:color="000000"/>
              <w:left w:val="outset" w:sz="6" w:space="0" w:color="000000"/>
              <w:bottom w:val="outset" w:sz="6" w:space="0" w:color="000000"/>
              <w:right w:val="outset" w:sz="6" w:space="0" w:color="000000"/>
            </w:tcBorders>
          </w:tcPr>
          <w:p w:rsidR="002C46AC" w:rsidRPr="00533D31" w:rsidRDefault="002C46AC" w:rsidP="005D73DE">
            <w:pPr>
              <w:rPr>
                <w:lang w:val="lv-LV" w:eastAsia="lv-LV"/>
              </w:rPr>
            </w:pPr>
            <w:r w:rsidRPr="00533D31">
              <w:rPr>
                <w:lang w:val="lv-LV" w:eastAsia="lv-LV"/>
              </w:rPr>
              <w:t>2.</w:t>
            </w:r>
          </w:p>
        </w:tc>
        <w:tc>
          <w:tcPr>
            <w:tcW w:w="1878" w:type="pct"/>
            <w:gridSpan w:val="2"/>
            <w:tcBorders>
              <w:top w:val="outset" w:sz="6" w:space="0" w:color="000000"/>
              <w:left w:val="outset" w:sz="6" w:space="0" w:color="000000"/>
              <w:bottom w:val="outset" w:sz="6" w:space="0" w:color="000000"/>
              <w:right w:val="outset" w:sz="6" w:space="0" w:color="000000"/>
            </w:tcBorders>
          </w:tcPr>
          <w:p w:rsidR="00713C15" w:rsidRPr="00533D31" w:rsidRDefault="00713C15" w:rsidP="009E2709">
            <w:pPr>
              <w:jc w:val="both"/>
              <w:rPr>
                <w:lang w:val="lv-LV"/>
              </w:rPr>
            </w:pPr>
            <w:r w:rsidRPr="00533D31">
              <w:rPr>
                <w:lang w:val="lv-LV"/>
              </w:rPr>
              <w:t xml:space="preserve">Projekta izpildes ietekme uz pārvaldes funkcijām un institucionālo struktūru. </w:t>
            </w:r>
          </w:p>
          <w:p w:rsidR="002C46AC" w:rsidRPr="00533D31" w:rsidRDefault="00713C15" w:rsidP="00C74326">
            <w:pPr>
              <w:jc w:val="both"/>
              <w:rPr>
                <w:lang w:val="lv-LV"/>
              </w:rPr>
            </w:pPr>
            <w:r w:rsidRPr="00533D31">
              <w:rPr>
                <w:lang w:val="lv-LV"/>
              </w:rPr>
              <w:t>Jaunu institūciju izveide, esošu institūciju likvidācija vai reorganizācija, to ietekme uz institūcijas cilvēkresursiem</w:t>
            </w:r>
          </w:p>
        </w:tc>
        <w:tc>
          <w:tcPr>
            <w:tcW w:w="2827" w:type="pct"/>
            <w:tcBorders>
              <w:top w:val="outset" w:sz="6" w:space="0" w:color="000000"/>
              <w:left w:val="outset" w:sz="6" w:space="0" w:color="000000"/>
              <w:bottom w:val="outset" w:sz="6" w:space="0" w:color="000000"/>
              <w:right w:val="outset" w:sz="6" w:space="0" w:color="000000"/>
            </w:tcBorders>
          </w:tcPr>
          <w:p w:rsidR="00490030" w:rsidRPr="00533D31" w:rsidRDefault="00490030" w:rsidP="00AC66A5">
            <w:pPr>
              <w:spacing w:line="40" w:lineRule="atLeast"/>
              <w:ind w:left="57" w:right="57"/>
              <w:jc w:val="both"/>
              <w:rPr>
                <w:lang w:val="lv-LV" w:eastAsia="lv-LV"/>
              </w:rPr>
            </w:pPr>
            <w:r w:rsidRPr="00533D31">
              <w:rPr>
                <w:lang w:val="lv-LV" w:eastAsia="lv-LV"/>
              </w:rPr>
              <w:t>Noteikumu projekta izpilde nemainīs V</w:t>
            </w:r>
            <w:r w:rsidR="002C2FC7">
              <w:rPr>
                <w:lang w:val="lv-LV" w:eastAsia="lv-LV"/>
              </w:rPr>
              <w:t>alsts ieņēmumu dienesta</w:t>
            </w:r>
            <w:r w:rsidRPr="00533D31">
              <w:rPr>
                <w:lang w:val="lv-LV" w:eastAsia="lv-LV"/>
              </w:rPr>
              <w:t xml:space="preserve"> funkcijas un institucionālo struktūru.</w:t>
            </w:r>
          </w:p>
          <w:p w:rsidR="00490030" w:rsidRPr="00533D31" w:rsidRDefault="00490030" w:rsidP="00AC66A5">
            <w:pPr>
              <w:spacing w:line="40" w:lineRule="atLeast"/>
              <w:ind w:left="57" w:right="57"/>
              <w:jc w:val="both"/>
              <w:rPr>
                <w:lang w:val="lv-LV" w:eastAsia="lv-LV"/>
              </w:rPr>
            </w:pPr>
            <w:r w:rsidRPr="00533D31">
              <w:rPr>
                <w:lang w:val="lv-LV" w:eastAsia="lv-LV"/>
              </w:rPr>
              <w:t>Netiks veidotas jaunas institūcijas, kā arī esošās institūcijas netiks reorganizētas vai likvidētas.</w:t>
            </w:r>
          </w:p>
          <w:p w:rsidR="006A6192" w:rsidRPr="002C2FC7" w:rsidRDefault="00490030" w:rsidP="00AC66A5">
            <w:pPr>
              <w:pStyle w:val="ListParagraph"/>
              <w:spacing w:after="120"/>
              <w:ind w:left="57" w:right="57"/>
              <w:jc w:val="both"/>
              <w:rPr>
                <w:lang w:val="lv-LV" w:eastAsia="lv-LV"/>
              </w:rPr>
            </w:pPr>
            <w:r w:rsidRPr="00533D31">
              <w:rPr>
                <w:lang w:val="lv-LV" w:eastAsia="lv-LV"/>
              </w:rPr>
              <w:t>Noteikumu projekta izpilde notiks esošo V</w:t>
            </w:r>
            <w:r w:rsidR="002C2FC7">
              <w:rPr>
                <w:lang w:val="lv-LV" w:eastAsia="lv-LV"/>
              </w:rPr>
              <w:t>alsts ieņēmumu dienesta</w:t>
            </w:r>
            <w:r w:rsidR="00351720" w:rsidRPr="00533D31">
              <w:rPr>
                <w:lang w:val="lv-LV" w:eastAsia="lv-LV"/>
              </w:rPr>
              <w:t xml:space="preserve"> </w:t>
            </w:r>
            <w:r w:rsidRPr="002C2FC7">
              <w:rPr>
                <w:lang w:val="lv-LV" w:eastAsia="lv-LV"/>
              </w:rPr>
              <w:t>cilvēkresursu ietvaros</w:t>
            </w:r>
            <w:r w:rsidR="006A6192" w:rsidRPr="002C2FC7">
              <w:rPr>
                <w:lang w:val="lv-LV" w:eastAsia="lv-LV"/>
              </w:rPr>
              <w:t>.</w:t>
            </w:r>
          </w:p>
          <w:p w:rsidR="00C80094" w:rsidRPr="00533D31" w:rsidRDefault="00C80094" w:rsidP="00351720">
            <w:pPr>
              <w:pStyle w:val="ListParagraph"/>
              <w:spacing w:after="120"/>
              <w:ind w:left="820" w:hanging="820"/>
              <w:jc w:val="both"/>
              <w:rPr>
                <w:lang w:val="lv-LV" w:eastAsia="lv-LV"/>
              </w:rPr>
            </w:pPr>
          </w:p>
        </w:tc>
      </w:tr>
      <w:tr w:rsidR="005D73DE" w:rsidRPr="00533D31" w:rsidTr="001C5BFC">
        <w:trPr>
          <w:jc w:val="center"/>
        </w:trPr>
        <w:tc>
          <w:tcPr>
            <w:tcW w:w="294" w:type="pct"/>
            <w:gridSpan w:val="2"/>
            <w:tcBorders>
              <w:top w:val="outset" w:sz="6" w:space="0" w:color="000000"/>
              <w:left w:val="outset" w:sz="6" w:space="0" w:color="000000"/>
              <w:bottom w:val="outset" w:sz="6" w:space="0" w:color="000000"/>
              <w:right w:val="outset" w:sz="6" w:space="0" w:color="000000"/>
            </w:tcBorders>
          </w:tcPr>
          <w:p w:rsidR="002C46AC" w:rsidRPr="00533D31" w:rsidRDefault="002C46AC" w:rsidP="005D73DE">
            <w:pPr>
              <w:rPr>
                <w:lang w:val="lv-LV" w:eastAsia="lv-LV"/>
              </w:rPr>
            </w:pPr>
            <w:r w:rsidRPr="00533D31">
              <w:rPr>
                <w:lang w:val="lv-LV" w:eastAsia="lv-LV"/>
              </w:rPr>
              <w:t>3.</w:t>
            </w:r>
          </w:p>
        </w:tc>
        <w:tc>
          <w:tcPr>
            <w:tcW w:w="1878" w:type="pct"/>
            <w:gridSpan w:val="2"/>
            <w:tcBorders>
              <w:top w:val="outset" w:sz="6" w:space="0" w:color="000000"/>
              <w:left w:val="outset" w:sz="6" w:space="0" w:color="000000"/>
              <w:bottom w:val="outset" w:sz="6" w:space="0" w:color="000000"/>
              <w:right w:val="outset" w:sz="6" w:space="0" w:color="000000"/>
            </w:tcBorders>
          </w:tcPr>
          <w:p w:rsidR="002C46AC" w:rsidRPr="00533D31" w:rsidRDefault="00713C15" w:rsidP="005D73DE">
            <w:pPr>
              <w:jc w:val="both"/>
              <w:rPr>
                <w:lang w:val="lv-LV" w:eastAsia="lv-LV"/>
              </w:rPr>
            </w:pPr>
            <w:r w:rsidRPr="00533D31">
              <w:rPr>
                <w:lang w:val="lv-LV" w:eastAsia="lv-LV"/>
              </w:rPr>
              <w:t>Cita informācija</w:t>
            </w:r>
          </w:p>
        </w:tc>
        <w:tc>
          <w:tcPr>
            <w:tcW w:w="2827" w:type="pct"/>
            <w:tcBorders>
              <w:top w:val="outset" w:sz="6" w:space="0" w:color="000000"/>
              <w:left w:val="outset" w:sz="6" w:space="0" w:color="000000"/>
              <w:bottom w:val="outset" w:sz="6" w:space="0" w:color="000000"/>
              <w:right w:val="outset" w:sz="6" w:space="0" w:color="000000"/>
            </w:tcBorders>
          </w:tcPr>
          <w:p w:rsidR="002C46AC" w:rsidRPr="00533D31" w:rsidRDefault="006B23B4" w:rsidP="005D73DE">
            <w:pPr>
              <w:pStyle w:val="Footer"/>
              <w:tabs>
                <w:tab w:val="clear" w:pos="4153"/>
                <w:tab w:val="clear" w:pos="8306"/>
              </w:tabs>
              <w:snapToGrid/>
              <w:jc w:val="both"/>
              <w:rPr>
                <w:rFonts w:ascii="Times New Roman" w:hAnsi="Times New Roman"/>
                <w:sz w:val="24"/>
                <w:szCs w:val="24"/>
              </w:rPr>
            </w:pPr>
            <w:r w:rsidRPr="00533D31">
              <w:rPr>
                <w:rFonts w:ascii="Times New Roman" w:hAnsi="Times New Roman"/>
                <w:sz w:val="24"/>
                <w:szCs w:val="24"/>
              </w:rPr>
              <w:t>Nav</w:t>
            </w:r>
          </w:p>
        </w:tc>
      </w:tr>
    </w:tbl>
    <w:p w:rsidR="00F83BA3" w:rsidRPr="00804095" w:rsidRDefault="00F83BA3" w:rsidP="005D73DE">
      <w:pPr>
        <w:pStyle w:val="naisf"/>
        <w:spacing w:before="0" w:beforeAutospacing="0" w:after="0" w:afterAutospacing="0"/>
        <w:rPr>
          <w:sz w:val="28"/>
          <w:lang w:val="lv-LV"/>
        </w:rPr>
      </w:pPr>
    </w:p>
    <w:p w:rsidR="009E2709" w:rsidRPr="00077679" w:rsidRDefault="00FE1C62" w:rsidP="005D73DE">
      <w:pPr>
        <w:pStyle w:val="naisf"/>
        <w:spacing w:before="0" w:beforeAutospacing="0" w:after="0" w:afterAutospacing="0"/>
        <w:rPr>
          <w:lang w:val="lv-LV"/>
        </w:rPr>
      </w:pPr>
      <w:r w:rsidRPr="00077679">
        <w:rPr>
          <w:i/>
          <w:lang w:val="lv-LV"/>
        </w:rPr>
        <w:t>Anotācijas III</w:t>
      </w:r>
      <w:r w:rsidR="000F3EF2" w:rsidRPr="00077679">
        <w:rPr>
          <w:i/>
          <w:lang w:val="lv-LV"/>
        </w:rPr>
        <w:t xml:space="preserve"> un IV</w:t>
      </w:r>
      <w:r w:rsidRPr="00077679">
        <w:rPr>
          <w:i/>
          <w:lang w:val="lv-LV"/>
        </w:rPr>
        <w:t xml:space="preserve"> sadaļa – projekts š</w:t>
      </w:r>
      <w:r w:rsidR="00EC0B51" w:rsidRPr="00077679">
        <w:rPr>
          <w:i/>
          <w:lang w:val="lv-LV"/>
        </w:rPr>
        <w:t>īs</w:t>
      </w:r>
      <w:r w:rsidRPr="00077679">
        <w:rPr>
          <w:i/>
          <w:lang w:val="lv-LV"/>
        </w:rPr>
        <w:t xml:space="preserve"> jom</w:t>
      </w:r>
      <w:r w:rsidR="00EC0B51" w:rsidRPr="00077679">
        <w:rPr>
          <w:i/>
          <w:lang w:val="lv-LV"/>
        </w:rPr>
        <w:t>as</w:t>
      </w:r>
      <w:r w:rsidRPr="00077679">
        <w:rPr>
          <w:i/>
          <w:lang w:val="lv-LV"/>
        </w:rPr>
        <w:t xml:space="preserve"> neskar.</w:t>
      </w:r>
    </w:p>
    <w:p w:rsidR="00FE1C62" w:rsidRPr="00077679" w:rsidRDefault="00FE1C62" w:rsidP="005D73DE">
      <w:pPr>
        <w:pStyle w:val="naisf"/>
        <w:spacing w:before="0" w:beforeAutospacing="0" w:after="0" w:afterAutospacing="0"/>
        <w:rPr>
          <w:lang w:val="lv-LV"/>
        </w:rPr>
      </w:pPr>
    </w:p>
    <w:p w:rsidR="00FE1C62" w:rsidRPr="00077679" w:rsidRDefault="00FE1C62" w:rsidP="005D73DE">
      <w:pPr>
        <w:pStyle w:val="naisf"/>
        <w:spacing w:before="0" w:beforeAutospacing="0" w:after="0" w:afterAutospacing="0"/>
        <w:rPr>
          <w:lang w:val="lv-LV"/>
        </w:rPr>
      </w:pPr>
    </w:p>
    <w:p w:rsidR="00FE1C62" w:rsidRPr="00077679" w:rsidRDefault="00FE1C62" w:rsidP="005D73DE">
      <w:pPr>
        <w:pStyle w:val="naisf"/>
        <w:spacing w:before="0" w:beforeAutospacing="0" w:after="0" w:afterAutospacing="0"/>
        <w:rPr>
          <w:lang w:val="lv-LV"/>
        </w:rPr>
      </w:pPr>
    </w:p>
    <w:p w:rsidR="00836851" w:rsidRPr="00077679" w:rsidRDefault="00077679" w:rsidP="00836851">
      <w:pPr>
        <w:tabs>
          <w:tab w:val="center" w:pos="0"/>
          <w:tab w:val="right" w:pos="8306"/>
        </w:tabs>
        <w:jc w:val="both"/>
        <w:rPr>
          <w:lang w:val="lv-LV"/>
        </w:rPr>
      </w:pPr>
      <w:r>
        <w:rPr>
          <w:lang w:val="lv-LV"/>
        </w:rPr>
        <w:t xml:space="preserve">           </w:t>
      </w:r>
      <w:r w:rsidR="00836851" w:rsidRPr="00077679">
        <w:rPr>
          <w:lang w:val="lv-LV"/>
        </w:rPr>
        <w:t>Finanšu ministr</w:t>
      </w:r>
      <w:r w:rsidR="005E168D" w:rsidRPr="00077679">
        <w:rPr>
          <w:lang w:val="lv-LV"/>
        </w:rPr>
        <w:t>e</w:t>
      </w:r>
      <w:r w:rsidR="00836851" w:rsidRPr="00077679">
        <w:rPr>
          <w:lang w:val="lv-LV"/>
        </w:rPr>
        <w:t xml:space="preserve">                                                </w:t>
      </w:r>
      <w:r w:rsidR="005E168D" w:rsidRPr="00077679">
        <w:rPr>
          <w:lang w:val="lv-LV"/>
        </w:rPr>
        <w:t xml:space="preserve">    </w:t>
      </w:r>
      <w:r w:rsidR="00FE1C62" w:rsidRPr="00077679">
        <w:rPr>
          <w:lang w:val="lv-LV"/>
        </w:rPr>
        <w:t xml:space="preserve">                  </w:t>
      </w:r>
      <w:proofErr w:type="spellStart"/>
      <w:r>
        <w:rPr>
          <w:lang w:val="lv-LV"/>
        </w:rPr>
        <w:t>D.Reizniece</w:t>
      </w:r>
      <w:proofErr w:type="spellEnd"/>
      <w:r>
        <w:rPr>
          <w:lang w:val="lv-LV"/>
        </w:rPr>
        <w:t>-</w:t>
      </w:r>
      <w:r w:rsidR="00836851" w:rsidRPr="00077679">
        <w:rPr>
          <w:lang w:val="lv-LV"/>
        </w:rPr>
        <w:t>Ozola</w:t>
      </w:r>
      <w:r w:rsidR="00836851" w:rsidRPr="00077679">
        <w:rPr>
          <w:lang w:val="lv-LV"/>
        </w:rPr>
        <w:tab/>
      </w:r>
    </w:p>
    <w:p w:rsidR="00836851" w:rsidRPr="00077679" w:rsidRDefault="00836851" w:rsidP="00836851">
      <w:pPr>
        <w:jc w:val="both"/>
        <w:rPr>
          <w:lang w:val="lv-LV"/>
        </w:rPr>
      </w:pPr>
    </w:p>
    <w:p w:rsidR="00077679" w:rsidRDefault="00077679" w:rsidP="00361774">
      <w:pPr>
        <w:pStyle w:val="Title"/>
        <w:jc w:val="left"/>
        <w:rPr>
          <w:b w:val="0"/>
          <w:sz w:val="24"/>
          <w:szCs w:val="24"/>
        </w:rPr>
      </w:pPr>
    </w:p>
    <w:p w:rsidR="00077679" w:rsidRDefault="00077679" w:rsidP="00361774">
      <w:pPr>
        <w:pStyle w:val="Title"/>
        <w:jc w:val="left"/>
        <w:rPr>
          <w:b w:val="0"/>
          <w:sz w:val="24"/>
          <w:szCs w:val="24"/>
        </w:rPr>
      </w:pPr>
    </w:p>
    <w:p w:rsidR="00077679" w:rsidRDefault="00077679" w:rsidP="00361774">
      <w:pPr>
        <w:pStyle w:val="Title"/>
        <w:jc w:val="left"/>
        <w:rPr>
          <w:b w:val="0"/>
          <w:sz w:val="24"/>
          <w:szCs w:val="24"/>
        </w:rPr>
      </w:pPr>
    </w:p>
    <w:p w:rsidR="00077679" w:rsidRDefault="00077679" w:rsidP="00361774">
      <w:pPr>
        <w:pStyle w:val="Title"/>
        <w:jc w:val="left"/>
        <w:rPr>
          <w:b w:val="0"/>
          <w:sz w:val="24"/>
          <w:szCs w:val="24"/>
        </w:rPr>
      </w:pPr>
    </w:p>
    <w:p w:rsidR="00077679" w:rsidRDefault="00077679" w:rsidP="00361774">
      <w:pPr>
        <w:pStyle w:val="Title"/>
        <w:jc w:val="left"/>
        <w:rPr>
          <w:b w:val="0"/>
          <w:sz w:val="24"/>
          <w:szCs w:val="24"/>
        </w:rPr>
      </w:pPr>
    </w:p>
    <w:p w:rsidR="00077679" w:rsidRDefault="00077679" w:rsidP="00361774">
      <w:pPr>
        <w:pStyle w:val="Title"/>
        <w:jc w:val="left"/>
        <w:rPr>
          <w:b w:val="0"/>
          <w:sz w:val="24"/>
          <w:szCs w:val="24"/>
        </w:rPr>
      </w:pPr>
    </w:p>
    <w:p w:rsidR="00361774" w:rsidRPr="00077679" w:rsidRDefault="00361774" w:rsidP="00361774">
      <w:pPr>
        <w:pStyle w:val="Title"/>
        <w:jc w:val="left"/>
        <w:rPr>
          <w:b w:val="0"/>
          <w:sz w:val="24"/>
          <w:szCs w:val="24"/>
        </w:rPr>
      </w:pPr>
      <w:r w:rsidRPr="00077679">
        <w:rPr>
          <w:b w:val="0"/>
          <w:sz w:val="24"/>
          <w:szCs w:val="24"/>
        </w:rPr>
        <w:t>Vībāne, 67095559</w:t>
      </w:r>
    </w:p>
    <w:p w:rsidR="00361774" w:rsidRPr="00077679" w:rsidRDefault="00800D8D" w:rsidP="00361774">
      <w:pPr>
        <w:pStyle w:val="Title"/>
        <w:jc w:val="left"/>
        <w:rPr>
          <w:b w:val="0"/>
          <w:sz w:val="24"/>
          <w:szCs w:val="24"/>
        </w:rPr>
      </w:pPr>
      <w:hyperlink r:id="rId9" w:history="1">
        <w:r w:rsidR="00361774" w:rsidRPr="00077679">
          <w:rPr>
            <w:rStyle w:val="Hyperlink"/>
            <w:b w:val="0"/>
            <w:color w:val="auto"/>
            <w:sz w:val="24"/>
            <w:szCs w:val="24"/>
            <w:u w:val="none"/>
          </w:rPr>
          <w:t>Marika.Vibane@fm.gov.lv</w:t>
        </w:r>
      </w:hyperlink>
    </w:p>
    <w:p w:rsidR="0052067D" w:rsidRPr="00077679" w:rsidRDefault="0052067D" w:rsidP="005D73DE">
      <w:pPr>
        <w:jc w:val="both"/>
        <w:rPr>
          <w:lang w:val="lv-LV"/>
        </w:rPr>
      </w:pPr>
    </w:p>
    <w:p w:rsidR="00361774" w:rsidRPr="00077679" w:rsidRDefault="00836851" w:rsidP="006F275C">
      <w:pPr>
        <w:pStyle w:val="Title"/>
        <w:jc w:val="left"/>
        <w:rPr>
          <w:b w:val="0"/>
          <w:sz w:val="24"/>
          <w:szCs w:val="24"/>
        </w:rPr>
      </w:pPr>
      <w:proofErr w:type="spellStart"/>
      <w:r w:rsidRPr="00077679">
        <w:rPr>
          <w:b w:val="0"/>
          <w:sz w:val="24"/>
          <w:szCs w:val="24"/>
        </w:rPr>
        <w:t>Šveha</w:t>
      </w:r>
      <w:proofErr w:type="spellEnd"/>
      <w:r w:rsidR="00361774" w:rsidRPr="00077679">
        <w:rPr>
          <w:b w:val="0"/>
          <w:sz w:val="24"/>
          <w:szCs w:val="24"/>
        </w:rPr>
        <w:t xml:space="preserve">, </w:t>
      </w:r>
      <w:r w:rsidR="006B23B4" w:rsidRPr="00077679">
        <w:rPr>
          <w:b w:val="0"/>
          <w:sz w:val="24"/>
          <w:szCs w:val="24"/>
        </w:rPr>
        <w:t>67</w:t>
      </w:r>
      <w:r w:rsidR="00665B5E" w:rsidRPr="00077679">
        <w:rPr>
          <w:b w:val="0"/>
          <w:sz w:val="24"/>
          <w:szCs w:val="24"/>
        </w:rPr>
        <w:t>120</w:t>
      </w:r>
      <w:r w:rsidRPr="00077679">
        <w:rPr>
          <w:b w:val="0"/>
          <w:sz w:val="24"/>
          <w:szCs w:val="24"/>
        </w:rPr>
        <w:t>943</w:t>
      </w:r>
    </w:p>
    <w:p w:rsidR="00361774" w:rsidRPr="00077679" w:rsidRDefault="00800D8D">
      <w:pPr>
        <w:pStyle w:val="Title"/>
        <w:jc w:val="left"/>
        <w:rPr>
          <w:b w:val="0"/>
          <w:sz w:val="24"/>
          <w:szCs w:val="24"/>
        </w:rPr>
      </w:pPr>
      <w:hyperlink r:id="rId10" w:history="1">
        <w:r w:rsidR="00836851" w:rsidRPr="00077679">
          <w:rPr>
            <w:rStyle w:val="Hyperlink"/>
            <w:b w:val="0"/>
            <w:color w:val="auto"/>
            <w:sz w:val="24"/>
            <w:szCs w:val="24"/>
            <w:u w:val="none"/>
          </w:rPr>
          <w:t>Sandra.Sveha@vid.gov.lv</w:t>
        </w:r>
      </w:hyperlink>
      <w:r w:rsidR="00836851" w:rsidRPr="00077679">
        <w:rPr>
          <w:b w:val="0"/>
          <w:sz w:val="24"/>
          <w:szCs w:val="24"/>
        </w:rPr>
        <w:t xml:space="preserve"> </w:t>
      </w:r>
    </w:p>
    <w:sectPr w:rsidR="00361774" w:rsidRPr="00077679" w:rsidSect="00800D8D">
      <w:headerReference w:type="even" r:id="rId11"/>
      <w:headerReference w:type="default" r:id="rId12"/>
      <w:footerReference w:type="default" r:id="rId13"/>
      <w:footerReference w:type="first" r:id="rId14"/>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5D7" w:rsidRDefault="003675D7">
      <w:r>
        <w:separator/>
      </w:r>
    </w:p>
  </w:endnote>
  <w:endnote w:type="continuationSeparator" w:id="0">
    <w:p w:rsidR="003675D7" w:rsidRDefault="0036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4A" w:rsidRPr="0021107B" w:rsidRDefault="0066324A" w:rsidP="0066324A">
    <w:pPr>
      <w:jc w:val="both"/>
      <w:rPr>
        <w:sz w:val="20"/>
        <w:szCs w:val="20"/>
        <w:lang w:val="lv-LV"/>
      </w:rPr>
    </w:pPr>
    <w:r>
      <w:rPr>
        <w:sz w:val="20"/>
        <w:szCs w:val="20"/>
        <w:lang w:val="lv-LV"/>
      </w:rPr>
      <w:t>F</w:t>
    </w:r>
    <w:r w:rsidRPr="00B62536">
      <w:rPr>
        <w:sz w:val="20"/>
        <w:szCs w:val="20"/>
        <w:lang w:val="lv-LV"/>
      </w:rPr>
      <w:t>MAnot_</w:t>
    </w:r>
    <w:r w:rsidR="00711180">
      <w:rPr>
        <w:sz w:val="20"/>
        <w:szCs w:val="20"/>
        <w:lang w:val="lv-LV"/>
      </w:rPr>
      <w:t>2211</w:t>
    </w:r>
    <w:r>
      <w:rPr>
        <w:sz w:val="20"/>
        <w:szCs w:val="20"/>
        <w:lang w:val="lv-LV"/>
      </w:rPr>
      <w:t>16</w:t>
    </w:r>
    <w:r w:rsidRPr="00B62536">
      <w:rPr>
        <w:sz w:val="20"/>
        <w:szCs w:val="20"/>
        <w:lang w:val="lv-LV"/>
      </w:rPr>
      <w:t>_</w:t>
    </w:r>
    <w:r>
      <w:rPr>
        <w:sz w:val="20"/>
        <w:szCs w:val="20"/>
        <w:lang w:val="lv-LV"/>
      </w:rPr>
      <w:t>apgade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52" w:rsidRPr="0021107B" w:rsidRDefault="00C9327D" w:rsidP="005668C2">
    <w:pPr>
      <w:jc w:val="both"/>
      <w:rPr>
        <w:sz w:val="20"/>
        <w:szCs w:val="20"/>
        <w:lang w:val="lv-LV"/>
      </w:rPr>
    </w:pPr>
    <w:r>
      <w:rPr>
        <w:sz w:val="20"/>
        <w:szCs w:val="20"/>
        <w:lang w:val="lv-LV"/>
      </w:rPr>
      <w:t>F</w:t>
    </w:r>
    <w:r w:rsidR="00B62536" w:rsidRPr="00B62536">
      <w:rPr>
        <w:sz w:val="20"/>
        <w:szCs w:val="20"/>
        <w:lang w:val="lv-LV"/>
      </w:rPr>
      <w:t>MAnot_</w:t>
    </w:r>
    <w:r w:rsidR="00711180">
      <w:rPr>
        <w:sz w:val="20"/>
        <w:szCs w:val="20"/>
        <w:lang w:val="lv-LV"/>
      </w:rPr>
      <w:t>2211</w:t>
    </w:r>
    <w:r w:rsidR="00EF0772">
      <w:rPr>
        <w:sz w:val="20"/>
        <w:szCs w:val="20"/>
        <w:lang w:val="lv-LV"/>
      </w:rPr>
      <w:t>1</w:t>
    </w:r>
    <w:r w:rsidR="005668C2">
      <w:rPr>
        <w:sz w:val="20"/>
        <w:szCs w:val="20"/>
        <w:lang w:val="lv-LV"/>
      </w:rPr>
      <w:t>6</w:t>
    </w:r>
    <w:r w:rsidR="00B62536" w:rsidRPr="00B62536">
      <w:rPr>
        <w:sz w:val="20"/>
        <w:szCs w:val="20"/>
        <w:lang w:val="lv-LV"/>
      </w:rPr>
      <w:t>_</w:t>
    </w:r>
    <w:r w:rsidR="0066324A">
      <w:rPr>
        <w:sz w:val="20"/>
        <w:szCs w:val="20"/>
        <w:lang w:val="lv-LV"/>
      </w:rPr>
      <w:t>apga</w:t>
    </w:r>
    <w:r w:rsidR="005668C2">
      <w:rPr>
        <w:sz w:val="20"/>
        <w:szCs w:val="20"/>
        <w:lang w:val="lv-LV"/>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5D7" w:rsidRDefault="003675D7">
      <w:r>
        <w:separator/>
      </w:r>
    </w:p>
  </w:footnote>
  <w:footnote w:type="continuationSeparator" w:id="0">
    <w:p w:rsidR="003675D7" w:rsidRDefault="0036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end"/>
    </w:r>
  </w:p>
  <w:p w:rsidR="00D27E52" w:rsidRDefault="00D27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52" w:rsidRDefault="005A5EE3">
    <w:pPr>
      <w:pStyle w:val="Header"/>
      <w:framePr w:wrap="around" w:vAnchor="text" w:hAnchor="margin" w:xAlign="center" w:y="1"/>
      <w:rPr>
        <w:rStyle w:val="PageNumber"/>
      </w:rPr>
    </w:pPr>
    <w:r>
      <w:rPr>
        <w:rStyle w:val="PageNumber"/>
      </w:rPr>
      <w:fldChar w:fldCharType="begin"/>
    </w:r>
    <w:r w:rsidR="00D27E52">
      <w:rPr>
        <w:rStyle w:val="PageNumber"/>
      </w:rPr>
      <w:instrText xml:space="preserve">PAGE  </w:instrText>
    </w:r>
    <w:r>
      <w:rPr>
        <w:rStyle w:val="PageNumber"/>
      </w:rPr>
      <w:fldChar w:fldCharType="separate"/>
    </w:r>
    <w:r w:rsidR="00800D8D">
      <w:rPr>
        <w:rStyle w:val="PageNumber"/>
        <w:noProof/>
      </w:rPr>
      <w:t>8</w:t>
    </w:r>
    <w:r>
      <w:rPr>
        <w:rStyle w:val="PageNumber"/>
      </w:rPr>
      <w:fldChar w:fldCharType="end"/>
    </w:r>
  </w:p>
  <w:p w:rsidR="00D27E52" w:rsidRDefault="00D27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24C8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1382A"/>
    <w:multiLevelType w:val="hybridMultilevel"/>
    <w:tmpl w:val="E7DC8A4A"/>
    <w:lvl w:ilvl="0" w:tplc="E06079B6">
      <w:start w:val="1"/>
      <w:numFmt w:val="bullet"/>
      <w:lvlText w:val=""/>
      <w:lvlJc w:val="left"/>
      <w:pPr>
        <w:ind w:left="1440" w:hanging="360"/>
      </w:pPr>
      <w:rPr>
        <w:rFonts w:ascii="Symbol" w:hAnsi="Symbol" w:hint="default"/>
      </w:rPr>
    </w:lvl>
    <w:lvl w:ilvl="1" w:tplc="FFEEE730">
      <w:start w:val="3"/>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8E95D33"/>
    <w:multiLevelType w:val="hybridMultilevel"/>
    <w:tmpl w:val="868294B2"/>
    <w:lvl w:ilvl="0" w:tplc="8E0A884E">
      <w:numFmt w:val="bullet"/>
      <w:lvlText w:val="-"/>
      <w:lvlJc w:val="left"/>
      <w:pPr>
        <w:ind w:left="720" w:hanging="360"/>
      </w:pPr>
      <w:rPr>
        <w:rFonts w:ascii="Times New Roman" w:eastAsia="Times New Roman" w:hAnsi="Times New Roman" w:hint="default"/>
        <w:b w:val="0"/>
        <w:bCs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8E47F9"/>
    <w:multiLevelType w:val="hybridMultilevel"/>
    <w:tmpl w:val="998E54D2"/>
    <w:lvl w:ilvl="0" w:tplc="8E0A884E">
      <w:numFmt w:val="bullet"/>
      <w:lvlText w:val="-"/>
      <w:lvlJc w:val="left"/>
      <w:pPr>
        <w:ind w:left="1287" w:hanging="360"/>
      </w:pPr>
      <w:rPr>
        <w:rFonts w:ascii="Times New Roman" w:eastAsia="Times New Roman" w:hAnsi="Times New Roman" w:hint="default"/>
        <w:b w:val="0"/>
        <w:bCs w:val="0"/>
        <w:color w:val="auto"/>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cs="Wingdings" w:hint="default"/>
      </w:rPr>
    </w:lvl>
    <w:lvl w:ilvl="3" w:tplc="04260001">
      <w:start w:val="1"/>
      <w:numFmt w:val="bullet"/>
      <w:lvlText w:val=""/>
      <w:lvlJc w:val="left"/>
      <w:pPr>
        <w:ind w:left="3447" w:hanging="360"/>
      </w:pPr>
      <w:rPr>
        <w:rFonts w:ascii="Symbol" w:hAnsi="Symbol" w:cs="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cs="Wingdings" w:hint="default"/>
      </w:rPr>
    </w:lvl>
    <w:lvl w:ilvl="6" w:tplc="04260001">
      <w:start w:val="1"/>
      <w:numFmt w:val="bullet"/>
      <w:lvlText w:val=""/>
      <w:lvlJc w:val="left"/>
      <w:pPr>
        <w:ind w:left="5607" w:hanging="360"/>
      </w:pPr>
      <w:rPr>
        <w:rFonts w:ascii="Symbol" w:hAnsi="Symbol" w:cs="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cs="Wingdings" w:hint="default"/>
      </w:rPr>
    </w:lvl>
  </w:abstractNum>
  <w:abstractNum w:abstractNumId="5" w15:restartNumberingAfterBreak="0">
    <w:nsid w:val="301C6889"/>
    <w:multiLevelType w:val="multilevel"/>
    <w:tmpl w:val="BD2256C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8" w15:restartNumberingAfterBreak="0">
    <w:nsid w:val="4D0E47AC"/>
    <w:multiLevelType w:val="hybridMultilevel"/>
    <w:tmpl w:val="C248E85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4D1E4D64"/>
    <w:multiLevelType w:val="hybridMultilevel"/>
    <w:tmpl w:val="7C0EC04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3"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BE0B01"/>
    <w:multiLevelType w:val="hybridMultilevel"/>
    <w:tmpl w:val="5FF231F6"/>
    <w:lvl w:ilvl="0" w:tplc="61160F40">
      <w:numFmt w:val="bullet"/>
      <w:lvlText w:val="-"/>
      <w:lvlJc w:val="left"/>
      <w:pPr>
        <w:ind w:left="510" w:hanging="360"/>
      </w:pPr>
      <w:rPr>
        <w:rFonts w:ascii="Verdana" w:eastAsia="Calibri" w:hAnsi="Verdana" w:cs="Times New Roman" w:hint="default"/>
      </w:rPr>
    </w:lvl>
    <w:lvl w:ilvl="1" w:tplc="04260003" w:tentative="1">
      <w:start w:val="1"/>
      <w:numFmt w:val="bullet"/>
      <w:lvlText w:val="o"/>
      <w:lvlJc w:val="left"/>
      <w:pPr>
        <w:ind w:left="1230" w:hanging="360"/>
      </w:pPr>
      <w:rPr>
        <w:rFonts w:ascii="Courier New" w:hAnsi="Courier New" w:cs="Courier New" w:hint="default"/>
      </w:rPr>
    </w:lvl>
    <w:lvl w:ilvl="2" w:tplc="04260005" w:tentative="1">
      <w:start w:val="1"/>
      <w:numFmt w:val="bullet"/>
      <w:lvlText w:val=""/>
      <w:lvlJc w:val="left"/>
      <w:pPr>
        <w:ind w:left="1950" w:hanging="360"/>
      </w:pPr>
      <w:rPr>
        <w:rFonts w:ascii="Wingdings" w:hAnsi="Wingdings" w:hint="default"/>
      </w:rPr>
    </w:lvl>
    <w:lvl w:ilvl="3" w:tplc="04260001" w:tentative="1">
      <w:start w:val="1"/>
      <w:numFmt w:val="bullet"/>
      <w:lvlText w:val=""/>
      <w:lvlJc w:val="left"/>
      <w:pPr>
        <w:ind w:left="2670" w:hanging="360"/>
      </w:pPr>
      <w:rPr>
        <w:rFonts w:ascii="Symbol" w:hAnsi="Symbol" w:hint="default"/>
      </w:rPr>
    </w:lvl>
    <w:lvl w:ilvl="4" w:tplc="04260003" w:tentative="1">
      <w:start w:val="1"/>
      <w:numFmt w:val="bullet"/>
      <w:lvlText w:val="o"/>
      <w:lvlJc w:val="left"/>
      <w:pPr>
        <w:ind w:left="3390" w:hanging="360"/>
      </w:pPr>
      <w:rPr>
        <w:rFonts w:ascii="Courier New" w:hAnsi="Courier New" w:cs="Courier New" w:hint="default"/>
      </w:rPr>
    </w:lvl>
    <w:lvl w:ilvl="5" w:tplc="04260005" w:tentative="1">
      <w:start w:val="1"/>
      <w:numFmt w:val="bullet"/>
      <w:lvlText w:val=""/>
      <w:lvlJc w:val="left"/>
      <w:pPr>
        <w:ind w:left="4110" w:hanging="360"/>
      </w:pPr>
      <w:rPr>
        <w:rFonts w:ascii="Wingdings" w:hAnsi="Wingdings" w:hint="default"/>
      </w:rPr>
    </w:lvl>
    <w:lvl w:ilvl="6" w:tplc="04260001" w:tentative="1">
      <w:start w:val="1"/>
      <w:numFmt w:val="bullet"/>
      <w:lvlText w:val=""/>
      <w:lvlJc w:val="left"/>
      <w:pPr>
        <w:ind w:left="4830" w:hanging="360"/>
      </w:pPr>
      <w:rPr>
        <w:rFonts w:ascii="Symbol" w:hAnsi="Symbol" w:hint="default"/>
      </w:rPr>
    </w:lvl>
    <w:lvl w:ilvl="7" w:tplc="04260003" w:tentative="1">
      <w:start w:val="1"/>
      <w:numFmt w:val="bullet"/>
      <w:lvlText w:val="o"/>
      <w:lvlJc w:val="left"/>
      <w:pPr>
        <w:ind w:left="5550" w:hanging="360"/>
      </w:pPr>
      <w:rPr>
        <w:rFonts w:ascii="Courier New" w:hAnsi="Courier New" w:cs="Courier New" w:hint="default"/>
      </w:rPr>
    </w:lvl>
    <w:lvl w:ilvl="8" w:tplc="04260005" w:tentative="1">
      <w:start w:val="1"/>
      <w:numFmt w:val="bullet"/>
      <w:lvlText w:val=""/>
      <w:lvlJc w:val="left"/>
      <w:pPr>
        <w:ind w:left="6270" w:hanging="360"/>
      </w:pPr>
      <w:rPr>
        <w:rFonts w:ascii="Wingdings" w:hAnsi="Wingdings" w:hint="default"/>
      </w:rPr>
    </w:lvl>
  </w:abstractNum>
  <w:abstractNum w:abstractNumId="17" w15:restartNumberingAfterBreak="0">
    <w:nsid w:val="67782819"/>
    <w:multiLevelType w:val="hybridMultilevel"/>
    <w:tmpl w:val="2ABAA4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346353"/>
    <w:multiLevelType w:val="hybridMultilevel"/>
    <w:tmpl w:val="DF94E6DC"/>
    <w:lvl w:ilvl="0" w:tplc="FFEEE73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18"/>
  </w:num>
  <w:num w:numId="4">
    <w:abstractNumId w:val="13"/>
  </w:num>
  <w:num w:numId="5">
    <w:abstractNumId w:val="10"/>
  </w:num>
  <w:num w:numId="6">
    <w:abstractNumId w:val="6"/>
  </w:num>
  <w:num w:numId="7">
    <w:abstractNumId w:val="12"/>
  </w:num>
  <w:num w:numId="8">
    <w:abstractNumId w:val="11"/>
  </w:num>
  <w:num w:numId="9">
    <w:abstractNumId w:val="14"/>
  </w:num>
  <w:num w:numId="10">
    <w:abstractNumId w:val="17"/>
  </w:num>
  <w:num w:numId="11">
    <w:abstractNumId w:val="7"/>
  </w:num>
  <w:num w:numId="12">
    <w:abstractNumId w:val="4"/>
  </w:num>
  <w:num w:numId="13">
    <w:abstractNumId w:val="0"/>
  </w:num>
  <w:num w:numId="14">
    <w:abstractNumId w:val="8"/>
  </w:num>
  <w:num w:numId="15">
    <w:abstractNumId w:val="9"/>
  </w:num>
  <w:num w:numId="16">
    <w:abstractNumId w:val="2"/>
  </w:num>
  <w:num w:numId="17">
    <w:abstractNumId w:val="19"/>
  </w:num>
  <w:num w:numId="18">
    <w:abstractNumId w:val="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1CFA"/>
    <w:rsid w:val="000030F6"/>
    <w:rsid w:val="00003470"/>
    <w:rsid w:val="00004B99"/>
    <w:rsid w:val="00011500"/>
    <w:rsid w:val="0001274B"/>
    <w:rsid w:val="00014FD8"/>
    <w:rsid w:val="000168B7"/>
    <w:rsid w:val="0002181B"/>
    <w:rsid w:val="00023015"/>
    <w:rsid w:val="0002330F"/>
    <w:rsid w:val="0002456C"/>
    <w:rsid w:val="00026427"/>
    <w:rsid w:val="00026A16"/>
    <w:rsid w:val="00026D31"/>
    <w:rsid w:val="000272E8"/>
    <w:rsid w:val="00030F5D"/>
    <w:rsid w:val="0003130D"/>
    <w:rsid w:val="000323C9"/>
    <w:rsid w:val="00032DD1"/>
    <w:rsid w:val="00034F8D"/>
    <w:rsid w:val="00035AEC"/>
    <w:rsid w:val="0003708D"/>
    <w:rsid w:val="00037C03"/>
    <w:rsid w:val="00040105"/>
    <w:rsid w:val="00042DEB"/>
    <w:rsid w:val="00043915"/>
    <w:rsid w:val="00044D27"/>
    <w:rsid w:val="000463AC"/>
    <w:rsid w:val="00047821"/>
    <w:rsid w:val="000529E6"/>
    <w:rsid w:val="00053490"/>
    <w:rsid w:val="00053E17"/>
    <w:rsid w:val="00054536"/>
    <w:rsid w:val="00056991"/>
    <w:rsid w:val="0005746E"/>
    <w:rsid w:val="00057FBC"/>
    <w:rsid w:val="00061432"/>
    <w:rsid w:val="00061E6B"/>
    <w:rsid w:val="0006298C"/>
    <w:rsid w:val="00064B77"/>
    <w:rsid w:val="00066093"/>
    <w:rsid w:val="0006719B"/>
    <w:rsid w:val="000706CC"/>
    <w:rsid w:val="0007255F"/>
    <w:rsid w:val="00072622"/>
    <w:rsid w:val="00074423"/>
    <w:rsid w:val="00074D2A"/>
    <w:rsid w:val="00075527"/>
    <w:rsid w:val="0007562F"/>
    <w:rsid w:val="00075C44"/>
    <w:rsid w:val="0007746D"/>
    <w:rsid w:val="00077679"/>
    <w:rsid w:val="00077AC5"/>
    <w:rsid w:val="00077EA4"/>
    <w:rsid w:val="000803FB"/>
    <w:rsid w:val="000806EA"/>
    <w:rsid w:val="00080CCE"/>
    <w:rsid w:val="00081283"/>
    <w:rsid w:val="000817A3"/>
    <w:rsid w:val="000828B5"/>
    <w:rsid w:val="0008293B"/>
    <w:rsid w:val="00082B53"/>
    <w:rsid w:val="000831FC"/>
    <w:rsid w:val="00083281"/>
    <w:rsid w:val="00083CAC"/>
    <w:rsid w:val="0008664A"/>
    <w:rsid w:val="00086AEF"/>
    <w:rsid w:val="000902DF"/>
    <w:rsid w:val="0009142B"/>
    <w:rsid w:val="000919A8"/>
    <w:rsid w:val="00093E3F"/>
    <w:rsid w:val="00094D72"/>
    <w:rsid w:val="00095D8C"/>
    <w:rsid w:val="00096D79"/>
    <w:rsid w:val="000A0004"/>
    <w:rsid w:val="000A19E2"/>
    <w:rsid w:val="000A20B7"/>
    <w:rsid w:val="000A2AA7"/>
    <w:rsid w:val="000A2CED"/>
    <w:rsid w:val="000A5652"/>
    <w:rsid w:val="000A67CD"/>
    <w:rsid w:val="000B076F"/>
    <w:rsid w:val="000B32EF"/>
    <w:rsid w:val="000B3D3E"/>
    <w:rsid w:val="000B5EAD"/>
    <w:rsid w:val="000B76FE"/>
    <w:rsid w:val="000B77B7"/>
    <w:rsid w:val="000B7AB8"/>
    <w:rsid w:val="000C0FA7"/>
    <w:rsid w:val="000C15B3"/>
    <w:rsid w:val="000C1E85"/>
    <w:rsid w:val="000C2D81"/>
    <w:rsid w:val="000C4530"/>
    <w:rsid w:val="000C5D0D"/>
    <w:rsid w:val="000C6EC3"/>
    <w:rsid w:val="000D0088"/>
    <w:rsid w:val="000D0329"/>
    <w:rsid w:val="000D0616"/>
    <w:rsid w:val="000D235A"/>
    <w:rsid w:val="000D2B56"/>
    <w:rsid w:val="000D3B4D"/>
    <w:rsid w:val="000D51C7"/>
    <w:rsid w:val="000D57DA"/>
    <w:rsid w:val="000D73DC"/>
    <w:rsid w:val="000E116B"/>
    <w:rsid w:val="000E2FA0"/>
    <w:rsid w:val="000E3DB2"/>
    <w:rsid w:val="000E4067"/>
    <w:rsid w:val="000E4484"/>
    <w:rsid w:val="000E47D5"/>
    <w:rsid w:val="000E5CFE"/>
    <w:rsid w:val="000E5F80"/>
    <w:rsid w:val="000E63AF"/>
    <w:rsid w:val="000E6933"/>
    <w:rsid w:val="000E75D1"/>
    <w:rsid w:val="000E7634"/>
    <w:rsid w:val="000F0172"/>
    <w:rsid w:val="000F01FC"/>
    <w:rsid w:val="000F0966"/>
    <w:rsid w:val="000F0FA9"/>
    <w:rsid w:val="000F1111"/>
    <w:rsid w:val="000F2870"/>
    <w:rsid w:val="000F2EB4"/>
    <w:rsid w:val="000F32C8"/>
    <w:rsid w:val="000F3EF2"/>
    <w:rsid w:val="000F409A"/>
    <w:rsid w:val="000F6624"/>
    <w:rsid w:val="000F6D84"/>
    <w:rsid w:val="000F736E"/>
    <w:rsid w:val="00100837"/>
    <w:rsid w:val="00100B1F"/>
    <w:rsid w:val="00100FE3"/>
    <w:rsid w:val="001017AD"/>
    <w:rsid w:val="00101DE0"/>
    <w:rsid w:val="00101E0B"/>
    <w:rsid w:val="00102795"/>
    <w:rsid w:val="00103AD7"/>
    <w:rsid w:val="00103C38"/>
    <w:rsid w:val="00103D1B"/>
    <w:rsid w:val="00104349"/>
    <w:rsid w:val="00105AE2"/>
    <w:rsid w:val="0010612F"/>
    <w:rsid w:val="00106E4A"/>
    <w:rsid w:val="0010741C"/>
    <w:rsid w:val="0011215D"/>
    <w:rsid w:val="0011310D"/>
    <w:rsid w:val="00116784"/>
    <w:rsid w:val="001177FE"/>
    <w:rsid w:val="001178E3"/>
    <w:rsid w:val="00121F5B"/>
    <w:rsid w:val="0012270D"/>
    <w:rsid w:val="00122F53"/>
    <w:rsid w:val="001304F1"/>
    <w:rsid w:val="00130542"/>
    <w:rsid w:val="0013088C"/>
    <w:rsid w:val="0013117D"/>
    <w:rsid w:val="00131216"/>
    <w:rsid w:val="00131D05"/>
    <w:rsid w:val="00132004"/>
    <w:rsid w:val="001324A4"/>
    <w:rsid w:val="00132AE3"/>
    <w:rsid w:val="001345CB"/>
    <w:rsid w:val="001347E9"/>
    <w:rsid w:val="00136C98"/>
    <w:rsid w:val="00137B2C"/>
    <w:rsid w:val="00140B4C"/>
    <w:rsid w:val="0014129D"/>
    <w:rsid w:val="0014319C"/>
    <w:rsid w:val="00144C97"/>
    <w:rsid w:val="001452F6"/>
    <w:rsid w:val="001466B6"/>
    <w:rsid w:val="001469D5"/>
    <w:rsid w:val="00150011"/>
    <w:rsid w:val="0015254E"/>
    <w:rsid w:val="00153043"/>
    <w:rsid w:val="00153C68"/>
    <w:rsid w:val="0015551E"/>
    <w:rsid w:val="00155B89"/>
    <w:rsid w:val="001608F4"/>
    <w:rsid w:val="0016266C"/>
    <w:rsid w:val="00162732"/>
    <w:rsid w:val="00162E14"/>
    <w:rsid w:val="00163CED"/>
    <w:rsid w:val="00164B42"/>
    <w:rsid w:val="00164C6B"/>
    <w:rsid w:val="001660C8"/>
    <w:rsid w:val="001663CF"/>
    <w:rsid w:val="001665DD"/>
    <w:rsid w:val="00171315"/>
    <w:rsid w:val="00171BA0"/>
    <w:rsid w:val="00173245"/>
    <w:rsid w:val="001739AD"/>
    <w:rsid w:val="00174C61"/>
    <w:rsid w:val="001751F5"/>
    <w:rsid w:val="00176E50"/>
    <w:rsid w:val="001811E8"/>
    <w:rsid w:val="00182C1E"/>
    <w:rsid w:val="001857B0"/>
    <w:rsid w:val="001916EE"/>
    <w:rsid w:val="001919A5"/>
    <w:rsid w:val="001934AC"/>
    <w:rsid w:val="001942B7"/>
    <w:rsid w:val="0019798B"/>
    <w:rsid w:val="001A10EA"/>
    <w:rsid w:val="001A3B92"/>
    <w:rsid w:val="001A3CBF"/>
    <w:rsid w:val="001A3FFF"/>
    <w:rsid w:val="001A5A4D"/>
    <w:rsid w:val="001A6148"/>
    <w:rsid w:val="001A623C"/>
    <w:rsid w:val="001A700B"/>
    <w:rsid w:val="001A7C43"/>
    <w:rsid w:val="001B0D32"/>
    <w:rsid w:val="001B1B6C"/>
    <w:rsid w:val="001B2F73"/>
    <w:rsid w:val="001B3B95"/>
    <w:rsid w:val="001B40BD"/>
    <w:rsid w:val="001B4882"/>
    <w:rsid w:val="001B6665"/>
    <w:rsid w:val="001B6E85"/>
    <w:rsid w:val="001B7241"/>
    <w:rsid w:val="001C09FC"/>
    <w:rsid w:val="001C2A17"/>
    <w:rsid w:val="001C2D28"/>
    <w:rsid w:val="001C30E6"/>
    <w:rsid w:val="001C4904"/>
    <w:rsid w:val="001C5BFC"/>
    <w:rsid w:val="001C5F46"/>
    <w:rsid w:val="001C7CA2"/>
    <w:rsid w:val="001D06A3"/>
    <w:rsid w:val="001D180D"/>
    <w:rsid w:val="001D1A49"/>
    <w:rsid w:val="001D3736"/>
    <w:rsid w:val="001D4615"/>
    <w:rsid w:val="001D5392"/>
    <w:rsid w:val="001D5DAF"/>
    <w:rsid w:val="001D77D5"/>
    <w:rsid w:val="001E14E1"/>
    <w:rsid w:val="001E264B"/>
    <w:rsid w:val="001E2852"/>
    <w:rsid w:val="001E3380"/>
    <w:rsid w:val="001E40A1"/>
    <w:rsid w:val="001E490D"/>
    <w:rsid w:val="001E7670"/>
    <w:rsid w:val="001F0AC5"/>
    <w:rsid w:val="001F1642"/>
    <w:rsid w:val="001F373B"/>
    <w:rsid w:val="001F5256"/>
    <w:rsid w:val="001F5C16"/>
    <w:rsid w:val="001F63B0"/>
    <w:rsid w:val="002005EF"/>
    <w:rsid w:val="00201C66"/>
    <w:rsid w:val="002027AF"/>
    <w:rsid w:val="002028AD"/>
    <w:rsid w:val="00203134"/>
    <w:rsid w:val="002043DB"/>
    <w:rsid w:val="002048B8"/>
    <w:rsid w:val="00205A6B"/>
    <w:rsid w:val="00205C1E"/>
    <w:rsid w:val="00205D28"/>
    <w:rsid w:val="0020639A"/>
    <w:rsid w:val="002073F3"/>
    <w:rsid w:val="00210E44"/>
    <w:rsid w:val="0021107B"/>
    <w:rsid w:val="00211676"/>
    <w:rsid w:val="0021306B"/>
    <w:rsid w:val="0021364F"/>
    <w:rsid w:val="002170AD"/>
    <w:rsid w:val="00220422"/>
    <w:rsid w:val="0022125F"/>
    <w:rsid w:val="002234A1"/>
    <w:rsid w:val="00224CE4"/>
    <w:rsid w:val="00226A3A"/>
    <w:rsid w:val="002278C4"/>
    <w:rsid w:val="00227A35"/>
    <w:rsid w:val="0023039D"/>
    <w:rsid w:val="00230D6B"/>
    <w:rsid w:val="00231888"/>
    <w:rsid w:val="0023257C"/>
    <w:rsid w:val="00232705"/>
    <w:rsid w:val="0023303C"/>
    <w:rsid w:val="002333D7"/>
    <w:rsid w:val="002344A5"/>
    <w:rsid w:val="00241162"/>
    <w:rsid w:val="00243F66"/>
    <w:rsid w:val="0024492F"/>
    <w:rsid w:val="00245577"/>
    <w:rsid w:val="00245AA9"/>
    <w:rsid w:val="002465D1"/>
    <w:rsid w:val="00247ADA"/>
    <w:rsid w:val="00247BF7"/>
    <w:rsid w:val="00247D93"/>
    <w:rsid w:val="002509B6"/>
    <w:rsid w:val="00252CBC"/>
    <w:rsid w:val="00255B17"/>
    <w:rsid w:val="00260328"/>
    <w:rsid w:val="002606D3"/>
    <w:rsid w:val="00261740"/>
    <w:rsid w:val="00262617"/>
    <w:rsid w:val="00263D97"/>
    <w:rsid w:val="002658B0"/>
    <w:rsid w:val="00265B05"/>
    <w:rsid w:val="002669C3"/>
    <w:rsid w:val="00267A04"/>
    <w:rsid w:val="002706FB"/>
    <w:rsid w:val="00270E29"/>
    <w:rsid w:val="00271C22"/>
    <w:rsid w:val="002740B7"/>
    <w:rsid w:val="00274350"/>
    <w:rsid w:val="00274907"/>
    <w:rsid w:val="002754B5"/>
    <w:rsid w:val="00276098"/>
    <w:rsid w:val="002766EE"/>
    <w:rsid w:val="00281011"/>
    <w:rsid w:val="00281E8A"/>
    <w:rsid w:val="00282CC3"/>
    <w:rsid w:val="00282F68"/>
    <w:rsid w:val="002849D1"/>
    <w:rsid w:val="00285615"/>
    <w:rsid w:val="00286469"/>
    <w:rsid w:val="002871CC"/>
    <w:rsid w:val="00291096"/>
    <w:rsid w:val="002915A2"/>
    <w:rsid w:val="00294063"/>
    <w:rsid w:val="0029410D"/>
    <w:rsid w:val="00294367"/>
    <w:rsid w:val="002944AE"/>
    <w:rsid w:val="002952DF"/>
    <w:rsid w:val="0029700C"/>
    <w:rsid w:val="00297244"/>
    <w:rsid w:val="002974EF"/>
    <w:rsid w:val="002A096C"/>
    <w:rsid w:val="002A16EB"/>
    <w:rsid w:val="002A1C08"/>
    <w:rsid w:val="002A227F"/>
    <w:rsid w:val="002A46BA"/>
    <w:rsid w:val="002A4EDA"/>
    <w:rsid w:val="002A7CB6"/>
    <w:rsid w:val="002B0DE1"/>
    <w:rsid w:val="002B1905"/>
    <w:rsid w:val="002B24A9"/>
    <w:rsid w:val="002B26BE"/>
    <w:rsid w:val="002B2DFE"/>
    <w:rsid w:val="002B3D70"/>
    <w:rsid w:val="002B4043"/>
    <w:rsid w:val="002B4F76"/>
    <w:rsid w:val="002B5FEA"/>
    <w:rsid w:val="002B7F1D"/>
    <w:rsid w:val="002C0839"/>
    <w:rsid w:val="002C11B3"/>
    <w:rsid w:val="002C21A3"/>
    <w:rsid w:val="002C2235"/>
    <w:rsid w:val="002C2FC7"/>
    <w:rsid w:val="002C45E2"/>
    <w:rsid w:val="002C46AC"/>
    <w:rsid w:val="002C470F"/>
    <w:rsid w:val="002C59C1"/>
    <w:rsid w:val="002C72FB"/>
    <w:rsid w:val="002C7870"/>
    <w:rsid w:val="002D06D5"/>
    <w:rsid w:val="002D1A3D"/>
    <w:rsid w:val="002D1D38"/>
    <w:rsid w:val="002D2794"/>
    <w:rsid w:val="002D3070"/>
    <w:rsid w:val="002D4708"/>
    <w:rsid w:val="002D4981"/>
    <w:rsid w:val="002D5F57"/>
    <w:rsid w:val="002D70AF"/>
    <w:rsid w:val="002E00AF"/>
    <w:rsid w:val="002E1E2F"/>
    <w:rsid w:val="002E284E"/>
    <w:rsid w:val="002E3A65"/>
    <w:rsid w:val="002E3FFA"/>
    <w:rsid w:val="002F01BA"/>
    <w:rsid w:val="002F0C7E"/>
    <w:rsid w:val="002F0D41"/>
    <w:rsid w:val="002F10A4"/>
    <w:rsid w:val="002F10C7"/>
    <w:rsid w:val="002F19B5"/>
    <w:rsid w:val="002F1A48"/>
    <w:rsid w:val="002F248E"/>
    <w:rsid w:val="002F3142"/>
    <w:rsid w:val="002F35FD"/>
    <w:rsid w:val="002F41A5"/>
    <w:rsid w:val="002F4716"/>
    <w:rsid w:val="002F48D2"/>
    <w:rsid w:val="002F5119"/>
    <w:rsid w:val="002F77F1"/>
    <w:rsid w:val="002F7B00"/>
    <w:rsid w:val="003025C8"/>
    <w:rsid w:val="00303999"/>
    <w:rsid w:val="003051A8"/>
    <w:rsid w:val="0030636E"/>
    <w:rsid w:val="003078B5"/>
    <w:rsid w:val="003078BF"/>
    <w:rsid w:val="00312474"/>
    <w:rsid w:val="003124EE"/>
    <w:rsid w:val="00315C3F"/>
    <w:rsid w:val="00316C41"/>
    <w:rsid w:val="0031720E"/>
    <w:rsid w:val="00320A53"/>
    <w:rsid w:val="0032141D"/>
    <w:rsid w:val="00321D94"/>
    <w:rsid w:val="00322569"/>
    <w:rsid w:val="0032305C"/>
    <w:rsid w:val="00326D8C"/>
    <w:rsid w:val="003309B4"/>
    <w:rsid w:val="0033350D"/>
    <w:rsid w:val="00333737"/>
    <w:rsid w:val="00334F14"/>
    <w:rsid w:val="003353AA"/>
    <w:rsid w:val="003366FA"/>
    <w:rsid w:val="003420C9"/>
    <w:rsid w:val="00342541"/>
    <w:rsid w:val="003431FA"/>
    <w:rsid w:val="003436A4"/>
    <w:rsid w:val="00343E77"/>
    <w:rsid w:val="00344162"/>
    <w:rsid w:val="00346536"/>
    <w:rsid w:val="00347FD4"/>
    <w:rsid w:val="003504B0"/>
    <w:rsid w:val="00351720"/>
    <w:rsid w:val="00353D62"/>
    <w:rsid w:val="003552B9"/>
    <w:rsid w:val="00355514"/>
    <w:rsid w:val="003559CE"/>
    <w:rsid w:val="00356DA0"/>
    <w:rsid w:val="00356E2C"/>
    <w:rsid w:val="00360A0C"/>
    <w:rsid w:val="00361774"/>
    <w:rsid w:val="0036198C"/>
    <w:rsid w:val="00361C04"/>
    <w:rsid w:val="00362097"/>
    <w:rsid w:val="00363ADB"/>
    <w:rsid w:val="003645CA"/>
    <w:rsid w:val="00366C0D"/>
    <w:rsid w:val="00366E84"/>
    <w:rsid w:val="00366FD2"/>
    <w:rsid w:val="003675D7"/>
    <w:rsid w:val="0037053D"/>
    <w:rsid w:val="00370ED5"/>
    <w:rsid w:val="00370F96"/>
    <w:rsid w:val="00371C48"/>
    <w:rsid w:val="00374454"/>
    <w:rsid w:val="003750BF"/>
    <w:rsid w:val="0037545E"/>
    <w:rsid w:val="003769E4"/>
    <w:rsid w:val="00376BBB"/>
    <w:rsid w:val="00376F1C"/>
    <w:rsid w:val="0038045D"/>
    <w:rsid w:val="00380C1E"/>
    <w:rsid w:val="00381A6C"/>
    <w:rsid w:val="00382167"/>
    <w:rsid w:val="00384564"/>
    <w:rsid w:val="003846C4"/>
    <w:rsid w:val="00384E64"/>
    <w:rsid w:val="00386887"/>
    <w:rsid w:val="0038793B"/>
    <w:rsid w:val="00390386"/>
    <w:rsid w:val="00390C21"/>
    <w:rsid w:val="00390EA0"/>
    <w:rsid w:val="003929F4"/>
    <w:rsid w:val="00393A5E"/>
    <w:rsid w:val="00394F91"/>
    <w:rsid w:val="00395CC8"/>
    <w:rsid w:val="00396612"/>
    <w:rsid w:val="00396735"/>
    <w:rsid w:val="00397822"/>
    <w:rsid w:val="003A3996"/>
    <w:rsid w:val="003A4073"/>
    <w:rsid w:val="003A4522"/>
    <w:rsid w:val="003A57A8"/>
    <w:rsid w:val="003A58B9"/>
    <w:rsid w:val="003A5A85"/>
    <w:rsid w:val="003A728C"/>
    <w:rsid w:val="003A770B"/>
    <w:rsid w:val="003B0BC5"/>
    <w:rsid w:val="003B251D"/>
    <w:rsid w:val="003B2842"/>
    <w:rsid w:val="003B386E"/>
    <w:rsid w:val="003B4687"/>
    <w:rsid w:val="003B6C47"/>
    <w:rsid w:val="003B73CD"/>
    <w:rsid w:val="003B7CF5"/>
    <w:rsid w:val="003C2517"/>
    <w:rsid w:val="003C2B26"/>
    <w:rsid w:val="003C2C1B"/>
    <w:rsid w:val="003C2CCA"/>
    <w:rsid w:val="003C40EB"/>
    <w:rsid w:val="003C4AC2"/>
    <w:rsid w:val="003C4FAD"/>
    <w:rsid w:val="003C5CF7"/>
    <w:rsid w:val="003C75C5"/>
    <w:rsid w:val="003C7F18"/>
    <w:rsid w:val="003D0D4F"/>
    <w:rsid w:val="003D1F11"/>
    <w:rsid w:val="003D62B2"/>
    <w:rsid w:val="003D676D"/>
    <w:rsid w:val="003E1930"/>
    <w:rsid w:val="003E1A05"/>
    <w:rsid w:val="003E36E3"/>
    <w:rsid w:val="003E3756"/>
    <w:rsid w:val="003E3F79"/>
    <w:rsid w:val="003E5567"/>
    <w:rsid w:val="003E59C0"/>
    <w:rsid w:val="003E745F"/>
    <w:rsid w:val="003E7CBC"/>
    <w:rsid w:val="003F02D7"/>
    <w:rsid w:val="003F1B23"/>
    <w:rsid w:val="003F1BC6"/>
    <w:rsid w:val="003F29A1"/>
    <w:rsid w:val="003F2F3C"/>
    <w:rsid w:val="003F3771"/>
    <w:rsid w:val="003F3FBE"/>
    <w:rsid w:val="003F4446"/>
    <w:rsid w:val="003F6BE0"/>
    <w:rsid w:val="0040262E"/>
    <w:rsid w:val="00402AE9"/>
    <w:rsid w:val="00403304"/>
    <w:rsid w:val="004035B0"/>
    <w:rsid w:val="0040578E"/>
    <w:rsid w:val="0040663B"/>
    <w:rsid w:val="004067FF"/>
    <w:rsid w:val="004071C3"/>
    <w:rsid w:val="00410684"/>
    <w:rsid w:val="004113FE"/>
    <w:rsid w:val="0041143E"/>
    <w:rsid w:val="00412458"/>
    <w:rsid w:val="00413A82"/>
    <w:rsid w:val="00413BEB"/>
    <w:rsid w:val="00414016"/>
    <w:rsid w:val="00414C4B"/>
    <w:rsid w:val="00415584"/>
    <w:rsid w:val="0041773E"/>
    <w:rsid w:val="004208C4"/>
    <w:rsid w:val="00421239"/>
    <w:rsid w:val="00421878"/>
    <w:rsid w:val="00421C0E"/>
    <w:rsid w:val="00421F53"/>
    <w:rsid w:val="004249A6"/>
    <w:rsid w:val="00424AE1"/>
    <w:rsid w:val="00425703"/>
    <w:rsid w:val="0042741C"/>
    <w:rsid w:val="0042753D"/>
    <w:rsid w:val="00430B69"/>
    <w:rsid w:val="004311F3"/>
    <w:rsid w:val="004326DF"/>
    <w:rsid w:val="00433382"/>
    <w:rsid w:val="004364EB"/>
    <w:rsid w:val="00437C04"/>
    <w:rsid w:val="004410F5"/>
    <w:rsid w:val="004412D9"/>
    <w:rsid w:val="0044173D"/>
    <w:rsid w:val="00443182"/>
    <w:rsid w:val="0044545F"/>
    <w:rsid w:val="004477F4"/>
    <w:rsid w:val="00450EF7"/>
    <w:rsid w:val="00453031"/>
    <w:rsid w:val="00454E19"/>
    <w:rsid w:val="0045785B"/>
    <w:rsid w:val="00457FF3"/>
    <w:rsid w:val="00460952"/>
    <w:rsid w:val="0046268C"/>
    <w:rsid w:val="0046446B"/>
    <w:rsid w:val="004645B8"/>
    <w:rsid w:val="00467015"/>
    <w:rsid w:val="00467FF3"/>
    <w:rsid w:val="00470129"/>
    <w:rsid w:val="004706C4"/>
    <w:rsid w:val="004727CF"/>
    <w:rsid w:val="00473AB2"/>
    <w:rsid w:val="00473DBB"/>
    <w:rsid w:val="0047495D"/>
    <w:rsid w:val="00474A28"/>
    <w:rsid w:val="00476583"/>
    <w:rsid w:val="00480136"/>
    <w:rsid w:val="0048030D"/>
    <w:rsid w:val="00480D9E"/>
    <w:rsid w:val="00481123"/>
    <w:rsid w:val="00481186"/>
    <w:rsid w:val="00481369"/>
    <w:rsid w:val="004813EF"/>
    <w:rsid w:val="0048533B"/>
    <w:rsid w:val="004854B8"/>
    <w:rsid w:val="0048641E"/>
    <w:rsid w:val="00486F47"/>
    <w:rsid w:val="004878C7"/>
    <w:rsid w:val="00487CE5"/>
    <w:rsid w:val="00490030"/>
    <w:rsid w:val="0049010D"/>
    <w:rsid w:val="00490A06"/>
    <w:rsid w:val="0049221B"/>
    <w:rsid w:val="0049485B"/>
    <w:rsid w:val="00497E35"/>
    <w:rsid w:val="004A065F"/>
    <w:rsid w:val="004A0E58"/>
    <w:rsid w:val="004A19ED"/>
    <w:rsid w:val="004A3717"/>
    <w:rsid w:val="004A4BC4"/>
    <w:rsid w:val="004A4CC0"/>
    <w:rsid w:val="004A54FF"/>
    <w:rsid w:val="004A62E4"/>
    <w:rsid w:val="004A668C"/>
    <w:rsid w:val="004A7293"/>
    <w:rsid w:val="004A79B7"/>
    <w:rsid w:val="004B0C51"/>
    <w:rsid w:val="004B2515"/>
    <w:rsid w:val="004B3171"/>
    <w:rsid w:val="004B4C0D"/>
    <w:rsid w:val="004B531C"/>
    <w:rsid w:val="004B5EAE"/>
    <w:rsid w:val="004B6CBA"/>
    <w:rsid w:val="004B6F89"/>
    <w:rsid w:val="004B70AD"/>
    <w:rsid w:val="004B7338"/>
    <w:rsid w:val="004C07F8"/>
    <w:rsid w:val="004C15E9"/>
    <w:rsid w:val="004C1820"/>
    <w:rsid w:val="004C277C"/>
    <w:rsid w:val="004C43CE"/>
    <w:rsid w:val="004C4BAD"/>
    <w:rsid w:val="004C58DC"/>
    <w:rsid w:val="004C5C71"/>
    <w:rsid w:val="004C627F"/>
    <w:rsid w:val="004C7CD4"/>
    <w:rsid w:val="004D0202"/>
    <w:rsid w:val="004D0DE6"/>
    <w:rsid w:val="004D120C"/>
    <w:rsid w:val="004D1CCF"/>
    <w:rsid w:val="004D283F"/>
    <w:rsid w:val="004D29AD"/>
    <w:rsid w:val="004D2FD5"/>
    <w:rsid w:val="004D31DE"/>
    <w:rsid w:val="004D414B"/>
    <w:rsid w:val="004D55B8"/>
    <w:rsid w:val="004E0F9E"/>
    <w:rsid w:val="004E1258"/>
    <w:rsid w:val="004E202E"/>
    <w:rsid w:val="004E486C"/>
    <w:rsid w:val="004E6DC5"/>
    <w:rsid w:val="004E78C9"/>
    <w:rsid w:val="004F158A"/>
    <w:rsid w:val="004F1BDB"/>
    <w:rsid w:val="004F2CC0"/>
    <w:rsid w:val="004F2EFC"/>
    <w:rsid w:val="004F3C1F"/>
    <w:rsid w:val="004F407F"/>
    <w:rsid w:val="00501638"/>
    <w:rsid w:val="005038E6"/>
    <w:rsid w:val="005048A0"/>
    <w:rsid w:val="00504D62"/>
    <w:rsid w:val="00505064"/>
    <w:rsid w:val="00506458"/>
    <w:rsid w:val="005077CF"/>
    <w:rsid w:val="00507A3B"/>
    <w:rsid w:val="00507E40"/>
    <w:rsid w:val="0051051E"/>
    <w:rsid w:val="00512A7E"/>
    <w:rsid w:val="00513B62"/>
    <w:rsid w:val="00514335"/>
    <w:rsid w:val="00514DDC"/>
    <w:rsid w:val="0051661B"/>
    <w:rsid w:val="00517314"/>
    <w:rsid w:val="00517A30"/>
    <w:rsid w:val="0052067D"/>
    <w:rsid w:val="005206CF"/>
    <w:rsid w:val="00521C50"/>
    <w:rsid w:val="005231BF"/>
    <w:rsid w:val="005242F8"/>
    <w:rsid w:val="00526F5F"/>
    <w:rsid w:val="00533D31"/>
    <w:rsid w:val="00534B4B"/>
    <w:rsid w:val="005357F8"/>
    <w:rsid w:val="0053651B"/>
    <w:rsid w:val="00537316"/>
    <w:rsid w:val="005402D9"/>
    <w:rsid w:val="005403CF"/>
    <w:rsid w:val="00541ED4"/>
    <w:rsid w:val="005433EB"/>
    <w:rsid w:val="005434A2"/>
    <w:rsid w:val="005448AB"/>
    <w:rsid w:val="00550CD0"/>
    <w:rsid w:val="00551DD5"/>
    <w:rsid w:val="00552C28"/>
    <w:rsid w:val="00555DCB"/>
    <w:rsid w:val="00556F19"/>
    <w:rsid w:val="00556FB2"/>
    <w:rsid w:val="00556FD3"/>
    <w:rsid w:val="005601FE"/>
    <w:rsid w:val="00560BFE"/>
    <w:rsid w:val="00561E8B"/>
    <w:rsid w:val="00562932"/>
    <w:rsid w:val="00563687"/>
    <w:rsid w:val="005646A3"/>
    <w:rsid w:val="005668C2"/>
    <w:rsid w:val="00567B70"/>
    <w:rsid w:val="00571E48"/>
    <w:rsid w:val="0057226E"/>
    <w:rsid w:val="00572BC9"/>
    <w:rsid w:val="0057320B"/>
    <w:rsid w:val="005743DD"/>
    <w:rsid w:val="0057449E"/>
    <w:rsid w:val="00575B15"/>
    <w:rsid w:val="00575F12"/>
    <w:rsid w:val="00581A16"/>
    <w:rsid w:val="005820CE"/>
    <w:rsid w:val="0058241C"/>
    <w:rsid w:val="00582861"/>
    <w:rsid w:val="00584C4B"/>
    <w:rsid w:val="005858F2"/>
    <w:rsid w:val="00585BD7"/>
    <w:rsid w:val="00585EF5"/>
    <w:rsid w:val="0058692B"/>
    <w:rsid w:val="00586F39"/>
    <w:rsid w:val="00591B88"/>
    <w:rsid w:val="00591D72"/>
    <w:rsid w:val="00593C42"/>
    <w:rsid w:val="005A061F"/>
    <w:rsid w:val="005A0978"/>
    <w:rsid w:val="005A2C19"/>
    <w:rsid w:val="005A3B29"/>
    <w:rsid w:val="005A5EE3"/>
    <w:rsid w:val="005A6AF8"/>
    <w:rsid w:val="005A71C2"/>
    <w:rsid w:val="005A7D0E"/>
    <w:rsid w:val="005B0543"/>
    <w:rsid w:val="005B1B7C"/>
    <w:rsid w:val="005B34A4"/>
    <w:rsid w:val="005B4287"/>
    <w:rsid w:val="005B49D3"/>
    <w:rsid w:val="005B4B5E"/>
    <w:rsid w:val="005B6F87"/>
    <w:rsid w:val="005B7245"/>
    <w:rsid w:val="005B772E"/>
    <w:rsid w:val="005B7787"/>
    <w:rsid w:val="005C0405"/>
    <w:rsid w:val="005C1C23"/>
    <w:rsid w:val="005C4736"/>
    <w:rsid w:val="005C583D"/>
    <w:rsid w:val="005C67DA"/>
    <w:rsid w:val="005C6FC6"/>
    <w:rsid w:val="005C7AAB"/>
    <w:rsid w:val="005D0924"/>
    <w:rsid w:val="005D11E7"/>
    <w:rsid w:val="005D2108"/>
    <w:rsid w:val="005D29F6"/>
    <w:rsid w:val="005D4B6F"/>
    <w:rsid w:val="005D619A"/>
    <w:rsid w:val="005D6A74"/>
    <w:rsid w:val="005D73DE"/>
    <w:rsid w:val="005E12ED"/>
    <w:rsid w:val="005E14A7"/>
    <w:rsid w:val="005E168D"/>
    <w:rsid w:val="005E2038"/>
    <w:rsid w:val="005E3AB7"/>
    <w:rsid w:val="005E3C44"/>
    <w:rsid w:val="005E5056"/>
    <w:rsid w:val="005E61B9"/>
    <w:rsid w:val="005F00AE"/>
    <w:rsid w:val="005F1986"/>
    <w:rsid w:val="005F5071"/>
    <w:rsid w:val="005F548A"/>
    <w:rsid w:val="005F5A72"/>
    <w:rsid w:val="005F64C0"/>
    <w:rsid w:val="005F7674"/>
    <w:rsid w:val="0060033C"/>
    <w:rsid w:val="00602628"/>
    <w:rsid w:val="00602EC4"/>
    <w:rsid w:val="00604DA3"/>
    <w:rsid w:val="006056E0"/>
    <w:rsid w:val="006077F7"/>
    <w:rsid w:val="00613168"/>
    <w:rsid w:val="00613F2E"/>
    <w:rsid w:val="00615B2C"/>
    <w:rsid w:val="0061647B"/>
    <w:rsid w:val="00616FA0"/>
    <w:rsid w:val="00620830"/>
    <w:rsid w:val="006208EC"/>
    <w:rsid w:val="00620FF4"/>
    <w:rsid w:val="00621CC5"/>
    <w:rsid w:val="00621FB4"/>
    <w:rsid w:val="0062238B"/>
    <w:rsid w:val="00624CFE"/>
    <w:rsid w:val="00624E81"/>
    <w:rsid w:val="006310BB"/>
    <w:rsid w:val="00631891"/>
    <w:rsid w:val="00633C24"/>
    <w:rsid w:val="00633F4B"/>
    <w:rsid w:val="00634084"/>
    <w:rsid w:val="006342C4"/>
    <w:rsid w:val="00634701"/>
    <w:rsid w:val="00636CBD"/>
    <w:rsid w:val="00637747"/>
    <w:rsid w:val="006409CE"/>
    <w:rsid w:val="006449C5"/>
    <w:rsid w:val="00645761"/>
    <w:rsid w:val="00646BFB"/>
    <w:rsid w:val="00651925"/>
    <w:rsid w:val="0065250E"/>
    <w:rsid w:val="00653C1C"/>
    <w:rsid w:val="00654DE8"/>
    <w:rsid w:val="00655ACE"/>
    <w:rsid w:val="00655EBB"/>
    <w:rsid w:val="00656C23"/>
    <w:rsid w:val="00657962"/>
    <w:rsid w:val="00660A69"/>
    <w:rsid w:val="00660CB0"/>
    <w:rsid w:val="00661894"/>
    <w:rsid w:val="00663174"/>
    <w:rsid w:val="0066324A"/>
    <w:rsid w:val="0066452D"/>
    <w:rsid w:val="00664704"/>
    <w:rsid w:val="006658F7"/>
    <w:rsid w:val="00665B5E"/>
    <w:rsid w:val="006662B5"/>
    <w:rsid w:val="0067321A"/>
    <w:rsid w:val="00673642"/>
    <w:rsid w:val="00674D5D"/>
    <w:rsid w:val="00675331"/>
    <w:rsid w:val="00677712"/>
    <w:rsid w:val="00680B20"/>
    <w:rsid w:val="00680E5A"/>
    <w:rsid w:val="0068171E"/>
    <w:rsid w:val="00681AA8"/>
    <w:rsid w:val="00682767"/>
    <w:rsid w:val="006834C4"/>
    <w:rsid w:val="00683A17"/>
    <w:rsid w:val="00684A87"/>
    <w:rsid w:val="00684DF8"/>
    <w:rsid w:val="0069043D"/>
    <w:rsid w:val="00691014"/>
    <w:rsid w:val="00691CB0"/>
    <w:rsid w:val="00692444"/>
    <w:rsid w:val="00693B06"/>
    <w:rsid w:val="00694290"/>
    <w:rsid w:val="0069562D"/>
    <w:rsid w:val="0069612C"/>
    <w:rsid w:val="00696562"/>
    <w:rsid w:val="00696891"/>
    <w:rsid w:val="006974A1"/>
    <w:rsid w:val="00697F7C"/>
    <w:rsid w:val="006A0083"/>
    <w:rsid w:val="006A073E"/>
    <w:rsid w:val="006A0A2C"/>
    <w:rsid w:val="006A0FE5"/>
    <w:rsid w:val="006A1F3F"/>
    <w:rsid w:val="006A2D59"/>
    <w:rsid w:val="006A36B9"/>
    <w:rsid w:val="006A3CD4"/>
    <w:rsid w:val="006A563E"/>
    <w:rsid w:val="006A6192"/>
    <w:rsid w:val="006A699B"/>
    <w:rsid w:val="006A729F"/>
    <w:rsid w:val="006B07C9"/>
    <w:rsid w:val="006B08AF"/>
    <w:rsid w:val="006B0A0D"/>
    <w:rsid w:val="006B0AC4"/>
    <w:rsid w:val="006B0D5C"/>
    <w:rsid w:val="006B1642"/>
    <w:rsid w:val="006B23B4"/>
    <w:rsid w:val="006B340B"/>
    <w:rsid w:val="006B37E0"/>
    <w:rsid w:val="006B3F60"/>
    <w:rsid w:val="006B426E"/>
    <w:rsid w:val="006B5030"/>
    <w:rsid w:val="006B5439"/>
    <w:rsid w:val="006B581B"/>
    <w:rsid w:val="006B6730"/>
    <w:rsid w:val="006B71A1"/>
    <w:rsid w:val="006B7B67"/>
    <w:rsid w:val="006B7EA9"/>
    <w:rsid w:val="006C0A3A"/>
    <w:rsid w:val="006C0C9F"/>
    <w:rsid w:val="006C172A"/>
    <w:rsid w:val="006C21FF"/>
    <w:rsid w:val="006C3E85"/>
    <w:rsid w:val="006C5B17"/>
    <w:rsid w:val="006C6551"/>
    <w:rsid w:val="006C77E2"/>
    <w:rsid w:val="006D0F09"/>
    <w:rsid w:val="006D42DC"/>
    <w:rsid w:val="006D4AD9"/>
    <w:rsid w:val="006D5174"/>
    <w:rsid w:val="006D7D12"/>
    <w:rsid w:val="006E0585"/>
    <w:rsid w:val="006E0EFF"/>
    <w:rsid w:val="006E1973"/>
    <w:rsid w:val="006E1EA0"/>
    <w:rsid w:val="006E34CE"/>
    <w:rsid w:val="006E3915"/>
    <w:rsid w:val="006E4A20"/>
    <w:rsid w:val="006E5890"/>
    <w:rsid w:val="006E61C9"/>
    <w:rsid w:val="006E63AB"/>
    <w:rsid w:val="006E6F98"/>
    <w:rsid w:val="006E7382"/>
    <w:rsid w:val="006F275C"/>
    <w:rsid w:val="006F4812"/>
    <w:rsid w:val="006F630C"/>
    <w:rsid w:val="006F7FF9"/>
    <w:rsid w:val="00701EAF"/>
    <w:rsid w:val="00703473"/>
    <w:rsid w:val="00703C2C"/>
    <w:rsid w:val="007053A6"/>
    <w:rsid w:val="00705B9B"/>
    <w:rsid w:val="00707F0C"/>
    <w:rsid w:val="00710403"/>
    <w:rsid w:val="00710984"/>
    <w:rsid w:val="0071112B"/>
    <w:rsid w:val="00711180"/>
    <w:rsid w:val="007119A1"/>
    <w:rsid w:val="00711B91"/>
    <w:rsid w:val="00711FA0"/>
    <w:rsid w:val="00712168"/>
    <w:rsid w:val="00712B0E"/>
    <w:rsid w:val="00712EE8"/>
    <w:rsid w:val="007136BC"/>
    <w:rsid w:val="007136FA"/>
    <w:rsid w:val="00713BB5"/>
    <w:rsid w:val="00713C15"/>
    <w:rsid w:val="00713D3B"/>
    <w:rsid w:val="007144EE"/>
    <w:rsid w:val="00714A46"/>
    <w:rsid w:val="00714B97"/>
    <w:rsid w:val="0071577D"/>
    <w:rsid w:val="00720B33"/>
    <w:rsid w:val="007231F3"/>
    <w:rsid w:val="00723EB9"/>
    <w:rsid w:val="00723FD4"/>
    <w:rsid w:val="007245EE"/>
    <w:rsid w:val="007247AE"/>
    <w:rsid w:val="00724D06"/>
    <w:rsid w:val="00725D38"/>
    <w:rsid w:val="0072648F"/>
    <w:rsid w:val="007264EF"/>
    <w:rsid w:val="00726C07"/>
    <w:rsid w:val="00727092"/>
    <w:rsid w:val="007270D1"/>
    <w:rsid w:val="00727611"/>
    <w:rsid w:val="007324F6"/>
    <w:rsid w:val="00733FEB"/>
    <w:rsid w:val="00735F34"/>
    <w:rsid w:val="007371A8"/>
    <w:rsid w:val="00740847"/>
    <w:rsid w:val="00741001"/>
    <w:rsid w:val="007410CE"/>
    <w:rsid w:val="00741C8B"/>
    <w:rsid w:val="00742AEF"/>
    <w:rsid w:val="00743613"/>
    <w:rsid w:val="00743722"/>
    <w:rsid w:val="007443E2"/>
    <w:rsid w:val="007444B5"/>
    <w:rsid w:val="00744CBE"/>
    <w:rsid w:val="00744E91"/>
    <w:rsid w:val="007450B6"/>
    <w:rsid w:val="00746C50"/>
    <w:rsid w:val="007473F9"/>
    <w:rsid w:val="00750AF4"/>
    <w:rsid w:val="00750D81"/>
    <w:rsid w:val="00751995"/>
    <w:rsid w:val="00751C2C"/>
    <w:rsid w:val="00752674"/>
    <w:rsid w:val="007565EA"/>
    <w:rsid w:val="00757734"/>
    <w:rsid w:val="00757B05"/>
    <w:rsid w:val="00757E8D"/>
    <w:rsid w:val="007602DA"/>
    <w:rsid w:val="00766002"/>
    <w:rsid w:val="007671F2"/>
    <w:rsid w:val="0076750E"/>
    <w:rsid w:val="007677EC"/>
    <w:rsid w:val="0077139E"/>
    <w:rsid w:val="00772295"/>
    <w:rsid w:val="00773A0C"/>
    <w:rsid w:val="00774566"/>
    <w:rsid w:val="00774656"/>
    <w:rsid w:val="00775801"/>
    <w:rsid w:val="00775F62"/>
    <w:rsid w:val="007762A2"/>
    <w:rsid w:val="00780F76"/>
    <w:rsid w:val="0078183B"/>
    <w:rsid w:val="00781995"/>
    <w:rsid w:val="00782D80"/>
    <w:rsid w:val="00783BEA"/>
    <w:rsid w:val="007843D5"/>
    <w:rsid w:val="00784E48"/>
    <w:rsid w:val="00785231"/>
    <w:rsid w:val="00785AA1"/>
    <w:rsid w:val="00790464"/>
    <w:rsid w:val="00790C5E"/>
    <w:rsid w:val="00792D0A"/>
    <w:rsid w:val="00794CB4"/>
    <w:rsid w:val="00794F74"/>
    <w:rsid w:val="007A0796"/>
    <w:rsid w:val="007A10DC"/>
    <w:rsid w:val="007A1125"/>
    <w:rsid w:val="007A2810"/>
    <w:rsid w:val="007A3791"/>
    <w:rsid w:val="007A3B9F"/>
    <w:rsid w:val="007A514C"/>
    <w:rsid w:val="007A5368"/>
    <w:rsid w:val="007A5B59"/>
    <w:rsid w:val="007A6FA0"/>
    <w:rsid w:val="007B1043"/>
    <w:rsid w:val="007B4D27"/>
    <w:rsid w:val="007B51F9"/>
    <w:rsid w:val="007B665B"/>
    <w:rsid w:val="007C1935"/>
    <w:rsid w:val="007C3E31"/>
    <w:rsid w:val="007C4B74"/>
    <w:rsid w:val="007C6C23"/>
    <w:rsid w:val="007C77C6"/>
    <w:rsid w:val="007D0664"/>
    <w:rsid w:val="007D09B3"/>
    <w:rsid w:val="007D2FAF"/>
    <w:rsid w:val="007D4BDE"/>
    <w:rsid w:val="007D5BEA"/>
    <w:rsid w:val="007D62BD"/>
    <w:rsid w:val="007D677C"/>
    <w:rsid w:val="007D6FDC"/>
    <w:rsid w:val="007D7C06"/>
    <w:rsid w:val="007E234A"/>
    <w:rsid w:val="007E2F36"/>
    <w:rsid w:val="007E40D2"/>
    <w:rsid w:val="007E515D"/>
    <w:rsid w:val="007E6A41"/>
    <w:rsid w:val="007E6C81"/>
    <w:rsid w:val="007E6FC7"/>
    <w:rsid w:val="007F05FC"/>
    <w:rsid w:val="007F11E2"/>
    <w:rsid w:val="007F13A4"/>
    <w:rsid w:val="007F1D74"/>
    <w:rsid w:val="007F3C2E"/>
    <w:rsid w:val="007F7D05"/>
    <w:rsid w:val="008001F4"/>
    <w:rsid w:val="00800AD8"/>
    <w:rsid w:val="00800D8D"/>
    <w:rsid w:val="00801836"/>
    <w:rsid w:val="00801CFD"/>
    <w:rsid w:val="00804095"/>
    <w:rsid w:val="00805453"/>
    <w:rsid w:val="00807387"/>
    <w:rsid w:val="00807460"/>
    <w:rsid w:val="00810542"/>
    <w:rsid w:val="00810D6E"/>
    <w:rsid w:val="00811084"/>
    <w:rsid w:val="0081203D"/>
    <w:rsid w:val="00813764"/>
    <w:rsid w:val="00813C52"/>
    <w:rsid w:val="00813C57"/>
    <w:rsid w:val="00814C6A"/>
    <w:rsid w:val="008173F0"/>
    <w:rsid w:val="00817F3A"/>
    <w:rsid w:val="008208D0"/>
    <w:rsid w:val="00820B86"/>
    <w:rsid w:val="00820F85"/>
    <w:rsid w:val="00821BDF"/>
    <w:rsid w:val="008220EA"/>
    <w:rsid w:val="0082265D"/>
    <w:rsid w:val="00822F01"/>
    <w:rsid w:val="008231FE"/>
    <w:rsid w:val="0082442D"/>
    <w:rsid w:val="008245D0"/>
    <w:rsid w:val="00827131"/>
    <w:rsid w:val="00827448"/>
    <w:rsid w:val="008316F8"/>
    <w:rsid w:val="00833020"/>
    <w:rsid w:val="00833431"/>
    <w:rsid w:val="008335AA"/>
    <w:rsid w:val="00835193"/>
    <w:rsid w:val="00836851"/>
    <w:rsid w:val="00836F29"/>
    <w:rsid w:val="00836FF1"/>
    <w:rsid w:val="00837D54"/>
    <w:rsid w:val="00843128"/>
    <w:rsid w:val="00843DF3"/>
    <w:rsid w:val="0084563D"/>
    <w:rsid w:val="00846711"/>
    <w:rsid w:val="00846F1D"/>
    <w:rsid w:val="008515B9"/>
    <w:rsid w:val="00851707"/>
    <w:rsid w:val="00852115"/>
    <w:rsid w:val="00854598"/>
    <w:rsid w:val="00856738"/>
    <w:rsid w:val="00856DA5"/>
    <w:rsid w:val="00863961"/>
    <w:rsid w:val="0086472F"/>
    <w:rsid w:val="0086556F"/>
    <w:rsid w:val="00865940"/>
    <w:rsid w:val="008665A4"/>
    <w:rsid w:val="0086732B"/>
    <w:rsid w:val="00872599"/>
    <w:rsid w:val="00872E8D"/>
    <w:rsid w:val="00874B80"/>
    <w:rsid w:val="00875E5C"/>
    <w:rsid w:val="008762A7"/>
    <w:rsid w:val="00877AFB"/>
    <w:rsid w:val="00880407"/>
    <w:rsid w:val="00881F41"/>
    <w:rsid w:val="00881F47"/>
    <w:rsid w:val="008828B3"/>
    <w:rsid w:val="00883A11"/>
    <w:rsid w:val="00883BFB"/>
    <w:rsid w:val="008846CB"/>
    <w:rsid w:val="008847B5"/>
    <w:rsid w:val="008849BC"/>
    <w:rsid w:val="0088733F"/>
    <w:rsid w:val="00887C72"/>
    <w:rsid w:val="008913C1"/>
    <w:rsid w:val="00892DFD"/>
    <w:rsid w:val="00892F79"/>
    <w:rsid w:val="00895210"/>
    <w:rsid w:val="0089539C"/>
    <w:rsid w:val="008964B6"/>
    <w:rsid w:val="00896C5B"/>
    <w:rsid w:val="008A0407"/>
    <w:rsid w:val="008A2775"/>
    <w:rsid w:val="008A356E"/>
    <w:rsid w:val="008A4B6E"/>
    <w:rsid w:val="008A54A5"/>
    <w:rsid w:val="008A6814"/>
    <w:rsid w:val="008B0F1E"/>
    <w:rsid w:val="008B248C"/>
    <w:rsid w:val="008B43E6"/>
    <w:rsid w:val="008B75CA"/>
    <w:rsid w:val="008C33A0"/>
    <w:rsid w:val="008C3564"/>
    <w:rsid w:val="008C52FB"/>
    <w:rsid w:val="008C5665"/>
    <w:rsid w:val="008C6F66"/>
    <w:rsid w:val="008D05D4"/>
    <w:rsid w:val="008D17A3"/>
    <w:rsid w:val="008D28CB"/>
    <w:rsid w:val="008D336F"/>
    <w:rsid w:val="008D3438"/>
    <w:rsid w:val="008D4B3B"/>
    <w:rsid w:val="008D5DC0"/>
    <w:rsid w:val="008D7832"/>
    <w:rsid w:val="008D7C17"/>
    <w:rsid w:val="008D7CB8"/>
    <w:rsid w:val="008E0C51"/>
    <w:rsid w:val="008E1329"/>
    <w:rsid w:val="008E1CEF"/>
    <w:rsid w:val="008E1FAC"/>
    <w:rsid w:val="008E28DC"/>
    <w:rsid w:val="008E3710"/>
    <w:rsid w:val="008E384F"/>
    <w:rsid w:val="008E4991"/>
    <w:rsid w:val="008E4D21"/>
    <w:rsid w:val="008E76CE"/>
    <w:rsid w:val="008E7C94"/>
    <w:rsid w:val="008F0DDD"/>
    <w:rsid w:val="008F239E"/>
    <w:rsid w:val="008F2C3C"/>
    <w:rsid w:val="008F2D2D"/>
    <w:rsid w:val="008F3459"/>
    <w:rsid w:val="008F3942"/>
    <w:rsid w:val="008F39A5"/>
    <w:rsid w:val="008F7098"/>
    <w:rsid w:val="008F766E"/>
    <w:rsid w:val="009003B8"/>
    <w:rsid w:val="00901B74"/>
    <w:rsid w:val="009105E5"/>
    <w:rsid w:val="0091356D"/>
    <w:rsid w:val="00913B0F"/>
    <w:rsid w:val="0091545F"/>
    <w:rsid w:val="00915777"/>
    <w:rsid w:val="00920180"/>
    <w:rsid w:val="00922501"/>
    <w:rsid w:val="00922CC9"/>
    <w:rsid w:val="00922F8F"/>
    <w:rsid w:val="0092335B"/>
    <w:rsid w:val="009239A2"/>
    <w:rsid w:val="009278E8"/>
    <w:rsid w:val="00930777"/>
    <w:rsid w:val="0093154F"/>
    <w:rsid w:val="00933742"/>
    <w:rsid w:val="009340A8"/>
    <w:rsid w:val="0093792C"/>
    <w:rsid w:val="009402E4"/>
    <w:rsid w:val="009415F9"/>
    <w:rsid w:val="00942028"/>
    <w:rsid w:val="009421BC"/>
    <w:rsid w:val="00942BCD"/>
    <w:rsid w:val="0094353F"/>
    <w:rsid w:val="00943A61"/>
    <w:rsid w:val="00944898"/>
    <w:rsid w:val="00944984"/>
    <w:rsid w:val="009456AA"/>
    <w:rsid w:val="0094583B"/>
    <w:rsid w:val="00945AD3"/>
    <w:rsid w:val="00946912"/>
    <w:rsid w:val="00946A0D"/>
    <w:rsid w:val="00946C28"/>
    <w:rsid w:val="0095029E"/>
    <w:rsid w:val="00950F4F"/>
    <w:rsid w:val="00951A15"/>
    <w:rsid w:val="00951D51"/>
    <w:rsid w:val="00951D65"/>
    <w:rsid w:val="00952E78"/>
    <w:rsid w:val="009539E7"/>
    <w:rsid w:val="00953D50"/>
    <w:rsid w:val="00956A02"/>
    <w:rsid w:val="009572F8"/>
    <w:rsid w:val="009600B7"/>
    <w:rsid w:val="0096030D"/>
    <w:rsid w:val="00962D0E"/>
    <w:rsid w:val="00962D51"/>
    <w:rsid w:val="00962D59"/>
    <w:rsid w:val="00965105"/>
    <w:rsid w:val="00965F99"/>
    <w:rsid w:val="00967B46"/>
    <w:rsid w:val="00970789"/>
    <w:rsid w:val="0097195C"/>
    <w:rsid w:val="009721F6"/>
    <w:rsid w:val="009742B2"/>
    <w:rsid w:val="0097580B"/>
    <w:rsid w:val="00975D4C"/>
    <w:rsid w:val="00980143"/>
    <w:rsid w:val="009816F5"/>
    <w:rsid w:val="0098267F"/>
    <w:rsid w:val="00983750"/>
    <w:rsid w:val="0098399E"/>
    <w:rsid w:val="00986485"/>
    <w:rsid w:val="0099066A"/>
    <w:rsid w:val="00990A62"/>
    <w:rsid w:val="00991577"/>
    <w:rsid w:val="00991737"/>
    <w:rsid w:val="0099390A"/>
    <w:rsid w:val="00994F18"/>
    <w:rsid w:val="0099512D"/>
    <w:rsid w:val="00995D17"/>
    <w:rsid w:val="00996A3D"/>
    <w:rsid w:val="009A0383"/>
    <w:rsid w:val="009A24CA"/>
    <w:rsid w:val="009A4765"/>
    <w:rsid w:val="009A49E1"/>
    <w:rsid w:val="009A678E"/>
    <w:rsid w:val="009A7AFC"/>
    <w:rsid w:val="009B0BCF"/>
    <w:rsid w:val="009B1A7C"/>
    <w:rsid w:val="009B3D43"/>
    <w:rsid w:val="009B49D4"/>
    <w:rsid w:val="009B4F7D"/>
    <w:rsid w:val="009B5E7C"/>
    <w:rsid w:val="009B7FF9"/>
    <w:rsid w:val="009C0193"/>
    <w:rsid w:val="009C049B"/>
    <w:rsid w:val="009C23DC"/>
    <w:rsid w:val="009C2470"/>
    <w:rsid w:val="009C2A21"/>
    <w:rsid w:val="009C2CEB"/>
    <w:rsid w:val="009C45A2"/>
    <w:rsid w:val="009C6143"/>
    <w:rsid w:val="009C6B02"/>
    <w:rsid w:val="009C6D9B"/>
    <w:rsid w:val="009C7611"/>
    <w:rsid w:val="009C7745"/>
    <w:rsid w:val="009C793C"/>
    <w:rsid w:val="009D0D27"/>
    <w:rsid w:val="009D2A06"/>
    <w:rsid w:val="009D2A9F"/>
    <w:rsid w:val="009D379B"/>
    <w:rsid w:val="009D3A54"/>
    <w:rsid w:val="009D4179"/>
    <w:rsid w:val="009D5AA3"/>
    <w:rsid w:val="009D6967"/>
    <w:rsid w:val="009E04D3"/>
    <w:rsid w:val="009E1934"/>
    <w:rsid w:val="009E2709"/>
    <w:rsid w:val="009E392F"/>
    <w:rsid w:val="009E5412"/>
    <w:rsid w:val="009E5C2E"/>
    <w:rsid w:val="009E67B9"/>
    <w:rsid w:val="009E6E2C"/>
    <w:rsid w:val="009E76E9"/>
    <w:rsid w:val="009E7FE2"/>
    <w:rsid w:val="009F29B3"/>
    <w:rsid w:val="009F2F21"/>
    <w:rsid w:val="009F3D1F"/>
    <w:rsid w:val="009F4C7E"/>
    <w:rsid w:val="009F5B68"/>
    <w:rsid w:val="009F6108"/>
    <w:rsid w:val="00A005B4"/>
    <w:rsid w:val="00A01405"/>
    <w:rsid w:val="00A02244"/>
    <w:rsid w:val="00A06C99"/>
    <w:rsid w:val="00A07DDC"/>
    <w:rsid w:val="00A10D2B"/>
    <w:rsid w:val="00A113CA"/>
    <w:rsid w:val="00A122C9"/>
    <w:rsid w:val="00A14303"/>
    <w:rsid w:val="00A162FE"/>
    <w:rsid w:val="00A170B0"/>
    <w:rsid w:val="00A1776A"/>
    <w:rsid w:val="00A17941"/>
    <w:rsid w:val="00A17AF4"/>
    <w:rsid w:val="00A17DD9"/>
    <w:rsid w:val="00A17FFE"/>
    <w:rsid w:val="00A2013F"/>
    <w:rsid w:val="00A203E6"/>
    <w:rsid w:val="00A206D2"/>
    <w:rsid w:val="00A208E3"/>
    <w:rsid w:val="00A20FA6"/>
    <w:rsid w:val="00A220DD"/>
    <w:rsid w:val="00A22819"/>
    <w:rsid w:val="00A228F0"/>
    <w:rsid w:val="00A2400D"/>
    <w:rsid w:val="00A25E62"/>
    <w:rsid w:val="00A262F2"/>
    <w:rsid w:val="00A26A95"/>
    <w:rsid w:val="00A26D42"/>
    <w:rsid w:val="00A3317E"/>
    <w:rsid w:val="00A37939"/>
    <w:rsid w:val="00A37DDB"/>
    <w:rsid w:val="00A40717"/>
    <w:rsid w:val="00A41076"/>
    <w:rsid w:val="00A417A4"/>
    <w:rsid w:val="00A421D9"/>
    <w:rsid w:val="00A42B2F"/>
    <w:rsid w:val="00A43973"/>
    <w:rsid w:val="00A44040"/>
    <w:rsid w:val="00A44457"/>
    <w:rsid w:val="00A44EA9"/>
    <w:rsid w:val="00A47C8E"/>
    <w:rsid w:val="00A50CCE"/>
    <w:rsid w:val="00A51E13"/>
    <w:rsid w:val="00A5248A"/>
    <w:rsid w:val="00A55F0A"/>
    <w:rsid w:val="00A604F2"/>
    <w:rsid w:val="00A61058"/>
    <w:rsid w:val="00A618F6"/>
    <w:rsid w:val="00A62598"/>
    <w:rsid w:val="00A6353D"/>
    <w:rsid w:val="00A650D2"/>
    <w:rsid w:val="00A65B79"/>
    <w:rsid w:val="00A6796C"/>
    <w:rsid w:val="00A67AD9"/>
    <w:rsid w:val="00A71834"/>
    <w:rsid w:val="00A72FE4"/>
    <w:rsid w:val="00A7315E"/>
    <w:rsid w:val="00A7445D"/>
    <w:rsid w:val="00A74DE3"/>
    <w:rsid w:val="00A7681E"/>
    <w:rsid w:val="00A76AE9"/>
    <w:rsid w:val="00A8008A"/>
    <w:rsid w:val="00A82758"/>
    <w:rsid w:val="00A82960"/>
    <w:rsid w:val="00A83040"/>
    <w:rsid w:val="00A83A70"/>
    <w:rsid w:val="00A8466D"/>
    <w:rsid w:val="00A84A94"/>
    <w:rsid w:val="00A856EA"/>
    <w:rsid w:val="00A867C0"/>
    <w:rsid w:val="00A87539"/>
    <w:rsid w:val="00A87D96"/>
    <w:rsid w:val="00A90B4D"/>
    <w:rsid w:val="00A91BBB"/>
    <w:rsid w:val="00A92A68"/>
    <w:rsid w:val="00A92FD6"/>
    <w:rsid w:val="00A943C7"/>
    <w:rsid w:val="00A95A1F"/>
    <w:rsid w:val="00A95BDF"/>
    <w:rsid w:val="00A9699F"/>
    <w:rsid w:val="00A96BC5"/>
    <w:rsid w:val="00A97C2F"/>
    <w:rsid w:val="00AA1496"/>
    <w:rsid w:val="00AA2BCB"/>
    <w:rsid w:val="00AA2CBF"/>
    <w:rsid w:val="00AA4615"/>
    <w:rsid w:val="00AA50DE"/>
    <w:rsid w:val="00AA5314"/>
    <w:rsid w:val="00AA5FBC"/>
    <w:rsid w:val="00AA6BE1"/>
    <w:rsid w:val="00AA7763"/>
    <w:rsid w:val="00AB2BE7"/>
    <w:rsid w:val="00AB3871"/>
    <w:rsid w:val="00AB3F47"/>
    <w:rsid w:val="00AB5295"/>
    <w:rsid w:val="00AB5A60"/>
    <w:rsid w:val="00AB5F09"/>
    <w:rsid w:val="00AB70E2"/>
    <w:rsid w:val="00AC0691"/>
    <w:rsid w:val="00AC2439"/>
    <w:rsid w:val="00AC490A"/>
    <w:rsid w:val="00AC66A5"/>
    <w:rsid w:val="00AC7264"/>
    <w:rsid w:val="00AC7E77"/>
    <w:rsid w:val="00AD3AF0"/>
    <w:rsid w:val="00AD3FDA"/>
    <w:rsid w:val="00AD658E"/>
    <w:rsid w:val="00AD6DA8"/>
    <w:rsid w:val="00AD70BD"/>
    <w:rsid w:val="00AE01F0"/>
    <w:rsid w:val="00AE02A3"/>
    <w:rsid w:val="00AE1B76"/>
    <w:rsid w:val="00AE3ECB"/>
    <w:rsid w:val="00AE4D35"/>
    <w:rsid w:val="00AE500B"/>
    <w:rsid w:val="00AF1164"/>
    <w:rsid w:val="00AF11EA"/>
    <w:rsid w:val="00AF1507"/>
    <w:rsid w:val="00AF1735"/>
    <w:rsid w:val="00AF3F18"/>
    <w:rsid w:val="00AF5823"/>
    <w:rsid w:val="00AF66A5"/>
    <w:rsid w:val="00AF79D2"/>
    <w:rsid w:val="00B004F5"/>
    <w:rsid w:val="00B00ADB"/>
    <w:rsid w:val="00B01566"/>
    <w:rsid w:val="00B01F86"/>
    <w:rsid w:val="00B0204E"/>
    <w:rsid w:val="00B02802"/>
    <w:rsid w:val="00B02ED1"/>
    <w:rsid w:val="00B03011"/>
    <w:rsid w:val="00B03835"/>
    <w:rsid w:val="00B04199"/>
    <w:rsid w:val="00B04412"/>
    <w:rsid w:val="00B05949"/>
    <w:rsid w:val="00B111AF"/>
    <w:rsid w:val="00B141CF"/>
    <w:rsid w:val="00B14407"/>
    <w:rsid w:val="00B158D4"/>
    <w:rsid w:val="00B15943"/>
    <w:rsid w:val="00B17821"/>
    <w:rsid w:val="00B2038A"/>
    <w:rsid w:val="00B226E6"/>
    <w:rsid w:val="00B22C28"/>
    <w:rsid w:val="00B23291"/>
    <w:rsid w:val="00B2516E"/>
    <w:rsid w:val="00B25C20"/>
    <w:rsid w:val="00B30386"/>
    <w:rsid w:val="00B30B0F"/>
    <w:rsid w:val="00B3133E"/>
    <w:rsid w:val="00B33914"/>
    <w:rsid w:val="00B34A32"/>
    <w:rsid w:val="00B3698C"/>
    <w:rsid w:val="00B36DAD"/>
    <w:rsid w:val="00B40B98"/>
    <w:rsid w:val="00B42144"/>
    <w:rsid w:val="00B47275"/>
    <w:rsid w:val="00B47B5C"/>
    <w:rsid w:val="00B50388"/>
    <w:rsid w:val="00B503FE"/>
    <w:rsid w:val="00B51624"/>
    <w:rsid w:val="00B525BB"/>
    <w:rsid w:val="00B52FD7"/>
    <w:rsid w:val="00B55234"/>
    <w:rsid w:val="00B55EA8"/>
    <w:rsid w:val="00B6023B"/>
    <w:rsid w:val="00B6157C"/>
    <w:rsid w:val="00B62536"/>
    <w:rsid w:val="00B62FF2"/>
    <w:rsid w:val="00B63B5F"/>
    <w:rsid w:val="00B64EEF"/>
    <w:rsid w:val="00B6531B"/>
    <w:rsid w:val="00B65FEE"/>
    <w:rsid w:val="00B66D04"/>
    <w:rsid w:val="00B67002"/>
    <w:rsid w:val="00B7134B"/>
    <w:rsid w:val="00B71D8C"/>
    <w:rsid w:val="00B736F5"/>
    <w:rsid w:val="00B75CAE"/>
    <w:rsid w:val="00B75F5C"/>
    <w:rsid w:val="00B772BC"/>
    <w:rsid w:val="00B77BE8"/>
    <w:rsid w:val="00B82EAB"/>
    <w:rsid w:val="00B82F71"/>
    <w:rsid w:val="00B84162"/>
    <w:rsid w:val="00B84E28"/>
    <w:rsid w:val="00B85613"/>
    <w:rsid w:val="00B85C15"/>
    <w:rsid w:val="00B85F3C"/>
    <w:rsid w:val="00B86E62"/>
    <w:rsid w:val="00B87389"/>
    <w:rsid w:val="00B90FB8"/>
    <w:rsid w:val="00B91265"/>
    <w:rsid w:val="00B92DA5"/>
    <w:rsid w:val="00B9449B"/>
    <w:rsid w:val="00B94751"/>
    <w:rsid w:val="00B947AF"/>
    <w:rsid w:val="00B94EA1"/>
    <w:rsid w:val="00B95451"/>
    <w:rsid w:val="00BA0206"/>
    <w:rsid w:val="00BA054F"/>
    <w:rsid w:val="00BA299F"/>
    <w:rsid w:val="00BA2FEA"/>
    <w:rsid w:val="00BA338D"/>
    <w:rsid w:val="00BA3C5D"/>
    <w:rsid w:val="00BA3E1C"/>
    <w:rsid w:val="00BA41FC"/>
    <w:rsid w:val="00BA5843"/>
    <w:rsid w:val="00BA6631"/>
    <w:rsid w:val="00BA7758"/>
    <w:rsid w:val="00BB183B"/>
    <w:rsid w:val="00BB2BFD"/>
    <w:rsid w:val="00BB2CA5"/>
    <w:rsid w:val="00BB3DBB"/>
    <w:rsid w:val="00BB4D9B"/>
    <w:rsid w:val="00BB5197"/>
    <w:rsid w:val="00BB759C"/>
    <w:rsid w:val="00BC0D6B"/>
    <w:rsid w:val="00BC15F0"/>
    <w:rsid w:val="00BC1700"/>
    <w:rsid w:val="00BC33D0"/>
    <w:rsid w:val="00BC7AE2"/>
    <w:rsid w:val="00BC7BCD"/>
    <w:rsid w:val="00BD03CE"/>
    <w:rsid w:val="00BD12F4"/>
    <w:rsid w:val="00BD424D"/>
    <w:rsid w:val="00BD44C9"/>
    <w:rsid w:val="00BD452D"/>
    <w:rsid w:val="00BD5018"/>
    <w:rsid w:val="00BD528E"/>
    <w:rsid w:val="00BD6039"/>
    <w:rsid w:val="00BD6E6E"/>
    <w:rsid w:val="00BD7395"/>
    <w:rsid w:val="00BE0F7E"/>
    <w:rsid w:val="00BE2404"/>
    <w:rsid w:val="00BE26B5"/>
    <w:rsid w:val="00BE2882"/>
    <w:rsid w:val="00BE2EDE"/>
    <w:rsid w:val="00BE4408"/>
    <w:rsid w:val="00BE594B"/>
    <w:rsid w:val="00BE5BAC"/>
    <w:rsid w:val="00BE76FD"/>
    <w:rsid w:val="00BE7E71"/>
    <w:rsid w:val="00BF0AB8"/>
    <w:rsid w:val="00BF1EE9"/>
    <w:rsid w:val="00BF316C"/>
    <w:rsid w:val="00BF3277"/>
    <w:rsid w:val="00BF407A"/>
    <w:rsid w:val="00BF49C9"/>
    <w:rsid w:val="00BF49CE"/>
    <w:rsid w:val="00BF7A1F"/>
    <w:rsid w:val="00C0059C"/>
    <w:rsid w:val="00C018B4"/>
    <w:rsid w:val="00C01D97"/>
    <w:rsid w:val="00C01E5F"/>
    <w:rsid w:val="00C0292C"/>
    <w:rsid w:val="00C036A3"/>
    <w:rsid w:val="00C07259"/>
    <w:rsid w:val="00C10309"/>
    <w:rsid w:val="00C10384"/>
    <w:rsid w:val="00C11917"/>
    <w:rsid w:val="00C11C1B"/>
    <w:rsid w:val="00C11E8B"/>
    <w:rsid w:val="00C124C7"/>
    <w:rsid w:val="00C135BF"/>
    <w:rsid w:val="00C146DA"/>
    <w:rsid w:val="00C14814"/>
    <w:rsid w:val="00C155EA"/>
    <w:rsid w:val="00C1759E"/>
    <w:rsid w:val="00C20792"/>
    <w:rsid w:val="00C21DCA"/>
    <w:rsid w:val="00C22691"/>
    <w:rsid w:val="00C22A36"/>
    <w:rsid w:val="00C22FAC"/>
    <w:rsid w:val="00C23008"/>
    <w:rsid w:val="00C2333F"/>
    <w:rsid w:val="00C2453D"/>
    <w:rsid w:val="00C24FF0"/>
    <w:rsid w:val="00C25B5A"/>
    <w:rsid w:val="00C30D24"/>
    <w:rsid w:val="00C30F81"/>
    <w:rsid w:val="00C31253"/>
    <w:rsid w:val="00C313BE"/>
    <w:rsid w:val="00C32D09"/>
    <w:rsid w:val="00C3356E"/>
    <w:rsid w:val="00C33C92"/>
    <w:rsid w:val="00C37085"/>
    <w:rsid w:val="00C37972"/>
    <w:rsid w:val="00C41D53"/>
    <w:rsid w:val="00C445FD"/>
    <w:rsid w:val="00C446A0"/>
    <w:rsid w:val="00C44D1B"/>
    <w:rsid w:val="00C47F77"/>
    <w:rsid w:val="00C50C7E"/>
    <w:rsid w:val="00C52FF6"/>
    <w:rsid w:val="00C53289"/>
    <w:rsid w:val="00C5388E"/>
    <w:rsid w:val="00C55582"/>
    <w:rsid w:val="00C56E99"/>
    <w:rsid w:val="00C60365"/>
    <w:rsid w:val="00C61538"/>
    <w:rsid w:val="00C61A54"/>
    <w:rsid w:val="00C61D86"/>
    <w:rsid w:val="00C61EA1"/>
    <w:rsid w:val="00C6267C"/>
    <w:rsid w:val="00C63718"/>
    <w:rsid w:val="00C63C55"/>
    <w:rsid w:val="00C65127"/>
    <w:rsid w:val="00C659BC"/>
    <w:rsid w:val="00C659D7"/>
    <w:rsid w:val="00C71547"/>
    <w:rsid w:val="00C715FC"/>
    <w:rsid w:val="00C7191B"/>
    <w:rsid w:val="00C727B6"/>
    <w:rsid w:val="00C74326"/>
    <w:rsid w:val="00C744F0"/>
    <w:rsid w:val="00C76CD0"/>
    <w:rsid w:val="00C80094"/>
    <w:rsid w:val="00C821D4"/>
    <w:rsid w:val="00C82248"/>
    <w:rsid w:val="00C83B9F"/>
    <w:rsid w:val="00C86BD2"/>
    <w:rsid w:val="00C8717F"/>
    <w:rsid w:val="00C87561"/>
    <w:rsid w:val="00C87AFB"/>
    <w:rsid w:val="00C87B21"/>
    <w:rsid w:val="00C9138E"/>
    <w:rsid w:val="00C9293F"/>
    <w:rsid w:val="00C9327D"/>
    <w:rsid w:val="00C9386D"/>
    <w:rsid w:val="00C93C7D"/>
    <w:rsid w:val="00C969CA"/>
    <w:rsid w:val="00C96A52"/>
    <w:rsid w:val="00CA1F22"/>
    <w:rsid w:val="00CA3D64"/>
    <w:rsid w:val="00CA6084"/>
    <w:rsid w:val="00CB0289"/>
    <w:rsid w:val="00CB0546"/>
    <w:rsid w:val="00CB1453"/>
    <w:rsid w:val="00CB2125"/>
    <w:rsid w:val="00CB24C6"/>
    <w:rsid w:val="00CB2E57"/>
    <w:rsid w:val="00CB3495"/>
    <w:rsid w:val="00CB3C4A"/>
    <w:rsid w:val="00CB3DA2"/>
    <w:rsid w:val="00CB4237"/>
    <w:rsid w:val="00CB575A"/>
    <w:rsid w:val="00CB6F1D"/>
    <w:rsid w:val="00CC005F"/>
    <w:rsid w:val="00CC0C27"/>
    <w:rsid w:val="00CC26BC"/>
    <w:rsid w:val="00CC41E1"/>
    <w:rsid w:val="00CC55EC"/>
    <w:rsid w:val="00CC5A4B"/>
    <w:rsid w:val="00CC6D1C"/>
    <w:rsid w:val="00CC709B"/>
    <w:rsid w:val="00CD02E8"/>
    <w:rsid w:val="00CD39F6"/>
    <w:rsid w:val="00CD3B91"/>
    <w:rsid w:val="00CD3C3D"/>
    <w:rsid w:val="00CD4E19"/>
    <w:rsid w:val="00CD5AA6"/>
    <w:rsid w:val="00CD5C37"/>
    <w:rsid w:val="00CD62A6"/>
    <w:rsid w:val="00CD70C7"/>
    <w:rsid w:val="00CE1C82"/>
    <w:rsid w:val="00CE22E7"/>
    <w:rsid w:val="00CE2A89"/>
    <w:rsid w:val="00CE3027"/>
    <w:rsid w:val="00CE43CD"/>
    <w:rsid w:val="00CE44E5"/>
    <w:rsid w:val="00CE6072"/>
    <w:rsid w:val="00CE6F05"/>
    <w:rsid w:val="00CE7195"/>
    <w:rsid w:val="00CF13A1"/>
    <w:rsid w:val="00CF151E"/>
    <w:rsid w:val="00CF183F"/>
    <w:rsid w:val="00CF2337"/>
    <w:rsid w:val="00CF32C2"/>
    <w:rsid w:val="00D005C1"/>
    <w:rsid w:val="00D0116A"/>
    <w:rsid w:val="00D016CE"/>
    <w:rsid w:val="00D03366"/>
    <w:rsid w:val="00D03D95"/>
    <w:rsid w:val="00D042D0"/>
    <w:rsid w:val="00D068A2"/>
    <w:rsid w:val="00D069FC"/>
    <w:rsid w:val="00D1050C"/>
    <w:rsid w:val="00D11677"/>
    <w:rsid w:val="00D12371"/>
    <w:rsid w:val="00D133F1"/>
    <w:rsid w:val="00D134EA"/>
    <w:rsid w:val="00D17E16"/>
    <w:rsid w:val="00D17F4D"/>
    <w:rsid w:val="00D20510"/>
    <w:rsid w:val="00D21018"/>
    <w:rsid w:val="00D23409"/>
    <w:rsid w:val="00D24D59"/>
    <w:rsid w:val="00D2546F"/>
    <w:rsid w:val="00D25A3E"/>
    <w:rsid w:val="00D27E52"/>
    <w:rsid w:val="00D3054E"/>
    <w:rsid w:val="00D31091"/>
    <w:rsid w:val="00D31E5B"/>
    <w:rsid w:val="00D34862"/>
    <w:rsid w:val="00D40F92"/>
    <w:rsid w:val="00D43565"/>
    <w:rsid w:val="00D43F58"/>
    <w:rsid w:val="00D45515"/>
    <w:rsid w:val="00D47F1E"/>
    <w:rsid w:val="00D509B4"/>
    <w:rsid w:val="00D50C1E"/>
    <w:rsid w:val="00D52B34"/>
    <w:rsid w:val="00D52BBF"/>
    <w:rsid w:val="00D533EA"/>
    <w:rsid w:val="00D54624"/>
    <w:rsid w:val="00D54AA4"/>
    <w:rsid w:val="00D57251"/>
    <w:rsid w:val="00D57613"/>
    <w:rsid w:val="00D60B64"/>
    <w:rsid w:val="00D610C3"/>
    <w:rsid w:val="00D62B78"/>
    <w:rsid w:val="00D63049"/>
    <w:rsid w:val="00D63C8F"/>
    <w:rsid w:val="00D6499C"/>
    <w:rsid w:val="00D65654"/>
    <w:rsid w:val="00D6761A"/>
    <w:rsid w:val="00D70937"/>
    <w:rsid w:val="00D70B5F"/>
    <w:rsid w:val="00D7215B"/>
    <w:rsid w:val="00D725C7"/>
    <w:rsid w:val="00D730D2"/>
    <w:rsid w:val="00D737CE"/>
    <w:rsid w:val="00D749A7"/>
    <w:rsid w:val="00D74DA3"/>
    <w:rsid w:val="00D7509A"/>
    <w:rsid w:val="00D75468"/>
    <w:rsid w:val="00D76273"/>
    <w:rsid w:val="00D778DF"/>
    <w:rsid w:val="00D832DE"/>
    <w:rsid w:val="00D8353E"/>
    <w:rsid w:val="00D83FC6"/>
    <w:rsid w:val="00D85014"/>
    <w:rsid w:val="00D850E8"/>
    <w:rsid w:val="00D85F84"/>
    <w:rsid w:val="00D861C7"/>
    <w:rsid w:val="00D86FF2"/>
    <w:rsid w:val="00D87C45"/>
    <w:rsid w:val="00D9145D"/>
    <w:rsid w:val="00D92523"/>
    <w:rsid w:val="00D92A5D"/>
    <w:rsid w:val="00D944E0"/>
    <w:rsid w:val="00D9475E"/>
    <w:rsid w:val="00D959A1"/>
    <w:rsid w:val="00D96580"/>
    <w:rsid w:val="00D97434"/>
    <w:rsid w:val="00DA0845"/>
    <w:rsid w:val="00DA138A"/>
    <w:rsid w:val="00DA2439"/>
    <w:rsid w:val="00DA6533"/>
    <w:rsid w:val="00DA714E"/>
    <w:rsid w:val="00DA753D"/>
    <w:rsid w:val="00DB023D"/>
    <w:rsid w:val="00DB131B"/>
    <w:rsid w:val="00DB2AC9"/>
    <w:rsid w:val="00DB3AA8"/>
    <w:rsid w:val="00DB41B1"/>
    <w:rsid w:val="00DB57D4"/>
    <w:rsid w:val="00DB6323"/>
    <w:rsid w:val="00DB6521"/>
    <w:rsid w:val="00DB6661"/>
    <w:rsid w:val="00DB6892"/>
    <w:rsid w:val="00DB6E53"/>
    <w:rsid w:val="00DC1E01"/>
    <w:rsid w:val="00DC32BD"/>
    <w:rsid w:val="00DC5AC4"/>
    <w:rsid w:val="00DC5DA0"/>
    <w:rsid w:val="00DC5E91"/>
    <w:rsid w:val="00DC6399"/>
    <w:rsid w:val="00DC6FB9"/>
    <w:rsid w:val="00DC707E"/>
    <w:rsid w:val="00DD1D3A"/>
    <w:rsid w:val="00DD4605"/>
    <w:rsid w:val="00DD4BEF"/>
    <w:rsid w:val="00DD4DBC"/>
    <w:rsid w:val="00DD5405"/>
    <w:rsid w:val="00DD55DA"/>
    <w:rsid w:val="00DD5637"/>
    <w:rsid w:val="00DD60C1"/>
    <w:rsid w:val="00DD64F6"/>
    <w:rsid w:val="00DD7AEF"/>
    <w:rsid w:val="00DE06D2"/>
    <w:rsid w:val="00DE180C"/>
    <w:rsid w:val="00DE295E"/>
    <w:rsid w:val="00DE364F"/>
    <w:rsid w:val="00DE36D3"/>
    <w:rsid w:val="00DE4467"/>
    <w:rsid w:val="00DE5976"/>
    <w:rsid w:val="00DE5FE6"/>
    <w:rsid w:val="00DE6046"/>
    <w:rsid w:val="00DE720D"/>
    <w:rsid w:val="00DE74D3"/>
    <w:rsid w:val="00DF0FD1"/>
    <w:rsid w:val="00DF1481"/>
    <w:rsid w:val="00DF162F"/>
    <w:rsid w:val="00DF2CB4"/>
    <w:rsid w:val="00DF330D"/>
    <w:rsid w:val="00DF33DE"/>
    <w:rsid w:val="00DF34C1"/>
    <w:rsid w:val="00DF3C7F"/>
    <w:rsid w:val="00DF4D99"/>
    <w:rsid w:val="00DF6220"/>
    <w:rsid w:val="00DF73A2"/>
    <w:rsid w:val="00DF7713"/>
    <w:rsid w:val="00DF7C16"/>
    <w:rsid w:val="00E01B29"/>
    <w:rsid w:val="00E029E7"/>
    <w:rsid w:val="00E05D29"/>
    <w:rsid w:val="00E06F9B"/>
    <w:rsid w:val="00E104E6"/>
    <w:rsid w:val="00E143C7"/>
    <w:rsid w:val="00E14CDF"/>
    <w:rsid w:val="00E173C6"/>
    <w:rsid w:val="00E2125C"/>
    <w:rsid w:val="00E2273F"/>
    <w:rsid w:val="00E22EFF"/>
    <w:rsid w:val="00E24E6D"/>
    <w:rsid w:val="00E34997"/>
    <w:rsid w:val="00E34C56"/>
    <w:rsid w:val="00E34D2F"/>
    <w:rsid w:val="00E34F56"/>
    <w:rsid w:val="00E351EE"/>
    <w:rsid w:val="00E35982"/>
    <w:rsid w:val="00E36952"/>
    <w:rsid w:val="00E36E68"/>
    <w:rsid w:val="00E37FE3"/>
    <w:rsid w:val="00E4071E"/>
    <w:rsid w:val="00E40BD9"/>
    <w:rsid w:val="00E414E2"/>
    <w:rsid w:val="00E4489E"/>
    <w:rsid w:val="00E46A87"/>
    <w:rsid w:val="00E4715A"/>
    <w:rsid w:val="00E473FE"/>
    <w:rsid w:val="00E544C0"/>
    <w:rsid w:val="00E56B01"/>
    <w:rsid w:val="00E57F7B"/>
    <w:rsid w:val="00E61540"/>
    <w:rsid w:val="00E61AD5"/>
    <w:rsid w:val="00E61F4C"/>
    <w:rsid w:val="00E63114"/>
    <w:rsid w:val="00E650AE"/>
    <w:rsid w:val="00E65C05"/>
    <w:rsid w:val="00E664C7"/>
    <w:rsid w:val="00E73750"/>
    <w:rsid w:val="00E74B6B"/>
    <w:rsid w:val="00E800E6"/>
    <w:rsid w:val="00E8112B"/>
    <w:rsid w:val="00E81221"/>
    <w:rsid w:val="00E82751"/>
    <w:rsid w:val="00E839BB"/>
    <w:rsid w:val="00E83E38"/>
    <w:rsid w:val="00E850A5"/>
    <w:rsid w:val="00E85136"/>
    <w:rsid w:val="00E8584F"/>
    <w:rsid w:val="00E868A7"/>
    <w:rsid w:val="00E86DD7"/>
    <w:rsid w:val="00E9067A"/>
    <w:rsid w:val="00E90845"/>
    <w:rsid w:val="00E92308"/>
    <w:rsid w:val="00E935D4"/>
    <w:rsid w:val="00E93D15"/>
    <w:rsid w:val="00E94440"/>
    <w:rsid w:val="00E94E94"/>
    <w:rsid w:val="00E952E0"/>
    <w:rsid w:val="00E96623"/>
    <w:rsid w:val="00E96929"/>
    <w:rsid w:val="00E975A7"/>
    <w:rsid w:val="00EA07DB"/>
    <w:rsid w:val="00EA2490"/>
    <w:rsid w:val="00EA2C74"/>
    <w:rsid w:val="00EA39C4"/>
    <w:rsid w:val="00EA4AD5"/>
    <w:rsid w:val="00EA57A5"/>
    <w:rsid w:val="00EB078B"/>
    <w:rsid w:val="00EB1FE3"/>
    <w:rsid w:val="00EB346F"/>
    <w:rsid w:val="00EB395A"/>
    <w:rsid w:val="00EB4DFC"/>
    <w:rsid w:val="00EB57DF"/>
    <w:rsid w:val="00EB59AA"/>
    <w:rsid w:val="00EB64BA"/>
    <w:rsid w:val="00EB6920"/>
    <w:rsid w:val="00EB6A46"/>
    <w:rsid w:val="00EB722D"/>
    <w:rsid w:val="00EB73E8"/>
    <w:rsid w:val="00EC0B51"/>
    <w:rsid w:val="00EC237D"/>
    <w:rsid w:val="00EC39D3"/>
    <w:rsid w:val="00EC60D4"/>
    <w:rsid w:val="00EC630A"/>
    <w:rsid w:val="00EC6394"/>
    <w:rsid w:val="00EC6B29"/>
    <w:rsid w:val="00EC6B41"/>
    <w:rsid w:val="00EC74AC"/>
    <w:rsid w:val="00EC7BD2"/>
    <w:rsid w:val="00ED2690"/>
    <w:rsid w:val="00ED52C4"/>
    <w:rsid w:val="00ED63D4"/>
    <w:rsid w:val="00ED669F"/>
    <w:rsid w:val="00EE0E6E"/>
    <w:rsid w:val="00EE34B2"/>
    <w:rsid w:val="00EE40CB"/>
    <w:rsid w:val="00EE4558"/>
    <w:rsid w:val="00EE5A45"/>
    <w:rsid w:val="00EE5B1D"/>
    <w:rsid w:val="00EE6AA3"/>
    <w:rsid w:val="00EF0772"/>
    <w:rsid w:val="00EF22FA"/>
    <w:rsid w:val="00EF2DD6"/>
    <w:rsid w:val="00EF3C41"/>
    <w:rsid w:val="00EF3E5D"/>
    <w:rsid w:val="00F01AFC"/>
    <w:rsid w:val="00F040F5"/>
    <w:rsid w:val="00F0454C"/>
    <w:rsid w:val="00F04570"/>
    <w:rsid w:val="00F052F8"/>
    <w:rsid w:val="00F10386"/>
    <w:rsid w:val="00F10CA9"/>
    <w:rsid w:val="00F1168E"/>
    <w:rsid w:val="00F13546"/>
    <w:rsid w:val="00F1458A"/>
    <w:rsid w:val="00F15953"/>
    <w:rsid w:val="00F15B4A"/>
    <w:rsid w:val="00F15E41"/>
    <w:rsid w:val="00F20FEC"/>
    <w:rsid w:val="00F21D44"/>
    <w:rsid w:val="00F2234B"/>
    <w:rsid w:val="00F238D5"/>
    <w:rsid w:val="00F270E5"/>
    <w:rsid w:val="00F27286"/>
    <w:rsid w:val="00F2763C"/>
    <w:rsid w:val="00F302BA"/>
    <w:rsid w:val="00F31BD0"/>
    <w:rsid w:val="00F32B1E"/>
    <w:rsid w:val="00F34B64"/>
    <w:rsid w:val="00F35520"/>
    <w:rsid w:val="00F363E9"/>
    <w:rsid w:val="00F37A03"/>
    <w:rsid w:val="00F431E3"/>
    <w:rsid w:val="00F43267"/>
    <w:rsid w:val="00F46BE2"/>
    <w:rsid w:val="00F50032"/>
    <w:rsid w:val="00F517A7"/>
    <w:rsid w:val="00F51D2B"/>
    <w:rsid w:val="00F52412"/>
    <w:rsid w:val="00F53357"/>
    <w:rsid w:val="00F53ADF"/>
    <w:rsid w:val="00F54C9F"/>
    <w:rsid w:val="00F551E8"/>
    <w:rsid w:val="00F57AC9"/>
    <w:rsid w:val="00F57B84"/>
    <w:rsid w:val="00F61561"/>
    <w:rsid w:val="00F6178A"/>
    <w:rsid w:val="00F627D4"/>
    <w:rsid w:val="00F629B9"/>
    <w:rsid w:val="00F6312D"/>
    <w:rsid w:val="00F639BB"/>
    <w:rsid w:val="00F64F2F"/>
    <w:rsid w:val="00F671AF"/>
    <w:rsid w:val="00F67876"/>
    <w:rsid w:val="00F6798B"/>
    <w:rsid w:val="00F67FA1"/>
    <w:rsid w:val="00F705C1"/>
    <w:rsid w:val="00F70D53"/>
    <w:rsid w:val="00F72274"/>
    <w:rsid w:val="00F747C6"/>
    <w:rsid w:val="00F75891"/>
    <w:rsid w:val="00F776DA"/>
    <w:rsid w:val="00F80D92"/>
    <w:rsid w:val="00F812B8"/>
    <w:rsid w:val="00F8277F"/>
    <w:rsid w:val="00F83BA3"/>
    <w:rsid w:val="00F85446"/>
    <w:rsid w:val="00F8738D"/>
    <w:rsid w:val="00F902F6"/>
    <w:rsid w:val="00F9180B"/>
    <w:rsid w:val="00F92331"/>
    <w:rsid w:val="00F924E2"/>
    <w:rsid w:val="00F93C8A"/>
    <w:rsid w:val="00F950E8"/>
    <w:rsid w:val="00F9556A"/>
    <w:rsid w:val="00F959A2"/>
    <w:rsid w:val="00F95C7C"/>
    <w:rsid w:val="00F973B4"/>
    <w:rsid w:val="00FA020C"/>
    <w:rsid w:val="00FA02B3"/>
    <w:rsid w:val="00FA08DA"/>
    <w:rsid w:val="00FA117C"/>
    <w:rsid w:val="00FA28CA"/>
    <w:rsid w:val="00FA2FBB"/>
    <w:rsid w:val="00FA53DE"/>
    <w:rsid w:val="00FA6AE7"/>
    <w:rsid w:val="00FA6BDD"/>
    <w:rsid w:val="00FB0DFB"/>
    <w:rsid w:val="00FB12AC"/>
    <w:rsid w:val="00FB20CF"/>
    <w:rsid w:val="00FB4839"/>
    <w:rsid w:val="00FB6B3F"/>
    <w:rsid w:val="00FC05C6"/>
    <w:rsid w:val="00FC1248"/>
    <w:rsid w:val="00FC13D5"/>
    <w:rsid w:val="00FC1AAF"/>
    <w:rsid w:val="00FC25E0"/>
    <w:rsid w:val="00FC2D6F"/>
    <w:rsid w:val="00FC46FD"/>
    <w:rsid w:val="00FC58EA"/>
    <w:rsid w:val="00FC674E"/>
    <w:rsid w:val="00FC73F6"/>
    <w:rsid w:val="00FD0941"/>
    <w:rsid w:val="00FD0D0F"/>
    <w:rsid w:val="00FD1137"/>
    <w:rsid w:val="00FD194D"/>
    <w:rsid w:val="00FD1AE2"/>
    <w:rsid w:val="00FD1D47"/>
    <w:rsid w:val="00FD247B"/>
    <w:rsid w:val="00FD27DC"/>
    <w:rsid w:val="00FD3CB9"/>
    <w:rsid w:val="00FD51CF"/>
    <w:rsid w:val="00FD61A0"/>
    <w:rsid w:val="00FD6F1E"/>
    <w:rsid w:val="00FD736E"/>
    <w:rsid w:val="00FD7F43"/>
    <w:rsid w:val="00FE13C3"/>
    <w:rsid w:val="00FE1C62"/>
    <w:rsid w:val="00FE23E0"/>
    <w:rsid w:val="00FE3BBD"/>
    <w:rsid w:val="00FE5A85"/>
    <w:rsid w:val="00FE6202"/>
    <w:rsid w:val="00FE72BC"/>
    <w:rsid w:val="00FE7A8C"/>
    <w:rsid w:val="00FF0550"/>
    <w:rsid w:val="00FF2716"/>
    <w:rsid w:val="00FF3355"/>
    <w:rsid w:val="00FF5239"/>
    <w:rsid w:val="00FF568C"/>
    <w:rsid w:val="00FF6B27"/>
    <w:rsid w:val="00FF73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3625C120-CFF3-41D4-B160-950139E0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A3"/>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rsid w:val="002C2235"/>
    <w:pPr>
      <w:spacing w:before="100" w:beforeAutospacing="1" w:after="100" w:afterAutospacing="1"/>
    </w:pPr>
    <w:rPr>
      <w:rFonts w:eastAsia="Arial Unicode MS"/>
    </w:rPr>
  </w:style>
  <w:style w:type="paragraph" w:styleId="Footer">
    <w:name w:val="footer"/>
    <w:basedOn w:val="Normal"/>
    <w:link w:val="FooterChar"/>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rsid w:val="009402E4"/>
    <w:rPr>
      <w:color w:val="0000FF"/>
      <w:u w:val="single"/>
    </w:rPr>
  </w:style>
  <w:style w:type="paragraph" w:styleId="Title">
    <w:name w:val="Title"/>
    <w:basedOn w:val="Normal"/>
    <w:qFormat/>
    <w:rsid w:val="00EB6920"/>
    <w:pPr>
      <w:jc w:val="center"/>
    </w:pPr>
    <w:rPr>
      <w:b/>
      <w:sz w:val="28"/>
      <w:szCs w:val="20"/>
      <w:lang w:val="lv-LV"/>
    </w:rPr>
  </w:style>
  <w:style w:type="paragraph" w:styleId="NoSpacing">
    <w:name w:val="No Spacing"/>
    <w:qFormat/>
    <w:rsid w:val="00B55EA8"/>
    <w:rPr>
      <w:rFonts w:ascii="Calibri" w:eastAsia="Calibri" w:hAnsi="Calibri"/>
      <w:sz w:val="22"/>
      <w:szCs w:val="22"/>
      <w:lang w:eastAsia="en-US"/>
    </w:rPr>
  </w:style>
  <w:style w:type="character" w:customStyle="1" w:styleId="FooterChar">
    <w:name w:val="Footer Char"/>
    <w:basedOn w:val="DefaultParagraphFont"/>
    <w:link w:val="Footer"/>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uiPriority w:val="99"/>
    <w:rsid w:val="00A856EA"/>
    <w:rPr>
      <w:lang w:val="en-GB" w:eastAsia="en-US"/>
    </w:rPr>
  </w:style>
  <w:style w:type="paragraph" w:styleId="ListParagraph">
    <w:name w:val="List Paragraph"/>
    <w:basedOn w:val="Normal"/>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3B7CF5"/>
  </w:style>
  <w:style w:type="paragraph" w:styleId="ListBullet">
    <w:name w:val="List Bullet"/>
    <w:basedOn w:val="Normal"/>
    <w:unhideWhenUsed/>
    <w:rsid w:val="00220422"/>
    <w:pPr>
      <w:numPr>
        <w:numId w:val="13"/>
      </w:numPr>
      <w:contextualSpacing/>
    </w:pPr>
  </w:style>
  <w:style w:type="table" w:styleId="TableGrid">
    <w:name w:val="Table Grid"/>
    <w:basedOn w:val="TableNormal"/>
    <w:rsid w:val="00C6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rant"/>
    <w:basedOn w:val="Normal"/>
    <w:uiPriority w:val="99"/>
    <w:rsid w:val="00421878"/>
    <w:pPr>
      <w:spacing w:before="120" w:after="120"/>
      <w:jc w:val="both"/>
    </w:pPr>
    <w:rPr>
      <w:rFonts w:eastAsia="Calibri"/>
      <w:lang w:val="lv-LV" w:eastAsia="lv-LV"/>
    </w:rPr>
  </w:style>
  <w:style w:type="paragraph" w:customStyle="1" w:styleId="tv2132">
    <w:name w:val="tv2132"/>
    <w:basedOn w:val="Normal"/>
    <w:rsid w:val="00D3054E"/>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36152">
      <w:bodyDiv w:val="1"/>
      <w:marLeft w:val="0"/>
      <w:marRight w:val="0"/>
      <w:marTop w:val="0"/>
      <w:marBottom w:val="0"/>
      <w:divBdr>
        <w:top w:val="none" w:sz="0" w:space="0" w:color="auto"/>
        <w:left w:val="none" w:sz="0" w:space="0" w:color="auto"/>
        <w:bottom w:val="none" w:sz="0" w:space="0" w:color="auto"/>
        <w:right w:val="none" w:sz="0" w:space="0" w:color="auto"/>
      </w:divBdr>
    </w:div>
    <w:div w:id="35056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2851">
          <w:marLeft w:val="0"/>
          <w:marRight w:val="0"/>
          <w:marTop w:val="0"/>
          <w:marBottom w:val="0"/>
          <w:divBdr>
            <w:top w:val="none" w:sz="0" w:space="0" w:color="auto"/>
            <w:left w:val="none" w:sz="0" w:space="0" w:color="auto"/>
            <w:bottom w:val="none" w:sz="0" w:space="0" w:color="auto"/>
            <w:right w:val="none" w:sz="0" w:space="0" w:color="auto"/>
          </w:divBdr>
          <w:divsChild>
            <w:div w:id="602302496">
              <w:marLeft w:val="0"/>
              <w:marRight w:val="0"/>
              <w:marTop w:val="0"/>
              <w:marBottom w:val="0"/>
              <w:divBdr>
                <w:top w:val="none" w:sz="0" w:space="0" w:color="auto"/>
                <w:left w:val="none" w:sz="0" w:space="0" w:color="auto"/>
                <w:bottom w:val="none" w:sz="0" w:space="0" w:color="auto"/>
                <w:right w:val="none" w:sz="0" w:space="0" w:color="auto"/>
              </w:divBdr>
              <w:divsChild>
                <w:div w:id="1584948192">
                  <w:marLeft w:val="0"/>
                  <w:marRight w:val="0"/>
                  <w:marTop w:val="0"/>
                  <w:marBottom w:val="0"/>
                  <w:divBdr>
                    <w:top w:val="none" w:sz="0" w:space="0" w:color="auto"/>
                    <w:left w:val="none" w:sz="0" w:space="0" w:color="auto"/>
                    <w:bottom w:val="none" w:sz="0" w:space="0" w:color="auto"/>
                    <w:right w:val="none" w:sz="0" w:space="0" w:color="auto"/>
                  </w:divBdr>
                  <w:divsChild>
                    <w:div w:id="37707788">
                      <w:marLeft w:val="0"/>
                      <w:marRight w:val="0"/>
                      <w:marTop w:val="0"/>
                      <w:marBottom w:val="0"/>
                      <w:divBdr>
                        <w:top w:val="none" w:sz="0" w:space="0" w:color="auto"/>
                        <w:left w:val="none" w:sz="0" w:space="0" w:color="auto"/>
                        <w:bottom w:val="none" w:sz="0" w:space="0" w:color="auto"/>
                        <w:right w:val="none" w:sz="0" w:space="0" w:color="auto"/>
                      </w:divBdr>
                      <w:divsChild>
                        <w:div w:id="1157377107">
                          <w:marLeft w:val="0"/>
                          <w:marRight w:val="0"/>
                          <w:marTop w:val="0"/>
                          <w:marBottom w:val="0"/>
                          <w:divBdr>
                            <w:top w:val="none" w:sz="0" w:space="0" w:color="auto"/>
                            <w:left w:val="none" w:sz="0" w:space="0" w:color="auto"/>
                            <w:bottom w:val="none" w:sz="0" w:space="0" w:color="auto"/>
                            <w:right w:val="none" w:sz="0" w:space="0" w:color="auto"/>
                          </w:divBdr>
                          <w:divsChild>
                            <w:div w:id="454062770">
                              <w:marLeft w:val="0"/>
                              <w:marRight w:val="0"/>
                              <w:marTop w:val="0"/>
                              <w:marBottom w:val="0"/>
                              <w:divBdr>
                                <w:top w:val="none" w:sz="0" w:space="0" w:color="auto"/>
                                <w:left w:val="none" w:sz="0" w:space="0" w:color="auto"/>
                                <w:bottom w:val="none" w:sz="0" w:space="0" w:color="auto"/>
                                <w:right w:val="none" w:sz="0" w:space="0" w:color="auto"/>
                              </w:divBdr>
                              <w:divsChild>
                                <w:div w:id="1802309113">
                                  <w:marLeft w:val="0"/>
                                  <w:marRight w:val="0"/>
                                  <w:marTop w:val="0"/>
                                  <w:marBottom w:val="0"/>
                                  <w:divBdr>
                                    <w:top w:val="none" w:sz="0" w:space="0" w:color="auto"/>
                                    <w:left w:val="none" w:sz="0" w:space="0" w:color="auto"/>
                                    <w:bottom w:val="none" w:sz="0" w:space="0" w:color="auto"/>
                                    <w:right w:val="none" w:sz="0" w:space="0" w:color="auto"/>
                                  </w:divBdr>
                                  <w:divsChild>
                                    <w:div w:id="1883397439">
                                      <w:marLeft w:val="60"/>
                                      <w:marRight w:val="0"/>
                                      <w:marTop w:val="0"/>
                                      <w:marBottom w:val="0"/>
                                      <w:divBdr>
                                        <w:top w:val="none" w:sz="0" w:space="0" w:color="auto"/>
                                        <w:left w:val="none" w:sz="0" w:space="0" w:color="auto"/>
                                        <w:bottom w:val="none" w:sz="0" w:space="0" w:color="auto"/>
                                        <w:right w:val="none" w:sz="0" w:space="0" w:color="auto"/>
                                      </w:divBdr>
                                      <w:divsChild>
                                        <w:div w:id="177160099">
                                          <w:marLeft w:val="0"/>
                                          <w:marRight w:val="0"/>
                                          <w:marTop w:val="0"/>
                                          <w:marBottom w:val="0"/>
                                          <w:divBdr>
                                            <w:top w:val="none" w:sz="0" w:space="0" w:color="auto"/>
                                            <w:left w:val="none" w:sz="0" w:space="0" w:color="auto"/>
                                            <w:bottom w:val="none" w:sz="0" w:space="0" w:color="auto"/>
                                            <w:right w:val="none" w:sz="0" w:space="0" w:color="auto"/>
                                          </w:divBdr>
                                          <w:divsChild>
                                            <w:div w:id="1250194851">
                                              <w:marLeft w:val="0"/>
                                              <w:marRight w:val="0"/>
                                              <w:marTop w:val="0"/>
                                              <w:marBottom w:val="120"/>
                                              <w:divBdr>
                                                <w:top w:val="single" w:sz="6" w:space="0" w:color="F5F5F5"/>
                                                <w:left w:val="single" w:sz="6" w:space="0" w:color="F5F5F5"/>
                                                <w:bottom w:val="single" w:sz="6" w:space="0" w:color="F5F5F5"/>
                                                <w:right w:val="single" w:sz="6" w:space="0" w:color="F5F5F5"/>
                                              </w:divBdr>
                                              <w:divsChild>
                                                <w:div w:id="2056656386">
                                                  <w:marLeft w:val="0"/>
                                                  <w:marRight w:val="0"/>
                                                  <w:marTop w:val="0"/>
                                                  <w:marBottom w:val="0"/>
                                                  <w:divBdr>
                                                    <w:top w:val="none" w:sz="0" w:space="0" w:color="auto"/>
                                                    <w:left w:val="none" w:sz="0" w:space="0" w:color="auto"/>
                                                    <w:bottom w:val="none" w:sz="0" w:space="0" w:color="auto"/>
                                                    <w:right w:val="none" w:sz="0" w:space="0" w:color="auto"/>
                                                  </w:divBdr>
                                                  <w:divsChild>
                                                    <w:div w:id="467279780">
                                                      <w:marLeft w:val="0"/>
                                                      <w:marRight w:val="0"/>
                                                      <w:marTop w:val="0"/>
                                                      <w:marBottom w:val="0"/>
                                                      <w:divBdr>
                                                        <w:top w:val="none" w:sz="0" w:space="0" w:color="auto"/>
                                                        <w:left w:val="none" w:sz="0" w:space="0" w:color="auto"/>
                                                        <w:bottom w:val="none" w:sz="0" w:space="0" w:color="auto"/>
                                                        <w:right w:val="none" w:sz="0" w:space="0" w:color="auto"/>
                                                      </w:divBdr>
                                                    </w:div>
                                                  </w:divsChild>
                                                </w:div>
                                                <w:div w:id="1610552400">
                                                  <w:marLeft w:val="0"/>
                                                  <w:marRight w:val="0"/>
                                                  <w:marTop w:val="0"/>
                                                  <w:marBottom w:val="0"/>
                                                  <w:divBdr>
                                                    <w:top w:val="none" w:sz="0" w:space="0" w:color="auto"/>
                                                    <w:left w:val="none" w:sz="0" w:space="0" w:color="auto"/>
                                                    <w:bottom w:val="none" w:sz="0" w:space="0" w:color="auto"/>
                                                    <w:right w:val="none" w:sz="0" w:space="0" w:color="auto"/>
                                                  </w:divBdr>
                                                  <w:divsChild>
                                                    <w:div w:id="15885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73192570">
      <w:bodyDiv w:val="1"/>
      <w:marLeft w:val="0"/>
      <w:marRight w:val="0"/>
      <w:marTop w:val="0"/>
      <w:marBottom w:val="0"/>
      <w:divBdr>
        <w:top w:val="none" w:sz="0" w:space="0" w:color="auto"/>
        <w:left w:val="none" w:sz="0" w:space="0" w:color="auto"/>
        <w:bottom w:val="none" w:sz="0" w:space="0" w:color="auto"/>
        <w:right w:val="none" w:sz="0" w:space="0" w:color="auto"/>
      </w:divBdr>
      <w:divsChild>
        <w:div w:id="1429159281">
          <w:marLeft w:val="0"/>
          <w:marRight w:val="0"/>
          <w:marTop w:val="0"/>
          <w:marBottom w:val="0"/>
          <w:divBdr>
            <w:top w:val="none" w:sz="0" w:space="0" w:color="auto"/>
            <w:left w:val="none" w:sz="0" w:space="0" w:color="auto"/>
            <w:bottom w:val="none" w:sz="0" w:space="0" w:color="auto"/>
            <w:right w:val="none" w:sz="0" w:space="0" w:color="auto"/>
          </w:divBdr>
          <w:divsChild>
            <w:div w:id="300308788">
              <w:marLeft w:val="0"/>
              <w:marRight w:val="0"/>
              <w:marTop w:val="0"/>
              <w:marBottom w:val="0"/>
              <w:divBdr>
                <w:top w:val="none" w:sz="0" w:space="0" w:color="auto"/>
                <w:left w:val="none" w:sz="0" w:space="0" w:color="auto"/>
                <w:bottom w:val="none" w:sz="0" w:space="0" w:color="auto"/>
                <w:right w:val="none" w:sz="0" w:space="0" w:color="auto"/>
              </w:divBdr>
              <w:divsChild>
                <w:div w:id="563806285">
                  <w:marLeft w:val="0"/>
                  <w:marRight w:val="0"/>
                  <w:marTop w:val="0"/>
                  <w:marBottom w:val="0"/>
                  <w:divBdr>
                    <w:top w:val="none" w:sz="0" w:space="0" w:color="auto"/>
                    <w:left w:val="none" w:sz="0" w:space="0" w:color="auto"/>
                    <w:bottom w:val="none" w:sz="0" w:space="0" w:color="auto"/>
                    <w:right w:val="none" w:sz="0" w:space="0" w:color="auto"/>
                  </w:divBdr>
                  <w:divsChild>
                    <w:div w:id="318466637">
                      <w:marLeft w:val="0"/>
                      <w:marRight w:val="0"/>
                      <w:marTop w:val="0"/>
                      <w:marBottom w:val="0"/>
                      <w:divBdr>
                        <w:top w:val="none" w:sz="0" w:space="0" w:color="auto"/>
                        <w:left w:val="none" w:sz="0" w:space="0" w:color="auto"/>
                        <w:bottom w:val="none" w:sz="0" w:space="0" w:color="auto"/>
                        <w:right w:val="none" w:sz="0" w:space="0" w:color="auto"/>
                      </w:divBdr>
                      <w:divsChild>
                        <w:div w:id="1142887472">
                          <w:marLeft w:val="0"/>
                          <w:marRight w:val="0"/>
                          <w:marTop w:val="0"/>
                          <w:marBottom w:val="0"/>
                          <w:divBdr>
                            <w:top w:val="none" w:sz="0" w:space="0" w:color="auto"/>
                            <w:left w:val="none" w:sz="0" w:space="0" w:color="auto"/>
                            <w:bottom w:val="none" w:sz="0" w:space="0" w:color="auto"/>
                            <w:right w:val="none" w:sz="0" w:space="0" w:color="auto"/>
                          </w:divBdr>
                          <w:divsChild>
                            <w:div w:id="8844888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556230">
      <w:bodyDiv w:val="1"/>
      <w:marLeft w:val="0"/>
      <w:marRight w:val="0"/>
      <w:marTop w:val="0"/>
      <w:marBottom w:val="0"/>
      <w:divBdr>
        <w:top w:val="none" w:sz="0" w:space="0" w:color="auto"/>
        <w:left w:val="none" w:sz="0" w:space="0" w:color="auto"/>
        <w:bottom w:val="none" w:sz="0" w:space="0" w:color="auto"/>
        <w:right w:val="none" w:sz="0" w:space="0" w:color="auto"/>
      </w:divBdr>
      <w:divsChild>
        <w:div w:id="1753240963">
          <w:marLeft w:val="0"/>
          <w:marRight w:val="0"/>
          <w:marTop w:val="0"/>
          <w:marBottom w:val="0"/>
          <w:divBdr>
            <w:top w:val="none" w:sz="0" w:space="0" w:color="auto"/>
            <w:left w:val="none" w:sz="0" w:space="0" w:color="auto"/>
            <w:bottom w:val="none" w:sz="0" w:space="0" w:color="auto"/>
            <w:right w:val="none" w:sz="0" w:space="0" w:color="auto"/>
          </w:divBdr>
          <w:divsChild>
            <w:div w:id="1584753184">
              <w:marLeft w:val="0"/>
              <w:marRight w:val="0"/>
              <w:marTop w:val="0"/>
              <w:marBottom w:val="0"/>
              <w:divBdr>
                <w:top w:val="none" w:sz="0" w:space="0" w:color="auto"/>
                <w:left w:val="none" w:sz="0" w:space="0" w:color="auto"/>
                <w:bottom w:val="none" w:sz="0" w:space="0" w:color="auto"/>
                <w:right w:val="none" w:sz="0" w:space="0" w:color="auto"/>
              </w:divBdr>
              <w:divsChild>
                <w:div w:id="1570917994">
                  <w:marLeft w:val="0"/>
                  <w:marRight w:val="0"/>
                  <w:marTop w:val="0"/>
                  <w:marBottom w:val="0"/>
                  <w:divBdr>
                    <w:top w:val="none" w:sz="0" w:space="0" w:color="auto"/>
                    <w:left w:val="none" w:sz="0" w:space="0" w:color="auto"/>
                    <w:bottom w:val="none" w:sz="0" w:space="0" w:color="auto"/>
                    <w:right w:val="none" w:sz="0" w:space="0" w:color="auto"/>
                  </w:divBdr>
                  <w:divsChild>
                    <w:div w:id="367990057">
                      <w:marLeft w:val="0"/>
                      <w:marRight w:val="0"/>
                      <w:marTop w:val="0"/>
                      <w:marBottom w:val="0"/>
                      <w:divBdr>
                        <w:top w:val="none" w:sz="0" w:space="0" w:color="auto"/>
                        <w:left w:val="none" w:sz="0" w:space="0" w:color="auto"/>
                        <w:bottom w:val="none" w:sz="0" w:space="0" w:color="auto"/>
                        <w:right w:val="none" w:sz="0" w:space="0" w:color="auto"/>
                      </w:divBdr>
                      <w:divsChild>
                        <w:div w:id="1767340294">
                          <w:marLeft w:val="0"/>
                          <w:marRight w:val="0"/>
                          <w:marTop w:val="0"/>
                          <w:marBottom w:val="0"/>
                          <w:divBdr>
                            <w:top w:val="none" w:sz="0" w:space="0" w:color="auto"/>
                            <w:left w:val="none" w:sz="0" w:space="0" w:color="auto"/>
                            <w:bottom w:val="none" w:sz="0" w:space="0" w:color="auto"/>
                            <w:right w:val="none" w:sz="0" w:space="0" w:color="auto"/>
                          </w:divBdr>
                          <w:divsChild>
                            <w:div w:id="1374885532">
                              <w:marLeft w:val="0"/>
                              <w:marRight w:val="0"/>
                              <w:marTop w:val="0"/>
                              <w:marBottom w:val="0"/>
                              <w:divBdr>
                                <w:top w:val="none" w:sz="0" w:space="0" w:color="auto"/>
                                <w:left w:val="none" w:sz="0" w:space="0" w:color="auto"/>
                                <w:bottom w:val="none" w:sz="0" w:space="0" w:color="auto"/>
                                <w:right w:val="none" w:sz="0" w:space="0" w:color="auto"/>
                              </w:divBdr>
                              <w:divsChild>
                                <w:div w:id="17260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062">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105146">
      <w:bodyDiv w:val="1"/>
      <w:marLeft w:val="0"/>
      <w:marRight w:val="0"/>
      <w:marTop w:val="0"/>
      <w:marBottom w:val="0"/>
      <w:divBdr>
        <w:top w:val="none" w:sz="0" w:space="0" w:color="auto"/>
        <w:left w:val="none" w:sz="0" w:space="0" w:color="auto"/>
        <w:bottom w:val="none" w:sz="0" w:space="0" w:color="auto"/>
        <w:right w:val="none" w:sz="0" w:space="0" w:color="auto"/>
      </w:divBdr>
      <w:divsChild>
        <w:div w:id="547841620">
          <w:marLeft w:val="0"/>
          <w:marRight w:val="0"/>
          <w:marTop w:val="0"/>
          <w:marBottom w:val="0"/>
          <w:divBdr>
            <w:top w:val="none" w:sz="0" w:space="0" w:color="auto"/>
            <w:left w:val="none" w:sz="0" w:space="0" w:color="auto"/>
            <w:bottom w:val="none" w:sz="0" w:space="0" w:color="auto"/>
            <w:right w:val="none" w:sz="0" w:space="0" w:color="auto"/>
          </w:divBdr>
          <w:divsChild>
            <w:div w:id="257295247">
              <w:marLeft w:val="0"/>
              <w:marRight w:val="0"/>
              <w:marTop w:val="0"/>
              <w:marBottom w:val="0"/>
              <w:divBdr>
                <w:top w:val="none" w:sz="0" w:space="0" w:color="auto"/>
                <w:left w:val="none" w:sz="0" w:space="0" w:color="auto"/>
                <w:bottom w:val="none" w:sz="0" w:space="0" w:color="auto"/>
                <w:right w:val="none" w:sz="0" w:space="0" w:color="auto"/>
              </w:divBdr>
              <w:divsChild>
                <w:div w:id="120805719">
                  <w:marLeft w:val="0"/>
                  <w:marRight w:val="0"/>
                  <w:marTop w:val="0"/>
                  <w:marBottom w:val="0"/>
                  <w:divBdr>
                    <w:top w:val="none" w:sz="0" w:space="0" w:color="auto"/>
                    <w:left w:val="none" w:sz="0" w:space="0" w:color="auto"/>
                    <w:bottom w:val="none" w:sz="0" w:space="0" w:color="auto"/>
                    <w:right w:val="none" w:sz="0" w:space="0" w:color="auto"/>
                  </w:divBdr>
                  <w:divsChild>
                    <w:div w:id="642585958">
                      <w:marLeft w:val="0"/>
                      <w:marRight w:val="0"/>
                      <w:marTop w:val="0"/>
                      <w:marBottom w:val="0"/>
                      <w:divBdr>
                        <w:top w:val="none" w:sz="0" w:space="0" w:color="auto"/>
                        <w:left w:val="none" w:sz="0" w:space="0" w:color="auto"/>
                        <w:bottom w:val="none" w:sz="0" w:space="0" w:color="auto"/>
                        <w:right w:val="none" w:sz="0" w:space="0" w:color="auto"/>
                      </w:divBdr>
                      <w:divsChild>
                        <w:div w:id="519467014">
                          <w:marLeft w:val="0"/>
                          <w:marRight w:val="0"/>
                          <w:marTop w:val="0"/>
                          <w:marBottom w:val="0"/>
                          <w:divBdr>
                            <w:top w:val="none" w:sz="0" w:space="0" w:color="auto"/>
                            <w:left w:val="none" w:sz="0" w:space="0" w:color="auto"/>
                            <w:bottom w:val="none" w:sz="0" w:space="0" w:color="auto"/>
                            <w:right w:val="none" w:sz="0" w:space="0" w:color="auto"/>
                          </w:divBdr>
                          <w:divsChild>
                            <w:div w:id="616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322174">
      <w:bodyDiv w:val="1"/>
      <w:marLeft w:val="0"/>
      <w:marRight w:val="0"/>
      <w:marTop w:val="0"/>
      <w:marBottom w:val="0"/>
      <w:divBdr>
        <w:top w:val="none" w:sz="0" w:space="0" w:color="auto"/>
        <w:left w:val="none" w:sz="0" w:space="0" w:color="auto"/>
        <w:bottom w:val="none" w:sz="0" w:space="0" w:color="auto"/>
        <w:right w:val="none" w:sz="0" w:space="0" w:color="auto"/>
      </w:divBdr>
      <w:divsChild>
        <w:div w:id="2055035899">
          <w:marLeft w:val="0"/>
          <w:marRight w:val="0"/>
          <w:marTop w:val="0"/>
          <w:marBottom w:val="0"/>
          <w:divBdr>
            <w:top w:val="none" w:sz="0" w:space="0" w:color="auto"/>
            <w:left w:val="none" w:sz="0" w:space="0" w:color="auto"/>
            <w:bottom w:val="none" w:sz="0" w:space="0" w:color="auto"/>
            <w:right w:val="none" w:sz="0" w:space="0" w:color="auto"/>
          </w:divBdr>
          <w:divsChild>
            <w:div w:id="1315380759">
              <w:marLeft w:val="0"/>
              <w:marRight w:val="0"/>
              <w:marTop w:val="0"/>
              <w:marBottom w:val="0"/>
              <w:divBdr>
                <w:top w:val="none" w:sz="0" w:space="0" w:color="auto"/>
                <w:left w:val="none" w:sz="0" w:space="0" w:color="auto"/>
                <w:bottom w:val="none" w:sz="0" w:space="0" w:color="auto"/>
                <w:right w:val="none" w:sz="0" w:space="0" w:color="auto"/>
              </w:divBdr>
              <w:divsChild>
                <w:div w:id="1993482901">
                  <w:marLeft w:val="0"/>
                  <w:marRight w:val="0"/>
                  <w:marTop w:val="0"/>
                  <w:marBottom w:val="0"/>
                  <w:divBdr>
                    <w:top w:val="none" w:sz="0" w:space="0" w:color="auto"/>
                    <w:left w:val="none" w:sz="0" w:space="0" w:color="auto"/>
                    <w:bottom w:val="none" w:sz="0" w:space="0" w:color="auto"/>
                    <w:right w:val="none" w:sz="0" w:space="0" w:color="auto"/>
                  </w:divBdr>
                  <w:divsChild>
                    <w:div w:id="78526321">
                      <w:marLeft w:val="0"/>
                      <w:marRight w:val="0"/>
                      <w:marTop w:val="0"/>
                      <w:marBottom w:val="0"/>
                      <w:divBdr>
                        <w:top w:val="none" w:sz="0" w:space="0" w:color="auto"/>
                        <w:left w:val="none" w:sz="0" w:space="0" w:color="auto"/>
                        <w:bottom w:val="none" w:sz="0" w:space="0" w:color="auto"/>
                        <w:right w:val="none" w:sz="0" w:space="0" w:color="auto"/>
                      </w:divBdr>
                      <w:divsChild>
                        <w:div w:id="31422847">
                          <w:marLeft w:val="0"/>
                          <w:marRight w:val="0"/>
                          <w:marTop w:val="0"/>
                          <w:marBottom w:val="0"/>
                          <w:divBdr>
                            <w:top w:val="none" w:sz="0" w:space="0" w:color="auto"/>
                            <w:left w:val="none" w:sz="0" w:space="0" w:color="auto"/>
                            <w:bottom w:val="none" w:sz="0" w:space="0" w:color="auto"/>
                            <w:right w:val="none" w:sz="0" w:space="0" w:color="auto"/>
                          </w:divBdr>
                          <w:divsChild>
                            <w:div w:id="3612524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37739">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614247">
      <w:bodyDiv w:val="1"/>
      <w:marLeft w:val="0"/>
      <w:marRight w:val="0"/>
      <w:marTop w:val="0"/>
      <w:marBottom w:val="0"/>
      <w:divBdr>
        <w:top w:val="none" w:sz="0" w:space="0" w:color="auto"/>
        <w:left w:val="none" w:sz="0" w:space="0" w:color="auto"/>
        <w:bottom w:val="none" w:sz="0" w:space="0" w:color="auto"/>
        <w:right w:val="none" w:sz="0" w:space="0" w:color="auto"/>
      </w:divBdr>
      <w:divsChild>
        <w:div w:id="1474634930">
          <w:marLeft w:val="0"/>
          <w:marRight w:val="0"/>
          <w:marTop w:val="0"/>
          <w:marBottom w:val="0"/>
          <w:divBdr>
            <w:top w:val="none" w:sz="0" w:space="0" w:color="auto"/>
            <w:left w:val="none" w:sz="0" w:space="0" w:color="auto"/>
            <w:bottom w:val="none" w:sz="0" w:space="0" w:color="auto"/>
            <w:right w:val="none" w:sz="0" w:space="0" w:color="auto"/>
          </w:divBdr>
          <w:divsChild>
            <w:div w:id="710963887">
              <w:marLeft w:val="0"/>
              <w:marRight w:val="0"/>
              <w:marTop w:val="0"/>
              <w:marBottom w:val="0"/>
              <w:divBdr>
                <w:top w:val="none" w:sz="0" w:space="0" w:color="auto"/>
                <w:left w:val="none" w:sz="0" w:space="0" w:color="auto"/>
                <w:bottom w:val="none" w:sz="0" w:space="0" w:color="auto"/>
                <w:right w:val="none" w:sz="0" w:space="0" w:color="auto"/>
              </w:divBdr>
              <w:divsChild>
                <w:div w:id="1755131391">
                  <w:marLeft w:val="0"/>
                  <w:marRight w:val="0"/>
                  <w:marTop w:val="0"/>
                  <w:marBottom w:val="0"/>
                  <w:divBdr>
                    <w:top w:val="none" w:sz="0" w:space="0" w:color="auto"/>
                    <w:left w:val="none" w:sz="0" w:space="0" w:color="auto"/>
                    <w:bottom w:val="none" w:sz="0" w:space="0" w:color="auto"/>
                    <w:right w:val="none" w:sz="0" w:space="0" w:color="auto"/>
                  </w:divBdr>
                  <w:divsChild>
                    <w:div w:id="741483705">
                      <w:marLeft w:val="0"/>
                      <w:marRight w:val="0"/>
                      <w:marTop w:val="0"/>
                      <w:marBottom w:val="0"/>
                      <w:divBdr>
                        <w:top w:val="none" w:sz="0" w:space="0" w:color="auto"/>
                        <w:left w:val="none" w:sz="0" w:space="0" w:color="auto"/>
                        <w:bottom w:val="none" w:sz="0" w:space="0" w:color="auto"/>
                        <w:right w:val="none" w:sz="0" w:space="0" w:color="auto"/>
                      </w:divBdr>
                      <w:divsChild>
                        <w:div w:id="920025914">
                          <w:marLeft w:val="0"/>
                          <w:marRight w:val="0"/>
                          <w:marTop w:val="0"/>
                          <w:marBottom w:val="0"/>
                          <w:divBdr>
                            <w:top w:val="none" w:sz="0" w:space="0" w:color="auto"/>
                            <w:left w:val="none" w:sz="0" w:space="0" w:color="auto"/>
                            <w:bottom w:val="none" w:sz="0" w:space="0" w:color="auto"/>
                            <w:right w:val="none" w:sz="0" w:space="0" w:color="auto"/>
                          </w:divBdr>
                          <w:divsChild>
                            <w:div w:id="1849709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4643619">
      <w:bodyDiv w:val="1"/>
      <w:marLeft w:val="0"/>
      <w:marRight w:val="0"/>
      <w:marTop w:val="0"/>
      <w:marBottom w:val="0"/>
      <w:divBdr>
        <w:top w:val="none" w:sz="0" w:space="0" w:color="auto"/>
        <w:left w:val="none" w:sz="0" w:space="0" w:color="auto"/>
        <w:bottom w:val="none" w:sz="0" w:space="0" w:color="auto"/>
        <w:right w:val="none" w:sz="0" w:space="0" w:color="auto"/>
      </w:divBdr>
      <w:divsChild>
        <w:div w:id="1657805454">
          <w:marLeft w:val="0"/>
          <w:marRight w:val="0"/>
          <w:marTop w:val="0"/>
          <w:marBottom w:val="0"/>
          <w:divBdr>
            <w:top w:val="none" w:sz="0" w:space="0" w:color="auto"/>
            <w:left w:val="none" w:sz="0" w:space="0" w:color="auto"/>
            <w:bottom w:val="none" w:sz="0" w:space="0" w:color="auto"/>
            <w:right w:val="none" w:sz="0" w:space="0" w:color="auto"/>
          </w:divBdr>
          <w:divsChild>
            <w:div w:id="1092556107">
              <w:marLeft w:val="0"/>
              <w:marRight w:val="0"/>
              <w:marTop w:val="0"/>
              <w:marBottom w:val="0"/>
              <w:divBdr>
                <w:top w:val="none" w:sz="0" w:space="0" w:color="auto"/>
                <w:left w:val="none" w:sz="0" w:space="0" w:color="auto"/>
                <w:bottom w:val="none" w:sz="0" w:space="0" w:color="auto"/>
                <w:right w:val="none" w:sz="0" w:space="0" w:color="auto"/>
              </w:divBdr>
              <w:divsChild>
                <w:div w:id="2035685766">
                  <w:marLeft w:val="0"/>
                  <w:marRight w:val="0"/>
                  <w:marTop w:val="0"/>
                  <w:marBottom w:val="0"/>
                  <w:divBdr>
                    <w:top w:val="none" w:sz="0" w:space="0" w:color="auto"/>
                    <w:left w:val="none" w:sz="0" w:space="0" w:color="auto"/>
                    <w:bottom w:val="none" w:sz="0" w:space="0" w:color="auto"/>
                    <w:right w:val="none" w:sz="0" w:space="0" w:color="auto"/>
                  </w:divBdr>
                  <w:divsChild>
                    <w:div w:id="1125807826">
                      <w:marLeft w:val="0"/>
                      <w:marRight w:val="0"/>
                      <w:marTop w:val="0"/>
                      <w:marBottom w:val="0"/>
                      <w:divBdr>
                        <w:top w:val="none" w:sz="0" w:space="0" w:color="auto"/>
                        <w:left w:val="none" w:sz="0" w:space="0" w:color="auto"/>
                        <w:bottom w:val="none" w:sz="0" w:space="0" w:color="auto"/>
                        <w:right w:val="none" w:sz="0" w:space="0" w:color="auto"/>
                      </w:divBdr>
                      <w:divsChild>
                        <w:div w:id="618924782">
                          <w:marLeft w:val="0"/>
                          <w:marRight w:val="0"/>
                          <w:marTop w:val="0"/>
                          <w:marBottom w:val="0"/>
                          <w:divBdr>
                            <w:top w:val="none" w:sz="0" w:space="0" w:color="auto"/>
                            <w:left w:val="none" w:sz="0" w:space="0" w:color="auto"/>
                            <w:bottom w:val="none" w:sz="0" w:space="0" w:color="auto"/>
                            <w:right w:val="none" w:sz="0" w:space="0" w:color="auto"/>
                          </w:divBdr>
                          <w:divsChild>
                            <w:div w:id="17603695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907301">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9709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25287-muitosanas-kartiba-kuga-apg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ndra.Sveha@vid.gov.lv" TargetMode="External"/><Relationship Id="rId4" Type="http://schemas.openxmlformats.org/officeDocument/2006/relationships/settings" Target="settings.xml"/><Relationship Id="rId9" Type="http://schemas.openxmlformats.org/officeDocument/2006/relationships/hyperlink" Target="mailto:Marika.Vibane@f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7C50E82-E8F9-492F-A29B-5CA2E152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8</Pages>
  <Words>10746</Words>
  <Characters>6126</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“Muitošanas kārtība kuģa un gaisa kuģa apgādē” sākotnējās ietekmes novērtējuma ziņojums (anotācija)</vt:lpstr>
      <vt:lpstr>Grozījums Ministru kabineta 2010.gada 27.jūlija noteikumos Nr.704 „Noteikumi par robežšķērsošanas vietām un tajās veicamajām pārbaudēm”</vt:lpstr>
    </vt:vector>
  </TitlesOfParts>
  <Manager>Solvita Āmare-Pilka</Manager>
  <Company>Finanšu ministrija</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“Muitošanas kārtība kuģa un gaisa kuģa apgādē” sākotnējās ietekmes novērtējuma ziņojums (anotācija)</dc:title>
  <dc:subject>MK noteikumu projekta anotācija</dc:subject>
  <dc:creator>Marika Vībāne</dc:creator>
  <cp:keywords>muita</cp:keywords>
  <dc:description>Sandra.Sveha@vid.gov.lv, tel.nr. 67120943_x000d_
Marika.Vibane@fm.gov.lv; 67095559</dc:description>
  <cp:lastModifiedBy>Jolanta Krastiņa</cp:lastModifiedBy>
  <cp:revision>104</cp:revision>
  <cp:lastPrinted>2016-11-02T08:45:00Z</cp:lastPrinted>
  <dcterms:created xsi:type="dcterms:W3CDTF">2016-06-06T13:01:00Z</dcterms:created>
  <dcterms:modified xsi:type="dcterms:W3CDTF">2016-12-08T08:35:00Z</dcterms:modified>
  <cp:category>MK noteikumu projekts</cp:category>
</cp:coreProperties>
</file>