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471B" w14:textId="77777777" w:rsidR="00D32E3B" w:rsidRPr="002865DB" w:rsidRDefault="00D32E3B" w:rsidP="00B65C59">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44A3619F" w14:textId="77777777" w:rsidR="004A505F" w:rsidRDefault="004A505F" w:rsidP="005C42B1">
      <w:pPr>
        <w:spacing w:after="0" w:line="240" w:lineRule="auto"/>
        <w:jc w:val="center"/>
        <w:outlineLvl w:val="3"/>
        <w:rPr>
          <w:rFonts w:ascii="Times New Roman" w:eastAsia="Times New Roman" w:hAnsi="Times New Roman"/>
          <w:b/>
          <w:bCs/>
          <w:sz w:val="24"/>
          <w:szCs w:val="24"/>
          <w:lang w:eastAsia="lv-LV"/>
        </w:rPr>
      </w:pPr>
    </w:p>
    <w:p w14:paraId="759CAE06" w14:textId="58C6690D" w:rsidR="007C5781" w:rsidRPr="004A505F" w:rsidRDefault="00C05444" w:rsidP="005C42B1">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noteikumu projekta </w:t>
      </w:r>
      <w:bookmarkEnd w:id="0"/>
      <w:bookmarkEnd w:id="1"/>
      <w:r w:rsidR="001B53A6">
        <w:rPr>
          <w:rFonts w:ascii="Times New Roman" w:eastAsia="Times New Roman" w:hAnsi="Times New Roman"/>
          <w:b/>
          <w:bCs/>
          <w:sz w:val="26"/>
          <w:szCs w:val="26"/>
          <w:lang w:eastAsia="lv-LV"/>
        </w:rPr>
        <w:t>“</w:t>
      </w:r>
      <w:r w:rsidR="001B53A6" w:rsidRPr="001B53A6">
        <w:rPr>
          <w:rFonts w:ascii="Times New Roman" w:eastAsia="Times New Roman" w:hAnsi="Times New Roman"/>
          <w:b/>
          <w:bCs/>
          <w:sz w:val="26"/>
          <w:szCs w:val="26"/>
          <w:lang w:eastAsia="lv-LV"/>
        </w:rPr>
        <w:t>Grozījumi Ministru kabineta 2015.gada 14.jūlija noteikumos Nr.407 “Augstskolu, koledžu un studiju virzienu akreditācijas noteikumi”</w:t>
      </w:r>
      <w:r w:rsidR="001B53A6">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14:paraId="527F531C" w14:textId="77777777" w:rsidR="005C42B1" w:rsidRPr="007A2871" w:rsidRDefault="005C42B1"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31"/>
        <w:gridCol w:w="6219"/>
      </w:tblGrid>
      <w:tr w:rsidR="00812271" w:rsidRPr="007A2871" w14:paraId="2E5C4833" w14:textId="77777777" w:rsidTr="00AF6AED">
        <w:tc>
          <w:tcPr>
            <w:tcW w:w="4968"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AF6AED">
        <w:tc>
          <w:tcPr>
            <w:tcW w:w="153"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80"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04" w:type="pct"/>
            <w:hideMark/>
          </w:tcPr>
          <w:p w14:paraId="36D5ED83" w14:textId="744BE405" w:rsidR="00392D00" w:rsidRPr="007A2871" w:rsidRDefault="007147BE" w:rsidP="00D80D82">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sz w:val="24"/>
                <w:szCs w:val="24"/>
                <w:lang w:eastAsia="lv-LV"/>
              </w:rPr>
              <w:t>Izglītības un zinātnes ministrija</w:t>
            </w:r>
            <w:r w:rsidR="00FC68B2" w:rsidRPr="007A2871">
              <w:rPr>
                <w:rFonts w:ascii="Times New Roman" w:eastAsia="Times New Roman" w:hAnsi="Times New Roman"/>
                <w:bCs/>
                <w:sz w:val="24"/>
                <w:szCs w:val="24"/>
                <w:lang w:eastAsia="lv-LV"/>
              </w:rPr>
              <w:t xml:space="preserve"> (turpmāk – ministrija)</w:t>
            </w:r>
            <w:r w:rsidRPr="007A2871">
              <w:rPr>
                <w:rFonts w:ascii="Times New Roman" w:eastAsia="Times New Roman" w:hAnsi="Times New Roman"/>
                <w:bCs/>
                <w:sz w:val="24"/>
                <w:szCs w:val="24"/>
                <w:lang w:eastAsia="lv-LV"/>
              </w:rPr>
              <w:t xml:space="preserve"> sagatavojusi </w:t>
            </w:r>
            <w:r w:rsidR="002D0EB1" w:rsidRPr="007A2871">
              <w:rPr>
                <w:rFonts w:ascii="Times New Roman" w:eastAsia="Times New Roman" w:hAnsi="Times New Roman"/>
                <w:bCs/>
                <w:sz w:val="24"/>
                <w:szCs w:val="24"/>
                <w:lang w:eastAsia="lv-LV"/>
              </w:rPr>
              <w:t>Mini</w:t>
            </w:r>
            <w:r w:rsidRPr="007A2871">
              <w:rPr>
                <w:rFonts w:ascii="Times New Roman" w:eastAsia="Times New Roman" w:hAnsi="Times New Roman"/>
                <w:bCs/>
                <w:sz w:val="24"/>
                <w:szCs w:val="24"/>
                <w:lang w:eastAsia="lv-LV"/>
              </w:rPr>
              <w:t>stru kabineta noteikumu projektu</w:t>
            </w:r>
            <w:r w:rsidR="001B53A6" w:rsidRPr="007A2871">
              <w:rPr>
                <w:rFonts w:ascii="Times New Roman" w:eastAsia="Times New Roman" w:hAnsi="Times New Roman"/>
                <w:bCs/>
                <w:sz w:val="24"/>
                <w:szCs w:val="24"/>
                <w:lang w:eastAsia="lv-LV"/>
              </w:rPr>
              <w:t xml:space="preserve"> “</w:t>
            </w:r>
            <w:r w:rsidR="00A54BE6" w:rsidRPr="007A2871">
              <w:rPr>
                <w:rFonts w:ascii="Times New Roman" w:hAnsi="Times New Roman"/>
                <w:bCs/>
                <w:sz w:val="24"/>
                <w:szCs w:val="24"/>
              </w:rPr>
              <w:t>Grozījumi</w:t>
            </w:r>
            <w:r w:rsidR="002D0EB1" w:rsidRPr="007A2871">
              <w:rPr>
                <w:rFonts w:ascii="Times New Roman" w:hAnsi="Times New Roman"/>
                <w:bCs/>
                <w:sz w:val="24"/>
                <w:szCs w:val="24"/>
              </w:rPr>
              <w:t xml:space="preserve"> </w:t>
            </w:r>
            <w:r w:rsidR="001B53A6" w:rsidRPr="007A2871">
              <w:rPr>
                <w:rFonts w:ascii="Times New Roman" w:hAnsi="Times New Roman"/>
                <w:sz w:val="24"/>
                <w:szCs w:val="24"/>
              </w:rPr>
              <w:t>Ministru kabineta 2015.gada 14.jūlija noteikumos Nr.407</w:t>
            </w:r>
            <w:r w:rsidR="002D0EB1" w:rsidRPr="007A2871">
              <w:rPr>
                <w:rFonts w:ascii="Times New Roman" w:hAnsi="Times New Roman"/>
                <w:sz w:val="24"/>
                <w:szCs w:val="24"/>
              </w:rPr>
              <w:t xml:space="preserve"> </w:t>
            </w:r>
            <w:r w:rsidR="001B53A6" w:rsidRPr="007A2871">
              <w:rPr>
                <w:rFonts w:ascii="Times New Roman" w:hAnsi="Times New Roman"/>
                <w:sz w:val="24"/>
                <w:szCs w:val="24"/>
              </w:rPr>
              <w:t>“Augstskolu, koledžu un studiju virzienu akreditācijas noteikumi</w:t>
            </w:r>
            <w:r w:rsidR="002D0EB1" w:rsidRPr="007A2871">
              <w:rPr>
                <w:rFonts w:ascii="Times New Roman" w:hAnsi="Times New Roman"/>
                <w:sz w:val="24"/>
                <w:szCs w:val="24"/>
              </w:rPr>
              <w:t>” (turpmāk –</w:t>
            </w:r>
            <w:r w:rsidR="00A54BE6" w:rsidRPr="007A2871">
              <w:rPr>
                <w:rFonts w:ascii="Times New Roman" w:hAnsi="Times New Roman"/>
                <w:sz w:val="24"/>
                <w:szCs w:val="24"/>
              </w:rPr>
              <w:t xml:space="preserve"> </w:t>
            </w:r>
            <w:r w:rsidR="002D0EB1" w:rsidRPr="007A2871">
              <w:rPr>
                <w:rFonts w:ascii="Times New Roman" w:hAnsi="Times New Roman"/>
                <w:sz w:val="24"/>
                <w:szCs w:val="24"/>
              </w:rPr>
              <w:t>pr</w:t>
            </w:r>
            <w:r w:rsidR="001B53A6" w:rsidRPr="007A2871">
              <w:rPr>
                <w:rFonts w:ascii="Times New Roman" w:hAnsi="Times New Roman"/>
                <w:sz w:val="24"/>
                <w:szCs w:val="24"/>
              </w:rPr>
              <w:t xml:space="preserve">ojekts) saskaņā ar </w:t>
            </w:r>
            <w:r w:rsidR="00D80D82">
              <w:rPr>
                <w:rFonts w:ascii="Times New Roman" w:hAnsi="Times New Roman"/>
                <w:sz w:val="24"/>
                <w:szCs w:val="24"/>
              </w:rPr>
              <w:t xml:space="preserve">Ministru kabineta 2016.gada 28.jūnija sēdes </w:t>
            </w:r>
            <w:proofErr w:type="spellStart"/>
            <w:r w:rsidR="00D80D82">
              <w:rPr>
                <w:rFonts w:ascii="Times New Roman" w:hAnsi="Times New Roman"/>
                <w:sz w:val="24"/>
                <w:szCs w:val="24"/>
              </w:rPr>
              <w:t>protokollēmuma</w:t>
            </w:r>
            <w:proofErr w:type="spellEnd"/>
            <w:r w:rsidR="00D80D82">
              <w:rPr>
                <w:rFonts w:ascii="Times New Roman" w:hAnsi="Times New Roman"/>
                <w:sz w:val="24"/>
                <w:szCs w:val="24"/>
              </w:rPr>
              <w:t xml:space="preserve"> (prot.Nr.32 7.§) 2.punktā noteikto, ka ministrijai jāsagatavo un līdz 2016.gada 31.decembrim noteiktā kārtībā jāiesniedz izskatīšanai Ministru kabinetā noteikumu projektu par grozījumiem Ministru kabineta 2015.gada 14.jūlija noteikumos Nr.407 “Augstskolu, koledžu un studiju virzienu akreditācijas noteikumi”, nosakot gadījumus, kad lemšanai par izmaiņu izdarīšanu studiju virziena akreditācijas lapā un lemšanai par augstskolas vai koledžas veikto izmaiņu studiju virzienā pieļaujamību nav nepieciešams apstiprināt ekspertu.</w:t>
            </w:r>
          </w:p>
        </w:tc>
      </w:tr>
      <w:tr w:rsidR="00812271" w:rsidRPr="007A2871" w14:paraId="47891B61" w14:textId="77777777" w:rsidTr="00AF6AED">
        <w:tc>
          <w:tcPr>
            <w:tcW w:w="153"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80"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304" w:type="pct"/>
            <w:hideMark/>
          </w:tcPr>
          <w:p w14:paraId="798262E2" w14:textId="0FB5369E" w:rsidR="00396EBE" w:rsidRDefault="00E53819" w:rsidP="00AF6AED">
            <w:pPr>
              <w:spacing w:after="0" w:line="240" w:lineRule="auto"/>
              <w:jc w:val="both"/>
              <w:rPr>
                <w:rFonts w:ascii="Times New Roman" w:hAnsi="Times New Roman"/>
                <w:bCs/>
                <w:sz w:val="24"/>
                <w:szCs w:val="24"/>
              </w:rPr>
            </w:pPr>
            <w:r>
              <w:rPr>
                <w:rFonts w:ascii="Times New Roman" w:hAnsi="Times New Roman"/>
                <w:bCs/>
                <w:sz w:val="24"/>
                <w:szCs w:val="24"/>
              </w:rPr>
              <w:t>Ministru kabineta 2015.gada 14.jūlija noteikumu Nr.407 “Augstskolu, koledžu un studiju virzienu akreditācijas noteikumi” (turpmāk – akreditācijas noteikumi) 8.punkts nosaka Studiju akreditācijas komisijas tiesības un pienākumus. Akreditācijas noteikumu 8.6.apakšpunkts nosaka, ka Studiju akreditācijas komisija lemj</w:t>
            </w:r>
            <w:r w:rsidRPr="00E53819">
              <w:rPr>
                <w:rFonts w:ascii="Times New Roman" w:hAnsi="Times New Roman"/>
                <w:bCs/>
                <w:sz w:val="24"/>
                <w:szCs w:val="24"/>
              </w:rPr>
              <w:t xml:space="preserve"> par izmaiņu izdarīšanu studiju virziena akreditācijas lapā, ja ir mainīts augstskolas vai koledžas nosaukums, studiju programmas kods, īstenošanas vieta, veids, forma un studij</w:t>
            </w:r>
            <w:r>
              <w:rPr>
                <w:rFonts w:ascii="Times New Roman" w:hAnsi="Times New Roman"/>
                <w:bCs/>
                <w:sz w:val="24"/>
                <w:szCs w:val="24"/>
              </w:rPr>
              <w:t xml:space="preserve">u programmas īstenošanas valoda, savukārt 8.7.apakšpunkts nosaka, ka Studiju akreditācijas komisija </w:t>
            </w:r>
            <w:r w:rsidRPr="00E53819">
              <w:rPr>
                <w:rFonts w:ascii="Times New Roman" w:hAnsi="Times New Roman"/>
                <w:bCs/>
                <w:sz w:val="24"/>
                <w:szCs w:val="24"/>
              </w:rPr>
              <w:t>lemj par augstskolas vai koledžas veikto izmaiņu pieļaujamību studiju virzienā pēc tam, kad augstskola vai koledža, ja tā vēlas veikt izmaiņas studiju virzienā, ir iesniegusi studiju akreditācijas komisijā attiecīgu iesniegumu ar lūgumu apstiprināt izmaiņas studiju virzienā. Šajā apakšpunktā minētās izmaiņas studiju virzienā ir šādas:</w:t>
            </w:r>
          </w:p>
          <w:p w14:paraId="4CDF299F" w14:textId="77777777" w:rsidR="00E53819" w:rsidRDefault="00E53819" w:rsidP="00AF6AED">
            <w:pPr>
              <w:spacing w:after="0" w:line="240" w:lineRule="auto"/>
              <w:jc w:val="both"/>
              <w:rPr>
                <w:rFonts w:ascii="Times New Roman" w:hAnsi="Times New Roman"/>
                <w:bCs/>
                <w:sz w:val="24"/>
                <w:szCs w:val="24"/>
              </w:rPr>
            </w:pPr>
            <w:r w:rsidRPr="00E53819">
              <w:rPr>
                <w:rFonts w:ascii="Times New Roman" w:hAnsi="Times New Roman"/>
                <w:bCs/>
                <w:sz w:val="24"/>
                <w:szCs w:val="24"/>
              </w:rPr>
              <w:t>8.7.1. studiju virzienam atbilstošās studiju programmas nosaukuma, iegūstamās profesionālās kvalifikācijas vai grāda izmaiņas;</w:t>
            </w:r>
          </w:p>
          <w:p w14:paraId="2BE1CEF6" w14:textId="77777777" w:rsidR="00E53819" w:rsidRDefault="00E53819" w:rsidP="00AF6AED">
            <w:pPr>
              <w:spacing w:after="0" w:line="240" w:lineRule="auto"/>
              <w:jc w:val="both"/>
              <w:rPr>
                <w:rFonts w:ascii="Times New Roman" w:hAnsi="Times New Roman"/>
                <w:bCs/>
                <w:sz w:val="24"/>
                <w:szCs w:val="24"/>
              </w:rPr>
            </w:pPr>
            <w:r w:rsidRPr="00E53819">
              <w:rPr>
                <w:rFonts w:ascii="Times New Roman" w:hAnsi="Times New Roman"/>
                <w:bCs/>
                <w:sz w:val="24"/>
                <w:szCs w:val="24"/>
              </w:rPr>
              <w:t>8.7.2. mainās studiju programmas atbilstība studiju virzienam;</w:t>
            </w:r>
          </w:p>
          <w:p w14:paraId="207BE0C3" w14:textId="77777777" w:rsidR="00E53819" w:rsidRDefault="00E53819" w:rsidP="00AF6AED">
            <w:pPr>
              <w:spacing w:after="0" w:line="240" w:lineRule="auto"/>
              <w:jc w:val="both"/>
              <w:rPr>
                <w:rFonts w:ascii="Times New Roman" w:hAnsi="Times New Roman"/>
                <w:bCs/>
                <w:sz w:val="24"/>
                <w:szCs w:val="24"/>
              </w:rPr>
            </w:pPr>
            <w:r w:rsidRPr="00E53819">
              <w:rPr>
                <w:rFonts w:ascii="Times New Roman" w:hAnsi="Times New Roman"/>
                <w:bCs/>
                <w:sz w:val="24"/>
                <w:szCs w:val="24"/>
              </w:rPr>
              <w:t>8.7.3. izmaiņas prasībās, kas noteiktas, uzsākot studiju virzienam atbilstošas studiju programmas apguvi;</w:t>
            </w:r>
          </w:p>
          <w:p w14:paraId="5F77FAC0" w14:textId="77777777" w:rsidR="00E53819" w:rsidRDefault="00E53819" w:rsidP="00AF6AED">
            <w:pPr>
              <w:spacing w:after="0" w:line="240" w:lineRule="auto"/>
              <w:jc w:val="both"/>
              <w:rPr>
                <w:rFonts w:ascii="Times New Roman" w:hAnsi="Times New Roman"/>
                <w:bCs/>
                <w:sz w:val="24"/>
                <w:szCs w:val="24"/>
              </w:rPr>
            </w:pPr>
            <w:r w:rsidRPr="00E53819">
              <w:rPr>
                <w:rFonts w:ascii="Times New Roman" w:hAnsi="Times New Roman"/>
                <w:bCs/>
                <w:sz w:val="24"/>
                <w:szCs w:val="24"/>
              </w:rPr>
              <w:t>8.7.4. izdarītās izmaiņas studiju virziena akreditācijas periodā šim studiju virzienam atbilstošās studiju programmas ilgumā vai apjomā pārsniedz 20 procentu no akreditācijas iesniegumā noteiktās studiju virzienam atbilstošās studiju programmas obligātās un ierobežotās izvēles daļas apjoma kredītpunktos;</w:t>
            </w:r>
          </w:p>
          <w:p w14:paraId="7ECE1141" w14:textId="77777777" w:rsidR="00E53819" w:rsidRDefault="00E53819" w:rsidP="00AF6AED">
            <w:pPr>
              <w:spacing w:after="0" w:line="240" w:lineRule="auto"/>
              <w:jc w:val="both"/>
              <w:rPr>
                <w:rFonts w:ascii="Times New Roman" w:hAnsi="Times New Roman"/>
                <w:bCs/>
                <w:sz w:val="24"/>
                <w:szCs w:val="24"/>
              </w:rPr>
            </w:pPr>
            <w:r w:rsidRPr="00E53819">
              <w:rPr>
                <w:rFonts w:ascii="Times New Roman" w:hAnsi="Times New Roman"/>
                <w:bCs/>
                <w:sz w:val="24"/>
                <w:szCs w:val="24"/>
              </w:rPr>
              <w:t xml:space="preserve">8.7.5. augstskolā vai koledžā attiecīgajā studiju virzienā vai studiju virzienam atbilstošajā studiju programmā strādājošā vēlētā akadēmiskā personāla izmaiņas kopš iepriekšējās studiju </w:t>
            </w:r>
            <w:r w:rsidRPr="00E53819">
              <w:rPr>
                <w:rFonts w:ascii="Times New Roman" w:hAnsi="Times New Roman"/>
                <w:bCs/>
                <w:sz w:val="24"/>
                <w:szCs w:val="24"/>
              </w:rPr>
              <w:lastRenderedPageBreak/>
              <w:t>virziena akreditācijas, ja tās attiecas uz vismaz 20 procentiem no attiecīgajā studiju virzienā strādājošā vēlētā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14:paraId="04173354" w14:textId="77777777" w:rsidR="00E53819" w:rsidRDefault="00E53819" w:rsidP="00AF6AED">
            <w:pPr>
              <w:spacing w:after="0" w:line="240" w:lineRule="auto"/>
              <w:jc w:val="both"/>
              <w:rPr>
                <w:rFonts w:ascii="Times New Roman" w:hAnsi="Times New Roman"/>
                <w:bCs/>
                <w:sz w:val="24"/>
                <w:szCs w:val="24"/>
              </w:rPr>
            </w:pPr>
            <w:r w:rsidRPr="00E53819">
              <w:rPr>
                <w:rFonts w:ascii="Times New Roman" w:hAnsi="Times New Roman"/>
                <w:bCs/>
                <w:sz w:val="24"/>
                <w:szCs w:val="24"/>
              </w:rPr>
              <w:t>8.7.6. augstskola vai koledža vēlas slēgt kādu no studiju virzienam a</w:t>
            </w:r>
            <w:r>
              <w:rPr>
                <w:rFonts w:ascii="Times New Roman" w:hAnsi="Times New Roman"/>
                <w:bCs/>
                <w:sz w:val="24"/>
                <w:szCs w:val="24"/>
              </w:rPr>
              <w:t>tbilstošajām studiju programmām.</w:t>
            </w:r>
          </w:p>
          <w:p w14:paraId="3045760A" w14:textId="77777777" w:rsidR="00E53819" w:rsidRDefault="00E53819" w:rsidP="00AF6AED">
            <w:pPr>
              <w:spacing w:after="0" w:line="240" w:lineRule="auto"/>
              <w:jc w:val="both"/>
              <w:rPr>
                <w:rFonts w:ascii="Times New Roman" w:hAnsi="Times New Roman"/>
                <w:bCs/>
                <w:sz w:val="24"/>
                <w:szCs w:val="24"/>
              </w:rPr>
            </w:pPr>
            <w:r>
              <w:rPr>
                <w:rFonts w:ascii="Times New Roman" w:hAnsi="Times New Roman"/>
                <w:bCs/>
                <w:sz w:val="24"/>
                <w:szCs w:val="24"/>
              </w:rPr>
              <w:t xml:space="preserve">Vienlaikus akreditācijas noteikumu 8.8.apakšpunkts paredz, ka Studiju akreditācijas komisija apstiprina vienu ekspertu akreditācijas noteikumu 8.6.un 8.7.apakšpunktā minēto izmaiņu novērtēšanai, un saskaņā ar Ministru kabineta 2015.gada 14.jūlija noteikumu Nr.409 “Nodibinājuma “Akadēmiskās informācijas centrs” maksas pakalpojumu cenrādis” pielikumu šo izmaiņu veikšanas izmaksas ir 771 </w:t>
            </w:r>
            <w:proofErr w:type="spellStart"/>
            <w:r w:rsidRPr="00D52C05">
              <w:rPr>
                <w:rFonts w:ascii="Times New Roman" w:hAnsi="Times New Roman"/>
                <w:bCs/>
                <w:i/>
                <w:sz w:val="24"/>
                <w:szCs w:val="24"/>
              </w:rPr>
              <w:t>euro</w:t>
            </w:r>
            <w:proofErr w:type="spellEnd"/>
            <w:r>
              <w:rPr>
                <w:rFonts w:ascii="Times New Roman" w:hAnsi="Times New Roman"/>
                <w:bCs/>
                <w:sz w:val="24"/>
                <w:szCs w:val="24"/>
              </w:rPr>
              <w:t>.</w:t>
            </w:r>
          </w:p>
          <w:p w14:paraId="56CDB64F" w14:textId="0C850CD0" w:rsidR="00D8781A" w:rsidRDefault="00D8781A" w:rsidP="00AF6AED">
            <w:pPr>
              <w:spacing w:after="0" w:line="240" w:lineRule="auto"/>
              <w:jc w:val="both"/>
              <w:rPr>
                <w:rFonts w:ascii="Times New Roman" w:hAnsi="Times New Roman"/>
                <w:bCs/>
                <w:sz w:val="24"/>
                <w:szCs w:val="24"/>
              </w:rPr>
            </w:pPr>
            <w:r w:rsidRPr="00D8781A">
              <w:rPr>
                <w:rFonts w:ascii="Times New Roman" w:hAnsi="Times New Roman"/>
                <w:bCs/>
                <w:sz w:val="24"/>
                <w:szCs w:val="24"/>
              </w:rPr>
              <w:t xml:space="preserve">Šobrīd spēkā esošā redakcija nav pilnīgi skaidra, jo </w:t>
            </w:r>
            <w:r w:rsidR="000D3684">
              <w:rPr>
                <w:rFonts w:ascii="Times New Roman" w:hAnsi="Times New Roman"/>
                <w:bCs/>
                <w:sz w:val="24"/>
                <w:szCs w:val="24"/>
              </w:rPr>
              <w:t xml:space="preserve">akreditācijas </w:t>
            </w:r>
            <w:r w:rsidR="005B42B6">
              <w:rPr>
                <w:rFonts w:ascii="Times New Roman" w:hAnsi="Times New Roman"/>
                <w:bCs/>
                <w:sz w:val="24"/>
                <w:szCs w:val="24"/>
              </w:rPr>
              <w:t xml:space="preserve">noteikumu </w:t>
            </w:r>
            <w:r w:rsidRPr="00D8781A">
              <w:rPr>
                <w:rFonts w:ascii="Times New Roman" w:hAnsi="Times New Roman"/>
                <w:bCs/>
                <w:sz w:val="24"/>
                <w:szCs w:val="24"/>
              </w:rPr>
              <w:t xml:space="preserve">8.6.apakšpunktā </w:t>
            </w:r>
            <w:r>
              <w:rPr>
                <w:rFonts w:ascii="Times New Roman" w:hAnsi="Times New Roman"/>
                <w:bCs/>
                <w:sz w:val="24"/>
                <w:szCs w:val="24"/>
              </w:rPr>
              <w:t xml:space="preserve">minētais formulējums </w:t>
            </w:r>
            <w:r w:rsidR="00787327">
              <w:rPr>
                <w:rFonts w:ascii="Times New Roman" w:hAnsi="Times New Roman"/>
                <w:bCs/>
                <w:sz w:val="24"/>
                <w:szCs w:val="24"/>
              </w:rPr>
              <w:t xml:space="preserve">nosaka, ka </w:t>
            </w:r>
            <w:r>
              <w:rPr>
                <w:rFonts w:ascii="Times New Roman" w:hAnsi="Times New Roman"/>
                <w:bCs/>
                <w:sz w:val="24"/>
                <w:szCs w:val="24"/>
              </w:rPr>
              <w:t xml:space="preserve">Studiju akreditācijas </w:t>
            </w:r>
            <w:r w:rsidR="00787327">
              <w:rPr>
                <w:rFonts w:ascii="Times New Roman" w:hAnsi="Times New Roman"/>
                <w:bCs/>
                <w:sz w:val="24"/>
                <w:szCs w:val="24"/>
              </w:rPr>
              <w:t>“</w:t>
            </w:r>
            <w:r>
              <w:rPr>
                <w:rFonts w:ascii="Times New Roman" w:hAnsi="Times New Roman"/>
                <w:bCs/>
                <w:sz w:val="24"/>
                <w:szCs w:val="24"/>
              </w:rPr>
              <w:t>komisija</w:t>
            </w:r>
            <w:r w:rsidRPr="00D8781A">
              <w:rPr>
                <w:rFonts w:ascii="Times New Roman" w:hAnsi="Times New Roman"/>
                <w:bCs/>
                <w:sz w:val="24"/>
                <w:szCs w:val="24"/>
              </w:rPr>
              <w:t xml:space="preserve"> lemj par izmaiņu izdarīšanu” un 8.7.apakšpunktā </w:t>
            </w:r>
            <w:r w:rsidR="0038608C">
              <w:rPr>
                <w:rFonts w:ascii="Times New Roman" w:hAnsi="Times New Roman"/>
                <w:bCs/>
                <w:sz w:val="24"/>
                <w:szCs w:val="24"/>
              </w:rPr>
              <w:t>minētais formulējums nosaka, ka</w:t>
            </w:r>
            <w:r w:rsidR="00787327">
              <w:rPr>
                <w:rFonts w:ascii="Times New Roman" w:hAnsi="Times New Roman"/>
                <w:bCs/>
                <w:sz w:val="24"/>
                <w:szCs w:val="24"/>
              </w:rPr>
              <w:t xml:space="preserve"> Studiju akreditācijas “komisija</w:t>
            </w:r>
            <w:r w:rsidR="007F662D">
              <w:rPr>
                <w:rFonts w:ascii="Times New Roman" w:hAnsi="Times New Roman"/>
                <w:bCs/>
                <w:sz w:val="24"/>
                <w:szCs w:val="24"/>
              </w:rPr>
              <w:t xml:space="preserve"> </w:t>
            </w:r>
            <w:r w:rsidRPr="00D8781A">
              <w:rPr>
                <w:rFonts w:ascii="Times New Roman" w:hAnsi="Times New Roman"/>
                <w:bCs/>
                <w:sz w:val="24"/>
                <w:szCs w:val="24"/>
              </w:rPr>
              <w:t xml:space="preserve">lemj par augstskolas vai koledžas veikto izmaiņu pieļaujamību”. Praksē Studiju akreditācijas komisija gan </w:t>
            </w:r>
            <w:r w:rsidR="000D3684">
              <w:rPr>
                <w:rFonts w:ascii="Times New Roman" w:hAnsi="Times New Roman"/>
                <w:bCs/>
                <w:sz w:val="24"/>
                <w:szCs w:val="24"/>
              </w:rPr>
              <w:t xml:space="preserve">akreditācijas noteikumu </w:t>
            </w:r>
            <w:r w:rsidRPr="00D8781A">
              <w:rPr>
                <w:rFonts w:ascii="Times New Roman" w:hAnsi="Times New Roman"/>
                <w:bCs/>
                <w:sz w:val="24"/>
                <w:szCs w:val="24"/>
              </w:rPr>
              <w:t>8.6.</w:t>
            </w:r>
            <w:r w:rsidR="000D3684">
              <w:rPr>
                <w:rFonts w:ascii="Times New Roman" w:hAnsi="Times New Roman"/>
                <w:bCs/>
                <w:sz w:val="24"/>
                <w:szCs w:val="24"/>
              </w:rPr>
              <w:t>apakšpunktā</w:t>
            </w:r>
            <w:r w:rsidRPr="00D8781A">
              <w:rPr>
                <w:rFonts w:ascii="Times New Roman" w:hAnsi="Times New Roman"/>
                <w:bCs/>
                <w:sz w:val="24"/>
                <w:szCs w:val="24"/>
              </w:rPr>
              <w:t xml:space="preserve">, gan </w:t>
            </w:r>
            <w:r w:rsidR="000D3684">
              <w:rPr>
                <w:rFonts w:ascii="Times New Roman" w:hAnsi="Times New Roman"/>
                <w:bCs/>
                <w:sz w:val="24"/>
                <w:szCs w:val="24"/>
              </w:rPr>
              <w:t xml:space="preserve">akreditācijas noteikumu </w:t>
            </w:r>
            <w:r w:rsidRPr="00D8781A">
              <w:rPr>
                <w:rFonts w:ascii="Times New Roman" w:hAnsi="Times New Roman"/>
                <w:bCs/>
                <w:sz w:val="24"/>
                <w:szCs w:val="24"/>
              </w:rPr>
              <w:t>8.7.apakšpunktā minētajos gadījumos pieņem lēmumu, izvērtējot konkrēto situāciju un abos gadījumos komisijas darbībās un lēmuma pieņemšanas pieejā nav būtiskas atšķirības</w:t>
            </w:r>
            <w:r>
              <w:rPr>
                <w:rFonts w:ascii="Times New Roman" w:hAnsi="Times New Roman"/>
                <w:bCs/>
                <w:sz w:val="24"/>
                <w:szCs w:val="24"/>
              </w:rPr>
              <w:t>.</w:t>
            </w:r>
            <w:r w:rsidR="007F662D">
              <w:rPr>
                <w:rFonts w:ascii="Times New Roman" w:hAnsi="Times New Roman"/>
                <w:bCs/>
                <w:sz w:val="24"/>
                <w:szCs w:val="24"/>
              </w:rPr>
              <w:t xml:space="preserve"> Līdz ar to ar projektu tiek paredzēta šī atšķirība.</w:t>
            </w:r>
          </w:p>
          <w:p w14:paraId="23CDC413" w14:textId="6C1A59B3" w:rsidR="00E53819" w:rsidRDefault="00E53819" w:rsidP="00AF6AED">
            <w:pPr>
              <w:spacing w:after="0" w:line="240" w:lineRule="auto"/>
              <w:jc w:val="both"/>
              <w:rPr>
                <w:rFonts w:ascii="Times New Roman" w:hAnsi="Times New Roman"/>
                <w:bCs/>
                <w:sz w:val="24"/>
                <w:szCs w:val="24"/>
              </w:rPr>
            </w:pPr>
            <w:r>
              <w:rPr>
                <w:rFonts w:ascii="Times New Roman" w:hAnsi="Times New Roman"/>
                <w:bCs/>
                <w:sz w:val="24"/>
                <w:szCs w:val="24"/>
              </w:rPr>
              <w:t xml:space="preserve">Akreditācijas noteikumu </w:t>
            </w:r>
            <w:r w:rsidR="00BE4BFC">
              <w:rPr>
                <w:rFonts w:ascii="Times New Roman" w:hAnsi="Times New Roman"/>
                <w:bCs/>
                <w:sz w:val="24"/>
                <w:szCs w:val="24"/>
              </w:rPr>
              <w:t xml:space="preserve">piemērošanas </w:t>
            </w:r>
            <w:r>
              <w:rPr>
                <w:rFonts w:ascii="Times New Roman" w:hAnsi="Times New Roman"/>
                <w:bCs/>
                <w:sz w:val="24"/>
                <w:szCs w:val="24"/>
              </w:rPr>
              <w:t xml:space="preserve">prakses laikā ir konstatēti gadījumi, kad </w:t>
            </w:r>
            <w:r w:rsidR="001E1B5B">
              <w:rPr>
                <w:rFonts w:ascii="Times New Roman" w:hAnsi="Times New Roman"/>
                <w:bCs/>
                <w:sz w:val="24"/>
                <w:szCs w:val="24"/>
              </w:rPr>
              <w:t xml:space="preserve">nepieciešams veikt tehniskas izmaiņas studiju virziena akreditācijas lapā, piemēram, ir mainījies augstskolas vai koledžas, kas īsteno studiju virzienu, nosaukums, vai arī slēgta kādam studiju virzienam atbilstoša studiju programma. Šādos gadījumos </w:t>
            </w:r>
            <w:r>
              <w:rPr>
                <w:rFonts w:ascii="Times New Roman" w:hAnsi="Times New Roman"/>
                <w:bCs/>
                <w:sz w:val="24"/>
                <w:szCs w:val="24"/>
              </w:rPr>
              <w:t>nav nepieciešams eksperta novērtējums, lai Studiju akreditācijas komisija spētu pieņemt objektīvu lēmumu, līdz ar to ministr</w:t>
            </w:r>
            <w:r w:rsidR="002C674B">
              <w:rPr>
                <w:rFonts w:ascii="Times New Roman" w:hAnsi="Times New Roman"/>
                <w:bCs/>
                <w:sz w:val="24"/>
                <w:szCs w:val="24"/>
              </w:rPr>
              <w:t xml:space="preserve">ija ir izstrādājusi projektu, lai novērstu gadījumus, kad nepieciešams apstiprināt ekspertu un augstākās izglītības iestādēm segt izmaksas par izmaiņu veikšanu, ja paredzētās izmaiņas </w:t>
            </w:r>
            <w:r w:rsidR="001E1B5B">
              <w:rPr>
                <w:rFonts w:ascii="Times New Roman" w:hAnsi="Times New Roman"/>
                <w:bCs/>
                <w:sz w:val="24"/>
                <w:szCs w:val="24"/>
              </w:rPr>
              <w:t>ir tehniskas</w:t>
            </w:r>
            <w:r w:rsidR="002C674B">
              <w:rPr>
                <w:rFonts w:ascii="Times New Roman" w:hAnsi="Times New Roman"/>
                <w:bCs/>
                <w:sz w:val="24"/>
                <w:szCs w:val="24"/>
              </w:rPr>
              <w:t>. Ministrija par šādām izmaiņām uzskata:</w:t>
            </w:r>
          </w:p>
          <w:p w14:paraId="0D1AEC97" w14:textId="198EF7C8" w:rsidR="002C674B" w:rsidRDefault="002C674B" w:rsidP="00AF6AED">
            <w:pPr>
              <w:spacing w:after="0" w:line="240" w:lineRule="auto"/>
              <w:jc w:val="both"/>
              <w:rPr>
                <w:rFonts w:ascii="Times New Roman" w:hAnsi="Times New Roman"/>
                <w:bCs/>
                <w:sz w:val="24"/>
                <w:szCs w:val="24"/>
              </w:rPr>
            </w:pPr>
            <w:r>
              <w:rPr>
                <w:rFonts w:ascii="Times New Roman" w:hAnsi="Times New Roman"/>
                <w:bCs/>
                <w:sz w:val="24"/>
                <w:szCs w:val="24"/>
              </w:rPr>
              <w:t>- studiju virziena akreditācijas lapas maiņu, ja ir mainīts augs</w:t>
            </w:r>
            <w:r w:rsidR="005E51CF">
              <w:rPr>
                <w:rFonts w:ascii="Times New Roman" w:hAnsi="Times New Roman"/>
                <w:bCs/>
                <w:sz w:val="24"/>
                <w:szCs w:val="24"/>
              </w:rPr>
              <w:t>tskolas vai koledžas nosaukums</w:t>
            </w:r>
            <w:r w:rsidR="001E1B5B">
              <w:rPr>
                <w:rFonts w:ascii="Times New Roman" w:hAnsi="Times New Roman"/>
                <w:bCs/>
                <w:sz w:val="24"/>
                <w:szCs w:val="24"/>
              </w:rPr>
              <w:t xml:space="preserve"> vai</w:t>
            </w:r>
            <w:r w:rsidR="005E51CF">
              <w:rPr>
                <w:rFonts w:ascii="Times New Roman" w:hAnsi="Times New Roman"/>
                <w:bCs/>
                <w:sz w:val="24"/>
                <w:szCs w:val="24"/>
              </w:rPr>
              <w:t xml:space="preserve"> studiju programmas</w:t>
            </w:r>
            <w:r w:rsidR="00F7235A">
              <w:rPr>
                <w:rFonts w:ascii="Times New Roman" w:hAnsi="Times New Roman"/>
                <w:bCs/>
                <w:sz w:val="24"/>
                <w:szCs w:val="24"/>
              </w:rPr>
              <w:t xml:space="preserve"> īstenošanas veids</w:t>
            </w:r>
            <w:r>
              <w:rPr>
                <w:rFonts w:ascii="Times New Roman" w:hAnsi="Times New Roman"/>
                <w:bCs/>
                <w:sz w:val="24"/>
                <w:szCs w:val="24"/>
              </w:rPr>
              <w:t>;</w:t>
            </w:r>
          </w:p>
          <w:p w14:paraId="311C619A" w14:textId="77777777" w:rsidR="001E1B5B" w:rsidRDefault="002C674B" w:rsidP="001E1B5B">
            <w:pPr>
              <w:spacing w:after="0" w:line="240" w:lineRule="auto"/>
              <w:jc w:val="both"/>
              <w:rPr>
                <w:rFonts w:ascii="Times New Roman" w:hAnsi="Times New Roman"/>
                <w:bCs/>
                <w:sz w:val="24"/>
                <w:szCs w:val="24"/>
              </w:rPr>
            </w:pPr>
            <w:r>
              <w:rPr>
                <w:rFonts w:ascii="Times New Roman" w:hAnsi="Times New Roman"/>
                <w:bCs/>
                <w:sz w:val="24"/>
                <w:szCs w:val="24"/>
              </w:rPr>
              <w:t xml:space="preserve">- studiju virziena akreditācijas lapas maiņu, ja ir slēgta kāda no studiju virzienam atbilstošajām studiju </w:t>
            </w:r>
            <w:r w:rsidR="001E1B5B">
              <w:rPr>
                <w:rFonts w:ascii="Times New Roman" w:hAnsi="Times New Roman"/>
                <w:bCs/>
                <w:sz w:val="24"/>
                <w:szCs w:val="24"/>
              </w:rPr>
              <w:t>programmām.</w:t>
            </w:r>
          </w:p>
          <w:p w14:paraId="0BB362A5" w14:textId="3F611503" w:rsidR="001E1B5B" w:rsidRDefault="00D52C05" w:rsidP="001E1B5B">
            <w:pPr>
              <w:spacing w:after="0" w:line="240" w:lineRule="auto"/>
              <w:jc w:val="both"/>
              <w:rPr>
                <w:rFonts w:ascii="Times New Roman" w:hAnsi="Times New Roman"/>
                <w:bCs/>
                <w:sz w:val="24"/>
                <w:szCs w:val="24"/>
              </w:rPr>
            </w:pPr>
            <w:r>
              <w:rPr>
                <w:rFonts w:ascii="Times New Roman" w:hAnsi="Times New Roman"/>
                <w:bCs/>
                <w:sz w:val="24"/>
                <w:szCs w:val="24"/>
              </w:rPr>
              <w:t>Augstskolas vai koledžas nosaukuma izmaiņas nosaka to dibinātājs, pēc kā tas tiek atspoguļots augstskolas satversmē vai koledžas un Latvijas Nacionālās aizsardzības akadēmijas nolikumā.</w:t>
            </w:r>
            <w:r w:rsidR="005E51CF">
              <w:rPr>
                <w:rFonts w:ascii="Times New Roman" w:hAnsi="Times New Roman"/>
                <w:bCs/>
                <w:sz w:val="24"/>
                <w:szCs w:val="24"/>
              </w:rPr>
              <w:t xml:space="preserve"> </w:t>
            </w:r>
            <w:r>
              <w:rPr>
                <w:rFonts w:ascii="Times New Roman" w:hAnsi="Times New Roman"/>
                <w:bCs/>
                <w:sz w:val="24"/>
                <w:szCs w:val="24"/>
              </w:rPr>
              <w:t>J</w:t>
            </w:r>
            <w:r w:rsidR="005E51CF">
              <w:rPr>
                <w:rFonts w:ascii="Times New Roman" w:hAnsi="Times New Roman"/>
                <w:bCs/>
                <w:sz w:val="24"/>
                <w:szCs w:val="24"/>
              </w:rPr>
              <w:t xml:space="preserve">a ir pieņemts likums vai Ministru kabineta </w:t>
            </w:r>
            <w:r w:rsidR="005E51CF">
              <w:rPr>
                <w:rFonts w:ascii="Times New Roman" w:hAnsi="Times New Roman"/>
                <w:bCs/>
                <w:sz w:val="24"/>
                <w:szCs w:val="24"/>
              </w:rPr>
              <w:lastRenderedPageBreak/>
              <w:t>noteikumi</w:t>
            </w:r>
            <w:r>
              <w:rPr>
                <w:rFonts w:ascii="Times New Roman" w:hAnsi="Times New Roman"/>
                <w:bCs/>
                <w:sz w:val="24"/>
                <w:szCs w:val="24"/>
              </w:rPr>
              <w:t>, kuros ir noteikts konkrētās augstskolas vai koledžas nosaukums</w:t>
            </w:r>
            <w:r w:rsidR="005E51CF">
              <w:rPr>
                <w:rFonts w:ascii="Times New Roman" w:hAnsi="Times New Roman"/>
                <w:bCs/>
                <w:sz w:val="24"/>
                <w:szCs w:val="24"/>
              </w:rPr>
              <w:t>, nav nepieciešams apstip</w:t>
            </w:r>
            <w:r>
              <w:rPr>
                <w:rFonts w:ascii="Times New Roman" w:hAnsi="Times New Roman"/>
                <w:bCs/>
                <w:sz w:val="24"/>
                <w:szCs w:val="24"/>
              </w:rPr>
              <w:t>rināt ekspertu, kurš to novērtē, jo jau ar ārējo normatīvo aktu ir noteikts augstskolas vai koledžas nosaukums.</w:t>
            </w:r>
          </w:p>
          <w:p w14:paraId="7F41F523" w14:textId="77777777" w:rsidR="00857EF2" w:rsidRDefault="00857EF2" w:rsidP="00AF6AED">
            <w:pPr>
              <w:spacing w:after="0" w:line="240" w:lineRule="auto"/>
              <w:jc w:val="both"/>
              <w:rPr>
                <w:rFonts w:ascii="Times New Roman" w:hAnsi="Times New Roman"/>
                <w:bCs/>
                <w:sz w:val="24"/>
                <w:szCs w:val="24"/>
              </w:rPr>
            </w:pPr>
            <w:r w:rsidRPr="00857EF2">
              <w:rPr>
                <w:rFonts w:ascii="Times New Roman" w:hAnsi="Times New Roman"/>
                <w:bCs/>
                <w:sz w:val="24"/>
                <w:szCs w:val="24"/>
              </w:rPr>
              <w:t>Saskaņā ar Augstskolu likuma 1.panta 10.punktu pilna laika studijas ir studiju veids, kuram atbilst 40 kredītpunkti akadēmiskajā gadā un ne mazāk kā 40 akadēmiskās stundas nedēļā, savukārt 9.punkts nosaka, ka nepilna laika studijas ir studiju veids, kuram atbilst mazāk kā 40 kredītpunkti akadēmiskajā gadā un mazāk nekā 40 akadēmiskās stundas nedēļā. Studiju programmas īstenošanas veids nosaka akadēmiskajā gadā iegūstamo kredītpunktu skaitu un studiju nedēļā studijām noteikto akadēmisko stundu skaitu. Studiju programmas īstenošanas veida izmaiņas nav uzskatāmas par būtiskām izmaiņām, jo secināms, ka, ja studiju programma tiek īstenota pilna laika studijās, tad arī nepilna laika studijās to ir iespējams īstenot. Studiju programmas īstenošanas veida izmaiņas neietekmē studiju programmas saturu vai studiju programmas saturisko plānojumu, proti, studiju kursu secīgumu, no tā izmaiņām nemainās mācībspēku sastāvs, nemainās nodrošinājums ar resursiem, nemainās sasniegto studiju rezultātu pārbaudes metodes, nemainās apmācības metodes, līdz ar to tās nav būtiskas izmaiņas, kuru izvērtēšanai būtu nepieciešams eksperta atzinums.</w:t>
            </w:r>
          </w:p>
          <w:p w14:paraId="5DC14C88" w14:textId="206632E2" w:rsidR="00A62082" w:rsidRDefault="00A62082" w:rsidP="00AF6AED">
            <w:pPr>
              <w:spacing w:after="0" w:line="240" w:lineRule="auto"/>
              <w:jc w:val="both"/>
              <w:rPr>
                <w:rFonts w:ascii="Times New Roman" w:hAnsi="Times New Roman"/>
                <w:bCs/>
                <w:sz w:val="24"/>
                <w:szCs w:val="24"/>
              </w:rPr>
            </w:pPr>
            <w:r>
              <w:rPr>
                <w:rFonts w:ascii="Times New Roman" w:hAnsi="Times New Roman"/>
                <w:bCs/>
                <w:sz w:val="24"/>
                <w:szCs w:val="24"/>
              </w:rPr>
              <w:t>Ņemot vērā to, ka studiju programmas slēgšanas gadījumā eksperta vērtējums nav nepieciešams, jo eksperta vērtējums ir kvalitātes novērtējums, ko slēgtas studiju programmas sakarā nevar veikt, tad arī studiju programmas slēgšanas gadījumā nepieciešams veikt izmaiņas studiju virziena akreditācijas lapā, nepiesaistot šādu izmaiņu novērtēšanai ekspertu.</w:t>
            </w:r>
          </w:p>
          <w:p w14:paraId="0E03943A" w14:textId="6F2F7CAA" w:rsidR="001E1B5B" w:rsidRDefault="00324E0F" w:rsidP="00AF6AED">
            <w:pPr>
              <w:spacing w:after="0" w:line="240" w:lineRule="auto"/>
              <w:jc w:val="both"/>
              <w:rPr>
                <w:rFonts w:ascii="Times New Roman" w:hAnsi="Times New Roman"/>
                <w:bCs/>
                <w:sz w:val="24"/>
                <w:szCs w:val="24"/>
              </w:rPr>
            </w:pPr>
            <w:r w:rsidRPr="00324E0F">
              <w:rPr>
                <w:rFonts w:ascii="Times New Roman" w:hAnsi="Times New Roman"/>
                <w:bCs/>
                <w:sz w:val="24"/>
                <w:szCs w:val="24"/>
              </w:rPr>
              <w:t xml:space="preserve">Vienlaikus ministrijas ieskatā nav iespējams uzskaitīt visus iespējamos gadījumus, kuru dēļ varētu būt nepieciešams nomainīt studiju virziena akreditācijas lapu, līdz ar to precizējams akreditācijas noteikumu 8.6.apakšpunkts, nosakot, ka Studiju akreditācijas komisija lemj par izmaiņu izdarīšanu studiju virziena akreditācijas lapā, neuzskaitot gadījumus, kuros tas tiek darīts. Minētais ļaus Studiju akreditācijas komisijai attiecīgi pamatojot veikt tehniskas izmaiņas studiju virziena akreditācijas lapā, nepiesaistot tehnisku izmaiņu vērtēšanai ekspertu. Piemēram, ja institūcija, kas apstiprina profesijas standartus, izlemj precizēt profesijas standarta nosaukumu, augstākās izglītības iestādei var būt nepieciešams mainīt profesionālās kvalifikācijas, kurai atbilst attiecīgais profesijas standarts, nosaukumu, kas saskaņā ar akreditācijas noteikumu 8.7.1.apakšpunktu ir izmaiņas, par kuru pieļaujamību lemj Studiju akreditācijas komisija un kuru novērtēšanai tiek piesaistīts eksperts. Ar paredzētajām izmaiņām akreditācijas noteikumu 8.6.apakšpunktā Studiju akreditācijas komisija varēs pieņemt lēmumu par izmaiņām studiju virziena akreditācijas lapā precizējot profesionālās kvalifikācijas nosaukumu saskaņā ar akreditācijas noteikumu </w:t>
            </w:r>
            <w:r w:rsidRPr="00324E0F">
              <w:rPr>
                <w:rFonts w:ascii="Times New Roman" w:hAnsi="Times New Roman"/>
                <w:bCs/>
                <w:sz w:val="24"/>
                <w:szCs w:val="24"/>
              </w:rPr>
              <w:lastRenderedPageBreak/>
              <w:t>8.6.apakšpunktu vienlaikus attiecīgi pamatojot šādu lēmumu, proti, pamatojot, kāpēc lēmums netika pieņemts saskaņā ar akreditācijas noteikumu 8.7.1.apakšpunktu.</w:t>
            </w:r>
          </w:p>
          <w:p w14:paraId="1B5DAF97" w14:textId="49EC3B4D" w:rsidR="00784229" w:rsidRDefault="00784229" w:rsidP="00AF6AED">
            <w:pPr>
              <w:spacing w:after="0" w:line="240" w:lineRule="auto"/>
              <w:jc w:val="both"/>
              <w:rPr>
                <w:rFonts w:ascii="Times New Roman" w:hAnsi="Times New Roman"/>
                <w:bCs/>
                <w:sz w:val="24"/>
                <w:szCs w:val="24"/>
              </w:rPr>
            </w:pPr>
            <w:r>
              <w:rPr>
                <w:rFonts w:ascii="Times New Roman" w:hAnsi="Times New Roman"/>
                <w:bCs/>
                <w:sz w:val="24"/>
                <w:szCs w:val="24"/>
              </w:rPr>
              <w:t>Vienlaicīgi ministrija paredz, ka izmaiņas, par kuru pieļaujamību Studiju akreditācijas komisij</w:t>
            </w:r>
            <w:r w:rsidR="00DA4DF2">
              <w:rPr>
                <w:rFonts w:ascii="Times New Roman" w:hAnsi="Times New Roman"/>
                <w:bCs/>
                <w:sz w:val="24"/>
                <w:szCs w:val="24"/>
              </w:rPr>
              <w:t>a lemj, ja ir saņemts iesniegum</w:t>
            </w:r>
            <w:r>
              <w:rPr>
                <w:rFonts w:ascii="Times New Roman" w:hAnsi="Times New Roman"/>
                <w:bCs/>
                <w:sz w:val="24"/>
                <w:szCs w:val="24"/>
              </w:rPr>
              <w:t>s no augstākās izglītības iestādes, ir studiju virzienam atbilstošās studiju prog</w:t>
            </w:r>
            <w:r w:rsidR="00F7235A">
              <w:rPr>
                <w:rFonts w:ascii="Times New Roman" w:hAnsi="Times New Roman"/>
                <w:bCs/>
                <w:sz w:val="24"/>
                <w:szCs w:val="24"/>
              </w:rPr>
              <w:t xml:space="preserve">rammas </w:t>
            </w:r>
            <w:r w:rsidR="00A62082">
              <w:rPr>
                <w:rFonts w:ascii="Times New Roman" w:hAnsi="Times New Roman"/>
                <w:bCs/>
                <w:sz w:val="24"/>
                <w:szCs w:val="24"/>
              </w:rPr>
              <w:t xml:space="preserve">nosaukuma maiņa, </w:t>
            </w:r>
            <w:r w:rsidR="000D3684">
              <w:rPr>
                <w:rFonts w:ascii="Times New Roman" w:hAnsi="Times New Roman"/>
                <w:bCs/>
                <w:sz w:val="24"/>
                <w:szCs w:val="24"/>
              </w:rPr>
              <w:t xml:space="preserve">studiju programmas </w:t>
            </w:r>
            <w:r w:rsidR="00A62082">
              <w:rPr>
                <w:rFonts w:ascii="Times New Roman" w:hAnsi="Times New Roman"/>
                <w:bCs/>
                <w:sz w:val="24"/>
                <w:szCs w:val="24"/>
              </w:rPr>
              <w:t xml:space="preserve">koda, </w:t>
            </w:r>
            <w:r w:rsidR="00F7235A">
              <w:rPr>
                <w:rFonts w:ascii="Times New Roman" w:hAnsi="Times New Roman"/>
                <w:bCs/>
                <w:sz w:val="24"/>
                <w:szCs w:val="24"/>
              </w:rPr>
              <w:t>īstenošanas vietas</w:t>
            </w:r>
            <w:r>
              <w:rPr>
                <w:rFonts w:ascii="Times New Roman" w:hAnsi="Times New Roman"/>
                <w:bCs/>
                <w:sz w:val="24"/>
                <w:szCs w:val="24"/>
              </w:rPr>
              <w:t>, formas un studi</w:t>
            </w:r>
            <w:r w:rsidR="00A62082">
              <w:rPr>
                <w:rFonts w:ascii="Times New Roman" w:hAnsi="Times New Roman"/>
                <w:bCs/>
                <w:sz w:val="24"/>
                <w:szCs w:val="24"/>
              </w:rPr>
              <w:t>ju programmas īstenošanas valodas</w:t>
            </w:r>
            <w:r>
              <w:rPr>
                <w:rFonts w:ascii="Times New Roman" w:hAnsi="Times New Roman"/>
                <w:bCs/>
                <w:sz w:val="24"/>
                <w:szCs w:val="24"/>
              </w:rPr>
              <w:t xml:space="preserve"> izmaiņas.</w:t>
            </w:r>
          </w:p>
          <w:p w14:paraId="5EB54B30" w14:textId="7A450941" w:rsidR="00A62082" w:rsidRDefault="00A62082" w:rsidP="00AF6AED">
            <w:pPr>
              <w:spacing w:after="0" w:line="240" w:lineRule="auto"/>
              <w:jc w:val="both"/>
              <w:rPr>
                <w:rFonts w:ascii="Times New Roman" w:hAnsi="Times New Roman"/>
                <w:bCs/>
                <w:sz w:val="24"/>
                <w:szCs w:val="24"/>
              </w:rPr>
            </w:pPr>
            <w:r w:rsidRPr="007F662D">
              <w:rPr>
                <w:rFonts w:ascii="Times New Roman" w:hAnsi="Times New Roman"/>
                <w:bCs/>
                <w:sz w:val="24"/>
                <w:szCs w:val="24"/>
              </w:rPr>
              <w:t xml:space="preserve">Studiju programmas </w:t>
            </w:r>
            <w:r w:rsidR="007F662D" w:rsidRPr="007F662D">
              <w:rPr>
                <w:rFonts w:ascii="Times New Roman" w:hAnsi="Times New Roman"/>
                <w:bCs/>
                <w:sz w:val="24"/>
                <w:szCs w:val="24"/>
              </w:rPr>
              <w:t xml:space="preserve">nosaukuma izmaiņas ir būtiskas izmaiņas </w:t>
            </w:r>
            <w:r w:rsidR="001E1B5B">
              <w:rPr>
                <w:rFonts w:ascii="Times New Roman" w:hAnsi="Times New Roman"/>
                <w:bCs/>
                <w:sz w:val="24"/>
                <w:szCs w:val="24"/>
              </w:rPr>
              <w:t>studiju programmā, jo studiju virziena akreditācijas laikā tiek novērtēts, vai studiju programmas nosaukums atbilst studiju programmas saturam un iegūstamajam grādam, profesionālajai kvalifikācijai vai grādam un profesionālajai kvalifikācija. Līdz ar to, ja studiju virziena akreditācijas termiņa laikā tiek mainīts studiju programmas nosaukums, ir nepieciešams izvērtēt tādu izmaiņu pamatotību.</w:t>
            </w:r>
          </w:p>
          <w:p w14:paraId="709C9B77" w14:textId="4020EBD5" w:rsidR="007F662D" w:rsidRDefault="007F662D" w:rsidP="00AF6AED">
            <w:pPr>
              <w:spacing w:after="0" w:line="240" w:lineRule="auto"/>
              <w:jc w:val="both"/>
              <w:rPr>
                <w:rFonts w:ascii="Times New Roman" w:hAnsi="Times New Roman"/>
                <w:bCs/>
                <w:sz w:val="24"/>
                <w:szCs w:val="24"/>
              </w:rPr>
            </w:pPr>
            <w:r>
              <w:rPr>
                <w:rFonts w:ascii="Times New Roman" w:hAnsi="Times New Roman"/>
                <w:bCs/>
                <w:sz w:val="24"/>
                <w:szCs w:val="24"/>
              </w:rPr>
              <w:t>Studiju programmas kods norāda uz studiju programmas piederību izglītības tematiskajai jomai un izglītības programmu grupai.</w:t>
            </w:r>
            <w:r w:rsidR="006A33BF">
              <w:rPr>
                <w:rFonts w:ascii="Times New Roman" w:hAnsi="Times New Roman"/>
                <w:bCs/>
                <w:sz w:val="24"/>
                <w:szCs w:val="24"/>
              </w:rPr>
              <w:t xml:space="preserve"> Savukārt studiju programmas kodu piešķir studiju programmai pēc studiju programmas satura, līdz ar to mainot studiju programmas kodu, tiek mainīts arī studiju programmas saturs. Gadījumā, ja studiju programmas kods tiek saskaņots ar studiju programmas saturu, proti, saturam atbilst cits studiju programmas kods, tad arī ir nepieciešams eksperta vērtējums, vai studiju programmas saturs atbilst konkrētajam studiju programmas kodam.</w:t>
            </w:r>
          </w:p>
          <w:p w14:paraId="76D87367" w14:textId="6705D195" w:rsidR="00DA4DF2" w:rsidRDefault="00DA4DF2" w:rsidP="00AF6AED">
            <w:pPr>
              <w:spacing w:after="0" w:line="240" w:lineRule="auto"/>
              <w:jc w:val="both"/>
              <w:rPr>
                <w:rFonts w:ascii="Times New Roman" w:hAnsi="Times New Roman"/>
                <w:bCs/>
                <w:sz w:val="24"/>
                <w:szCs w:val="24"/>
              </w:rPr>
            </w:pPr>
            <w:r>
              <w:rPr>
                <w:rFonts w:ascii="Times New Roman" w:hAnsi="Times New Roman"/>
                <w:bCs/>
                <w:sz w:val="24"/>
                <w:szCs w:val="24"/>
              </w:rPr>
              <w:t xml:space="preserve">Studiju programmas īstenošanas vietas izmaiņas ir uzskatāmas par būtiskām izmaiņām, kuru izvērtēšanai nepieciešams eksperta atzinums. Piemēram, augstākās izglītības iestāde vēlas uzsākt konkrētas studiju programmas īstenošanu tās filiālē, kurā līdz šim studiju programma nav tikusi īstenota. Tādā gadījumā ir nepieciešams pārliecināties par to, vai jaunajā īstenošanas vietā ir studiju programmas īstenošanai nepieciešamie resursi, materiāltehniskie un informatīvie, kā arī jāizvērtē augstākās izglītības iestādes rīcība jaunās īstenošanas vietas nodrošināšanā ar akadēmisko personālu. Jaunā studiju programmas īstenošanas vietā ir jāvar nodrošināt studiju programmas īstenošanu tādā pašā līmenī, kā studiju programmas īstenošanas iepriekšējā vietā vai </w:t>
            </w:r>
            <w:proofErr w:type="spellStart"/>
            <w:r>
              <w:rPr>
                <w:rFonts w:ascii="Times New Roman" w:hAnsi="Times New Roman"/>
                <w:bCs/>
                <w:sz w:val="24"/>
                <w:szCs w:val="24"/>
              </w:rPr>
              <w:t>pamatīstenošanas</w:t>
            </w:r>
            <w:proofErr w:type="spellEnd"/>
            <w:r>
              <w:rPr>
                <w:rFonts w:ascii="Times New Roman" w:hAnsi="Times New Roman"/>
                <w:bCs/>
                <w:sz w:val="24"/>
                <w:szCs w:val="24"/>
              </w:rPr>
              <w:t xml:space="preserve"> vietā.</w:t>
            </w:r>
          </w:p>
          <w:p w14:paraId="6D9C812F" w14:textId="4580EB83" w:rsidR="002E4F4C" w:rsidRDefault="006A33BF" w:rsidP="00AF6AED">
            <w:pPr>
              <w:spacing w:after="0" w:line="240" w:lineRule="auto"/>
              <w:jc w:val="both"/>
              <w:rPr>
                <w:rFonts w:ascii="Times New Roman" w:hAnsi="Times New Roman"/>
                <w:bCs/>
                <w:sz w:val="24"/>
                <w:szCs w:val="24"/>
              </w:rPr>
            </w:pPr>
            <w:r>
              <w:rPr>
                <w:rFonts w:ascii="Times New Roman" w:hAnsi="Times New Roman"/>
                <w:bCs/>
                <w:sz w:val="24"/>
                <w:szCs w:val="24"/>
              </w:rPr>
              <w:t xml:space="preserve">Saskaņā ar Izglītības likuma 8.panta pirmo daļu izglītības ieguves formas ir klātiene, neklātiene, neklātienes formas paveids – tālmācība, pašizglītība un izglītība ģimenē un saskaņā ar otro daļu izglītības iestāde ir tiesīga īstenot izglītības programmu apguvi klātienes, kā arī neklātienes formā. No minētā secināms, ka augstākās izglītības iestādes studiju programmas var īstenot klātienē, neklātienē un tālmācībā. Izglītības likums un Augstskolu likums nedefinē klātienes un neklātienes studijas, savukārt saskaņā ar Izglītības likuma 1.panta 26.punktu tālmācība ir izglītības ieguves neklātienes </w:t>
            </w:r>
            <w:r>
              <w:rPr>
                <w:rFonts w:ascii="Times New Roman" w:hAnsi="Times New Roman"/>
                <w:bCs/>
                <w:sz w:val="24"/>
                <w:szCs w:val="24"/>
              </w:rPr>
              <w:lastRenderedPageBreak/>
              <w:t>formas paveids, kuru raksturo īpaši strukturēti mācību materiāli, individuāls mācīšanās temps, īpaši organizēts</w:t>
            </w:r>
            <w:r w:rsidR="002E4F4C">
              <w:rPr>
                <w:rFonts w:ascii="Times New Roman" w:hAnsi="Times New Roman"/>
                <w:bCs/>
                <w:sz w:val="24"/>
                <w:szCs w:val="24"/>
              </w:rPr>
              <w:t xml:space="preserve"> izglītības sasniegumu novērtējums, kā arī dažādu tehnisko un elektronisko saziņas līdzekļu izmantošana. Studiju programmas īstenošanas forma ir tieši saistīta ar studiju procesa organizāciju un nodrošināšanu, jo klātienes un neklātienes studiju nodrošināšanai jābūt atšķirīgām metodēm, ņemot vērā to, ka klātienes studijās lielu daļu studiju programmas apguves nodrošina klātienes nodarbības, savukārt neklātienes un tālmācības studijās studējošajam ir vairāk jāapgūst pašam, līdz ar to augstākās izglītības iestādei ir jāvar nodrošināt studiju programmas apguve ārpus klātienes nodarbībām. </w:t>
            </w:r>
            <w:r w:rsidR="009B2A08">
              <w:rPr>
                <w:rFonts w:ascii="Times New Roman" w:hAnsi="Times New Roman"/>
                <w:bCs/>
                <w:sz w:val="24"/>
                <w:szCs w:val="24"/>
              </w:rPr>
              <w:t>Lai novērtētu, v</w:t>
            </w:r>
            <w:r w:rsidR="002E4F4C">
              <w:rPr>
                <w:rFonts w:ascii="Times New Roman" w:hAnsi="Times New Roman"/>
                <w:bCs/>
                <w:sz w:val="24"/>
                <w:szCs w:val="24"/>
              </w:rPr>
              <w:t>ai augstākās izglītības iestādei ir nepieciešamie resursi, lai mainītu studiju programmas īstenošanas formu, ir nepieciešams eksperta vērtējums.</w:t>
            </w:r>
          </w:p>
          <w:p w14:paraId="67E7B982" w14:textId="643BAAD6" w:rsidR="002E4F4C" w:rsidRDefault="002E4F4C" w:rsidP="00AF6AED">
            <w:pPr>
              <w:spacing w:after="0" w:line="240" w:lineRule="auto"/>
              <w:jc w:val="both"/>
              <w:rPr>
                <w:rFonts w:ascii="Times New Roman" w:hAnsi="Times New Roman"/>
                <w:bCs/>
                <w:sz w:val="24"/>
                <w:szCs w:val="24"/>
              </w:rPr>
            </w:pPr>
            <w:r>
              <w:rPr>
                <w:rFonts w:ascii="Times New Roman" w:hAnsi="Times New Roman"/>
                <w:bCs/>
                <w:sz w:val="24"/>
                <w:szCs w:val="24"/>
              </w:rPr>
              <w:t>Studiju programmas īstenošanas valoda ir nozīmīgs studiju programmas rādītājs, jo studiju programmas īstenošanas valoda norāda uz pasniedzēju un resursu atbilstību studiju programmas īstenošanas valodas prasībām. Īpaši svarīgi ir nodrošināt resursu un pasniedzēju atbilstību studiju programmas īstenošanas valodas prasībām, ja tajā paredzēts uzņemts ārvalstniekus, jo tādējādi visai informatīvajai bāzei ir jāvar nodrošināt studiju programmas apguve konkrētajā svešvalodā, kā arī pasniedzējiem ir jābūt tādām svešvalodas zināšanām, lai spētu nodrošināt studiju programmas īstenošanu svešvalodā.</w:t>
            </w:r>
          </w:p>
          <w:p w14:paraId="29AAADAA" w14:textId="7DD7E5D1" w:rsidR="00A62082" w:rsidRDefault="00A62082" w:rsidP="00AF6AED">
            <w:pPr>
              <w:spacing w:after="0" w:line="240" w:lineRule="auto"/>
              <w:jc w:val="both"/>
              <w:rPr>
                <w:rFonts w:ascii="Times New Roman" w:hAnsi="Times New Roman"/>
                <w:bCs/>
                <w:sz w:val="24"/>
                <w:szCs w:val="24"/>
              </w:rPr>
            </w:pPr>
            <w:r>
              <w:rPr>
                <w:rFonts w:ascii="Times New Roman" w:hAnsi="Times New Roman"/>
                <w:bCs/>
                <w:sz w:val="24"/>
                <w:szCs w:val="24"/>
              </w:rPr>
              <w:t>Saskaņā ar projektā rosinātajām izmaiņām par izmaiņām studiju virzienu akreditācijas lapā Studiju akreditācijas komisija pieņems lēmumu, vai izsniegt jaunu akreditācijas lapu bez eksperta vērtējuma</w:t>
            </w:r>
            <w:r w:rsidR="009B2A08">
              <w:rPr>
                <w:rFonts w:ascii="Times New Roman" w:hAnsi="Times New Roman"/>
                <w:bCs/>
                <w:sz w:val="24"/>
                <w:szCs w:val="24"/>
              </w:rPr>
              <w:t>, savukārt akreditācijas noteikumu 8.7.apakšpunktā uzskaitītajos gadījumos Studiju akreditācijas komisijai būs nepieciešams saņemt eksperta atzinumu.</w:t>
            </w:r>
          </w:p>
          <w:p w14:paraId="0EEC4262" w14:textId="6FA74B4E" w:rsidR="00767FD6" w:rsidRPr="00206BC9" w:rsidRDefault="00767FD6" w:rsidP="00AF6AED">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ka tiek atsevišķi nošķirtas izmaiņas, kuru novērtēšanai ir </w:t>
            </w:r>
            <w:r w:rsidR="00FC0BD9">
              <w:rPr>
                <w:rFonts w:ascii="Times New Roman" w:hAnsi="Times New Roman"/>
                <w:bCs/>
                <w:sz w:val="24"/>
                <w:szCs w:val="24"/>
              </w:rPr>
              <w:t>nepieciešams eksperta viedoklis</w:t>
            </w:r>
            <w:r>
              <w:rPr>
                <w:rFonts w:ascii="Times New Roman" w:hAnsi="Times New Roman"/>
                <w:bCs/>
                <w:sz w:val="24"/>
                <w:szCs w:val="24"/>
              </w:rPr>
              <w:t xml:space="preserve"> un kuras ir iespējams apstiprināt bez eksperta viedokļa, nepieciešams akreditācijas noteikumu 8.8.apakšpunktā paredzēt, ka ekspertu </w:t>
            </w:r>
            <w:r w:rsidRPr="00206BC9">
              <w:rPr>
                <w:rFonts w:ascii="Times New Roman" w:hAnsi="Times New Roman"/>
                <w:bCs/>
                <w:sz w:val="24"/>
                <w:szCs w:val="24"/>
              </w:rPr>
              <w:t>apstiprina akreditācijas noteikumu 8.7.apakšpunktā minēto izmaiņu novērtēšanai.</w:t>
            </w:r>
            <w:r w:rsidR="008907EB">
              <w:rPr>
                <w:rFonts w:ascii="Times New Roman" w:hAnsi="Times New Roman"/>
                <w:bCs/>
                <w:sz w:val="24"/>
                <w:szCs w:val="24"/>
              </w:rPr>
              <w:t xml:space="preserve"> Kā arī nepieciešams attiecīgs grozījums akreditācijas noteikumu 71.punktā, nosakot, ka augstskolas un koledžas saskaņā ar cenrādi sedz izmaksas par izmaiņām, kas noteiktas </w:t>
            </w:r>
            <w:r w:rsidR="000D3684">
              <w:rPr>
                <w:rFonts w:ascii="Times New Roman" w:hAnsi="Times New Roman"/>
                <w:bCs/>
                <w:sz w:val="24"/>
                <w:szCs w:val="24"/>
              </w:rPr>
              <w:t xml:space="preserve">š noteikumu </w:t>
            </w:r>
            <w:r w:rsidR="008907EB">
              <w:rPr>
                <w:rFonts w:ascii="Times New Roman" w:hAnsi="Times New Roman"/>
                <w:bCs/>
                <w:sz w:val="24"/>
                <w:szCs w:val="24"/>
              </w:rPr>
              <w:t>8.7.apakšpunktā.</w:t>
            </w:r>
          </w:p>
          <w:p w14:paraId="0715616D" w14:textId="4856E51D" w:rsidR="0037596D" w:rsidRDefault="00206BC9" w:rsidP="00AF6AED">
            <w:pPr>
              <w:spacing w:after="0" w:line="240" w:lineRule="auto"/>
              <w:jc w:val="both"/>
              <w:rPr>
                <w:rFonts w:ascii="Times New Roman" w:hAnsi="Times New Roman"/>
                <w:bCs/>
                <w:sz w:val="24"/>
                <w:szCs w:val="24"/>
              </w:rPr>
            </w:pPr>
            <w:r>
              <w:rPr>
                <w:rFonts w:ascii="Times New Roman" w:hAnsi="Times New Roman"/>
                <w:bCs/>
                <w:sz w:val="24"/>
                <w:szCs w:val="24"/>
              </w:rPr>
              <w:t>Jau šobrīd vairākām augstākās izglītības i</w:t>
            </w:r>
            <w:r w:rsidR="00E652EA">
              <w:rPr>
                <w:rFonts w:ascii="Times New Roman" w:hAnsi="Times New Roman"/>
                <w:bCs/>
                <w:sz w:val="24"/>
                <w:szCs w:val="24"/>
              </w:rPr>
              <w:t>estādēm</w:t>
            </w:r>
            <w:r>
              <w:rPr>
                <w:rFonts w:ascii="Times New Roman" w:hAnsi="Times New Roman"/>
                <w:bCs/>
                <w:sz w:val="24"/>
                <w:szCs w:val="24"/>
              </w:rPr>
              <w:t xml:space="preserve"> ir aktuāla tehnisku grozījumu veikšana studiju </w:t>
            </w:r>
            <w:r w:rsidR="00E652EA">
              <w:rPr>
                <w:rFonts w:ascii="Times New Roman" w:hAnsi="Times New Roman"/>
                <w:bCs/>
                <w:sz w:val="24"/>
                <w:szCs w:val="24"/>
              </w:rPr>
              <w:t xml:space="preserve">virzienu </w:t>
            </w:r>
            <w:r>
              <w:rPr>
                <w:rFonts w:ascii="Times New Roman" w:hAnsi="Times New Roman"/>
                <w:bCs/>
                <w:sz w:val="24"/>
                <w:szCs w:val="24"/>
              </w:rPr>
              <w:t xml:space="preserve">akreditācijas lapās. Piemēram, </w:t>
            </w:r>
            <w:r w:rsidRPr="00B07928">
              <w:rPr>
                <w:rFonts w:ascii="Times New Roman" w:hAnsi="Times New Roman"/>
                <w:bCs/>
                <w:sz w:val="24"/>
                <w:szCs w:val="24"/>
              </w:rPr>
              <w:t xml:space="preserve">2016.gada 1.janvārī stājies spēkā likums </w:t>
            </w:r>
            <w:r w:rsidR="00E652EA" w:rsidRPr="00B07928">
              <w:rPr>
                <w:rFonts w:ascii="Times New Roman" w:hAnsi="Times New Roman"/>
                <w:bCs/>
                <w:sz w:val="24"/>
                <w:szCs w:val="24"/>
              </w:rPr>
              <w:t>“</w:t>
            </w:r>
            <w:r w:rsidRPr="00B07928">
              <w:rPr>
                <w:rFonts w:ascii="Times New Roman" w:hAnsi="Times New Roman"/>
                <w:bCs/>
                <w:sz w:val="24"/>
                <w:szCs w:val="24"/>
              </w:rPr>
              <w:t xml:space="preserve">Par Rēzeknes Tehnoloģiju akadēmijas Satversmi” un </w:t>
            </w:r>
            <w:r w:rsidR="00E652EA" w:rsidRPr="00B07928">
              <w:rPr>
                <w:rFonts w:ascii="Times New Roman" w:hAnsi="Times New Roman"/>
                <w:bCs/>
                <w:sz w:val="24"/>
                <w:szCs w:val="24"/>
              </w:rPr>
              <w:t xml:space="preserve">ir </w:t>
            </w:r>
            <w:r w:rsidRPr="00B07928">
              <w:rPr>
                <w:rFonts w:ascii="Times New Roman" w:hAnsi="Times New Roman"/>
                <w:bCs/>
                <w:sz w:val="24"/>
                <w:szCs w:val="24"/>
              </w:rPr>
              <w:t xml:space="preserve">mainījies iepriekšējais Rēzeknes Augstskolas nosaukums, ir nepieciešams nekavējoties aktualizēt šīs augstskolas studiju </w:t>
            </w:r>
            <w:r w:rsidR="00E652EA" w:rsidRPr="00B07928">
              <w:rPr>
                <w:rFonts w:ascii="Times New Roman" w:hAnsi="Times New Roman"/>
                <w:bCs/>
                <w:sz w:val="24"/>
                <w:szCs w:val="24"/>
              </w:rPr>
              <w:t xml:space="preserve">virzienu </w:t>
            </w:r>
            <w:r w:rsidRPr="00B07928">
              <w:rPr>
                <w:rFonts w:ascii="Times New Roman" w:hAnsi="Times New Roman"/>
                <w:bCs/>
                <w:sz w:val="24"/>
                <w:szCs w:val="24"/>
              </w:rPr>
              <w:t>akreditācijas lapas.</w:t>
            </w:r>
          </w:p>
          <w:p w14:paraId="137D433C" w14:textId="2596AD82" w:rsidR="008907EB" w:rsidRPr="007A2871" w:rsidRDefault="008907EB" w:rsidP="00AF6AED">
            <w:pPr>
              <w:spacing w:after="0" w:line="240" w:lineRule="auto"/>
              <w:jc w:val="both"/>
              <w:rPr>
                <w:rFonts w:ascii="Times New Roman" w:hAnsi="Times New Roman"/>
                <w:bCs/>
                <w:sz w:val="24"/>
                <w:szCs w:val="24"/>
              </w:rPr>
            </w:pPr>
            <w:r>
              <w:rPr>
                <w:rFonts w:ascii="Times New Roman" w:hAnsi="Times New Roman"/>
                <w:bCs/>
                <w:sz w:val="24"/>
                <w:szCs w:val="24"/>
              </w:rPr>
              <w:t xml:space="preserve">Projektā ietverts pārejas regulējums, kas nosaka, ka </w:t>
            </w:r>
            <w:r w:rsidR="00CB018F">
              <w:rPr>
                <w:rFonts w:ascii="Times New Roman" w:hAnsi="Times New Roman"/>
                <w:bCs/>
                <w:sz w:val="24"/>
                <w:szCs w:val="24"/>
              </w:rPr>
              <w:t>i</w:t>
            </w:r>
            <w:r w:rsidR="00CB018F" w:rsidRPr="00CB018F">
              <w:rPr>
                <w:rFonts w:ascii="Times New Roman" w:hAnsi="Times New Roman"/>
                <w:bCs/>
                <w:sz w:val="24"/>
                <w:szCs w:val="24"/>
              </w:rPr>
              <w:t xml:space="preserve">esniegumi par izmaiņām studiju virzienā vai studiju virziena akreditācijas lapā, kas iesniegti </w:t>
            </w:r>
            <w:r w:rsidR="00CB018F" w:rsidRPr="005B42B6">
              <w:rPr>
                <w:rFonts w:ascii="Times New Roman" w:hAnsi="Times New Roman"/>
                <w:bCs/>
                <w:sz w:val="24"/>
                <w:szCs w:val="24"/>
              </w:rPr>
              <w:t xml:space="preserve">līdz 2016.gada </w:t>
            </w:r>
            <w:r w:rsidR="009B2A08" w:rsidRPr="005B42B6">
              <w:rPr>
                <w:rFonts w:ascii="Times New Roman" w:hAnsi="Times New Roman"/>
                <w:bCs/>
                <w:sz w:val="24"/>
                <w:szCs w:val="24"/>
              </w:rPr>
              <w:t>31.decembrim</w:t>
            </w:r>
            <w:r w:rsidR="00CB018F" w:rsidRPr="005B42B6">
              <w:rPr>
                <w:rFonts w:ascii="Times New Roman" w:hAnsi="Times New Roman"/>
                <w:bCs/>
                <w:sz w:val="24"/>
                <w:szCs w:val="24"/>
              </w:rPr>
              <w:t>,</w:t>
            </w:r>
            <w:r w:rsidR="00CB018F" w:rsidRPr="00CB018F">
              <w:rPr>
                <w:rFonts w:ascii="Times New Roman" w:hAnsi="Times New Roman"/>
                <w:bCs/>
                <w:sz w:val="24"/>
                <w:szCs w:val="24"/>
              </w:rPr>
              <w:t xml:space="preserve"> izskatāmi </w:t>
            </w:r>
            <w:r w:rsidR="00CB018F" w:rsidRPr="00CB018F">
              <w:rPr>
                <w:rFonts w:ascii="Times New Roman" w:hAnsi="Times New Roman"/>
                <w:bCs/>
                <w:sz w:val="24"/>
                <w:szCs w:val="24"/>
              </w:rPr>
              <w:lastRenderedPageBreak/>
              <w:t>atbilstoši šo noteikumu regulējumam, kas bija spēkā iesniegumu iesniegšanas dienā</w:t>
            </w:r>
            <w:r w:rsidR="00CB018F">
              <w:rPr>
                <w:rFonts w:ascii="Times New Roman" w:hAnsi="Times New Roman"/>
                <w:bCs/>
                <w:sz w:val="24"/>
                <w:szCs w:val="24"/>
              </w:rPr>
              <w:t>.</w:t>
            </w:r>
          </w:p>
        </w:tc>
      </w:tr>
      <w:tr w:rsidR="00812271" w:rsidRPr="007A2871" w14:paraId="7F7EC0F0" w14:textId="77777777" w:rsidTr="00857EF2">
        <w:tc>
          <w:tcPr>
            <w:tcW w:w="153" w:type="pct"/>
            <w:tcBorders>
              <w:bottom w:val="single" w:sz="4" w:space="0" w:color="auto"/>
            </w:tcBorders>
          </w:tcPr>
          <w:p w14:paraId="71EC361F" w14:textId="3FC48F03"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80" w:type="pct"/>
            <w:tcBorders>
              <w:bottom w:val="single" w:sz="4" w:space="0" w:color="auto"/>
            </w:tcBorders>
          </w:tcPr>
          <w:p w14:paraId="0DE533F5"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p>
        </w:tc>
        <w:tc>
          <w:tcPr>
            <w:tcW w:w="3304" w:type="pct"/>
            <w:tcBorders>
              <w:bottom w:val="single" w:sz="4" w:space="0" w:color="auto"/>
            </w:tcBorders>
          </w:tcPr>
          <w:p w14:paraId="2D06F8AD" w14:textId="78C7E4CE" w:rsidR="00392D00" w:rsidRPr="007A2871" w:rsidRDefault="002C674B" w:rsidP="00AF6AED">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M</w:t>
            </w:r>
            <w:r w:rsidR="00812271" w:rsidRPr="007A2871">
              <w:rPr>
                <w:rFonts w:ascii="Times New Roman" w:eastAsia="Times New Roman" w:hAnsi="Times New Roman"/>
                <w:bCs/>
                <w:sz w:val="24"/>
                <w:szCs w:val="24"/>
                <w:lang w:eastAsia="lv-LV"/>
              </w:rPr>
              <w:t>inistrija.</w:t>
            </w:r>
          </w:p>
        </w:tc>
      </w:tr>
      <w:tr w:rsidR="00812271" w:rsidRPr="007A2871" w14:paraId="175958CA" w14:textId="77777777" w:rsidTr="00AF6AED">
        <w:tc>
          <w:tcPr>
            <w:tcW w:w="153"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80"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04"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895"/>
        <w:gridCol w:w="5979"/>
      </w:tblGrid>
      <w:tr w:rsidR="001B53A6" w:rsidRPr="007A2871" w14:paraId="74EC6D5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1B53A6" w:rsidRPr="007A2871" w14:paraId="2F8AE82F" w14:textId="77777777" w:rsidTr="005B26B7">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275780A" w14:textId="2329FEE5" w:rsidR="001B53A6" w:rsidRPr="007A2871" w:rsidRDefault="00C32B4B" w:rsidP="005B26B7">
            <w:pPr>
              <w:spacing w:after="0" w:line="240" w:lineRule="auto"/>
              <w:jc w:val="both"/>
              <w:rPr>
                <w:rFonts w:ascii="Times New Roman" w:hAnsi="Times New Roman"/>
                <w:sz w:val="24"/>
                <w:szCs w:val="24"/>
              </w:rPr>
            </w:pPr>
            <w:r>
              <w:rPr>
                <w:rFonts w:ascii="Times New Roman" w:hAnsi="Times New Roman"/>
                <w:sz w:val="24"/>
                <w:szCs w:val="24"/>
              </w:rPr>
              <w:t>Augstākās izglītības iestādes,</w:t>
            </w:r>
            <w:r w:rsidR="008D676F">
              <w:rPr>
                <w:rFonts w:ascii="Times New Roman" w:hAnsi="Times New Roman"/>
                <w:sz w:val="24"/>
                <w:szCs w:val="24"/>
              </w:rPr>
              <w:t xml:space="preserve"> Akadēmiskās informācijas centrs</w:t>
            </w:r>
            <w:r>
              <w:rPr>
                <w:rFonts w:ascii="Times New Roman" w:hAnsi="Times New Roman"/>
                <w:sz w:val="24"/>
                <w:szCs w:val="24"/>
              </w:rPr>
              <w:t xml:space="preserve"> un Studiju akreditācijas komisija</w:t>
            </w:r>
            <w:r w:rsidR="008D676F">
              <w:rPr>
                <w:rFonts w:ascii="Times New Roman" w:hAnsi="Times New Roman"/>
                <w:sz w:val="24"/>
                <w:szCs w:val="24"/>
              </w:rPr>
              <w:t>.</w:t>
            </w:r>
          </w:p>
        </w:tc>
      </w:tr>
      <w:tr w:rsidR="001B53A6" w:rsidRPr="007A2871" w14:paraId="65A5AF99" w14:textId="77777777" w:rsidTr="005B26B7">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04BB9EBF" w14:textId="61CFBF83" w:rsidR="001B53A6" w:rsidRDefault="007A2871" w:rsidP="005B26B7">
            <w:pPr>
              <w:spacing w:after="0" w:line="240" w:lineRule="auto"/>
              <w:jc w:val="both"/>
              <w:rPr>
                <w:rFonts w:ascii="Times New Roman" w:hAnsi="Times New Roman"/>
                <w:sz w:val="24"/>
                <w:szCs w:val="24"/>
              </w:rPr>
            </w:pPr>
            <w:r w:rsidRPr="007A2871">
              <w:rPr>
                <w:rFonts w:ascii="Times New Roman" w:hAnsi="Times New Roman"/>
                <w:sz w:val="24"/>
                <w:szCs w:val="24"/>
              </w:rPr>
              <w:t xml:space="preserve">Administratīvais slogs samazināsies, jo tiks paredzēts, ka </w:t>
            </w:r>
            <w:r w:rsidR="009B2A08">
              <w:rPr>
                <w:rFonts w:ascii="Times New Roman" w:hAnsi="Times New Roman"/>
                <w:sz w:val="24"/>
                <w:szCs w:val="24"/>
              </w:rPr>
              <w:t>tehnisku</w:t>
            </w:r>
            <w:r w:rsidRPr="007A2871">
              <w:rPr>
                <w:rFonts w:ascii="Times New Roman" w:hAnsi="Times New Roman"/>
                <w:sz w:val="24"/>
                <w:szCs w:val="24"/>
              </w:rPr>
              <w:t xml:space="preserve"> izmaiņu</w:t>
            </w:r>
            <w:r w:rsidR="009B2A08">
              <w:rPr>
                <w:rFonts w:ascii="Times New Roman" w:hAnsi="Times New Roman"/>
                <w:sz w:val="24"/>
                <w:szCs w:val="24"/>
              </w:rPr>
              <w:t>, tādu, kas nav uzskaitītas akreditācijas noteikumu 8.7.apakšpunktā,</w:t>
            </w:r>
            <w:r w:rsidRPr="007A2871">
              <w:rPr>
                <w:rFonts w:ascii="Times New Roman" w:hAnsi="Times New Roman"/>
                <w:sz w:val="24"/>
                <w:szCs w:val="24"/>
              </w:rPr>
              <w:t xml:space="preserve"> gadījumā, nebūs nepieciešams apstiprināt ekspertu, tādējādi samazinot iesniegumu izskatīšanas laiku.</w:t>
            </w:r>
          </w:p>
          <w:p w14:paraId="228365A3" w14:textId="5D200F87" w:rsidR="00AC2235" w:rsidRDefault="00AC2235" w:rsidP="00AC2235">
            <w:pPr>
              <w:spacing w:after="0" w:line="240" w:lineRule="auto"/>
              <w:jc w:val="both"/>
              <w:rPr>
                <w:rFonts w:ascii="Times New Roman" w:hAnsi="Times New Roman"/>
                <w:sz w:val="24"/>
                <w:szCs w:val="24"/>
              </w:rPr>
            </w:pPr>
            <w:r>
              <w:rPr>
                <w:rFonts w:ascii="Times New Roman" w:hAnsi="Times New Roman"/>
                <w:sz w:val="24"/>
                <w:szCs w:val="24"/>
              </w:rPr>
              <w:t>Šobrīd saskaņā ar Administratīvā procesa likuma 64.panta pirmo daļu iesniegumu par izmaiņām studiju virzienā vai studiju virziena akreditācijas lapā jāizskata viena mēneša laikā. Šobrīd Studiju akreditācijas komisija parasti sanāk vienu reizi mēnesī. Ja Studiju akreditācijas komisijai ir jāapstiprina eksperts un pēc tam vēl jāpieņem lēmums par izmaiņām, kā arī ekspertam ir jāizvērtē iesniegtās izmaiņas (nepieciešamības gadījumā apmeklējot augstākās izglītības iestādi)</w:t>
            </w:r>
            <w:r w:rsidR="00B07928">
              <w:rPr>
                <w:rFonts w:ascii="Times New Roman" w:hAnsi="Times New Roman"/>
                <w:sz w:val="24"/>
                <w:szCs w:val="24"/>
              </w:rPr>
              <w:t xml:space="preserve"> un jāsniedz atzinums Studiju akreditācijas komisijai</w:t>
            </w:r>
            <w:r>
              <w:rPr>
                <w:rFonts w:ascii="Times New Roman" w:hAnsi="Times New Roman"/>
                <w:sz w:val="24"/>
                <w:szCs w:val="24"/>
              </w:rPr>
              <w:t>, nav iespējams iekļauties viena mēneša termiņā, līdz ar to Akadēmiskās informācijas centram nepieciešams pagarināt iesnieguma izskatīšanas termiņu saskaņā ar Administratīvā procesa likuma 64.panta otrajā daļā noteikto.</w:t>
            </w:r>
          </w:p>
          <w:p w14:paraId="1AAC9550" w14:textId="47DE69CF" w:rsidR="00AC2235" w:rsidRDefault="00AC2235" w:rsidP="00AC2235">
            <w:pPr>
              <w:spacing w:after="0" w:line="240" w:lineRule="auto"/>
              <w:jc w:val="both"/>
              <w:rPr>
                <w:rFonts w:ascii="Times New Roman" w:hAnsi="Times New Roman"/>
                <w:sz w:val="24"/>
                <w:szCs w:val="24"/>
              </w:rPr>
            </w:pPr>
            <w:r>
              <w:rPr>
                <w:rFonts w:ascii="Times New Roman" w:hAnsi="Times New Roman"/>
                <w:sz w:val="24"/>
                <w:szCs w:val="24"/>
              </w:rPr>
              <w:t xml:space="preserve">Gadījumos, kad nebūs nepieciešams apstiprināt ekspertu, </w:t>
            </w:r>
            <w:r w:rsidR="00B07928">
              <w:rPr>
                <w:rFonts w:ascii="Times New Roman" w:hAnsi="Times New Roman"/>
                <w:sz w:val="24"/>
                <w:szCs w:val="24"/>
              </w:rPr>
              <w:t xml:space="preserve">Akadēmiskās informācijas centram nebūs jāizvirza izmaiņu novērtēšanai atbilstošs eksperts un </w:t>
            </w:r>
            <w:r>
              <w:rPr>
                <w:rFonts w:ascii="Times New Roman" w:hAnsi="Times New Roman"/>
                <w:sz w:val="24"/>
                <w:szCs w:val="24"/>
              </w:rPr>
              <w:t>Studiju akreditācijas komisija lēmumu pieņems vienā sēdē, kas nozīmē, ka būs iespējams nodrošināt lēmuma pieņemšanu viena mēneša laikā, kas tādējādi tehnisku labojumu dēļ veicinās augstākās izglītības iestāžu sekmīgu darbu.</w:t>
            </w:r>
          </w:p>
          <w:p w14:paraId="6A4EA1E5" w14:textId="0D28911E" w:rsidR="00B07928" w:rsidRPr="007A2871" w:rsidRDefault="00B07928" w:rsidP="00AC2235">
            <w:pPr>
              <w:spacing w:after="0" w:line="240" w:lineRule="auto"/>
              <w:jc w:val="both"/>
              <w:rPr>
                <w:rFonts w:ascii="Times New Roman" w:hAnsi="Times New Roman"/>
                <w:sz w:val="24"/>
                <w:szCs w:val="24"/>
              </w:rPr>
            </w:pPr>
            <w:r>
              <w:rPr>
                <w:rFonts w:ascii="Times New Roman" w:hAnsi="Times New Roman"/>
                <w:sz w:val="24"/>
                <w:szCs w:val="24"/>
              </w:rPr>
              <w:t>Tādējādi tiks samazināts administratīvais slogs gan Akadēmiskās informācijas centram, gan Studiju akreditācijas komisijai.</w:t>
            </w:r>
          </w:p>
        </w:tc>
      </w:tr>
      <w:tr w:rsidR="001B53A6" w:rsidRPr="007A2871" w14:paraId="25A2AD93" w14:textId="77777777" w:rsidTr="005B26B7">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04E5F85" w14:textId="25DED2BE"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6963683C" w14:textId="25F514FC" w:rsidR="001B53A6" w:rsidRPr="007A2871" w:rsidRDefault="007A2871" w:rsidP="005B26B7">
            <w:pPr>
              <w:spacing w:after="0" w:line="240" w:lineRule="auto"/>
              <w:jc w:val="both"/>
              <w:rPr>
                <w:rFonts w:ascii="Times New Roman" w:hAnsi="Times New Roman"/>
                <w:sz w:val="24"/>
                <w:szCs w:val="24"/>
              </w:rPr>
            </w:pPr>
            <w:r w:rsidRPr="007A2871">
              <w:rPr>
                <w:rFonts w:ascii="Times New Roman" w:hAnsi="Times New Roman"/>
                <w:sz w:val="24"/>
                <w:szCs w:val="24"/>
              </w:rPr>
              <w:t>Projekts šo jomu neskar.</w:t>
            </w:r>
          </w:p>
        </w:tc>
      </w:tr>
      <w:tr w:rsidR="001B53A6" w:rsidRPr="007A2871" w14:paraId="27129247" w14:textId="77777777" w:rsidTr="005B26B7">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E9A9D4"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1B53A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1B53A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bl>
    <w:p w14:paraId="3EBF9707" w14:textId="77777777" w:rsidR="00CE7745" w:rsidRPr="007A2871" w:rsidRDefault="00CE7745" w:rsidP="004A505F">
      <w:pPr>
        <w:spacing w:after="0" w:line="36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7"/>
        <w:gridCol w:w="2804"/>
        <w:gridCol w:w="6075"/>
      </w:tblGrid>
      <w:tr w:rsidR="00812271" w:rsidRPr="007A2871" w14:paraId="16EDB388" w14:textId="77777777" w:rsidTr="007A2871">
        <w:trPr>
          <w:trHeight w:val="420"/>
        </w:trPr>
        <w:tc>
          <w:tcPr>
            <w:tcW w:w="0" w:type="auto"/>
            <w:gridSpan w:val="3"/>
            <w:hideMark/>
          </w:tcPr>
          <w:p w14:paraId="5F27DA47" w14:textId="77777777" w:rsidR="00812271" w:rsidRPr="007A2871" w:rsidRDefault="00812271" w:rsidP="00564A6E">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7A2871">
        <w:trPr>
          <w:trHeight w:val="540"/>
        </w:trPr>
        <w:tc>
          <w:tcPr>
            <w:tcW w:w="247"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81"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 xml:space="preserve">Plānotās sabiedrības līdzdalības un </w:t>
            </w:r>
            <w:r w:rsidRPr="007A2871">
              <w:rPr>
                <w:rFonts w:ascii="Times New Roman" w:eastAsia="Times New Roman" w:hAnsi="Times New Roman"/>
                <w:sz w:val="24"/>
                <w:szCs w:val="24"/>
                <w:lang w:eastAsia="lv-LV"/>
              </w:rPr>
              <w:lastRenderedPageBreak/>
              <w:t>komunikācijas aktivitātes saistībā ar projektu</w:t>
            </w:r>
          </w:p>
        </w:tc>
        <w:tc>
          <w:tcPr>
            <w:tcW w:w="3208" w:type="pct"/>
            <w:hideMark/>
          </w:tcPr>
          <w:p w14:paraId="000E8450" w14:textId="53BA09D9" w:rsidR="00812271" w:rsidRPr="007A2871" w:rsidRDefault="008D676F" w:rsidP="00C32B4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Rektoru padome </w:t>
            </w:r>
            <w:r w:rsidR="00D80D82">
              <w:rPr>
                <w:rFonts w:ascii="Times New Roman" w:eastAsia="Times New Roman" w:hAnsi="Times New Roman"/>
                <w:sz w:val="24"/>
                <w:szCs w:val="24"/>
                <w:lang w:eastAsia="lv-LV"/>
              </w:rPr>
              <w:t xml:space="preserve">ar </w:t>
            </w:r>
            <w:r w:rsidR="00D80D82">
              <w:rPr>
                <w:rFonts w:ascii="Times New Roman" w:hAnsi="Times New Roman"/>
                <w:sz w:val="24"/>
                <w:szCs w:val="24"/>
              </w:rPr>
              <w:t xml:space="preserve">2016.gada 29.marta vēstuli Nr.1-9 </w:t>
            </w:r>
            <w:r>
              <w:rPr>
                <w:rFonts w:ascii="Times New Roman" w:eastAsia="Times New Roman" w:hAnsi="Times New Roman"/>
                <w:sz w:val="24"/>
                <w:szCs w:val="24"/>
                <w:lang w:eastAsia="lv-LV"/>
              </w:rPr>
              <w:t>sniegusi priekšlikumus</w:t>
            </w:r>
            <w:r w:rsidR="00C32B4B">
              <w:rPr>
                <w:rFonts w:ascii="Times New Roman" w:eastAsia="Times New Roman" w:hAnsi="Times New Roman"/>
                <w:sz w:val="24"/>
                <w:szCs w:val="24"/>
                <w:lang w:eastAsia="lv-LV"/>
              </w:rPr>
              <w:t xml:space="preserve"> grozījumiem. Sniegtie priekšlikumi paredzēja nošķirt akreditācijas noteikumu 8.6.un </w:t>
            </w:r>
            <w:r w:rsidR="00C32B4B">
              <w:rPr>
                <w:rFonts w:ascii="Times New Roman" w:eastAsia="Times New Roman" w:hAnsi="Times New Roman"/>
                <w:sz w:val="24"/>
                <w:szCs w:val="24"/>
                <w:lang w:eastAsia="lv-LV"/>
              </w:rPr>
              <w:lastRenderedPageBreak/>
              <w:t>8.7.apakšpunktus, paredzot to atšķirību. Proti, ka vienu izmaiņu novērtēšanai ir vajadzīgs eksperta vērtējums, bet citu – nē.</w:t>
            </w:r>
          </w:p>
        </w:tc>
      </w:tr>
      <w:tr w:rsidR="00812271" w:rsidRPr="007A2871" w14:paraId="6BF6DEE4" w14:textId="77777777" w:rsidTr="007A2871">
        <w:trPr>
          <w:trHeight w:val="330"/>
        </w:trPr>
        <w:tc>
          <w:tcPr>
            <w:tcW w:w="247"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2.</w:t>
            </w:r>
          </w:p>
        </w:tc>
        <w:tc>
          <w:tcPr>
            <w:tcW w:w="1481"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208" w:type="pct"/>
            <w:hideMark/>
          </w:tcPr>
          <w:p w14:paraId="18DCDC29" w14:textId="7685F252" w:rsidR="00812271" w:rsidRPr="007A2871" w:rsidRDefault="008D676F" w:rsidP="00564A6E">
            <w:pPr>
              <w:spacing w:after="0" w:line="240" w:lineRule="auto"/>
              <w:rPr>
                <w:rFonts w:ascii="Times New Roman" w:eastAsia="Times New Roman" w:hAnsi="Times New Roman"/>
                <w:sz w:val="24"/>
                <w:szCs w:val="24"/>
                <w:lang w:eastAsia="lv-LV"/>
              </w:rPr>
            </w:pPr>
            <w:r>
              <w:rPr>
                <w:rFonts w:ascii="Times New Roman" w:hAnsi="Times New Roman"/>
                <w:sz w:val="24"/>
                <w:szCs w:val="24"/>
              </w:rPr>
              <w:t>Rektoru padome</w:t>
            </w:r>
            <w:r w:rsidR="00B07928">
              <w:rPr>
                <w:rFonts w:ascii="Times New Roman" w:hAnsi="Times New Roman"/>
                <w:sz w:val="24"/>
                <w:szCs w:val="24"/>
              </w:rPr>
              <w:t xml:space="preserve"> sni</w:t>
            </w:r>
            <w:r w:rsidR="00C32B4B">
              <w:rPr>
                <w:rFonts w:ascii="Times New Roman" w:hAnsi="Times New Roman"/>
                <w:sz w:val="24"/>
                <w:szCs w:val="24"/>
              </w:rPr>
              <w:t>egusi priekšlikumus grozījumiem.</w:t>
            </w:r>
          </w:p>
        </w:tc>
      </w:tr>
      <w:tr w:rsidR="00812271" w:rsidRPr="007A2871" w14:paraId="5B9989C0" w14:textId="77777777" w:rsidTr="007A2871">
        <w:trPr>
          <w:trHeight w:val="465"/>
        </w:trPr>
        <w:tc>
          <w:tcPr>
            <w:tcW w:w="247"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81"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208" w:type="pct"/>
            <w:hideMark/>
          </w:tcPr>
          <w:p w14:paraId="193D3150" w14:textId="7A36D941" w:rsidR="00812271" w:rsidRPr="007A2871" w:rsidRDefault="00C32B4B" w:rsidP="00D80D8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ņemti vērā Rektoru padomes priekšlikumi.</w:t>
            </w:r>
          </w:p>
        </w:tc>
      </w:tr>
      <w:tr w:rsidR="00812271" w:rsidRPr="007A2871" w14:paraId="48CF7382" w14:textId="77777777" w:rsidTr="007A2871">
        <w:trPr>
          <w:trHeight w:val="465"/>
        </w:trPr>
        <w:tc>
          <w:tcPr>
            <w:tcW w:w="247"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81"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08" w:type="pct"/>
            <w:hideMark/>
          </w:tcPr>
          <w:p w14:paraId="14959059" w14:textId="77777777" w:rsidR="00812271" w:rsidRPr="007A2871" w:rsidRDefault="00812271" w:rsidP="00564A6E">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3D34F9CD" w14:textId="77777777" w:rsidR="00857EF2" w:rsidRPr="007A2871" w:rsidRDefault="00857EF2" w:rsidP="004A505F">
      <w:pPr>
        <w:spacing w:after="0" w:line="360" w:lineRule="auto"/>
        <w:jc w:val="both"/>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8"/>
        <w:gridCol w:w="3551"/>
        <w:gridCol w:w="5327"/>
      </w:tblGrid>
      <w:tr w:rsidR="00812271" w:rsidRPr="007A2871" w14:paraId="65402A31" w14:textId="77777777" w:rsidTr="007A2871">
        <w:trPr>
          <w:trHeight w:val="375"/>
        </w:trPr>
        <w:tc>
          <w:tcPr>
            <w:tcW w:w="0" w:type="auto"/>
            <w:gridSpan w:val="3"/>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12271" w:rsidRPr="007A2871" w14:paraId="702A1D02" w14:textId="77777777" w:rsidTr="007A2871">
        <w:trPr>
          <w:trHeight w:val="420"/>
        </w:trPr>
        <w:tc>
          <w:tcPr>
            <w:tcW w:w="250" w:type="pct"/>
            <w:hideMark/>
          </w:tcPr>
          <w:p w14:paraId="699F7942"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900" w:type="pct"/>
            <w:hideMark/>
          </w:tcPr>
          <w:p w14:paraId="25FBC28D"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850" w:type="pct"/>
            <w:hideMark/>
          </w:tcPr>
          <w:p w14:paraId="46637270" w14:textId="3E093FF3" w:rsidR="00C96AD3" w:rsidRPr="007A2871" w:rsidRDefault="008D3E73" w:rsidP="00B07928">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w:t>
            </w:r>
            <w:r w:rsidR="00C96AD3" w:rsidRPr="007A2871">
              <w:rPr>
                <w:rFonts w:ascii="Times New Roman" w:eastAsia="Times New Roman" w:hAnsi="Times New Roman"/>
                <w:sz w:val="24"/>
                <w:szCs w:val="24"/>
                <w:lang w:eastAsia="lv-LV"/>
              </w:rPr>
              <w:t xml:space="preserve">rojekta izpildi </w:t>
            </w:r>
            <w:r w:rsidR="00B07928">
              <w:rPr>
                <w:rFonts w:ascii="Times New Roman" w:eastAsia="Times New Roman" w:hAnsi="Times New Roman"/>
                <w:sz w:val="24"/>
                <w:szCs w:val="24"/>
                <w:lang w:eastAsia="lv-LV"/>
              </w:rPr>
              <w:t xml:space="preserve">nodrošinās </w:t>
            </w:r>
            <w:r w:rsidR="007A2871">
              <w:rPr>
                <w:rFonts w:ascii="Times New Roman" w:eastAsia="Times New Roman" w:hAnsi="Times New Roman"/>
                <w:sz w:val="24"/>
                <w:szCs w:val="24"/>
                <w:lang w:eastAsia="lv-LV"/>
              </w:rPr>
              <w:t>augstākās izglītības iestādes</w:t>
            </w:r>
            <w:r w:rsidR="00B07928">
              <w:rPr>
                <w:rFonts w:ascii="Times New Roman" w:eastAsia="Times New Roman" w:hAnsi="Times New Roman"/>
                <w:sz w:val="24"/>
                <w:szCs w:val="24"/>
                <w:lang w:eastAsia="lv-LV"/>
              </w:rPr>
              <w:t>,</w:t>
            </w:r>
            <w:r w:rsidR="007A2871">
              <w:rPr>
                <w:rFonts w:ascii="Times New Roman" w:eastAsia="Times New Roman" w:hAnsi="Times New Roman"/>
                <w:sz w:val="24"/>
                <w:szCs w:val="24"/>
                <w:lang w:eastAsia="lv-LV"/>
              </w:rPr>
              <w:t xml:space="preserve"> Akadēmiskās informācijas centrs</w:t>
            </w:r>
            <w:r w:rsidR="00B07928">
              <w:rPr>
                <w:rFonts w:ascii="Times New Roman" w:eastAsia="Times New Roman" w:hAnsi="Times New Roman"/>
                <w:sz w:val="24"/>
                <w:szCs w:val="24"/>
                <w:lang w:eastAsia="lv-LV"/>
              </w:rPr>
              <w:t xml:space="preserve"> un Studiju akreditācijas komisija</w:t>
            </w:r>
            <w:r w:rsidR="007A2871">
              <w:rPr>
                <w:rFonts w:ascii="Times New Roman" w:eastAsia="Times New Roman" w:hAnsi="Times New Roman"/>
                <w:sz w:val="24"/>
                <w:szCs w:val="24"/>
                <w:lang w:eastAsia="lv-LV"/>
              </w:rPr>
              <w:t>.</w:t>
            </w:r>
          </w:p>
        </w:tc>
      </w:tr>
      <w:tr w:rsidR="00812271" w:rsidRPr="007A2871" w14:paraId="28D8C2E0" w14:textId="77777777" w:rsidTr="007A2871">
        <w:trPr>
          <w:trHeight w:val="450"/>
        </w:trPr>
        <w:tc>
          <w:tcPr>
            <w:tcW w:w="250" w:type="pct"/>
            <w:hideMark/>
          </w:tcPr>
          <w:p w14:paraId="1AA7CC44"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900" w:type="pct"/>
            <w:hideMark/>
          </w:tcPr>
          <w:p w14:paraId="32540DF8" w14:textId="77777777" w:rsidR="00C96AD3" w:rsidRPr="007A2871" w:rsidRDefault="00C96AD3"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hideMark/>
          </w:tcPr>
          <w:p w14:paraId="5DA89E96" w14:textId="162F5F64" w:rsidR="00C96AD3" w:rsidRPr="007A2871" w:rsidRDefault="00895EF4" w:rsidP="00895EF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paredz</w:t>
            </w:r>
            <w:r w:rsidR="0045553F">
              <w:rPr>
                <w:rFonts w:ascii="Times New Roman" w:eastAsia="Times New Roman" w:hAnsi="Times New Roman"/>
                <w:sz w:val="24"/>
                <w:szCs w:val="24"/>
                <w:lang w:eastAsia="lv-LV"/>
              </w:rPr>
              <w:t>, ka iesniegumu par izmaiņu izdarīšanu studiju virzienu akreditācijas lapā izskatīšanai nav nepieciešams apstiprināt ekspertu</w:t>
            </w:r>
            <w:r w:rsidR="00D052D6">
              <w:rPr>
                <w:rFonts w:ascii="Times New Roman" w:eastAsia="Times New Roman" w:hAnsi="Times New Roman"/>
                <w:sz w:val="24"/>
                <w:szCs w:val="24"/>
                <w:lang w:eastAsia="lv-LV"/>
              </w:rPr>
              <w:t xml:space="preserve"> (kā to šobrīd paredz akreditācijas noteikumi)</w:t>
            </w:r>
            <w:r w:rsidR="0045553F">
              <w:rPr>
                <w:rFonts w:ascii="Times New Roman" w:eastAsia="Times New Roman" w:hAnsi="Times New Roman"/>
                <w:sz w:val="24"/>
                <w:szCs w:val="24"/>
                <w:lang w:eastAsia="lv-LV"/>
              </w:rPr>
              <w:t>, līdz ar to n</w:t>
            </w:r>
            <w:r w:rsidR="00B07928">
              <w:rPr>
                <w:rFonts w:ascii="Times New Roman" w:eastAsia="Times New Roman" w:hAnsi="Times New Roman"/>
                <w:sz w:val="24"/>
                <w:szCs w:val="24"/>
                <w:lang w:eastAsia="lv-LV"/>
              </w:rPr>
              <w:t>ebūs</w:t>
            </w:r>
            <w:r w:rsidR="0045553F">
              <w:rPr>
                <w:rFonts w:ascii="Times New Roman" w:eastAsia="Times New Roman" w:hAnsi="Times New Roman"/>
                <w:sz w:val="24"/>
                <w:szCs w:val="24"/>
                <w:lang w:eastAsia="lv-LV"/>
              </w:rPr>
              <w:t xml:space="preserve"> nepieciešams veikt nepieciešamās darbības ekspert</w:t>
            </w:r>
            <w:r w:rsidR="00B07928">
              <w:rPr>
                <w:rFonts w:ascii="Times New Roman" w:eastAsia="Times New Roman" w:hAnsi="Times New Roman"/>
                <w:sz w:val="24"/>
                <w:szCs w:val="24"/>
                <w:lang w:eastAsia="lv-LV"/>
              </w:rPr>
              <w:t>u</w:t>
            </w:r>
            <w:r w:rsidR="0045553F">
              <w:rPr>
                <w:rFonts w:ascii="Times New Roman" w:eastAsia="Times New Roman" w:hAnsi="Times New Roman"/>
                <w:sz w:val="24"/>
                <w:szCs w:val="24"/>
                <w:lang w:eastAsia="lv-LV"/>
              </w:rPr>
              <w:t xml:space="preserve"> atlasē, kas nodrošinās ātrāku iesniegumu izskatīšanu</w:t>
            </w:r>
            <w:r>
              <w:rPr>
                <w:rFonts w:ascii="Times New Roman" w:eastAsia="Times New Roman" w:hAnsi="Times New Roman"/>
                <w:sz w:val="24"/>
                <w:szCs w:val="24"/>
                <w:lang w:eastAsia="lv-LV"/>
              </w:rPr>
              <w:t>, un jautājums nebūs jāizskata Studiju akreditācijas komisijā visos gadījumos vismaz divas reizes, tādējādi mazinot</w:t>
            </w:r>
            <w:r w:rsidR="0045553F">
              <w:rPr>
                <w:rFonts w:ascii="Times New Roman" w:eastAsia="Times New Roman" w:hAnsi="Times New Roman"/>
                <w:sz w:val="24"/>
                <w:szCs w:val="24"/>
                <w:lang w:eastAsia="lv-LV"/>
              </w:rPr>
              <w:t xml:space="preserve"> Akadēmiskās informācijas centra </w:t>
            </w:r>
            <w:r>
              <w:rPr>
                <w:rFonts w:ascii="Times New Roman" w:eastAsia="Times New Roman" w:hAnsi="Times New Roman"/>
                <w:sz w:val="24"/>
                <w:szCs w:val="24"/>
                <w:lang w:eastAsia="lv-LV"/>
              </w:rPr>
              <w:t xml:space="preserve">un Studiju akreditācijas komisijas </w:t>
            </w:r>
            <w:r w:rsidR="0045553F">
              <w:rPr>
                <w:rFonts w:ascii="Times New Roman" w:eastAsia="Times New Roman" w:hAnsi="Times New Roman"/>
                <w:sz w:val="24"/>
                <w:szCs w:val="24"/>
                <w:lang w:eastAsia="lv-LV"/>
              </w:rPr>
              <w:t>administratīvo slogu.</w:t>
            </w:r>
          </w:p>
        </w:tc>
      </w:tr>
      <w:tr w:rsidR="00812271" w:rsidRPr="007A2871" w14:paraId="0CFC8929" w14:textId="77777777" w:rsidTr="007A2871">
        <w:trPr>
          <w:trHeight w:val="390"/>
        </w:trPr>
        <w:tc>
          <w:tcPr>
            <w:tcW w:w="250"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900" w:type="pct"/>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850" w:type="pct"/>
            <w:hideMark/>
          </w:tcPr>
          <w:p w14:paraId="7C05FE5F" w14:textId="77777777" w:rsidR="00C96AD3" w:rsidRPr="007A2871"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0EC3D8E3" w14:textId="77777777" w:rsidR="004A505F" w:rsidRPr="007A2871" w:rsidRDefault="004A505F" w:rsidP="005C42B1">
      <w:pPr>
        <w:spacing w:after="0" w:line="240" w:lineRule="auto"/>
        <w:rPr>
          <w:rFonts w:ascii="Times New Roman" w:eastAsia="Times New Roman" w:hAnsi="Times New Roman"/>
          <w:sz w:val="24"/>
          <w:szCs w:val="24"/>
          <w:lang w:eastAsia="lv-LV"/>
        </w:rPr>
      </w:pPr>
    </w:p>
    <w:p w14:paraId="19CBBC07" w14:textId="4F18489D" w:rsidR="007C5781" w:rsidRPr="007A2871" w:rsidRDefault="007A2871" w:rsidP="005C42B1">
      <w:pPr>
        <w:autoSpaceDE w:val="0"/>
        <w:autoSpaceDN w:val="0"/>
        <w:adjustRightInd w:val="0"/>
        <w:spacing w:after="0" w:line="240" w:lineRule="auto"/>
        <w:rPr>
          <w:rFonts w:ascii="Times New Roman" w:hAnsi="Times New Roman"/>
          <w:sz w:val="24"/>
          <w:szCs w:val="24"/>
        </w:rPr>
      </w:pPr>
      <w:r w:rsidRPr="007A2871">
        <w:rPr>
          <w:rFonts w:ascii="Times New Roman" w:hAnsi="Times New Roman"/>
          <w:i/>
          <w:sz w:val="24"/>
          <w:szCs w:val="24"/>
        </w:rPr>
        <w:t xml:space="preserve">Anotācijas </w:t>
      </w:r>
      <w:r w:rsidR="00812271" w:rsidRPr="007A2871">
        <w:rPr>
          <w:rFonts w:ascii="Times New Roman" w:hAnsi="Times New Roman"/>
          <w:i/>
          <w:sz w:val="24"/>
          <w:szCs w:val="24"/>
        </w:rPr>
        <w:t xml:space="preserve">III, IV, V sadaļa - </w:t>
      </w:r>
      <w:r w:rsidR="00812271" w:rsidRPr="007A2871">
        <w:rPr>
          <w:rFonts w:ascii="Times New Roman" w:eastAsia="Times New Roman" w:hAnsi="Times New Roman"/>
          <w:i/>
          <w:sz w:val="24"/>
          <w:szCs w:val="24"/>
          <w:lang w:eastAsia="lv-LV"/>
        </w:rPr>
        <w:t>projekts šīs jomas neskar</w:t>
      </w:r>
      <w:r w:rsidR="00812271" w:rsidRPr="007A2871">
        <w:rPr>
          <w:rFonts w:ascii="Times New Roman" w:eastAsia="Times New Roman" w:hAnsi="Times New Roman"/>
          <w:sz w:val="24"/>
          <w:szCs w:val="24"/>
          <w:lang w:eastAsia="lv-LV"/>
        </w:rPr>
        <w:t>.</w:t>
      </w:r>
    </w:p>
    <w:p w14:paraId="7B7CADBE" w14:textId="77777777" w:rsidR="00322FF1" w:rsidRPr="007A2871" w:rsidRDefault="00322FF1" w:rsidP="005C42B1">
      <w:pPr>
        <w:autoSpaceDE w:val="0"/>
        <w:autoSpaceDN w:val="0"/>
        <w:adjustRightInd w:val="0"/>
        <w:spacing w:after="0" w:line="240" w:lineRule="auto"/>
        <w:rPr>
          <w:rFonts w:ascii="Times New Roman" w:hAnsi="Times New Roman"/>
          <w:sz w:val="24"/>
          <w:szCs w:val="24"/>
        </w:rPr>
      </w:pPr>
    </w:p>
    <w:p w14:paraId="21D7ACC2" w14:textId="77777777" w:rsidR="004A505F" w:rsidRDefault="004A505F" w:rsidP="005C42B1">
      <w:pPr>
        <w:autoSpaceDE w:val="0"/>
        <w:autoSpaceDN w:val="0"/>
        <w:adjustRightInd w:val="0"/>
        <w:spacing w:after="0" w:line="240" w:lineRule="auto"/>
        <w:rPr>
          <w:rFonts w:ascii="Times New Roman" w:hAnsi="Times New Roman"/>
          <w:sz w:val="24"/>
          <w:szCs w:val="24"/>
        </w:rPr>
      </w:pPr>
    </w:p>
    <w:p w14:paraId="5711C581" w14:textId="77777777" w:rsidR="00CE7745" w:rsidRDefault="00CE7745" w:rsidP="005C42B1">
      <w:pPr>
        <w:autoSpaceDE w:val="0"/>
        <w:autoSpaceDN w:val="0"/>
        <w:adjustRightInd w:val="0"/>
        <w:spacing w:after="0" w:line="240" w:lineRule="auto"/>
        <w:rPr>
          <w:rFonts w:ascii="Times New Roman" w:hAnsi="Times New Roman"/>
          <w:sz w:val="24"/>
          <w:szCs w:val="24"/>
        </w:rPr>
      </w:pPr>
    </w:p>
    <w:p w14:paraId="5FD2B729" w14:textId="77777777" w:rsidR="00CE7745" w:rsidRPr="007A2871" w:rsidRDefault="00CE7745" w:rsidP="005C42B1">
      <w:pPr>
        <w:autoSpaceDE w:val="0"/>
        <w:autoSpaceDN w:val="0"/>
        <w:adjustRightInd w:val="0"/>
        <w:spacing w:after="0" w:line="240" w:lineRule="auto"/>
        <w:rPr>
          <w:rFonts w:ascii="Times New Roman" w:hAnsi="Times New Roman"/>
          <w:sz w:val="24"/>
          <w:szCs w:val="24"/>
        </w:rPr>
      </w:pPr>
    </w:p>
    <w:p w14:paraId="79224C61" w14:textId="5F465DA5" w:rsidR="00F31126" w:rsidRPr="007A2871" w:rsidRDefault="00A76C0A"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00F31126"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00F31126" w:rsidRPr="007A2871">
        <w:rPr>
          <w:rFonts w:ascii="Times New Roman" w:eastAsia="Times New Roman" w:hAnsi="Times New Roman"/>
          <w:sz w:val="24"/>
          <w:szCs w:val="24"/>
          <w:lang w:eastAsia="lv-LV"/>
        </w:rPr>
        <w:tab/>
        <w:t xml:space="preserve">    </w:t>
      </w:r>
      <w:r w:rsidR="00F31126"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14:paraId="6A0B4BB1"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556FD808" w14:textId="77777777" w:rsidR="00CE7745" w:rsidRPr="007A2871" w:rsidRDefault="00CE7745" w:rsidP="00012B57">
      <w:pPr>
        <w:spacing w:after="0" w:line="240" w:lineRule="auto"/>
        <w:jc w:val="both"/>
        <w:rPr>
          <w:rFonts w:ascii="Times New Roman" w:eastAsia="Times New Roman" w:hAnsi="Times New Roman"/>
          <w:sz w:val="24"/>
          <w:szCs w:val="24"/>
          <w:lang w:eastAsia="lv-LV"/>
        </w:rPr>
      </w:pPr>
    </w:p>
    <w:p w14:paraId="21D59E03" w14:textId="77777777" w:rsidR="00A76C0A" w:rsidRPr="007A2871" w:rsidRDefault="00A76C0A" w:rsidP="00012B5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14:paraId="72C67718" w14:textId="77777777" w:rsidR="00CE7745" w:rsidRPr="00CE7745" w:rsidRDefault="00CE7745" w:rsidP="00CE7745">
      <w:pPr>
        <w:autoSpaceDE w:val="0"/>
        <w:autoSpaceDN w:val="0"/>
        <w:adjustRightInd w:val="0"/>
        <w:spacing w:after="0" w:line="240" w:lineRule="auto"/>
        <w:rPr>
          <w:rFonts w:ascii="Times New Roman" w:eastAsia="Times New Roman" w:hAnsi="Times New Roman"/>
          <w:bCs/>
          <w:kern w:val="32"/>
          <w:sz w:val="24"/>
          <w:szCs w:val="24"/>
          <w:lang w:eastAsia="lv-LV"/>
        </w:rPr>
      </w:pPr>
      <w:r w:rsidRPr="00CE7745">
        <w:rPr>
          <w:rFonts w:ascii="Times New Roman" w:eastAsia="Times New Roman" w:hAnsi="Times New Roman"/>
          <w:bCs/>
          <w:kern w:val="32"/>
          <w:sz w:val="24"/>
          <w:szCs w:val="24"/>
          <w:lang w:eastAsia="lv-LV"/>
        </w:rPr>
        <w:t xml:space="preserve">Valsts sekretāra vietniece – </w:t>
      </w:r>
    </w:p>
    <w:p w14:paraId="42D3D0ED" w14:textId="77777777" w:rsidR="00CE7745" w:rsidRPr="00CE7745" w:rsidRDefault="00CE7745" w:rsidP="00CE7745">
      <w:pPr>
        <w:autoSpaceDE w:val="0"/>
        <w:autoSpaceDN w:val="0"/>
        <w:adjustRightInd w:val="0"/>
        <w:spacing w:after="0" w:line="240" w:lineRule="auto"/>
        <w:rPr>
          <w:rFonts w:ascii="Times New Roman" w:eastAsia="Times New Roman" w:hAnsi="Times New Roman"/>
          <w:bCs/>
          <w:kern w:val="32"/>
          <w:sz w:val="24"/>
          <w:szCs w:val="24"/>
          <w:lang w:eastAsia="lv-LV"/>
        </w:rPr>
      </w:pPr>
      <w:r w:rsidRPr="00CE7745">
        <w:rPr>
          <w:rFonts w:ascii="Times New Roman" w:eastAsia="Times New Roman" w:hAnsi="Times New Roman"/>
          <w:bCs/>
          <w:kern w:val="32"/>
          <w:sz w:val="24"/>
          <w:szCs w:val="24"/>
          <w:lang w:eastAsia="lv-LV"/>
        </w:rPr>
        <w:t>Politikas iniciatīvu un attīstības</w:t>
      </w:r>
    </w:p>
    <w:p w14:paraId="5302DBA7" w14:textId="77777777" w:rsidR="00CE7745" w:rsidRPr="00CE7745" w:rsidRDefault="00CE7745" w:rsidP="00CE7745">
      <w:pPr>
        <w:autoSpaceDE w:val="0"/>
        <w:autoSpaceDN w:val="0"/>
        <w:adjustRightInd w:val="0"/>
        <w:spacing w:after="0" w:line="240" w:lineRule="auto"/>
        <w:rPr>
          <w:rFonts w:ascii="Times New Roman" w:eastAsia="Times New Roman" w:hAnsi="Times New Roman"/>
          <w:bCs/>
          <w:kern w:val="32"/>
          <w:sz w:val="24"/>
          <w:szCs w:val="24"/>
          <w:lang w:eastAsia="lv-LV"/>
        </w:rPr>
      </w:pPr>
      <w:r w:rsidRPr="00CE7745">
        <w:rPr>
          <w:rFonts w:ascii="Times New Roman" w:eastAsia="Times New Roman" w:hAnsi="Times New Roman"/>
          <w:bCs/>
          <w:kern w:val="32"/>
          <w:sz w:val="24"/>
          <w:szCs w:val="24"/>
          <w:lang w:eastAsia="lv-LV"/>
        </w:rPr>
        <w:t>departamenta direktore,</w:t>
      </w:r>
    </w:p>
    <w:p w14:paraId="798BB114" w14:textId="77777777" w:rsidR="00CE7745" w:rsidRDefault="00CE7745" w:rsidP="00CE7745">
      <w:pPr>
        <w:autoSpaceDE w:val="0"/>
        <w:autoSpaceDN w:val="0"/>
        <w:adjustRightInd w:val="0"/>
        <w:spacing w:after="0" w:line="240" w:lineRule="auto"/>
        <w:rPr>
          <w:rFonts w:ascii="Times New Roman" w:hAnsi="Times New Roman"/>
          <w:sz w:val="24"/>
          <w:szCs w:val="24"/>
        </w:rPr>
      </w:pPr>
      <w:r w:rsidRPr="00CE7745">
        <w:rPr>
          <w:rFonts w:ascii="Times New Roman" w:eastAsia="Times New Roman" w:hAnsi="Times New Roman"/>
          <w:bCs/>
          <w:kern w:val="32"/>
          <w:sz w:val="24"/>
          <w:szCs w:val="24"/>
          <w:lang w:eastAsia="lv-LV"/>
        </w:rPr>
        <w:t>valsts sekretāra vietniece</w:t>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r>
      <w:r w:rsidRPr="00CE7745">
        <w:rPr>
          <w:rFonts w:ascii="Times New Roman" w:eastAsia="Times New Roman" w:hAnsi="Times New Roman"/>
          <w:bCs/>
          <w:kern w:val="32"/>
          <w:sz w:val="24"/>
          <w:szCs w:val="24"/>
          <w:lang w:eastAsia="lv-LV"/>
        </w:rPr>
        <w:tab/>
        <w:t>Gunta Arāja</w:t>
      </w:r>
      <w:r w:rsidR="00FC7EFA" w:rsidRPr="002865DB">
        <w:rPr>
          <w:rFonts w:ascii="Times New Roman" w:hAnsi="Times New Roman"/>
          <w:sz w:val="24"/>
          <w:szCs w:val="24"/>
        </w:rPr>
        <w:tab/>
      </w:r>
      <w:r w:rsidR="00FC7EFA" w:rsidRPr="002865DB">
        <w:rPr>
          <w:rFonts w:ascii="Times New Roman" w:hAnsi="Times New Roman"/>
          <w:sz w:val="24"/>
          <w:szCs w:val="24"/>
        </w:rPr>
        <w:tab/>
      </w:r>
    </w:p>
    <w:p w14:paraId="70655ADA" w14:textId="77777777" w:rsidR="00CE7745" w:rsidRDefault="00CE7745" w:rsidP="00CE7745">
      <w:pPr>
        <w:autoSpaceDE w:val="0"/>
        <w:autoSpaceDN w:val="0"/>
        <w:adjustRightInd w:val="0"/>
        <w:spacing w:after="0" w:line="240" w:lineRule="auto"/>
        <w:rPr>
          <w:rFonts w:ascii="Times New Roman" w:hAnsi="Times New Roman"/>
          <w:sz w:val="24"/>
          <w:szCs w:val="24"/>
        </w:rPr>
      </w:pPr>
    </w:p>
    <w:p w14:paraId="31C97CCF" w14:textId="77777777" w:rsidR="00CE7745" w:rsidRDefault="00CE7745" w:rsidP="00CE7745">
      <w:pPr>
        <w:autoSpaceDE w:val="0"/>
        <w:autoSpaceDN w:val="0"/>
        <w:adjustRightInd w:val="0"/>
        <w:spacing w:after="0" w:line="240" w:lineRule="auto"/>
        <w:rPr>
          <w:rFonts w:ascii="Times New Roman" w:hAnsi="Times New Roman"/>
          <w:sz w:val="24"/>
          <w:szCs w:val="24"/>
        </w:rPr>
      </w:pPr>
    </w:p>
    <w:p w14:paraId="1FD2F788" w14:textId="7F1554DB" w:rsidR="00FC7EFA" w:rsidRPr="00CE7745" w:rsidRDefault="00FC7EFA" w:rsidP="00CE7745">
      <w:pPr>
        <w:autoSpaceDE w:val="0"/>
        <w:autoSpaceDN w:val="0"/>
        <w:adjustRightInd w:val="0"/>
        <w:spacing w:after="0" w:line="240" w:lineRule="auto"/>
        <w:rPr>
          <w:rFonts w:ascii="Times New Roman" w:eastAsia="Times New Roman" w:hAnsi="Times New Roman"/>
          <w:bCs/>
          <w:kern w:val="32"/>
          <w:sz w:val="24"/>
          <w:szCs w:val="24"/>
          <w:lang w:eastAsia="lv-LV"/>
        </w:rPr>
      </w:pPr>
      <w:bookmarkStart w:id="4" w:name="_GoBack"/>
      <w:bookmarkEnd w:id="4"/>
      <w:r w:rsidRPr="002865DB">
        <w:rPr>
          <w:rFonts w:ascii="Times New Roman" w:hAnsi="Times New Roman"/>
          <w:sz w:val="24"/>
          <w:szCs w:val="24"/>
        </w:rPr>
        <w:tab/>
      </w:r>
      <w:r w:rsidRPr="002865DB">
        <w:rPr>
          <w:rFonts w:ascii="Times New Roman" w:hAnsi="Times New Roman"/>
          <w:sz w:val="24"/>
          <w:szCs w:val="24"/>
        </w:rPr>
        <w:tab/>
      </w:r>
    </w:p>
    <w:p w14:paraId="7B6ED593" w14:textId="6B96D0C9" w:rsidR="00012B57" w:rsidRPr="00012B57" w:rsidRDefault="003B65EA"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19</w:t>
      </w:r>
      <w:r w:rsidR="00583A5D">
        <w:rPr>
          <w:rFonts w:ascii="Times New Roman" w:eastAsia="Times New Roman" w:hAnsi="Times New Roman"/>
          <w:sz w:val="20"/>
          <w:szCs w:val="20"/>
          <w:lang w:eastAsia="lv-LV"/>
        </w:rPr>
        <w:t>.12</w:t>
      </w:r>
      <w:r w:rsidR="007A2871">
        <w:rPr>
          <w:rFonts w:ascii="Times New Roman" w:eastAsia="Times New Roman" w:hAnsi="Times New Roman"/>
          <w:sz w:val="20"/>
          <w:szCs w:val="20"/>
          <w:lang w:eastAsia="lv-LV"/>
        </w:rPr>
        <w:t>.2016.</w:t>
      </w:r>
    </w:p>
    <w:p w14:paraId="5B4D91C1" w14:textId="7BE9DA7D" w:rsidR="007A2871" w:rsidRDefault="00CE7745" w:rsidP="00012B5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2207</w:t>
      </w:r>
    </w:p>
    <w:p w14:paraId="4FD50F29" w14:textId="77777777" w:rsidR="00FC7EFA" w:rsidRDefault="00A76C0A" w:rsidP="00A76C0A">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L.Upīte</w:t>
      </w:r>
      <w:proofErr w:type="spellEnd"/>
      <w:r>
        <w:rPr>
          <w:rFonts w:ascii="Times New Roman" w:eastAsia="Times New Roman" w:hAnsi="Times New Roman"/>
          <w:sz w:val="20"/>
          <w:szCs w:val="20"/>
          <w:lang w:eastAsia="lv-LV"/>
        </w:rPr>
        <w:t>, 67047816</w:t>
      </w:r>
    </w:p>
    <w:p w14:paraId="3BB36A2B" w14:textId="77777777" w:rsidR="00A76C0A" w:rsidRPr="00A76C0A" w:rsidRDefault="00A76C0A"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Linda.Upite@izm.gov.lv</w:t>
      </w:r>
    </w:p>
    <w:sectPr w:rsidR="00A76C0A" w:rsidRPr="00A76C0A" w:rsidSect="00DF12C5">
      <w:headerReference w:type="default" r:id="rId6"/>
      <w:footerReference w:type="default" r:id="rId7"/>
      <w:footerReference w:type="first" r:id="rId8"/>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FF47" w14:textId="77777777" w:rsidR="006F0067" w:rsidRDefault="006F0067" w:rsidP="004A53C8">
      <w:pPr>
        <w:spacing w:after="0" w:line="240" w:lineRule="auto"/>
      </w:pPr>
      <w:r>
        <w:separator/>
      </w:r>
    </w:p>
  </w:endnote>
  <w:endnote w:type="continuationSeparator" w:id="0">
    <w:p w14:paraId="20FF087D" w14:textId="77777777" w:rsidR="006F0067" w:rsidRDefault="006F0067"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37A38062" w:rsidR="004A53C8" w:rsidRPr="001E1B5B" w:rsidRDefault="003B65EA" w:rsidP="009B2A08">
    <w:pPr>
      <w:pStyle w:val="Footer"/>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IZManot_19</w:t>
    </w:r>
    <w:r w:rsidR="00583A5D">
      <w:rPr>
        <w:rFonts w:ascii="Times New Roman" w:eastAsia="Times New Roman" w:hAnsi="Times New Roman"/>
        <w:bCs/>
        <w:sz w:val="20"/>
        <w:szCs w:val="20"/>
        <w:lang w:eastAsia="lv-LV"/>
      </w:rPr>
      <w:t>12</w:t>
    </w:r>
    <w:r w:rsidR="001E1B5B" w:rsidRPr="001E1B5B">
      <w:rPr>
        <w:rFonts w:ascii="Times New Roman" w:eastAsia="Times New Roman" w:hAnsi="Times New Roman"/>
        <w:bCs/>
        <w:sz w:val="20"/>
        <w:szCs w:val="20"/>
        <w:lang w:eastAsia="lv-LV"/>
      </w:rPr>
      <w:t>16_akreditacija; Ministru kabineta noteikumu projekta “Grozījumi Ministru kabineta 2015.gada 14.jūlija noteikumos Nr.407 “Augstskolu, koledžu un studiju virzienu akreditācijas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5748943B" w:rsidR="00F4546D" w:rsidRPr="0056429A" w:rsidRDefault="001E1B5B"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w:t>
    </w:r>
    <w:r w:rsidR="003B65EA">
      <w:rPr>
        <w:rFonts w:ascii="Times New Roman" w:eastAsia="Times New Roman" w:hAnsi="Times New Roman"/>
        <w:bCs/>
        <w:sz w:val="20"/>
        <w:szCs w:val="20"/>
        <w:lang w:eastAsia="lv-LV"/>
      </w:rPr>
      <w:t>anot_19</w:t>
    </w:r>
    <w:r w:rsidR="00583A5D">
      <w:rPr>
        <w:rFonts w:ascii="Times New Roman" w:eastAsia="Times New Roman" w:hAnsi="Times New Roman"/>
        <w:bCs/>
        <w:sz w:val="20"/>
        <w:szCs w:val="20"/>
        <w:lang w:eastAsia="lv-LV"/>
      </w:rPr>
      <w:t>12</w:t>
    </w:r>
    <w:r w:rsidR="001B53A6" w:rsidRPr="001B53A6">
      <w:rPr>
        <w:rFonts w:ascii="Times New Roman" w:eastAsia="Times New Roman" w:hAnsi="Times New Roman"/>
        <w:bCs/>
        <w:sz w:val="20"/>
        <w:szCs w:val="20"/>
        <w:lang w:eastAsia="lv-LV"/>
      </w:rPr>
      <w:t xml:space="preserve">16_akreditacija; </w:t>
    </w:r>
    <w:r>
      <w:rPr>
        <w:rFonts w:ascii="Times New Roman" w:eastAsia="Times New Roman" w:hAnsi="Times New Roman"/>
        <w:bCs/>
        <w:sz w:val="20"/>
        <w:szCs w:val="20"/>
        <w:lang w:eastAsia="lv-LV"/>
      </w:rPr>
      <w:t>Ministru kabineta noteikumu projekta “</w:t>
    </w:r>
    <w:r w:rsidR="001B53A6" w:rsidRPr="001B53A6">
      <w:rPr>
        <w:rFonts w:ascii="Times New Roman" w:eastAsia="Times New Roman" w:hAnsi="Times New Roman"/>
        <w:bCs/>
        <w:sz w:val="20"/>
        <w:szCs w:val="20"/>
        <w:lang w:eastAsia="lv-LV"/>
      </w:rPr>
      <w:t>Grozījumi Ministru kabineta 2015.gada 14.jūlija noteikumos Nr.407 “Augstskolu, koledžu un studiju virzienu akreditācijas noteikumi”</w:t>
    </w:r>
    <w:r>
      <w:rPr>
        <w:rFonts w:ascii="Times New Roman" w:eastAsia="Times New Roman" w:hAnsi="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DFD4" w14:textId="77777777" w:rsidR="006F0067" w:rsidRDefault="006F0067" w:rsidP="004A53C8">
      <w:pPr>
        <w:spacing w:after="0" w:line="240" w:lineRule="auto"/>
      </w:pPr>
      <w:r>
        <w:separator/>
      </w:r>
    </w:p>
  </w:footnote>
  <w:footnote w:type="continuationSeparator" w:id="0">
    <w:p w14:paraId="1C9B0722" w14:textId="77777777" w:rsidR="006F0067" w:rsidRDefault="006F0067"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E7745">
      <w:rPr>
        <w:rFonts w:ascii="Times New Roman" w:hAnsi="Times New Roman"/>
        <w:noProof/>
        <w:sz w:val="24"/>
        <w:szCs w:val="24"/>
      </w:rPr>
      <w:t>6</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140A6"/>
    <w:rsid w:val="00057E77"/>
    <w:rsid w:val="00064A14"/>
    <w:rsid w:val="0006697F"/>
    <w:rsid w:val="00074A3A"/>
    <w:rsid w:val="00091E19"/>
    <w:rsid w:val="0009669B"/>
    <w:rsid w:val="000C0CAE"/>
    <w:rsid w:val="000C5B35"/>
    <w:rsid w:val="000D13F5"/>
    <w:rsid w:val="000D3684"/>
    <w:rsid w:val="000F2F18"/>
    <w:rsid w:val="000F47DB"/>
    <w:rsid w:val="000F597B"/>
    <w:rsid w:val="00121135"/>
    <w:rsid w:val="001515ED"/>
    <w:rsid w:val="00196D09"/>
    <w:rsid w:val="001A08CA"/>
    <w:rsid w:val="001B2B20"/>
    <w:rsid w:val="001B53A6"/>
    <w:rsid w:val="001D4CA7"/>
    <w:rsid w:val="001D5D6F"/>
    <w:rsid w:val="001E1B5B"/>
    <w:rsid w:val="001F5A13"/>
    <w:rsid w:val="00204189"/>
    <w:rsid w:val="00206BC9"/>
    <w:rsid w:val="002172EA"/>
    <w:rsid w:val="00231770"/>
    <w:rsid w:val="00250073"/>
    <w:rsid w:val="00260CAD"/>
    <w:rsid w:val="00272847"/>
    <w:rsid w:val="00275B3C"/>
    <w:rsid w:val="002865DB"/>
    <w:rsid w:val="002901D5"/>
    <w:rsid w:val="002B1A24"/>
    <w:rsid w:val="002C674B"/>
    <w:rsid w:val="002D0EB1"/>
    <w:rsid w:val="002D4D8A"/>
    <w:rsid w:val="002E4F4C"/>
    <w:rsid w:val="00304E39"/>
    <w:rsid w:val="0030592D"/>
    <w:rsid w:val="003138F6"/>
    <w:rsid w:val="00313C26"/>
    <w:rsid w:val="00322FF1"/>
    <w:rsid w:val="00324E0F"/>
    <w:rsid w:val="0033149E"/>
    <w:rsid w:val="00354158"/>
    <w:rsid w:val="0037596D"/>
    <w:rsid w:val="0038608C"/>
    <w:rsid w:val="00392D00"/>
    <w:rsid w:val="00396EBE"/>
    <w:rsid w:val="003A6BFF"/>
    <w:rsid w:val="003B0459"/>
    <w:rsid w:val="003B65EA"/>
    <w:rsid w:val="003D5881"/>
    <w:rsid w:val="003D6A76"/>
    <w:rsid w:val="003E12C5"/>
    <w:rsid w:val="003E49E2"/>
    <w:rsid w:val="00400644"/>
    <w:rsid w:val="00430DB4"/>
    <w:rsid w:val="004358D3"/>
    <w:rsid w:val="004460C6"/>
    <w:rsid w:val="00454A2A"/>
    <w:rsid w:val="0045553F"/>
    <w:rsid w:val="00470A88"/>
    <w:rsid w:val="00482C68"/>
    <w:rsid w:val="004A16FD"/>
    <w:rsid w:val="004A505F"/>
    <w:rsid w:val="004A53C8"/>
    <w:rsid w:val="004A549F"/>
    <w:rsid w:val="004C1815"/>
    <w:rsid w:val="004C4E93"/>
    <w:rsid w:val="004D2904"/>
    <w:rsid w:val="004D3CA0"/>
    <w:rsid w:val="004D6490"/>
    <w:rsid w:val="004E520A"/>
    <w:rsid w:val="00517034"/>
    <w:rsid w:val="00531930"/>
    <w:rsid w:val="00551B92"/>
    <w:rsid w:val="00561B38"/>
    <w:rsid w:val="00561F6C"/>
    <w:rsid w:val="0056429A"/>
    <w:rsid w:val="005749B4"/>
    <w:rsid w:val="00577216"/>
    <w:rsid w:val="00583A5D"/>
    <w:rsid w:val="005925F2"/>
    <w:rsid w:val="00593BF9"/>
    <w:rsid w:val="005B42B6"/>
    <w:rsid w:val="005C3F18"/>
    <w:rsid w:val="005C42B1"/>
    <w:rsid w:val="005D4875"/>
    <w:rsid w:val="005D56D4"/>
    <w:rsid w:val="005D734C"/>
    <w:rsid w:val="005E51CF"/>
    <w:rsid w:val="005F5ADA"/>
    <w:rsid w:val="00613DAC"/>
    <w:rsid w:val="00627A99"/>
    <w:rsid w:val="00631529"/>
    <w:rsid w:val="00634BA3"/>
    <w:rsid w:val="0064042F"/>
    <w:rsid w:val="006464A8"/>
    <w:rsid w:val="006464EB"/>
    <w:rsid w:val="00647270"/>
    <w:rsid w:val="0065161F"/>
    <w:rsid w:val="00664145"/>
    <w:rsid w:val="006825C0"/>
    <w:rsid w:val="00694633"/>
    <w:rsid w:val="006A33BF"/>
    <w:rsid w:val="006A3B0A"/>
    <w:rsid w:val="006C5F23"/>
    <w:rsid w:val="006E0FC5"/>
    <w:rsid w:val="006F0067"/>
    <w:rsid w:val="006F11ED"/>
    <w:rsid w:val="006F3CAE"/>
    <w:rsid w:val="00702234"/>
    <w:rsid w:val="007058CE"/>
    <w:rsid w:val="0071082B"/>
    <w:rsid w:val="007147BE"/>
    <w:rsid w:val="007248FB"/>
    <w:rsid w:val="00733C8C"/>
    <w:rsid w:val="0074653E"/>
    <w:rsid w:val="00763606"/>
    <w:rsid w:val="00767FD6"/>
    <w:rsid w:val="00771AE0"/>
    <w:rsid w:val="00773158"/>
    <w:rsid w:val="00773C6A"/>
    <w:rsid w:val="00784229"/>
    <w:rsid w:val="00787327"/>
    <w:rsid w:val="00787C61"/>
    <w:rsid w:val="007973E0"/>
    <w:rsid w:val="007A0535"/>
    <w:rsid w:val="007A2871"/>
    <w:rsid w:val="007A5D0E"/>
    <w:rsid w:val="007B07F6"/>
    <w:rsid w:val="007C4012"/>
    <w:rsid w:val="007C47AB"/>
    <w:rsid w:val="007C5781"/>
    <w:rsid w:val="007E5DBD"/>
    <w:rsid w:val="007E7C9E"/>
    <w:rsid w:val="007F2B8D"/>
    <w:rsid w:val="007F662D"/>
    <w:rsid w:val="00800369"/>
    <w:rsid w:val="00810A06"/>
    <w:rsid w:val="00812271"/>
    <w:rsid w:val="00816BD1"/>
    <w:rsid w:val="0082002F"/>
    <w:rsid w:val="00833E9A"/>
    <w:rsid w:val="00835064"/>
    <w:rsid w:val="00840CFA"/>
    <w:rsid w:val="00854F3B"/>
    <w:rsid w:val="00857EF2"/>
    <w:rsid w:val="00857EFA"/>
    <w:rsid w:val="00863303"/>
    <w:rsid w:val="0087656E"/>
    <w:rsid w:val="008907EB"/>
    <w:rsid w:val="00895EF4"/>
    <w:rsid w:val="008B4FFB"/>
    <w:rsid w:val="008B68AD"/>
    <w:rsid w:val="008C0B91"/>
    <w:rsid w:val="008C2F6A"/>
    <w:rsid w:val="008D37A4"/>
    <w:rsid w:val="008D3E73"/>
    <w:rsid w:val="008D676F"/>
    <w:rsid w:val="009101D5"/>
    <w:rsid w:val="00930A74"/>
    <w:rsid w:val="0093566F"/>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E0243"/>
    <w:rsid w:val="009E3113"/>
    <w:rsid w:val="009E4133"/>
    <w:rsid w:val="009F6089"/>
    <w:rsid w:val="00A13AAD"/>
    <w:rsid w:val="00A26DC3"/>
    <w:rsid w:val="00A272D5"/>
    <w:rsid w:val="00A325FA"/>
    <w:rsid w:val="00A415D2"/>
    <w:rsid w:val="00A4504C"/>
    <w:rsid w:val="00A54BE6"/>
    <w:rsid w:val="00A62082"/>
    <w:rsid w:val="00A6532E"/>
    <w:rsid w:val="00A65786"/>
    <w:rsid w:val="00A704E5"/>
    <w:rsid w:val="00A76C0A"/>
    <w:rsid w:val="00A87395"/>
    <w:rsid w:val="00A917AF"/>
    <w:rsid w:val="00AA3E1C"/>
    <w:rsid w:val="00AA4BE4"/>
    <w:rsid w:val="00AC20F9"/>
    <w:rsid w:val="00AC2235"/>
    <w:rsid w:val="00AC62B2"/>
    <w:rsid w:val="00AD32A3"/>
    <w:rsid w:val="00AF6AED"/>
    <w:rsid w:val="00AF7504"/>
    <w:rsid w:val="00B01379"/>
    <w:rsid w:val="00B07928"/>
    <w:rsid w:val="00B10218"/>
    <w:rsid w:val="00B21F14"/>
    <w:rsid w:val="00B232E9"/>
    <w:rsid w:val="00B2641B"/>
    <w:rsid w:val="00B31D70"/>
    <w:rsid w:val="00B4613D"/>
    <w:rsid w:val="00B47243"/>
    <w:rsid w:val="00B52298"/>
    <w:rsid w:val="00B54E5E"/>
    <w:rsid w:val="00B61941"/>
    <w:rsid w:val="00B65C59"/>
    <w:rsid w:val="00B72734"/>
    <w:rsid w:val="00B73480"/>
    <w:rsid w:val="00B91E30"/>
    <w:rsid w:val="00B93008"/>
    <w:rsid w:val="00BB10ED"/>
    <w:rsid w:val="00BB24B4"/>
    <w:rsid w:val="00BD1C23"/>
    <w:rsid w:val="00BE4BFC"/>
    <w:rsid w:val="00C02C2B"/>
    <w:rsid w:val="00C05444"/>
    <w:rsid w:val="00C1270E"/>
    <w:rsid w:val="00C21978"/>
    <w:rsid w:val="00C32B4B"/>
    <w:rsid w:val="00C3373E"/>
    <w:rsid w:val="00C37291"/>
    <w:rsid w:val="00C41CAB"/>
    <w:rsid w:val="00C51360"/>
    <w:rsid w:val="00C64748"/>
    <w:rsid w:val="00C76A5D"/>
    <w:rsid w:val="00C77A99"/>
    <w:rsid w:val="00C95874"/>
    <w:rsid w:val="00C96AD3"/>
    <w:rsid w:val="00CA0E56"/>
    <w:rsid w:val="00CB018F"/>
    <w:rsid w:val="00CC44D3"/>
    <w:rsid w:val="00CE7745"/>
    <w:rsid w:val="00CF1208"/>
    <w:rsid w:val="00D052D6"/>
    <w:rsid w:val="00D169F6"/>
    <w:rsid w:val="00D23B0E"/>
    <w:rsid w:val="00D24C48"/>
    <w:rsid w:val="00D32E3B"/>
    <w:rsid w:val="00D52C05"/>
    <w:rsid w:val="00D7234C"/>
    <w:rsid w:val="00D80D82"/>
    <w:rsid w:val="00D86E70"/>
    <w:rsid w:val="00D8781A"/>
    <w:rsid w:val="00D947A5"/>
    <w:rsid w:val="00D95F93"/>
    <w:rsid w:val="00D96AA6"/>
    <w:rsid w:val="00DA4DF2"/>
    <w:rsid w:val="00DB30BA"/>
    <w:rsid w:val="00DB3160"/>
    <w:rsid w:val="00DB475F"/>
    <w:rsid w:val="00DB5F3F"/>
    <w:rsid w:val="00DC6380"/>
    <w:rsid w:val="00DC6BAF"/>
    <w:rsid w:val="00DD60F6"/>
    <w:rsid w:val="00DF12C5"/>
    <w:rsid w:val="00DF2CE1"/>
    <w:rsid w:val="00DF53C3"/>
    <w:rsid w:val="00E01393"/>
    <w:rsid w:val="00E05857"/>
    <w:rsid w:val="00E16634"/>
    <w:rsid w:val="00E223F6"/>
    <w:rsid w:val="00E22B04"/>
    <w:rsid w:val="00E24AE4"/>
    <w:rsid w:val="00E30404"/>
    <w:rsid w:val="00E32858"/>
    <w:rsid w:val="00E44DD5"/>
    <w:rsid w:val="00E521AB"/>
    <w:rsid w:val="00E53819"/>
    <w:rsid w:val="00E55E96"/>
    <w:rsid w:val="00E652EA"/>
    <w:rsid w:val="00E67DE9"/>
    <w:rsid w:val="00E762E9"/>
    <w:rsid w:val="00E8589E"/>
    <w:rsid w:val="00E90688"/>
    <w:rsid w:val="00EA2144"/>
    <w:rsid w:val="00EA6CD0"/>
    <w:rsid w:val="00EB38B0"/>
    <w:rsid w:val="00EB4EB5"/>
    <w:rsid w:val="00EC08CE"/>
    <w:rsid w:val="00EC1F0E"/>
    <w:rsid w:val="00EC2AEA"/>
    <w:rsid w:val="00EC418C"/>
    <w:rsid w:val="00EF16F5"/>
    <w:rsid w:val="00EF5512"/>
    <w:rsid w:val="00EF6B62"/>
    <w:rsid w:val="00F17C81"/>
    <w:rsid w:val="00F259FB"/>
    <w:rsid w:val="00F31126"/>
    <w:rsid w:val="00F44C04"/>
    <w:rsid w:val="00F4546D"/>
    <w:rsid w:val="00F476E5"/>
    <w:rsid w:val="00F520F0"/>
    <w:rsid w:val="00F65ED7"/>
    <w:rsid w:val="00F7235A"/>
    <w:rsid w:val="00F834B3"/>
    <w:rsid w:val="00F92AF7"/>
    <w:rsid w:val="00F93702"/>
    <w:rsid w:val="00F9465B"/>
    <w:rsid w:val="00FC0BD9"/>
    <w:rsid w:val="00FC4FD8"/>
    <w:rsid w:val="00FC68B2"/>
    <w:rsid w:val="00FC7557"/>
    <w:rsid w:val="00FC7EFA"/>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E4CB"/>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11848</Words>
  <Characters>6754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18565</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29</cp:revision>
  <cp:lastPrinted>2015-01-13T12:23:00Z</cp:lastPrinted>
  <dcterms:created xsi:type="dcterms:W3CDTF">2016-05-09T12:06:00Z</dcterms:created>
  <dcterms:modified xsi:type="dcterms:W3CDTF">2016-12-19T08:58:00Z</dcterms:modified>
</cp:coreProperties>
</file>