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44A3619F" w14:textId="77777777" w:rsidR="004A505F" w:rsidRDefault="004A505F" w:rsidP="005C42B1">
      <w:pPr>
        <w:spacing w:after="0" w:line="240" w:lineRule="auto"/>
        <w:jc w:val="center"/>
        <w:outlineLvl w:val="3"/>
        <w:rPr>
          <w:rFonts w:ascii="Times New Roman" w:eastAsia="Times New Roman" w:hAnsi="Times New Roman"/>
          <w:b/>
          <w:bCs/>
          <w:sz w:val="24"/>
          <w:szCs w:val="24"/>
          <w:lang w:eastAsia="lv-LV"/>
        </w:rPr>
      </w:pPr>
    </w:p>
    <w:p w14:paraId="457E4C2E" w14:textId="77777777" w:rsidR="001707C6" w:rsidRPr="001707C6" w:rsidRDefault="00C05444" w:rsidP="001707C6">
      <w:pPr>
        <w:spacing w:after="0" w:line="240" w:lineRule="auto"/>
        <w:jc w:val="center"/>
        <w:rPr>
          <w:rFonts w:ascii="Times New Roman" w:hAnsi="Times New Roman"/>
          <w:b/>
          <w:sz w:val="24"/>
          <w:szCs w:val="24"/>
        </w:rPr>
      </w:pPr>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Pr="001707C6" w:rsidRDefault="00C05444" w:rsidP="001707C6">
      <w:pPr>
        <w:spacing w:after="0" w:line="240" w:lineRule="auto"/>
        <w:jc w:val="center"/>
        <w:outlineLvl w:val="3"/>
        <w:rPr>
          <w:rFonts w:ascii="Times New Roman" w:eastAsia="Times New Roman" w:hAnsi="Times New Roman"/>
          <w:b/>
          <w:bCs/>
          <w:sz w:val="24"/>
          <w:szCs w:val="24"/>
          <w:lang w:eastAsia="lv-LV"/>
        </w:rPr>
      </w:pPr>
      <w:r w:rsidRPr="001707C6">
        <w:rPr>
          <w:rFonts w:ascii="Times New Roman" w:hAnsi="Times New Roman"/>
          <w:b/>
          <w:sz w:val="24"/>
          <w:szCs w:val="24"/>
        </w:rPr>
        <w:t>sākotnējās ietekmes novērtējuma ziņojums (anotācija)</w:t>
      </w:r>
      <w:bookmarkEnd w:id="2"/>
      <w:bookmarkEnd w:id="3"/>
    </w:p>
    <w:p w14:paraId="527F531C" w14:textId="77777777" w:rsidR="005C42B1" w:rsidRPr="007A287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967"/>
        <w:gridCol w:w="6219"/>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30CD9977" w:rsidR="00392D00" w:rsidRPr="001707C6" w:rsidRDefault="007147BE" w:rsidP="00006357">
            <w:pPr>
              <w:spacing w:after="0" w:line="240" w:lineRule="auto"/>
              <w:jc w:val="both"/>
              <w:rPr>
                <w:rFonts w:ascii="Times New Roman" w:hAnsi="Times New Roman"/>
                <w:sz w:val="24"/>
                <w:szCs w:val="24"/>
              </w:rPr>
            </w:pPr>
            <w:r w:rsidRPr="001707C6">
              <w:rPr>
                <w:rFonts w:ascii="Times New Roman" w:eastAsia="Times New Roman" w:hAnsi="Times New Roman"/>
                <w:bCs/>
                <w:sz w:val="24"/>
                <w:szCs w:val="24"/>
                <w:lang w:eastAsia="lv-LV"/>
              </w:rPr>
              <w:t>Izglītības un zinātnes ministrija</w:t>
            </w:r>
            <w:r w:rsidR="00FC68B2" w:rsidRPr="001707C6">
              <w:rPr>
                <w:rFonts w:ascii="Times New Roman" w:eastAsia="Times New Roman" w:hAnsi="Times New Roman"/>
                <w:bCs/>
                <w:sz w:val="24"/>
                <w:szCs w:val="24"/>
                <w:lang w:eastAsia="lv-LV"/>
              </w:rPr>
              <w:t xml:space="preserve"> (turpmāk – ministrija)</w:t>
            </w:r>
            <w:r w:rsidRPr="001707C6">
              <w:rPr>
                <w:rFonts w:ascii="Times New Roman" w:eastAsia="Times New Roman" w:hAnsi="Times New Roman"/>
                <w:bCs/>
                <w:sz w:val="24"/>
                <w:szCs w:val="24"/>
                <w:lang w:eastAsia="lv-LV"/>
              </w:rPr>
              <w:t xml:space="preserve"> sagatavojusi </w:t>
            </w:r>
            <w:r w:rsidR="002D0EB1" w:rsidRPr="001707C6">
              <w:rPr>
                <w:rFonts w:ascii="Times New Roman" w:eastAsia="Times New Roman" w:hAnsi="Times New Roman"/>
                <w:bCs/>
                <w:sz w:val="24"/>
                <w:szCs w:val="24"/>
                <w:lang w:eastAsia="lv-LV"/>
              </w:rPr>
              <w:t>Mini</w:t>
            </w:r>
            <w:r w:rsidRPr="001707C6">
              <w:rPr>
                <w:rFonts w:ascii="Times New Roman" w:eastAsia="Times New Roman" w:hAnsi="Times New Roman"/>
                <w:bCs/>
                <w:sz w:val="24"/>
                <w:szCs w:val="24"/>
                <w:lang w:eastAsia="lv-LV"/>
              </w:rPr>
              <w:t>stru kabineta noteikumu projektu</w:t>
            </w:r>
            <w:r w:rsidR="001B53A6" w:rsidRPr="001707C6">
              <w:rPr>
                <w:rFonts w:ascii="Times New Roman" w:eastAsia="Times New Roman" w:hAnsi="Times New Roman"/>
                <w:bCs/>
                <w:sz w:val="24"/>
                <w:szCs w:val="24"/>
                <w:lang w:eastAsia="lv-LV"/>
              </w:rPr>
              <w:t xml:space="preserve"> “</w:t>
            </w:r>
            <w:r w:rsidR="001707C6" w:rsidRPr="001707C6">
              <w:rPr>
                <w:rFonts w:ascii="Times New Roman" w:hAnsi="Times New Roman"/>
                <w:bCs/>
                <w:sz w:val="24"/>
                <w:szCs w:val="24"/>
              </w:rPr>
              <w:t xml:space="preserve">Grozījumi </w:t>
            </w:r>
            <w:r w:rsidR="001707C6" w:rsidRPr="001707C6">
              <w:rPr>
                <w:rFonts w:ascii="Times New Roman" w:hAnsi="Times New Roman"/>
                <w:sz w:val="24"/>
                <w:szCs w:val="24"/>
              </w:rPr>
              <w:t xml:space="preserve">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w:t>
            </w:r>
            <w:r w:rsidR="002D0EB1" w:rsidRPr="001707C6">
              <w:rPr>
                <w:rFonts w:ascii="Times New Roman" w:hAnsi="Times New Roman"/>
                <w:sz w:val="24"/>
                <w:szCs w:val="24"/>
              </w:rPr>
              <w:t>(turpmāk –</w:t>
            </w:r>
            <w:r w:rsidR="00A54BE6" w:rsidRPr="001707C6">
              <w:rPr>
                <w:rFonts w:ascii="Times New Roman" w:hAnsi="Times New Roman"/>
                <w:sz w:val="24"/>
                <w:szCs w:val="24"/>
              </w:rPr>
              <w:t xml:space="preserve"> </w:t>
            </w:r>
            <w:r w:rsidR="002D0EB1" w:rsidRPr="001707C6">
              <w:rPr>
                <w:rFonts w:ascii="Times New Roman" w:hAnsi="Times New Roman"/>
                <w:sz w:val="24"/>
                <w:szCs w:val="24"/>
              </w:rPr>
              <w:t>pr</w:t>
            </w:r>
            <w:r w:rsidR="001B53A6" w:rsidRPr="001707C6">
              <w:rPr>
                <w:rFonts w:ascii="Times New Roman" w:hAnsi="Times New Roman"/>
                <w:sz w:val="24"/>
                <w:szCs w:val="24"/>
              </w:rPr>
              <w:t xml:space="preserve">ojekts) saskaņā </w:t>
            </w:r>
            <w:r w:rsidR="001707C6" w:rsidRPr="001707C6">
              <w:rPr>
                <w:rFonts w:ascii="Times New Roman" w:hAnsi="Times New Roman"/>
                <w:sz w:val="24"/>
                <w:szCs w:val="24"/>
              </w:rPr>
              <w:t>ar grozījumiem Jaunatnes likumā, kas stājās spēkā 2017.gada 1.janvārī,</w:t>
            </w:r>
            <w:r w:rsidR="001707C6" w:rsidRPr="001707C6">
              <w:rPr>
                <w:rFonts w:ascii="Times New Roman" w:hAnsi="Times New Roman"/>
                <w:color w:val="000000"/>
                <w:sz w:val="24"/>
                <w:szCs w:val="24"/>
              </w:rPr>
              <w:t xml:space="preserve"> kā arī pēc Izglītības un zinātnes ministrijas </w:t>
            </w:r>
            <w:r w:rsidR="00907E28">
              <w:rPr>
                <w:rFonts w:ascii="Times New Roman" w:hAnsi="Times New Roman"/>
                <w:color w:val="000000"/>
                <w:sz w:val="24"/>
                <w:szCs w:val="24"/>
              </w:rPr>
              <w:t xml:space="preserve">(turpmāk – ministrija) </w:t>
            </w:r>
            <w:r w:rsidR="001707C6" w:rsidRPr="001707C6">
              <w:rPr>
                <w:rFonts w:ascii="Times New Roman" w:hAnsi="Times New Roman"/>
                <w:color w:val="000000"/>
                <w:sz w:val="24"/>
                <w:szCs w:val="24"/>
              </w:rPr>
              <w:t>iniciatīvas</w:t>
            </w:r>
            <w:r w:rsidR="006F6BE5">
              <w:rPr>
                <w:rFonts w:ascii="Times New Roman" w:hAnsi="Times New Roman"/>
                <w:color w:val="000000"/>
                <w:sz w:val="24"/>
                <w:szCs w:val="24"/>
              </w:rPr>
              <w:t xml:space="preserve"> sadarbībā ar Jaunatnes starptautisko programmu aģentūru</w:t>
            </w:r>
            <w:r w:rsidR="00006357">
              <w:rPr>
                <w:rFonts w:ascii="Times New Roman" w:hAnsi="Times New Roman"/>
                <w:color w:val="000000"/>
                <w:sz w:val="24"/>
                <w:szCs w:val="24"/>
              </w:rPr>
              <w:t>,</w:t>
            </w:r>
            <w:r w:rsidR="001707C6">
              <w:rPr>
                <w:rFonts w:ascii="Times New Roman" w:hAnsi="Times New Roman"/>
                <w:color w:val="000000"/>
                <w:sz w:val="24"/>
                <w:szCs w:val="24"/>
              </w:rPr>
              <w:t xml:space="preserve"> līdztekus precizējot spēkā esošās normas</w:t>
            </w:r>
            <w:r w:rsidR="00006357">
              <w:rPr>
                <w:rFonts w:ascii="Times New Roman" w:hAnsi="Times New Roman"/>
                <w:color w:val="000000"/>
                <w:sz w:val="24"/>
                <w:szCs w:val="24"/>
              </w:rPr>
              <w:t>, lai nodrošinātu saskaņotu atklāto projektu konkursu īstenošanu.</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2757EBA3" w14:textId="70101511" w:rsidR="00FB5ADB" w:rsidRPr="00880437" w:rsidRDefault="00FB5ADB" w:rsidP="006F6984">
            <w:pPr>
              <w:spacing w:after="0" w:line="240" w:lineRule="auto"/>
              <w:jc w:val="both"/>
              <w:rPr>
                <w:rFonts w:ascii="Times New Roman" w:hAnsi="Times New Roman"/>
                <w:sz w:val="24"/>
                <w:szCs w:val="24"/>
              </w:rPr>
            </w:pPr>
            <w:r w:rsidRPr="00880437">
              <w:rPr>
                <w:rFonts w:ascii="Times New Roman" w:hAnsi="Times New Roman"/>
                <w:sz w:val="24"/>
                <w:szCs w:val="24"/>
              </w:rPr>
              <w:t>Ministru kabineta</w:t>
            </w:r>
            <w:r w:rsidR="006F6BE5" w:rsidRPr="00880437">
              <w:rPr>
                <w:rFonts w:ascii="Times New Roman" w:hAnsi="Times New Roman"/>
                <w:sz w:val="24"/>
                <w:szCs w:val="24"/>
              </w:rPr>
              <w:t xml:space="preserve"> 2013.gada 5.novembra noteikumu</w:t>
            </w:r>
            <w:r w:rsidRPr="00880437">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880437">
              <w:rPr>
                <w:rFonts w:ascii="Times New Roman" w:hAnsi="Times New Roman"/>
                <w:bCs/>
                <w:sz w:val="24"/>
                <w:szCs w:val="24"/>
              </w:rPr>
              <w:t xml:space="preserve">(turpmāk –noteikumi) </w:t>
            </w:r>
            <w:r w:rsidR="00907E28" w:rsidRPr="00880437">
              <w:rPr>
                <w:rFonts w:ascii="Times New Roman" w:hAnsi="Times New Roman"/>
                <w:bCs/>
                <w:sz w:val="24"/>
                <w:szCs w:val="24"/>
              </w:rPr>
              <w:t>3. un 4. punkts nosaka, ka ministrija apstiprina atklāta projektu konkursa  nolikumus. Ievērojot</w:t>
            </w:r>
            <w:r w:rsidR="00907E28" w:rsidRPr="00880437">
              <w:rPr>
                <w:rFonts w:ascii="Times New Roman" w:hAnsi="Times New Roman"/>
                <w:sz w:val="24"/>
                <w:szCs w:val="24"/>
              </w:rPr>
              <w:t xml:space="preserve"> Valsts pārvaldes iekārtas likuma 75.panta ceturto daļu un ministrijas 2011.gada 9.augusta iekšējo noteikumu Nr. 39 „Izglītības un zinātnes ministrijas padotībā esošo tiešās pārvaldes iestāžu iekšējo normatīvo aktu saskaņošanas kārtība” esošo punktu redakcija precizēta, nosakot, ka ministrija saskaņo iepriekš minētos nolikumus. </w:t>
            </w:r>
          </w:p>
          <w:p w14:paraId="1C745F47" w14:textId="45546577" w:rsidR="006E5F48" w:rsidRPr="00880437" w:rsidRDefault="005A65CA" w:rsidP="006F6984">
            <w:pPr>
              <w:spacing w:after="0" w:line="240" w:lineRule="auto"/>
              <w:jc w:val="both"/>
              <w:rPr>
                <w:rFonts w:ascii="Times New Roman" w:hAnsi="Times New Roman"/>
                <w:bCs/>
                <w:sz w:val="24"/>
                <w:szCs w:val="24"/>
              </w:rPr>
            </w:pPr>
            <w:r w:rsidRPr="00880437">
              <w:rPr>
                <w:rFonts w:ascii="Times New Roman" w:hAnsi="Times New Roman"/>
                <w:bCs/>
                <w:sz w:val="24"/>
                <w:szCs w:val="24"/>
              </w:rPr>
              <w:t>Ņemot vērā, ka</w:t>
            </w:r>
            <w:r w:rsidR="006E5F48" w:rsidRPr="00880437">
              <w:rPr>
                <w:rFonts w:ascii="Times New Roman" w:hAnsi="Times New Roman"/>
                <w:bCs/>
                <w:sz w:val="24"/>
                <w:szCs w:val="24"/>
              </w:rPr>
              <w:t xml:space="preserve"> atklātos projektu konkursos nav nepieciešams noteikt minimālo vienam projektam piešķiramo finansējuma apmēru, ir precizēts noteikumu 5.7.apakšpunkts</w:t>
            </w:r>
            <w:r w:rsidRPr="00880437">
              <w:rPr>
                <w:rFonts w:ascii="Times New Roman" w:hAnsi="Times New Roman"/>
                <w:bCs/>
                <w:sz w:val="24"/>
                <w:szCs w:val="24"/>
              </w:rPr>
              <w:t>,</w:t>
            </w:r>
            <w:r w:rsidR="006E5F48" w:rsidRPr="00880437">
              <w:rPr>
                <w:rFonts w:ascii="Times New Roman" w:hAnsi="Times New Roman"/>
                <w:bCs/>
                <w:sz w:val="24"/>
                <w:szCs w:val="24"/>
              </w:rPr>
              <w:t xml:space="preserve"> atstājot spēkā normu, ka  tiek noteikts tikai projektam pieejamais maksimālais finansējuma apmērs, kurš var tikt izmantots  5.9.</w:t>
            </w:r>
            <w:r w:rsidR="007E2BAF" w:rsidRPr="00880437">
              <w:rPr>
                <w:rFonts w:ascii="Times New Roman" w:hAnsi="Times New Roman"/>
                <w:bCs/>
                <w:sz w:val="24"/>
                <w:szCs w:val="24"/>
              </w:rPr>
              <w:t xml:space="preserve"> un 36.5.</w:t>
            </w:r>
            <w:r w:rsidR="006E5F48" w:rsidRPr="00880437">
              <w:rPr>
                <w:rFonts w:ascii="Times New Roman" w:hAnsi="Times New Roman"/>
                <w:bCs/>
                <w:sz w:val="24"/>
                <w:szCs w:val="24"/>
              </w:rPr>
              <w:t>apakšpunktā noteiktajā attiecināmo izmaksu periodā, kas tiek definētās katrā atklātā projektu konkursa nolikumā.</w:t>
            </w:r>
          </w:p>
          <w:p w14:paraId="67B3676D" w14:textId="2F75C753" w:rsidR="00660618" w:rsidRPr="00880437" w:rsidRDefault="007A5EB6" w:rsidP="006F6984">
            <w:pPr>
              <w:spacing w:after="0" w:line="240" w:lineRule="auto"/>
              <w:jc w:val="both"/>
              <w:rPr>
                <w:rFonts w:ascii="Times New Roman" w:hAnsi="Times New Roman"/>
                <w:bCs/>
                <w:sz w:val="24"/>
                <w:szCs w:val="24"/>
              </w:rPr>
            </w:pPr>
            <w:r w:rsidRPr="00880437">
              <w:rPr>
                <w:rFonts w:ascii="Times New Roman" w:hAnsi="Times New Roman"/>
                <w:bCs/>
                <w:sz w:val="24"/>
                <w:szCs w:val="24"/>
              </w:rPr>
              <w:t>N</w:t>
            </w:r>
            <w:r w:rsidR="009F1202" w:rsidRPr="00880437">
              <w:rPr>
                <w:rFonts w:ascii="Times New Roman" w:hAnsi="Times New Roman"/>
                <w:bCs/>
                <w:sz w:val="24"/>
                <w:szCs w:val="24"/>
              </w:rPr>
              <w:t>oteikumu projekta 1.5</w:t>
            </w:r>
            <w:r w:rsidR="00151233" w:rsidRPr="00880437">
              <w:rPr>
                <w:rFonts w:ascii="Times New Roman" w:hAnsi="Times New Roman"/>
                <w:bCs/>
                <w:sz w:val="24"/>
                <w:szCs w:val="24"/>
              </w:rPr>
              <w:t>. un 1.11.apakšpunkts</w:t>
            </w:r>
            <w:r w:rsidR="00564ADA" w:rsidRPr="00880437">
              <w:rPr>
                <w:rFonts w:ascii="Times New Roman" w:hAnsi="Times New Roman"/>
                <w:bCs/>
                <w:sz w:val="24"/>
                <w:szCs w:val="24"/>
              </w:rPr>
              <w:t xml:space="preserve"> </w:t>
            </w:r>
            <w:r w:rsidR="00151233" w:rsidRPr="00880437">
              <w:rPr>
                <w:rFonts w:ascii="Times New Roman" w:hAnsi="Times New Roman"/>
                <w:bCs/>
                <w:sz w:val="24"/>
                <w:szCs w:val="24"/>
              </w:rPr>
              <w:t>nosaka, ka</w:t>
            </w:r>
            <w:r w:rsidR="009C7A5B" w:rsidRPr="00880437">
              <w:rPr>
                <w:rFonts w:ascii="Times New Roman" w:hAnsi="Times New Roman"/>
                <w:bCs/>
                <w:sz w:val="24"/>
                <w:szCs w:val="24"/>
              </w:rPr>
              <w:t xml:space="preserve"> projekta iesniedzējs </w:t>
            </w:r>
            <w:r w:rsidR="00151233" w:rsidRPr="00880437">
              <w:rPr>
                <w:rFonts w:ascii="Times New Roman" w:hAnsi="Times New Roman"/>
                <w:bCs/>
                <w:sz w:val="24"/>
                <w:szCs w:val="24"/>
              </w:rPr>
              <w:t>var precizēt projekta iesniegumu, ja projekta iesniegumā norādītais projekta īstenošanas</w:t>
            </w:r>
            <w:r w:rsidR="00BF177C" w:rsidRPr="00880437">
              <w:rPr>
                <w:rFonts w:ascii="Times New Roman" w:hAnsi="Times New Roman"/>
                <w:bCs/>
                <w:sz w:val="24"/>
                <w:szCs w:val="24"/>
              </w:rPr>
              <w:t xml:space="preserve"> termiņš</w:t>
            </w:r>
            <w:r w:rsidR="00151233" w:rsidRPr="00880437">
              <w:rPr>
                <w:rFonts w:ascii="Times New Roman" w:hAnsi="Times New Roman"/>
                <w:bCs/>
                <w:sz w:val="24"/>
                <w:szCs w:val="24"/>
              </w:rPr>
              <w:t xml:space="preserve"> neatbilst nolikumā norādītajam.</w:t>
            </w:r>
            <w:r w:rsidRPr="00880437">
              <w:rPr>
                <w:rFonts w:ascii="Times New Roman" w:hAnsi="Times New Roman"/>
                <w:bCs/>
                <w:sz w:val="24"/>
                <w:szCs w:val="24"/>
              </w:rPr>
              <w:t xml:space="preserve"> </w:t>
            </w:r>
          </w:p>
          <w:p w14:paraId="1FF29092" w14:textId="1AE12D87" w:rsidR="007A5EB6" w:rsidRPr="00880437" w:rsidRDefault="007A5EB6" w:rsidP="006F6984">
            <w:pPr>
              <w:spacing w:after="0" w:line="240" w:lineRule="auto"/>
              <w:jc w:val="both"/>
              <w:rPr>
                <w:rFonts w:ascii="Times New Roman" w:hAnsi="Times New Roman"/>
                <w:b/>
                <w:sz w:val="24"/>
                <w:szCs w:val="24"/>
              </w:rPr>
            </w:pPr>
            <w:r w:rsidRPr="00880437">
              <w:rPr>
                <w:rFonts w:ascii="Times New Roman" w:hAnsi="Times New Roman"/>
                <w:sz w:val="24"/>
                <w:szCs w:val="24"/>
              </w:rPr>
              <w:t xml:space="preserve">Savukārt noteikumu projekta  1.8. un 1.9. apakšpunkti izstrādāti ņemot vērā, ka atklātajos projektu konkursos izvērtētie projektu iesniegumi bieži </w:t>
            </w:r>
            <w:r w:rsidR="00660618" w:rsidRPr="00880437">
              <w:rPr>
                <w:rFonts w:ascii="Times New Roman" w:hAnsi="Times New Roman"/>
                <w:sz w:val="24"/>
                <w:szCs w:val="24"/>
              </w:rPr>
              <w:t xml:space="preserve">vien </w:t>
            </w:r>
            <w:r w:rsidRPr="00880437">
              <w:rPr>
                <w:rFonts w:ascii="Times New Roman" w:hAnsi="Times New Roman"/>
                <w:sz w:val="24"/>
                <w:szCs w:val="24"/>
              </w:rPr>
              <w:t>i</w:t>
            </w:r>
            <w:r w:rsidR="00660618" w:rsidRPr="00880437">
              <w:rPr>
                <w:rFonts w:ascii="Times New Roman" w:hAnsi="Times New Roman"/>
                <w:sz w:val="24"/>
                <w:szCs w:val="24"/>
              </w:rPr>
              <w:t>egūst vienādu punktu skaitu. Tāpēc</w:t>
            </w:r>
            <w:r w:rsidRPr="00880437">
              <w:rPr>
                <w:rFonts w:ascii="Times New Roman" w:hAnsi="Times New Roman"/>
                <w:sz w:val="24"/>
                <w:szCs w:val="24"/>
              </w:rPr>
              <w:t xml:space="preserve"> ir nepieciešams noteikt, ka prioritāri būtu atbalstāmi tie projekti, kas sniedz lielāku ieguldījumu </w:t>
            </w:r>
            <w:r w:rsidR="00660618" w:rsidRPr="00880437">
              <w:rPr>
                <w:rFonts w:ascii="Times New Roman" w:hAnsi="Times New Roman"/>
                <w:sz w:val="24"/>
                <w:szCs w:val="24"/>
              </w:rPr>
              <w:t xml:space="preserve">atklāta </w:t>
            </w:r>
            <w:r w:rsidRPr="00880437">
              <w:rPr>
                <w:rFonts w:ascii="Times New Roman" w:hAnsi="Times New Roman"/>
                <w:sz w:val="24"/>
                <w:szCs w:val="24"/>
              </w:rPr>
              <w:t xml:space="preserve">projektu konkursa mērķa sasniegšanā.  Savukārt, ja projekti ir </w:t>
            </w:r>
            <w:r w:rsidRPr="00880437">
              <w:rPr>
                <w:rFonts w:ascii="Times New Roman" w:hAnsi="Times New Roman"/>
                <w:sz w:val="24"/>
                <w:szCs w:val="24"/>
              </w:rPr>
              <w:lastRenderedPageBreak/>
              <w:t xml:space="preserve">ieguvuši vienādu punktu skaitu šajā kritērijā, nākamais būtiskākais kritērijs ir  projekta aktivitāšu kvalitāte. Šāda rīcība nodrošina efektīvāku valsts plānošanas dokumentos noteikto ilgtermiņa mērķu un rezultatīvo rādītāju sasniegšanu. </w:t>
            </w:r>
          </w:p>
          <w:p w14:paraId="195327FC" w14:textId="529C0568" w:rsidR="00564ADA" w:rsidRPr="00880437" w:rsidRDefault="009C7A5B" w:rsidP="006F6984">
            <w:pPr>
              <w:spacing w:after="0" w:line="240" w:lineRule="auto"/>
              <w:jc w:val="both"/>
              <w:rPr>
                <w:rFonts w:ascii="Times New Roman" w:hAnsi="Times New Roman"/>
                <w:b/>
                <w:color w:val="414142"/>
                <w:sz w:val="24"/>
                <w:szCs w:val="24"/>
              </w:rPr>
            </w:pPr>
            <w:r w:rsidRPr="00880437">
              <w:rPr>
                <w:rFonts w:ascii="Times New Roman" w:hAnsi="Times New Roman"/>
                <w:sz w:val="24"/>
                <w:szCs w:val="24"/>
              </w:rPr>
              <w:t xml:space="preserve">Noteikumu </w:t>
            </w:r>
            <w:r w:rsidR="009F1202" w:rsidRPr="00880437">
              <w:rPr>
                <w:rFonts w:ascii="Times New Roman" w:hAnsi="Times New Roman"/>
                <w:sz w:val="24"/>
                <w:szCs w:val="24"/>
              </w:rPr>
              <w:t xml:space="preserve">29.punkts </w:t>
            </w:r>
            <w:r w:rsidRPr="00880437">
              <w:rPr>
                <w:rFonts w:ascii="Times New Roman" w:hAnsi="Times New Roman"/>
                <w:sz w:val="24"/>
                <w:szCs w:val="24"/>
              </w:rPr>
              <w:t xml:space="preserve"> </w:t>
            </w:r>
            <w:r w:rsidR="009F1202" w:rsidRPr="00880437">
              <w:rPr>
                <w:rFonts w:ascii="Times New Roman" w:hAnsi="Times New Roman"/>
                <w:sz w:val="24"/>
                <w:szCs w:val="24"/>
              </w:rPr>
              <w:t>papildināt</w:t>
            </w:r>
            <w:r w:rsidRPr="00880437">
              <w:rPr>
                <w:rFonts w:ascii="Times New Roman" w:hAnsi="Times New Roman"/>
                <w:sz w:val="24"/>
                <w:szCs w:val="24"/>
              </w:rPr>
              <w:t>s, lai</w:t>
            </w:r>
            <w:r w:rsidRPr="00880437">
              <w:rPr>
                <w:rFonts w:ascii="Times New Roman" w:hAnsi="Times New Roman"/>
                <w:b/>
                <w:sz w:val="24"/>
                <w:szCs w:val="24"/>
              </w:rPr>
              <w:t xml:space="preserve"> </w:t>
            </w:r>
            <w:r w:rsidRPr="00880437">
              <w:rPr>
                <w:rFonts w:ascii="Times New Roman" w:hAnsi="Times New Roman"/>
                <w:sz w:val="24"/>
                <w:szCs w:val="24"/>
              </w:rPr>
              <w:t xml:space="preserve"> gadījumā, ja kāds projekta iesniedzējs atsakās slēgt līgumu, savukārt projekta iesniedzēja, kurš saņēmis nākamo lielāko punktu skaitu, pieprasītais finansējums pārsniedz aģentūrai pieejamo finansējuma atlikumu, aģentūra finansējumu varētu piešķirt projektam, kura pieprasītais finansējums ir vienāds vai zemāks par aģentūrai pieejamo atlikumu. Tas nodrošinās efektīvāku valsts programmas mērķu sasniegšanu un finansējuma izlietošanu.</w:t>
            </w:r>
          </w:p>
          <w:p w14:paraId="7DE7DD4F" w14:textId="19C0E378" w:rsidR="006E5F48" w:rsidRPr="00880437" w:rsidRDefault="0040749D" w:rsidP="006F6984">
            <w:pPr>
              <w:spacing w:after="0" w:line="240" w:lineRule="auto"/>
              <w:jc w:val="both"/>
              <w:rPr>
                <w:rFonts w:ascii="Times New Roman" w:hAnsi="Times New Roman"/>
                <w:bCs/>
                <w:sz w:val="24"/>
                <w:szCs w:val="24"/>
              </w:rPr>
            </w:pPr>
            <w:r w:rsidRPr="00880437">
              <w:rPr>
                <w:rFonts w:ascii="Times New Roman" w:hAnsi="Times New Roman"/>
                <w:bCs/>
                <w:sz w:val="24"/>
                <w:szCs w:val="24"/>
              </w:rPr>
              <w:t>Noteikumu esošajā redakcijā nav uzskaitīti visi atklātā projekta konkursa ietvaros p</w:t>
            </w:r>
            <w:r w:rsidR="00D3237E" w:rsidRPr="00880437">
              <w:rPr>
                <w:rFonts w:ascii="Times New Roman" w:hAnsi="Times New Roman"/>
                <w:bCs/>
                <w:sz w:val="24"/>
                <w:szCs w:val="24"/>
              </w:rPr>
              <w:t xml:space="preserve">ieņemto lēmumu veidi, tādējādi </w:t>
            </w:r>
            <w:r w:rsidRPr="00880437">
              <w:rPr>
                <w:rFonts w:ascii="Times New Roman" w:hAnsi="Times New Roman"/>
                <w:bCs/>
                <w:sz w:val="24"/>
                <w:szCs w:val="24"/>
              </w:rPr>
              <w:t>ir precizēti noteikumu 18., 23.un 24.punkti uzskaitot visus lēmumu veidus, kas var tikt pieņemti pēc atklātā projektu</w:t>
            </w:r>
            <w:r w:rsidR="00D3237E" w:rsidRPr="00880437">
              <w:rPr>
                <w:rFonts w:ascii="Times New Roman" w:hAnsi="Times New Roman"/>
                <w:bCs/>
                <w:sz w:val="24"/>
                <w:szCs w:val="24"/>
              </w:rPr>
              <w:t xml:space="preserve"> konkursu projektu izvērtēšanas, iekļaujot lēmumu par finansējuma piešķiršanu ar nosacījumu </w:t>
            </w:r>
            <w:r w:rsidR="00CE115A" w:rsidRPr="00880437">
              <w:rPr>
                <w:rFonts w:ascii="Times New Roman" w:hAnsi="Times New Roman"/>
                <w:bCs/>
                <w:sz w:val="24"/>
                <w:szCs w:val="24"/>
              </w:rPr>
              <w:t>saskaņā ar</w:t>
            </w:r>
            <w:r w:rsidR="00D3237E" w:rsidRPr="00880437">
              <w:rPr>
                <w:rFonts w:ascii="Times New Roman" w:hAnsi="Times New Roman"/>
                <w:bCs/>
                <w:sz w:val="24"/>
                <w:szCs w:val="24"/>
              </w:rPr>
              <w:t xml:space="preserve"> noteikumu 22.punkt</w:t>
            </w:r>
            <w:r w:rsidR="00CE115A" w:rsidRPr="00880437">
              <w:rPr>
                <w:rFonts w:ascii="Times New Roman" w:hAnsi="Times New Roman"/>
                <w:bCs/>
                <w:sz w:val="24"/>
                <w:szCs w:val="24"/>
              </w:rPr>
              <w:t>u</w:t>
            </w:r>
            <w:r w:rsidR="00D3237E" w:rsidRPr="00880437">
              <w:rPr>
                <w:rFonts w:ascii="Times New Roman" w:hAnsi="Times New Roman"/>
                <w:bCs/>
                <w:sz w:val="24"/>
                <w:szCs w:val="24"/>
              </w:rPr>
              <w:t>.</w:t>
            </w:r>
          </w:p>
          <w:p w14:paraId="1DC748EF" w14:textId="34B2F874" w:rsidR="0040749D" w:rsidRPr="00880437" w:rsidRDefault="0040749D" w:rsidP="006F6984">
            <w:pPr>
              <w:spacing w:after="0" w:line="240" w:lineRule="auto"/>
              <w:jc w:val="both"/>
              <w:rPr>
                <w:rFonts w:ascii="Times New Roman" w:hAnsi="Times New Roman"/>
                <w:bCs/>
                <w:sz w:val="24"/>
                <w:szCs w:val="24"/>
              </w:rPr>
            </w:pPr>
            <w:r w:rsidRPr="00880437">
              <w:rPr>
                <w:rFonts w:ascii="Times New Roman" w:hAnsi="Times New Roman"/>
                <w:bCs/>
                <w:sz w:val="24"/>
                <w:szCs w:val="24"/>
              </w:rPr>
              <w:t xml:space="preserve">Atbilstoši Jaunatnes likuma grozījumiem, kas stājās spēkā 2017.gada 1.janvārī spēkā esošās normas ir papildinātas atbilstoši </w:t>
            </w:r>
            <w:r w:rsidR="0044267F" w:rsidRPr="00880437">
              <w:rPr>
                <w:rFonts w:ascii="Times New Roman" w:hAnsi="Times New Roman"/>
                <w:bCs/>
                <w:sz w:val="24"/>
                <w:szCs w:val="24"/>
              </w:rPr>
              <w:t xml:space="preserve">Jaunatnes likumā noteiktajam, 27.punktā nosakot, ka aģentūra pēc lēmuma par finansējuma piešķiršanu piedāvā projekta iesniedzējam slēgt līgumu vai vienošanos un līgumu, attiecīgi ņemot vērā atklātā projekta konkursa mērķi un īstenošanas periodu. </w:t>
            </w:r>
          </w:p>
          <w:p w14:paraId="29F409BC" w14:textId="7776BF26" w:rsidR="009C7A5B" w:rsidRPr="00880437" w:rsidRDefault="0009570C" w:rsidP="006F6984">
            <w:pPr>
              <w:spacing w:after="0" w:line="240" w:lineRule="auto"/>
              <w:jc w:val="both"/>
              <w:rPr>
                <w:rFonts w:ascii="Times New Roman" w:hAnsi="Times New Roman"/>
                <w:bCs/>
                <w:sz w:val="24"/>
                <w:szCs w:val="24"/>
              </w:rPr>
            </w:pPr>
            <w:r w:rsidRPr="00880437">
              <w:rPr>
                <w:rFonts w:ascii="Times New Roman" w:hAnsi="Times New Roman"/>
                <w:bCs/>
                <w:sz w:val="24"/>
                <w:szCs w:val="24"/>
              </w:rPr>
              <w:t>Lai atvieglotu administratīvo slogu gan projektu īstenotājiem, gan atklāto projektu konkursu administrējošai iestādei un ņ</w:t>
            </w:r>
            <w:r w:rsidR="009C7A5B" w:rsidRPr="00880437">
              <w:rPr>
                <w:rFonts w:ascii="Times New Roman" w:hAnsi="Times New Roman"/>
                <w:bCs/>
                <w:sz w:val="24"/>
                <w:szCs w:val="24"/>
              </w:rPr>
              <w:t>emot vērā</w:t>
            </w:r>
            <w:r w:rsidR="009C7A5B" w:rsidRPr="00880437">
              <w:rPr>
                <w:rFonts w:ascii="Times New Roman" w:hAnsi="Times New Roman"/>
                <w:sz w:val="24"/>
                <w:szCs w:val="24"/>
              </w:rPr>
              <w:t xml:space="preserve"> ikgadējās Jaunatnes politikas valsts programmas ietvaros īstenoto projektu </w:t>
            </w:r>
            <w:r w:rsidRPr="00880437">
              <w:rPr>
                <w:rFonts w:ascii="Times New Roman" w:hAnsi="Times New Roman"/>
                <w:sz w:val="24"/>
                <w:szCs w:val="24"/>
              </w:rPr>
              <w:t xml:space="preserve">uzraudzības </w:t>
            </w:r>
            <w:r w:rsidR="009C7A5B" w:rsidRPr="00880437">
              <w:rPr>
                <w:rFonts w:ascii="Times New Roman" w:hAnsi="Times New Roman"/>
                <w:sz w:val="24"/>
                <w:szCs w:val="24"/>
              </w:rPr>
              <w:t xml:space="preserve">praksi, projektu īstenotājiem līgumos nav </w:t>
            </w:r>
            <w:r w:rsidRPr="00880437">
              <w:rPr>
                <w:rFonts w:ascii="Times New Roman" w:hAnsi="Times New Roman"/>
                <w:sz w:val="24"/>
                <w:szCs w:val="24"/>
              </w:rPr>
              <w:t>nepieciešams</w:t>
            </w:r>
            <w:r w:rsidR="009C7A5B" w:rsidRPr="00880437">
              <w:rPr>
                <w:rFonts w:ascii="Times New Roman" w:hAnsi="Times New Roman"/>
                <w:sz w:val="24"/>
                <w:szCs w:val="24"/>
              </w:rPr>
              <w:t xml:space="preserve"> </w:t>
            </w:r>
            <w:r w:rsidRPr="00880437">
              <w:rPr>
                <w:rFonts w:ascii="Times New Roman" w:hAnsi="Times New Roman"/>
                <w:sz w:val="24"/>
                <w:szCs w:val="24"/>
              </w:rPr>
              <w:t xml:space="preserve">iesniegt vēl viena veida atskaiti – ziņojumu, </w:t>
            </w:r>
            <w:r w:rsidR="009F1202" w:rsidRPr="00880437">
              <w:rPr>
                <w:rFonts w:ascii="Times New Roman" w:hAnsi="Times New Roman"/>
                <w:sz w:val="24"/>
                <w:szCs w:val="24"/>
              </w:rPr>
              <w:t>tādējādi noteikumu projekta 1.18</w:t>
            </w:r>
            <w:r w:rsidRPr="00880437">
              <w:rPr>
                <w:rFonts w:ascii="Times New Roman" w:hAnsi="Times New Roman"/>
                <w:sz w:val="24"/>
                <w:szCs w:val="24"/>
              </w:rPr>
              <w:t>.apakšpunkts nosaka šīs normas svītrošanu.</w:t>
            </w:r>
          </w:p>
          <w:p w14:paraId="50F25614" w14:textId="51385992" w:rsidR="0044267F" w:rsidRPr="00880437" w:rsidRDefault="0044267F" w:rsidP="006F6984">
            <w:pPr>
              <w:spacing w:after="0" w:line="240" w:lineRule="auto"/>
              <w:jc w:val="both"/>
              <w:rPr>
                <w:rFonts w:ascii="Times New Roman" w:hAnsi="Times New Roman"/>
                <w:sz w:val="24"/>
                <w:szCs w:val="24"/>
              </w:rPr>
            </w:pPr>
            <w:r w:rsidRPr="00880437">
              <w:rPr>
                <w:rFonts w:ascii="Times New Roman" w:hAnsi="Times New Roman"/>
                <w:bCs/>
                <w:sz w:val="24"/>
                <w:szCs w:val="24"/>
              </w:rPr>
              <w:t>Papildus 32.punktā ir precizēta finansējuma piešķiršanas kārtība gan palielinot avansa maksājuma apjomu, gan nosakot kārtību kādā tiek piešķirts finansējums jaunatnes organizāciju darbības atbalsta atklāta projekti konkursa ietvaros, tādējādi nodrošinot vienmērīgu jaunatnes organizācijas finanšu plūsmu projektu iesniegumos plānoto aktivitāšu īsteno</w:t>
            </w:r>
            <w:r w:rsidR="00A67412" w:rsidRPr="00880437">
              <w:rPr>
                <w:rFonts w:ascii="Times New Roman" w:hAnsi="Times New Roman"/>
                <w:bCs/>
                <w:sz w:val="24"/>
                <w:szCs w:val="24"/>
              </w:rPr>
              <w:t>šanai un j</w:t>
            </w:r>
            <w:r w:rsidRPr="00880437">
              <w:rPr>
                <w:rFonts w:ascii="Times New Roman" w:hAnsi="Times New Roman"/>
                <w:bCs/>
                <w:sz w:val="24"/>
                <w:szCs w:val="24"/>
              </w:rPr>
              <w:t xml:space="preserve">aunatnes politikas mērķu sasniegšanai. </w:t>
            </w:r>
            <w:r w:rsidR="00E4329E" w:rsidRPr="00880437">
              <w:rPr>
                <w:rFonts w:ascii="Times New Roman" w:hAnsi="Times New Roman"/>
                <w:bCs/>
                <w:sz w:val="24"/>
                <w:szCs w:val="24"/>
              </w:rPr>
              <w:t xml:space="preserve">Turklāt spēkā esošās normas ir precizētas svītrojot noteikumu 34.1.apakšpunktā noteikto procentuālo izmaksu ierobežojumu, jo atbilstoši ikgadējā Jaunatnes politikas valsts programmā un </w:t>
            </w:r>
            <w:r w:rsidR="00E4329E" w:rsidRPr="00880437">
              <w:rPr>
                <w:rFonts w:ascii="Times New Roman" w:hAnsi="Times New Roman"/>
                <w:sz w:val="24"/>
                <w:szCs w:val="24"/>
              </w:rPr>
              <w:t>2016.gada 14.aprīļa Ministru kabineta rīkojumā Nr.256 “Par Jaunatnes politikas īstenošanas plānu” noteikto mērķu sasniegšanai ir atbalstāmas aktivitātes, kas vērstas uz ilgtermiņa darba ar jaunatni plānošanas attīstību</w:t>
            </w:r>
            <w:r w:rsidR="008859A9" w:rsidRPr="00880437">
              <w:rPr>
                <w:rFonts w:ascii="Times New Roman" w:hAnsi="Times New Roman"/>
                <w:sz w:val="24"/>
                <w:szCs w:val="24"/>
              </w:rPr>
              <w:t xml:space="preserve">, ieskaitot dažāda veida sadarbības modeļu izstrādi un labās prakses pārņemšanu, kas </w:t>
            </w:r>
            <w:r w:rsidR="00A96E66" w:rsidRPr="00880437">
              <w:rPr>
                <w:rFonts w:ascii="Times New Roman" w:hAnsi="Times New Roman"/>
                <w:sz w:val="24"/>
                <w:szCs w:val="24"/>
              </w:rPr>
              <w:t xml:space="preserve">iespējams </w:t>
            </w:r>
            <w:r w:rsidR="008859A9" w:rsidRPr="00880437">
              <w:rPr>
                <w:rFonts w:ascii="Times New Roman" w:hAnsi="Times New Roman"/>
                <w:sz w:val="24"/>
                <w:szCs w:val="24"/>
              </w:rPr>
              <w:t xml:space="preserve">paredz lielākas projektā iesaistītā personāla (tai skaitā ārpakalpojumā piesaistītā personāla) izmaksas. </w:t>
            </w:r>
            <w:r w:rsidR="00E4329E" w:rsidRPr="00880437">
              <w:rPr>
                <w:rFonts w:ascii="Times New Roman" w:hAnsi="Times New Roman"/>
                <w:bCs/>
                <w:sz w:val="24"/>
                <w:szCs w:val="24"/>
              </w:rPr>
              <w:t xml:space="preserve"> </w:t>
            </w:r>
            <w:r w:rsidR="006F6984" w:rsidRPr="00880437">
              <w:rPr>
                <w:rFonts w:ascii="Times New Roman" w:hAnsi="Times New Roman"/>
                <w:sz w:val="24"/>
                <w:szCs w:val="24"/>
              </w:rPr>
              <w:t xml:space="preserve">Avansa maksājumiem tiek noteikts lielāks procentuālais  palielinājums, </w:t>
            </w:r>
            <w:r w:rsidR="006F6984" w:rsidRPr="00880437">
              <w:rPr>
                <w:rFonts w:ascii="Times New Roman" w:hAnsi="Times New Roman"/>
                <w:sz w:val="24"/>
                <w:szCs w:val="24"/>
              </w:rPr>
              <w:lastRenderedPageBreak/>
              <w:t xml:space="preserve">jo gan jaunatnes organizācijas, gan pašvaldības, kas iepriekš īstenojušas projektus ikgadējās Jaunatnes politikas valsts programmas ietvaros atkārtoti norāda, ka nevar nodrošināt 20% </w:t>
            </w:r>
            <w:proofErr w:type="spellStart"/>
            <w:r w:rsidR="006F6984" w:rsidRPr="00880437">
              <w:rPr>
                <w:rFonts w:ascii="Times New Roman" w:hAnsi="Times New Roman"/>
                <w:sz w:val="24"/>
                <w:szCs w:val="24"/>
              </w:rPr>
              <w:t>priekšfinansējumu</w:t>
            </w:r>
            <w:proofErr w:type="spellEnd"/>
            <w:r w:rsidR="006F6984" w:rsidRPr="00880437">
              <w:rPr>
                <w:rFonts w:ascii="Times New Roman" w:hAnsi="Times New Roman"/>
                <w:sz w:val="24"/>
                <w:szCs w:val="24"/>
              </w:rPr>
              <w:t xml:space="preserve"> projektu īstenošanai. Tādējādi rodas situācija, kad netiek efektīvi apgūts ikgadējās Jaunatnes politikas valsts programmas finansējums, lai nodrošinātu visu projektos paredzēto aktivitāšu īstenošanu. Izskatot projektu noslēguma atskaites konstatēts, ka projekta iesniedzēji izlietojuši tikai aptuveni 90% no projektam piešķirtā finansējuma, jo visu līdzfinansējumu nodrošināt nespēj. Tādējādi, lai nodrošinātu efektīvu finanšu plūsmu un atbalstītu projektu īstenotājus, kas nodrošina jaunatnes politikas īstenošanu un mērķu sasniegšanu, noteikumu projekts paredz lielāku avansa maksājuma apmēru, kas nodrošinās arī 2016.gada 14.aprīļa Ministru kabineta rīkojumā Nr.256 “Par Jaunatnes politikas īstenošanas plānu” noteikto politikas rezultātu – </w:t>
            </w:r>
            <w:r w:rsidR="006F6984" w:rsidRPr="00880437">
              <w:rPr>
                <w:rFonts w:ascii="Times New Roman" w:hAnsi="Times New Roman"/>
                <w:bCs/>
                <w:sz w:val="24"/>
                <w:szCs w:val="24"/>
              </w:rPr>
              <w:t xml:space="preserve">nodrošināta valsts un pašvaldību institūciju sadarbība un saskaņota darbība jaunatnes politikas īstenošanā, kā arī </w:t>
            </w:r>
            <w:r w:rsidR="006F6984" w:rsidRPr="00880437">
              <w:rPr>
                <w:rFonts w:ascii="Times New Roman" w:hAnsi="Times New Roman"/>
                <w:sz w:val="24"/>
                <w:szCs w:val="24"/>
              </w:rPr>
              <w:t>jauniešu pilnvērtīga līdzdalība lēmumu pieņemšanas procesā un sabiedriskajā dzīvē – sasniegšanu. Papildus norādām, ka arī līdzīgos atklātos projektu konkursos, piemēram, Sabiedrības integrācijas fonda administrētajā  NVO fondā avansa apmērs arī ir noteikts 90% no piešķirtā finansējuma summas.</w:t>
            </w:r>
          </w:p>
          <w:p w14:paraId="137D433C" w14:textId="64D5A374" w:rsidR="00317641" w:rsidRPr="00880437" w:rsidRDefault="00880437" w:rsidP="00E02B1F">
            <w:pPr>
              <w:spacing w:after="0" w:line="240" w:lineRule="auto"/>
              <w:jc w:val="both"/>
              <w:rPr>
                <w:rFonts w:ascii="Times New Roman" w:hAnsi="Times New Roman"/>
                <w:bCs/>
                <w:sz w:val="24"/>
                <w:szCs w:val="24"/>
              </w:rPr>
            </w:pPr>
            <w:r>
              <w:rPr>
                <w:rFonts w:ascii="Times New Roman" w:hAnsi="Times New Roman"/>
                <w:sz w:val="24"/>
                <w:szCs w:val="24"/>
              </w:rPr>
              <w:t xml:space="preserve">Savukārt </w:t>
            </w:r>
            <w:r w:rsidRPr="00880437">
              <w:rPr>
                <w:rFonts w:ascii="Times New Roman" w:hAnsi="Times New Roman"/>
                <w:sz w:val="24"/>
                <w:szCs w:val="24"/>
              </w:rPr>
              <w:t xml:space="preserve">jaunatnes organizāciju darbības atbalsta projektiem izlietotā finansējuma </w:t>
            </w:r>
            <w:proofErr w:type="spellStart"/>
            <w:r w:rsidRPr="00880437">
              <w:rPr>
                <w:rFonts w:ascii="Times New Roman" w:hAnsi="Times New Roman"/>
                <w:sz w:val="24"/>
                <w:szCs w:val="24"/>
              </w:rPr>
              <w:t>attiecināmības</w:t>
            </w:r>
            <w:proofErr w:type="spellEnd"/>
            <w:r w:rsidRPr="00880437">
              <w:rPr>
                <w:rFonts w:ascii="Times New Roman" w:hAnsi="Times New Roman"/>
                <w:sz w:val="24"/>
                <w:szCs w:val="24"/>
              </w:rPr>
              <w:t xml:space="preserve"> izvērtēšanas un neattiecināmo izmaksu atmaksas kārtība ir noteikta aģentūras 2016.gada 11.aprīļa noteikumos Nr.1-58/3 “Jaunatnes starptautisko programmu aģentūras ikgadējās Izglītības un zinātnes ministrijas Jaunatnes politikas valsts programmas projektu administrēšanas kārtība,” (turpmāk – noteikumi Nr.1-58/3) kas saskaņoti ar Izglītības un zinātnes ministriju 2016.gada 10.aprīlī. Papildus šie nosacījumi tiks iestrādāti arī vienošanās, kas tiks slēgtas ar projekta īstenotājiem, paredzot, ka projekta iesniedzējs atbilstoši ikgadējam līgumam iesniedz projekta īstenošanas pārskatu, kas sastāv no saturiskās atskaites, finanšu atskaites) un citiem ar projekta īstenošanu saistītiem dokumentiem. Projekta pārskata iesniegšanas termiņš tiks noteikts līgumā</w:t>
            </w:r>
            <w:r w:rsidR="008F718A">
              <w:rPr>
                <w:rFonts w:ascii="Times New Roman" w:hAnsi="Times New Roman"/>
                <w:sz w:val="24"/>
                <w:szCs w:val="24"/>
              </w:rPr>
              <w:t>, paredzot arī starpposma pārskata iesniegšanu</w:t>
            </w:r>
            <w:r w:rsidRPr="00880437">
              <w:rPr>
                <w:rFonts w:ascii="Times New Roman" w:hAnsi="Times New Roman"/>
                <w:sz w:val="24"/>
                <w:szCs w:val="24"/>
              </w:rPr>
              <w:t>. Līgums paredzēs nosacījumu - ja projekta pārskats nav saņemts aģentūrā 10 dienu laikā no atgādinājuma vēstules nosūtīšanas dienas, aģentūra anulē piešķirto finansējumu un izraksta rēķinu par avansa atmaksu. Tāpat noteikumi Nr.1-58/3 nosaka un līgumā tiks atrunāts</w:t>
            </w:r>
            <w:r w:rsidRPr="00880437">
              <w:rPr>
                <w:rFonts w:ascii="Times New Roman" w:hAnsi="Times New Roman"/>
                <w:color w:val="000000"/>
                <w:sz w:val="24"/>
                <w:szCs w:val="24"/>
              </w:rPr>
              <w:t xml:space="preserve"> gadījums, ja izskatot iesniegto projekta pārskatu, aģentūra pieņem lēmumu, ka projekta īstenotājs projekta finansējumu nav izlietojis atbilstoši projekta mērķiem un budžeta tāmei, vai aģentūra konstatē, ka faktiski izlietotais valsts budžeta finansējums ir mazāks nekā plānotais, tad </w:t>
            </w:r>
            <w:r w:rsidRPr="00880437">
              <w:rPr>
                <w:rFonts w:ascii="Times New Roman" w:hAnsi="Times New Roman"/>
                <w:sz w:val="24"/>
                <w:szCs w:val="24"/>
              </w:rPr>
              <w:t>aģentūra 30 darbdienu</w:t>
            </w:r>
            <w:r w:rsidRPr="00880437">
              <w:rPr>
                <w:rFonts w:ascii="Times New Roman" w:hAnsi="Times New Roman"/>
                <w:color w:val="000000"/>
                <w:sz w:val="24"/>
                <w:szCs w:val="24"/>
              </w:rPr>
              <w:t xml:space="preserve"> laikā no pārskata apstiprināšanas dienas pieprasa projekta īstenotājam saskaņā ar izrakstīto rēķinu atmaksāt aģentūras neattiecinātos vai neizlietotos </w:t>
            </w:r>
            <w:r w:rsidRPr="00880437">
              <w:rPr>
                <w:rFonts w:ascii="Times New Roman" w:hAnsi="Times New Roman"/>
                <w:color w:val="000000"/>
                <w:sz w:val="24"/>
                <w:szCs w:val="24"/>
              </w:rPr>
              <w:lastRenderedPageBreak/>
              <w:t xml:space="preserve">finanšu līdzekļus aģentūras kontā, kas norādīts līgumā. Ja </w:t>
            </w:r>
            <w:r w:rsidRPr="00880437">
              <w:rPr>
                <w:rFonts w:ascii="Times New Roman" w:hAnsi="Times New Roman"/>
                <w:sz w:val="24"/>
                <w:szCs w:val="24"/>
              </w:rPr>
              <w:t>10 kalendāro dienu laikā no atgādinājuma paziņojuma saņemšanas rēķins netiek apmaksāts, aģentūra uzsāk parāda piedziņas procesu no projekta īstenotāja</w:t>
            </w:r>
            <w:r w:rsidR="00E02B1F">
              <w:rPr>
                <w:rFonts w:ascii="Times New Roman" w:hAnsi="Times New Roman"/>
                <w:sz w:val="24"/>
                <w:szCs w:val="24"/>
              </w:rPr>
              <w:t xml:space="preserve">. </w:t>
            </w:r>
            <w:r w:rsidR="00A67412" w:rsidRPr="00880437">
              <w:rPr>
                <w:rFonts w:ascii="Times New Roman" w:hAnsi="Times New Roman"/>
                <w:bCs/>
                <w:sz w:val="24"/>
                <w:szCs w:val="24"/>
              </w:rPr>
              <w:t>Ņemot vērā, ka jaunatnes organizācijām saskaņā</w:t>
            </w:r>
            <w:r w:rsidR="00345008" w:rsidRPr="00880437">
              <w:rPr>
                <w:rFonts w:ascii="Times New Roman" w:hAnsi="Times New Roman"/>
                <w:bCs/>
                <w:sz w:val="24"/>
                <w:szCs w:val="24"/>
              </w:rPr>
              <w:t xml:space="preserve"> ar Jaunatnes likuma 12.panta četri </w:t>
            </w:r>
            <w:proofErr w:type="spellStart"/>
            <w:r w:rsidR="00A67412" w:rsidRPr="00880437">
              <w:rPr>
                <w:rFonts w:ascii="Times New Roman" w:hAnsi="Times New Roman"/>
                <w:bCs/>
                <w:sz w:val="24"/>
                <w:szCs w:val="24"/>
              </w:rPr>
              <w:t>prim</w:t>
            </w:r>
            <w:proofErr w:type="spellEnd"/>
            <w:r w:rsidR="00A67412" w:rsidRPr="00880437">
              <w:rPr>
                <w:rFonts w:ascii="Times New Roman" w:hAnsi="Times New Roman"/>
                <w:bCs/>
                <w:sz w:val="24"/>
                <w:szCs w:val="24"/>
              </w:rPr>
              <w:t xml:space="preserve"> daļā noteikto finansējums ir piešķirams arī darbības atbalsta nodrošināšanai, ir papildinātas gan attiecināmo, gan neattiecināmo izmaksu pozīcijas spēkā esošajos  noteikumos</w:t>
            </w:r>
            <w:r w:rsidR="007E2BAF" w:rsidRPr="00880437">
              <w:rPr>
                <w:rFonts w:ascii="Times New Roman" w:hAnsi="Times New Roman"/>
                <w:bCs/>
                <w:sz w:val="24"/>
                <w:szCs w:val="24"/>
              </w:rPr>
              <w:t xml:space="preserve"> – </w:t>
            </w:r>
            <w:r w:rsidR="003F156B" w:rsidRPr="00880437">
              <w:rPr>
                <w:rFonts w:ascii="Times New Roman" w:hAnsi="Times New Roman"/>
                <w:bCs/>
                <w:sz w:val="24"/>
                <w:szCs w:val="24"/>
              </w:rPr>
              <w:t xml:space="preserve">noteikumu </w:t>
            </w:r>
            <w:r w:rsidR="005E514E" w:rsidRPr="00880437">
              <w:rPr>
                <w:rFonts w:ascii="Times New Roman" w:hAnsi="Times New Roman"/>
                <w:bCs/>
                <w:sz w:val="24"/>
                <w:szCs w:val="24"/>
              </w:rPr>
              <w:t xml:space="preserve">projekta </w:t>
            </w:r>
            <w:r w:rsidR="009F1202" w:rsidRPr="00880437">
              <w:rPr>
                <w:rFonts w:ascii="Times New Roman" w:hAnsi="Times New Roman"/>
                <w:bCs/>
                <w:sz w:val="24"/>
                <w:szCs w:val="24"/>
              </w:rPr>
              <w:t>1.25</w:t>
            </w:r>
            <w:r w:rsidR="007E2BAF" w:rsidRPr="00880437">
              <w:rPr>
                <w:rFonts w:ascii="Times New Roman" w:hAnsi="Times New Roman"/>
                <w:bCs/>
                <w:sz w:val="24"/>
                <w:szCs w:val="24"/>
              </w:rPr>
              <w:t>.</w:t>
            </w:r>
            <w:r w:rsidR="009F1202" w:rsidRPr="00880437">
              <w:rPr>
                <w:rFonts w:ascii="Times New Roman" w:hAnsi="Times New Roman"/>
                <w:bCs/>
                <w:sz w:val="24"/>
                <w:szCs w:val="24"/>
              </w:rPr>
              <w:t>,</w:t>
            </w:r>
            <w:r w:rsidR="00D17A66" w:rsidRPr="00880437">
              <w:rPr>
                <w:rFonts w:ascii="Times New Roman" w:hAnsi="Times New Roman"/>
                <w:bCs/>
                <w:sz w:val="24"/>
                <w:szCs w:val="24"/>
              </w:rPr>
              <w:t xml:space="preserve"> 1.27.</w:t>
            </w:r>
            <w:r w:rsidR="009F1202" w:rsidRPr="00880437">
              <w:rPr>
                <w:rFonts w:ascii="Times New Roman" w:hAnsi="Times New Roman"/>
                <w:bCs/>
                <w:sz w:val="24"/>
                <w:szCs w:val="24"/>
              </w:rPr>
              <w:t xml:space="preserve"> un</w:t>
            </w:r>
            <w:r w:rsidR="005E514E" w:rsidRPr="00880437">
              <w:rPr>
                <w:rFonts w:ascii="Times New Roman" w:hAnsi="Times New Roman"/>
                <w:bCs/>
                <w:sz w:val="24"/>
                <w:szCs w:val="24"/>
              </w:rPr>
              <w:t xml:space="preserve"> </w:t>
            </w:r>
            <w:r w:rsidR="009F1202" w:rsidRPr="00880437">
              <w:rPr>
                <w:rFonts w:ascii="Times New Roman" w:hAnsi="Times New Roman"/>
                <w:bCs/>
                <w:sz w:val="24"/>
                <w:szCs w:val="24"/>
              </w:rPr>
              <w:t>1.28.</w:t>
            </w:r>
            <w:r w:rsidR="007E2BAF" w:rsidRPr="00880437">
              <w:rPr>
                <w:rFonts w:ascii="Times New Roman" w:hAnsi="Times New Roman"/>
                <w:bCs/>
                <w:sz w:val="24"/>
                <w:szCs w:val="24"/>
              </w:rPr>
              <w:t>apak</w:t>
            </w:r>
            <w:r w:rsidR="00553ECB" w:rsidRPr="00880437">
              <w:rPr>
                <w:rFonts w:ascii="Times New Roman" w:hAnsi="Times New Roman"/>
                <w:bCs/>
                <w:sz w:val="24"/>
                <w:szCs w:val="24"/>
              </w:rPr>
              <w:t>špunkti</w:t>
            </w:r>
            <w:r w:rsidR="00317641" w:rsidRPr="00880437">
              <w:rPr>
                <w:rFonts w:ascii="Times New Roman" w:hAnsi="Times New Roman"/>
                <w:bCs/>
                <w:sz w:val="24"/>
                <w:szCs w:val="24"/>
              </w:rPr>
              <w:t>.</w:t>
            </w:r>
          </w:p>
        </w:tc>
      </w:tr>
      <w:tr w:rsidR="00812271" w:rsidRPr="007A2871" w14:paraId="7F7EC0F0" w14:textId="77777777" w:rsidTr="00927702">
        <w:tc>
          <w:tcPr>
            <w:tcW w:w="207" w:type="pct"/>
            <w:tcBorders>
              <w:bottom w:val="single" w:sz="4" w:space="0" w:color="auto"/>
            </w:tcBorders>
          </w:tcPr>
          <w:p w14:paraId="71EC361F" w14:textId="5D3A39C6"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p>
        </w:tc>
        <w:tc>
          <w:tcPr>
            <w:tcW w:w="3245" w:type="pct"/>
            <w:tcBorders>
              <w:bottom w:val="single" w:sz="4" w:space="0" w:color="auto"/>
            </w:tcBorders>
          </w:tcPr>
          <w:p w14:paraId="2D06F8AD" w14:textId="0FD0FE17" w:rsidR="00392D00" w:rsidRPr="0009570C" w:rsidRDefault="002C674B" w:rsidP="00AF6AED">
            <w:pPr>
              <w:spacing w:after="0" w:line="240" w:lineRule="auto"/>
              <w:rPr>
                <w:rFonts w:ascii="Times New Roman" w:eastAsia="Times New Roman" w:hAnsi="Times New Roman"/>
                <w:sz w:val="24"/>
                <w:szCs w:val="24"/>
                <w:lang w:eastAsia="lv-LV"/>
              </w:rPr>
            </w:pPr>
            <w:r w:rsidRPr="0009570C">
              <w:rPr>
                <w:rFonts w:ascii="Times New Roman" w:eastAsia="Times New Roman" w:hAnsi="Times New Roman"/>
                <w:bCs/>
                <w:sz w:val="24"/>
                <w:szCs w:val="24"/>
                <w:lang w:eastAsia="lv-LV"/>
              </w:rPr>
              <w:t>M</w:t>
            </w:r>
            <w:r w:rsidR="00A92F31" w:rsidRPr="0009570C">
              <w:rPr>
                <w:rFonts w:ascii="Times New Roman" w:eastAsia="Times New Roman" w:hAnsi="Times New Roman"/>
                <w:bCs/>
                <w:sz w:val="24"/>
                <w:szCs w:val="24"/>
                <w:lang w:eastAsia="lv-LV"/>
              </w:rPr>
              <w:t>inistrija un aģentūra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7A2871" w14:paraId="74EC6D5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5B26B7">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275780A" w14:textId="4B61E308" w:rsidR="00774545" w:rsidRPr="00774545" w:rsidRDefault="00774545" w:rsidP="00774545">
            <w:pPr>
              <w:spacing w:after="0" w:line="240" w:lineRule="auto"/>
              <w:jc w:val="both"/>
              <w:rPr>
                <w:rFonts w:ascii="Times New Roman" w:hAnsi="Times New Roman"/>
                <w:sz w:val="24"/>
                <w:szCs w:val="24"/>
              </w:rPr>
            </w:pPr>
            <w:r w:rsidRPr="00774545">
              <w:rPr>
                <w:rFonts w:ascii="Times New Roman" w:hAnsi="Times New Roman"/>
                <w:bCs/>
                <w:sz w:val="24"/>
                <w:szCs w:val="24"/>
              </w:rPr>
              <w:t>Jaunatnes starptautisko programmu aģentūra</w:t>
            </w:r>
            <w:r>
              <w:rPr>
                <w:rFonts w:ascii="Times New Roman" w:hAnsi="Times New Roman"/>
                <w:bCs/>
                <w:sz w:val="24"/>
                <w:szCs w:val="24"/>
              </w:rPr>
              <w:t>,</w:t>
            </w:r>
            <w:r w:rsidRPr="00774545">
              <w:rPr>
                <w:rFonts w:ascii="Times New Roman" w:hAnsi="Times New Roman"/>
                <w:bCs/>
                <w:sz w:val="24"/>
                <w:szCs w:val="24"/>
              </w:rPr>
              <w:t xml:space="preserve"> jaunatnes organizācijas</w:t>
            </w:r>
            <w:r>
              <w:rPr>
                <w:rFonts w:ascii="Times New Roman" w:hAnsi="Times New Roman"/>
                <w:bCs/>
                <w:sz w:val="24"/>
                <w:szCs w:val="24"/>
              </w:rPr>
              <w:t xml:space="preserve"> un pašvaldības</w:t>
            </w:r>
          </w:p>
        </w:tc>
      </w:tr>
      <w:tr w:rsidR="00774545" w:rsidRPr="007A2871" w14:paraId="65A5AF99" w14:textId="77777777" w:rsidTr="005B26B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76DA1F4F" w14:textId="77777777" w:rsidR="00774545" w:rsidRPr="00774545" w:rsidRDefault="00774545" w:rsidP="00774545">
            <w:pPr>
              <w:pStyle w:val="ListParagraph"/>
              <w:spacing w:before="120"/>
              <w:ind w:left="0"/>
              <w:jc w:val="both"/>
              <w:rPr>
                <w:rFonts w:ascii="Times New Roman" w:hAnsi="Times New Roman"/>
                <w:sz w:val="24"/>
                <w:szCs w:val="24"/>
              </w:rPr>
            </w:pPr>
            <w:r w:rsidRPr="00774545">
              <w:rPr>
                <w:rFonts w:ascii="Times New Roman" w:hAnsi="Times New Roman"/>
                <w:sz w:val="24"/>
                <w:szCs w:val="24"/>
              </w:rPr>
              <w:t>Ņemot vērā, ka Jaunatnes starptautisko programmu aģentūra jau kopš 2014.gada administrē ikgadējās  jaunatnes politikas valsts programmas atklāto projektu konkursus papildus administratīvās izmaksas nerodas.</w:t>
            </w:r>
          </w:p>
          <w:p w14:paraId="6A4EA1E5" w14:textId="064B2136" w:rsidR="00774545" w:rsidRPr="00774545" w:rsidRDefault="00774545" w:rsidP="00774545">
            <w:pPr>
              <w:spacing w:after="0" w:line="240" w:lineRule="auto"/>
              <w:jc w:val="both"/>
              <w:rPr>
                <w:rFonts w:ascii="Times New Roman" w:hAnsi="Times New Roman"/>
                <w:sz w:val="24"/>
                <w:szCs w:val="24"/>
              </w:rPr>
            </w:pPr>
            <w:r w:rsidRPr="00774545">
              <w:rPr>
                <w:rFonts w:ascii="Times New Roman" w:hAnsi="Times New Roman"/>
                <w:sz w:val="24"/>
                <w:szCs w:val="24"/>
              </w:rPr>
              <w:t xml:space="preserve">Jaunatnes organizācijām </w:t>
            </w:r>
            <w:r w:rsidR="00804A45">
              <w:rPr>
                <w:rFonts w:ascii="Times New Roman" w:hAnsi="Times New Roman"/>
                <w:sz w:val="24"/>
                <w:szCs w:val="24"/>
              </w:rPr>
              <w:t xml:space="preserve">un pašvaldībām </w:t>
            </w:r>
            <w:r w:rsidRPr="00774545">
              <w:rPr>
                <w:rFonts w:ascii="Times New Roman" w:hAnsi="Times New Roman"/>
                <w:sz w:val="24"/>
                <w:szCs w:val="24"/>
              </w:rPr>
              <w:t xml:space="preserve">ar atklāto projektu konkursu veidlapu aizpildīšanu saistītās administratīvās izmaksas ir nelielas.  </w:t>
            </w:r>
          </w:p>
        </w:tc>
      </w:tr>
      <w:tr w:rsidR="00774545" w:rsidRPr="007A2871" w14:paraId="25A2AD93" w14:textId="77777777" w:rsidTr="005B26B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6963683C" w14:textId="612A0162" w:rsidR="00774545" w:rsidRPr="00774545" w:rsidRDefault="00774545" w:rsidP="00774545">
            <w:pPr>
              <w:spacing w:after="0" w:line="240" w:lineRule="auto"/>
              <w:jc w:val="both"/>
              <w:rPr>
                <w:rFonts w:ascii="Times New Roman" w:hAnsi="Times New Roman"/>
                <w:sz w:val="24"/>
                <w:szCs w:val="24"/>
              </w:rPr>
            </w:pPr>
            <w:r w:rsidRPr="00774545">
              <w:rPr>
                <w:rFonts w:ascii="Times New Roman" w:hAnsi="Times New Roman"/>
                <w:sz w:val="24"/>
                <w:szCs w:val="24"/>
              </w:rPr>
              <w:t xml:space="preserve">Izvērtējot </w:t>
            </w:r>
            <w:proofErr w:type="spellStart"/>
            <w:r w:rsidRPr="00774545">
              <w:rPr>
                <w:rFonts w:ascii="Times New Roman" w:hAnsi="Times New Roman"/>
                <w:sz w:val="24"/>
                <w:szCs w:val="24"/>
              </w:rPr>
              <w:t>mērķgrupas</w:t>
            </w:r>
            <w:proofErr w:type="spellEnd"/>
            <w:r w:rsidRPr="00774545">
              <w:rPr>
                <w:rFonts w:ascii="Times New Roman" w:hAnsi="Times New Roman"/>
                <w:sz w:val="24"/>
                <w:szCs w:val="24"/>
              </w:rPr>
              <w:t xml:space="preserve"> administratīvo izmaksu lielumu atbilstoši Ministru kabineta </w:t>
            </w:r>
            <w:r w:rsidRPr="00774545">
              <w:rPr>
                <w:rFonts w:ascii="Times New Roman" w:hAnsi="Times New Roman"/>
                <w:sz w:val="24"/>
                <w:szCs w:val="24"/>
                <w:shd w:val="clear" w:color="auto" w:fill="FFFFFF"/>
              </w:rPr>
              <w:t>2009.gada 15.decembra instrukcijas Nr.19 „</w:t>
            </w:r>
            <w:r w:rsidRPr="00774545">
              <w:rPr>
                <w:rFonts w:ascii="Times New Roman" w:hAnsi="Times New Roman"/>
                <w:bCs/>
                <w:sz w:val="24"/>
                <w:szCs w:val="24"/>
                <w:shd w:val="clear" w:color="auto" w:fill="FFFFFF"/>
              </w:rPr>
              <w:t xml:space="preserve">Tiesību akta projekta sākotnējās ietekmes izvērtēšanas kārtība” 25.punktam, tas nepārsniedz 2000 </w:t>
            </w:r>
            <w:proofErr w:type="spellStart"/>
            <w:r w:rsidRPr="00774545">
              <w:rPr>
                <w:rFonts w:ascii="Times New Roman" w:hAnsi="Times New Roman"/>
                <w:bCs/>
                <w:i/>
                <w:sz w:val="24"/>
                <w:szCs w:val="24"/>
                <w:shd w:val="clear" w:color="auto" w:fill="FFFFFF"/>
              </w:rPr>
              <w:t>euro</w:t>
            </w:r>
            <w:proofErr w:type="spellEnd"/>
            <w:r w:rsidRPr="00774545">
              <w:rPr>
                <w:rFonts w:ascii="Times New Roman" w:hAnsi="Times New Roman"/>
                <w:bCs/>
                <w:sz w:val="24"/>
                <w:szCs w:val="24"/>
                <w:shd w:val="clear" w:color="auto" w:fill="FFFFFF"/>
              </w:rPr>
              <w:t xml:space="preserve"> gadā.</w:t>
            </w:r>
          </w:p>
        </w:tc>
      </w:tr>
      <w:tr w:rsidR="00774545" w:rsidRPr="007A2871" w14:paraId="27129247" w14:textId="77777777" w:rsidTr="005B26B7">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E9A9D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3BDCF793" w14:textId="0B063B85" w:rsidR="00774545" w:rsidRPr="00774545" w:rsidRDefault="00804A45" w:rsidP="0077454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 xml:space="preserve">Nav </w:t>
            </w:r>
          </w:p>
        </w:tc>
      </w:tr>
    </w:tbl>
    <w:p w14:paraId="3EBF9707" w14:textId="77777777" w:rsidR="00CE7745" w:rsidRPr="007A2871" w:rsidRDefault="00CE7745" w:rsidP="004A505F">
      <w:pPr>
        <w:spacing w:after="0" w:line="36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7"/>
        <w:gridCol w:w="2804"/>
        <w:gridCol w:w="6075"/>
      </w:tblGrid>
      <w:tr w:rsidR="00812271" w:rsidRPr="007A2871" w14:paraId="16EDB388" w14:textId="77777777" w:rsidTr="007A2871">
        <w:trPr>
          <w:trHeight w:val="420"/>
        </w:trPr>
        <w:tc>
          <w:tcPr>
            <w:tcW w:w="0" w:type="auto"/>
            <w:gridSpan w:val="3"/>
            <w:hideMark/>
          </w:tcPr>
          <w:p w14:paraId="5F27DA47" w14:textId="77777777" w:rsidR="00812271" w:rsidRPr="007A2871" w:rsidRDefault="00812271" w:rsidP="00564A6E">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7A2871">
        <w:trPr>
          <w:trHeight w:val="540"/>
        </w:trPr>
        <w:tc>
          <w:tcPr>
            <w:tcW w:w="247"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81"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208" w:type="pct"/>
            <w:hideMark/>
          </w:tcPr>
          <w:p w14:paraId="000E8450" w14:textId="6E6E3573" w:rsidR="00812271" w:rsidRPr="007A2871" w:rsidRDefault="00804A45" w:rsidP="00A92F3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Jaunatnes organizācijas iepazīstinātas ar projektu 2017.gada </w:t>
            </w:r>
            <w:r w:rsidR="00A92F31">
              <w:rPr>
                <w:rFonts w:ascii="Times New Roman" w:eastAsia="Times New Roman" w:hAnsi="Times New Roman"/>
                <w:sz w:val="24"/>
                <w:szCs w:val="24"/>
                <w:lang w:eastAsia="lv-LV"/>
              </w:rPr>
              <w:t>10.janvāra</w:t>
            </w:r>
            <w:r>
              <w:rPr>
                <w:rFonts w:ascii="Times New Roman" w:eastAsia="Times New Roman" w:hAnsi="Times New Roman"/>
                <w:sz w:val="24"/>
                <w:szCs w:val="24"/>
                <w:lang w:eastAsia="lv-LV"/>
              </w:rPr>
              <w:t xml:space="preserve"> sanāksmē, kurā izteikušas viedokli un priekšlikumus projekta izstrādē.</w:t>
            </w:r>
            <w:r w:rsidR="00BF08EF">
              <w:rPr>
                <w:rFonts w:ascii="Times New Roman" w:eastAsia="Times New Roman" w:hAnsi="Times New Roman"/>
                <w:sz w:val="24"/>
                <w:szCs w:val="24"/>
                <w:lang w:eastAsia="lv-LV"/>
              </w:rPr>
              <w:t xml:space="preserve"> Biedrība “Latvijas Jaunatnes padome” sniegusi savus priekšlikumus arī elektroniski. </w:t>
            </w:r>
          </w:p>
        </w:tc>
      </w:tr>
      <w:tr w:rsidR="00812271" w:rsidRPr="007A2871" w14:paraId="6BF6DEE4" w14:textId="77777777" w:rsidTr="007A2871">
        <w:trPr>
          <w:trHeight w:val="330"/>
        </w:trPr>
        <w:tc>
          <w:tcPr>
            <w:tcW w:w="247"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81"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208" w:type="pct"/>
            <w:hideMark/>
          </w:tcPr>
          <w:p w14:paraId="18DCDC29" w14:textId="0F29E6C2" w:rsidR="00812271" w:rsidRPr="007A2871" w:rsidRDefault="00804A45" w:rsidP="00A92F31">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Jaunatnes organizācijas sniegušas</w:t>
            </w:r>
            <w:r w:rsidR="00C32B4B">
              <w:rPr>
                <w:rFonts w:ascii="Times New Roman" w:hAnsi="Times New Roman"/>
                <w:sz w:val="24"/>
                <w:szCs w:val="24"/>
              </w:rPr>
              <w:t xml:space="preserve"> priekšlikumus grozījumiem.</w:t>
            </w:r>
          </w:p>
        </w:tc>
      </w:tr>
      <w:tr w:rsidR="00812271" w:rsidRPr="007A2871" w14:paraId="5B9989C0" w14:textId="77777777" w:rsidTr="007A2871">
        <w:trPr>
          <w:trHeight w:val="465"/>
        </w:trPr>
        <w:tc>
          <w:tcPr>
            <w:tcW w:w="247"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81"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208" w:type="pct"/>
            <w:hideMark/>
          </w:tcPr>
          <w:p w14:paraId="193D3150" w14:textId="5A4EC66B" w:rsidR="00812271" w:rsidRPr="007A2871" w:rsidRDefault="00C32B4B" w:rsidP="00A92F3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izstrādē </w:t>
            </w:r>
            <w:r w:rsidR="000E5914">
              <w:rPr>
                <w:rFonts w:ascii="Times New Roman" w:eastAsia="Times New Roman" w:hAnsi="Times New Roman"/>
                <w:sz w:val="24"/>
                <w:szCs w:val="24"/>
                <w:lang w:eastAsia="lv-LV"/>
              </w:rPr>
              <w:t xml:space="preserve">daļēji </w:t>
            </w:r>
            <w:r>
              <w:rPr>
                <w:rFonts w:ascii="Times New Roman" w:eastAsia="Times New Roman" w:hAnsi="Times New Roman"/>
                <w:sz w:val="24"/>
                <w:szCs w:val="24"/>
                <w:lang w:eastAsia="lv-LV"/>
              </w:rPr>
              <w:t xml:space="preserve">ņemti vērā </w:t>
            </w:r>
            <w:r w:rsidR="00804A45">
              <w:rPr>
                <w:rFonts w:ascii="Times New Roman" w:eastAsia="Times New Roman" w:hAnsi="Times New Roman"/>
                <w:sz w:val="24"/>
                <w:szCs w:val="24"/>
                <w:lang w:eastAsia="lv-LV"/>
              </w:rPr>
              <w:t>jaunatnes organizāciju</w:t>
            </w:r>
            <w:r>
              <w:rPr>
                <w:rFonts w:ascii="Times New Roman" w:eastAsia="Times New Roman" w:hAnsi="Times New Roman"/>
                <w:sz w:val="24"/>
                <w:szCs w:val="24"/>
                <w:lang w:eastAsia="lv-LV"/>
              </w:rPr>
              <w:t xml:space="preserve"> priekšlikumi.</w:t>
            </w:r>
          </w:p>
        </w:tc>
      </w:tr>
      <w:tr w:rsidR="00812271" w:rsidRPr="007A2871" w14:paraId="48CF7382" w14:textId="77777777" w:rsidTr="007A2871">
        <w:trPr>
          <w:trHeight w:val="465"/>
        </w:trPr>
        <w:tc>
          <w:tcPr>
            <w:tcW w:w="247"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81"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08" w:type="pct"/>
            <w:hideMark/>
          </w:tcPr>
          <w:p w14:paraId="14959059" w14:textId="77777777" w:rsidR="00812271" w:rsidRPr="007A2871" w:rsidRDefault="00812271" w:rsidP="00564A6E">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3D34F9CD" w14:textId="77777777" w:rsidR="00857EF2" w:rsidRPr="007A2871" w:rsidRDefault="00857EF2" w:rsidP="004A505F">
      <w:pPr>
        <w:spacing w:after="0" w:line="360" w:lineRule="auto"/>
        <w:jc w:val="both"/>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8"/>
        <w:gridCol w:w="3551"/>
        <w:gridCol w:w="5327"/>
      </w:tblGrid>
      <w:tr w:rsidR="00812271" w:rsidRPr="007A2871" w14:paraId="65402A31" w14:textId="77777777" w:rsidTr="007A2871">
        <w:trPr>
          <w:trHeight w:val="375"/>
        </w:trPr>
        <w:tc>
          <w:tcPr>
            <w:tcW w:w="0" w:type="auto"/>
            <w:gridSpan w:val="3"/>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7A2871">
        <w:trPr>
          <w:trHeight w:val="420"/>
        </w:trPr>
        <w:tc>
          <w:tcPr>
            <w:tcW w:w="250"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1.</w:t>
            </w:r>
          </w:p>
        </w:tc>
        <w:tc>
          <w:tcPr>
            <w:tcW w:w="1900" w:type="pct"/>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850" w:type="pct"/>
            <w:hideMark/>
          </w:tcPr>
          <w:p w14:paraId="46637270" w14:textId="79DE2E01"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 un Jaunatnes starptautisko programmu aģentūra</w:t>
            </w:r>
          </w:p>
        </w:tc>
      </w:tr>
      <w:tr w:rsidR="00804A45" w:rsidRPr="007A2871" w14:paraId="28D8C2E0" w14:textId="77777777" w:rsidTr="007A2871">
        <w:trPr>
          <w:trHeight w:val="450"/>
        </w:trPr>
        <w:tc>
          <w:tcPr>
            <w:tcW w:w="250"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00" w:type="pct"/>
            <w:hideMark/>
          </w:tcPr>
          <w:p w14:paraId="32540DF8" w14:textId="77777777" w:rsidR="00804A45" w:rsidRPr="007A2871" w:rsidRDefault="00804A45" w:rsidP="00804A45">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hideMark/>
          </w:tcPr>
          <w:p w14:paraId="5B97E1BC" w14:textId="68430730" w:rsidR="00804A45" w:rsidRPr="00804A45" w:rsidRDefault="00804A45" w:rsidP="00804A45">
            <w:pPr>
              <w:jc w:val="both"/>
              <w:rPr>
                <w:rFonts w:ascii="Times New Roman" w:hAnsi="Times New Roman"/>
                <w:sz w:val="24"/>
                <w:szCs w:val="24"/>
              </w:rPr>
            </w:pPr>
            <w:r w:rsidRPr="00804A45">
              <w:rPr>
                <w:rFonts w:ascii="Times New Roman" w:hAnsi="Times New Roman"/>
                <w:sz w:val="24"/>
                <w:szCs w:val="24"/>
              </w:rPr>
              <w:t>Projekta izpilde notiks esošo cilvēkresursu ietvaros.</w:t>
            </w:r>
          </w:p>
          <w:p w14:paraId="6CBBCF6C" w14:textId="77777777" w:rsidR="00804A45" w:rsidRPr="00804A45" w:rsidRDefault="00804A45" w:rsidP="00804A45">
            <w:pPr>
              <w:jc w:val="both"/>
              <w:rPr>
                <w:rFonts w:ascii="Times New Roman" w:hAnsi="Times New Roman"/>
                <w:sz w:val="24"/>
                <w:szCs w:val="24"/>
              </w:rPr>
            </w:pPr>
          </w:p>
          <w:p w14:paraId="5DA89E96" w14:textId="7C11522D"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 xml:space="preserve">Jaunu institūciju izveide , esošu institūciju likvidācija vai reorganizācija nav nepieciešama. </w:t>
            </w:r>
          </w:p>
        </w:tc>
      </w:tr>
      <w:tr w:rsidR="00812271" w:rsidRPr="007A2871" w14:paraId="0CFC8929" w14:textId="77777777" w:rsidTr="007A2871">
        <w:trPr>
          <w:trHeight w:val="390"/>
        </w:trPr>
        <w:tc>
          <w:tcPr>
            <w:tcW w:w="250"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00" w:type="pct"/>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50"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EC3D8E3" w14:textId="77777777" w:rsidR="004A505F" w:rsidRPr="007A2871" w:rsidRDefault="004A505F" w:rsidP="005C42B1">
      <w:pPr>
        <w:spacing w:after="0" w:line="240" w:lineRule="auto"/>
        <w:rPr>
          <w:rFonts w:ascii="Times New Roman" w:eastAsia="Times New Roman" w:hAnsi="Times New Roman"/>
          <w:sz w:val="24"/>
          <w:szCs w:val="24"/>
          <w:lang w:eastAsia="lv-LV"/>
        </w:rPr>
      </w:pPr>
    </w:p>
    <w:p w14:paraId="19CBBC07" w14:textId="4F18489D" w:rsidR="007C5781" w:rsidRPr="007A2871" w:rsidRDefault="007A2871" w:rsidP="005C42B1">
      <w:pPr>
        <w:autoSpaceDE w:val="0"/>
        <w:autoSpaceDN w:val="0"/>
        <w:adjustRightInd w:val="0"/>
        <w:spacing w:after="0" w:line="240" w:lineRule="auto"/>
        <w:rPr>
          <w:rFonts w:ascii="Times New Roman" w:hAnsi="Times New Roman"/>
          <w:sz w:val="24"/>
          <w:szCs w:val="24"/>
        </w:rPr>
      </w:pPr>
      <w:r w:rsidRPr="007A2871">
        <w:rPr>
          <w:rFonts w:ascii="Times New Roman" w:hAnsi="Times New Roman"/>
          <w:i/>
          <w:sz w:val="24"/>
          <w:szCs w:val="24"/>
        </w:rPr>
        <w:t xml:space="preserve">Anotācijas </w:t>
      </w:r>
      <w:r w:rsidR="00812271" w:rsidRPr="007A2871">
        <w:rPr>
          <w:rFonts w:ascii="Times New Roman" w:hAnsi="Times New Roman"/>
          <w:i/>
          <w:sz w:val="24"/>
          <w:szCs w:val="24"/>
        </w:rPr>
        <w:t xml:space="preserve">III, IV, V sadaļa - </w:t>
      </w:r>
      <w:r w:rsidR="00812271" w:rsidRPr="007A2871">
        <w:rPr>
          <w:rFonts w:ascii="Times New Roman" w:eastAsia="Times New Roman" w:hAnsi="Times New Roman"/>
          <w:i/>
          <w:sz w:val="24"/>
          <w:szCs w:val="24"/>
          <w:lang w:eastAsia="lv-LV"/>
        </w:rPr>
        <w:t>projekts šīs jomas neskar</w:t>
      </w:r>
      <w:r w:rsidR="00812271" w:rsidRPr="007A2871">
        <w:rPr>
          <w:rFonts w:ascii="Times New Roman" w:eastAsia="Times New Roman" w:hAnsi="Times New Roman"/>
          <w:sz w:val="24"/>
          <w:szCs w:val="24"/>
          <w:lang w:eastAsia="lv-LV"/>
        </w:rPr>
        <w:t>.</w:t>
      </w:r>
    </w:p>
    <w:p w14:paraId="7B7CADBE" w14:textId="77777777" w:rsidR="00322FF1" w:rsidRPr="007A2871" w:rsidRDefault="00322FF1" w:rsidP="005C42B1">
      <w:pPr>
        <w:autoSpaceDE w:val="0"/>
        <w:autoSpaceDN w:val="0"/>
        <w:adjustRightInd w:val="0"/>
        <w:spacing w:after="0" w:line="240" w:lineRule="auto"/>
        <w:rPr>
          <w:rFonts w:ascii="Times New Roman" w:hAnsi="Times New Roman"/>
          <w:sz w:val="24"/>
          <w:szCs w:val="24"/>
        </w:rPr>
      </w:pPr>
    </w:p>
    <w:p w14:paraId="21D7ACC2" w14:textId="77777777" w:rsidR="004A505F" w:rsidRDefault="004A505F" w:rsidP="005C42B1">
      <w:pPr>
        <w:autoSpaceDE w:val="0"/>
        <w:autoSpaceDN w:val="0"/>
        <w:adjustRightInd w:val="0"/>
        <w:spacing w:after="0" w:line="240" w:lineRule="auto"/>
        <w:rPr>
          <w:rFonts w:ascii="Times New Roman" w:hAnsi="Times New Roman"/>
          <w:sz w:val="24"/>
          <w:szCs w:val="24"/>
        </w:rPr>
      </w:pPr>
    </w:p>
    <w:p w14:paraId="5711C581" w14:textId="77777777" w:rsidR="00CE7745" w:rsidRDefault="00CE7745" w:rsidP="005C42B1">
      <w:pPr>
        <w:autoSpaceDE w:val="0"/>
        <w:autoSpaceDN w:val="0"/>
        <w:adjustRightInd w:val="0"/>
        <w:spacing w:after="0" w:line="240" w:lineRule="auto"/>
        <w:rPr>
          <w:rFonts w:ascii="Times New Roman" w:hAnsi="Times New Roman"/>
          <w:sz w:val="24"/>
          <w:szCs w:val="24"/>
        </w:rPr>
      </w:pPr>
    </w:p>
    <w:p w14:paraId="5FD2B729" w14:textId="77777777" w:rsidR="00CE7745" w:rsidRPr="007A2871" w:rsidRDefault="00CE7745" w:rsidP="005C42B1">
      <w:pPr>
        <w:autoSpaceDE w:val="0"/>
        <w:autoSpaceDN w:val="0"/>
        <w:adjustRightInd w:val="0"/>
        <w:spacing w:after="0" w:line="240" w:lineRule="auto"/>
        <w:rPr>
          <w:rFonts w:ascii="Times New Roman" w:hAnsi="Times New Roman"/>
          <w:sz w:val="24"/>
          <w:szCs w:val="24"/>
        </w:rPr>
      </w:pPr>
    </w:p>
    <w:p w14:paraId="79224C61" w14:textId="5F465DA5" w:rsidR="00F31126" w:rsidRPr="007A2871" w:rsidRDefault="00A76C0A"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00F31126"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ab/>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14:paraId="6A0B4BB1"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556FD808" w14:textId="77777777" w:rsidR="00CE7745" w:rsidRPr="007A2871" w:rsidRDefault="00CE7745" w:rsidP="00012B57">
      <w:pPr>
        <w:spacing w:after="0" w:line="240" w:lineRule="auto"/>
        <w:jc w:val="both"/>
        <w:rPr>
          <w:rFonts w:ascii="Times New Roman" w:eastAsia="Times New Roman" w:hAnsi="Times New Roman"/>
          <w:sz w:val="24"/>
          <w:szCs w:val="24"/>
          <w:lang w:eastAsia="lv-LV"/>
        </w:rPr>
      </w:pPr>
    </w:p>
    <w:p w14:paraId="21D59E03" w14:textId="77777777" w:rsidR="00A76C0A" w:rsidRPr="007A2871" w:rsidRDefault="00A76C0A" w:rsidP="00012B5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14:paraId="72C67718" w14:textId="3FFD5224" w:rsidR="00D47742" w:rsidRPr="00CE7745" w:rsidRDefault="00CE7745" w:rsidP="00D47742">
      <w:pPr>
        <w:autoSpaceDE w:val="0"/>
        <w:autoSpaceDN w:val="0"/>
        <w:adjustRightInd w:val="0"/>
        <w:spacing w:after="0" w:line="240" w:lineRule="auto"/>
        <w:rPr>
          <w:rFonts w:ascii="Times New Roman" w:eastAsia="Times New Roman" w:hAnsi="Times New Roman"/>
          <w:bCs/>
          <w:kern w:val="32"/>
          <w:sz w:val="24"/>
          <w:szCs w:val="24"/>
          <w:lang w:eastAsia="lv-LV"/>
        </w:rPr>
      </w:pPr>
      <w:r w:rsidRPr="00CE7745">
        <w:rPr>
          <w:rFonts w:ascii="Times New Roman" w:eastAsia="Times New Roman" w:hAnsi="Times New Roman"/>
          <w:bCs/>
          <w:kern w:val="32"/>
          <w:sz w:val="24"/>
          <w:szCs w:val="24"/>
          <w:lang w:eastAsia="lv-LV"/>
        </w:rPr>
        <w:t>Valsts sekretār</w:t>
      </w:r>
      <w:r w:rsidR="00D47742">
        <w:rPr>
          <w:rFonts w:ascii="Times New Roman" w:eastAsia="Times New Roman" w:hAnsi="Times New Roman"/>
          <w:bCs/>
          <w:kern w:val="32"/>
          <w:sz w:val="24"/>
          <w:szCs w:val="24"/>
          <w:lang w:eastAsia="lv-LV"/>
        </w:rPr>
        <w:t>e</w:t>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r>
      <w:r w:rsidR="00D47742">
        <w:rPr>
          <w:rFonts w:ascii="Times New Roman" w:eastAsia="Times New Roman" w:hAnsi="Times New Roman"/>
          <w:bCs/>
          <w:kern w:val="32"/>
          <w:sz w:val="24"/>
          <w:szCs w:val="24"/>
          <w:lang w:eastAsia="lv-LV"/>
        </w:rPr>
        <w:tab/>
        <w:t>Līga Lejiņa</w:t>
      </w:r>
    </w:p>
    <w:p w14:paraId="70655ADA" w14:textId="388DA63A" w:rsidR="00CE7745" w:rsidRDefault="00CE7745" w:rsidP="00CE7745">
      <w:pPr>
        <w:autoSpaceDE w:val="0"/>
        <w:autoSpaceDN w:val="0"/>
        <w:adjustRightInd w:val="0"/>
        <w:spacing w:after="0" w:line="240" w:lineRule="auto"/>
        <w:rPr>
          <w:rFonts w:ascii="Times New Roman" w:hAnsi="Times New Roman"/>
          <w:sz w:val="24"/>
          <w:szCs w:val="24"/>
        </w:rPr>
      </w:pP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p>
    <w:p w14:paraId="31C97CCF" w14:textId="77777777" w:rsidR="00CE7745" w:rsidRDefault="00CE7745" w:rsidP="00CE7745">
      <w:pPr>
        <w:autoSpaceDE w:val="0"/>
        <w:autoSpaceDN w:val="0"/>
        <w:adjustRightInd w:val="0"/>
        <w:spacing w:after="0" w:line="240" w:lineRule="auto"/>
        <w:rPr>
          <w:rFonts w:ascii="Times New Roman" w:hAnsi="Times New Roman"/>
          <w:sz w:val="24"/>
          <w:szCs w:val="24"/>
        </w:rPr>
      </w:pPr>
    </w:p>
    <w:p w14:paraId="1FD2F788" w14:textId="7F1554DB" w:rsidR="00FC7EFA" w:rsidRPr="00CE7745" w:rsidRDefault="00FC7EFA" w:rsidP="00CE7745">
      <w:pPr>
        <w:autoSpaceDE w:val="0"/>
        <w:autoSpaceDN w:val="0"/>
        <w:adjustRightInd w:val="0"/>
        <w:spacing w:after="0" w:line="240" w:lineRule="auto"/>
        <w:rPr>
          <w:rFonts w:ascii="Times New Roman" w:eastAsia="Times New Roman" w:hAnsi="Times New Roman"/>
          <w:bCs/>
          <w:kern w:val="32"/>
          <w:sz w:val="24"/>
          <w:szCs w:val="24"/>
          <w:lang w:eastAsia="lv-LV"/>
        </w:rPr>
      </w:pPr>
      <w:r w:rsidRPr="002865DB">
        <w:rPr>
          <w:rFonts w:ascii="Times New Roman" w:hAnsi="Times New Roman"/>
          <w:sz w:val="24"/>
          <w:szCs w:val="24"/>
        </w:rPr>
        <w:tab/>
      </w:r>
      <w:r w:rsidRPr="002865DB">
        <w:rPr>
          <w:rFonts w:ascii="Times New Roman" w:hAnsi="Times New Roman"/>
          <w:sz w:val="24"/>
          <w:szCs w:val="24"/>
        </w:rPr>
        <w:tab/>
      </w:r>
    </w:p>
    <w:p w14:paraId="7B6ED593" w14:textId="4E595F8A" w:rsidR="00012B57" w:rsidRPr="00012B57" w:rsidRDefault="00F46E80" w:rsidP="00802550">
      <w:pPr>
        <w:tabs>
          <w:tab w:val="left" w:pos="588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321B94">
        <w:rPr>
          <w:rFonts w:ascii="Times New Roman" w:eastAsia="Times New Roman" w:hAnsi="Times New Roman"/>
          <w:sz w:val="20"/>
          <w:szCs w:val="20"/>
          <w:lang w:eastAsia="lv-LV"/>
        </w:rPr>
        <w:t>6</w:t>
      </w:r>
      <w:bookmarkStart w:id="4" w:name="_GoBack"/>
      <w:bookmarkEnd w:id="4"/>
      <w:r w:rsidR="00D47742">
        <w:rPr>
          <w:rFonts w:ascii="Times New Roman" w:eastAsia="Times New Roman" w:hAnsi="Times New Roman"/>
          <w:sz w:val="20"/>
          <w:szCs w:val="20"/>
          <w:lang w:eastAsia="lv-LV"/>
        </w:rPr>
        <w:t>.01.2017</w:t>
      </w:r>
      <w:r w:rsidR="00802550">
        <w:rPr>
          <w:rFonts w:ascii="Times New Roman" w:eastAsia="Times New Roman" w:hAnsi="Times New Roman"/>
          <w:sz w:val="20"/>
          <w:szCs w:val="20"/>
          <w:lang w:eastAsia="lv-LV"/>
        </w:rPr>
        <w:tab/>
      </w:r>
    </w:p>
    <w:p w14:paraId="5B4D91C1" w14:textId="29B1BD33" w:rsidR="007A2871" w:rsidRDefault="00E604CD"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1392</w:t>
      </w:r>
    </w:p>
    <w:p w14:paraId="4FD50F29" w14:textId="681BCF83" w:rsidR="00FC7EFA" w:rsidRDefault="00D47742"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A.Riba</w:t>
      </w:r>
      <w:proofErr w:type="spellEnd"/>
      <w:r w:rsidR="00A76C0A">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67047906</w:t>
      </w:r>
    </w:p>
    <w:p w14:paraId="3BB36A2B" w14:textId="7FB826D2" w:rsidR="00A76C0A" w:rsidRPr="00A76C0A" w:rsidRDefault="00D47742"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Aija.Riba</w:t>
      </w:r>
      <w:r w:rsidR="00A76C0A">
        <w:rPr>
          <w:rFonts w:ascii="Times New Roman" w:eastAsia="Times New Roman" w:hAnsi="Times New Roman"/>
          <w:sz w:val="20"/>
          <w:szCs w:val="20"/>
          <w:lang w:eastAsia="lv-LV"/>
        </w:rPr>
        <w:t>@izm.gov.lv</w:t>
      </w:r>
    </w:p>
    <w:sectPr w:rsidR="00A76C0A" w:rsidRPr="00A76C0A" w:rsidSect="00DF12C5">
      <w:headerReference w:type="default" r:id="rId7"/>
      <w:footerReference w:type="default" r:id="rId8"/>
      <w:footerReference w:type="first" r:id="rId9"/>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C5083" w14:textId="77777777" w:rsidR="00CC7384" w:rsidRDefault="00CC7384" w:rsidP="004A53C8">
      <w:pPr>
        <w:spacing w:after="0" w:line="240" w:lineRule="auto"/>
      </w:pPr>
      <w:r>
        <w:separator/>
      </w:r>
    </w:p>
  </w:endnote>
  <w:endnote w:type="continuationSeparator" w:id="0">
    <w:p w14:paraId="2BCC0BBF" w14:textId="77777777" w:rsidR="00CC7384" w:rsidRDefault="00CC7384"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5483D280" w:rsidR="004A53C8" w:rsidRPr="00802550" w:rsidRDefault="00EA26A5" w:rsidP="00802550">
    <w:pPr>
      <w:spacing w:after="0" w:line="240" w:lineRule="auto"/>
      <w:jc w:val="both"/>
      <w:rPr>
        <w:rFonts w:ascii="Times New Roman" w:hAnsi="Times New Roman"/>
        <w:sz w:val="20"/>
        <w:szCs w:val="20"/>
      </w:rPr>
    </w:pPr>
    <w:r>
      <w:rPr>
        <w:rFonts w:ascii="Times New Roman" w:eastAsia="Times New Roman" w:hAnsi="Times New Roman"/>
        <w:bCs/>
        <w:sz w:val="20"/>
        <w:szCs w:val="20"/>
        <w:lang w:eastAsia="lv-LV"/>
      </w:rPr>
      <w:t>IZManot_26</w:t>
    </w:r>
    <w:r w:rsidR="00802550" w:rsidRPr="00802550">
      <w:rPr>
        <w:rFonts w:ascii="Times New Roman" w:eastAsia="Times New Roman" w:hAnsi="Times New Roman"/>
        <w:bCs/>
        <w:sz w:val="20"/>
        <w:szCs w:val="20"/>
        <w:lang w:eastAsia="lv-LV"/>
      </w:rPr>
      <w:t>0117_not1243; Ministru kabineta noteikumu projekta “</w:t>
    </w:r>
    <w:r w:rsidR="00802550" w:rsidRPr="00802550">
      <w:rPr>
        <w:rFonts w:ascii="Times New Roman" w:hAnsi="Times New Roman"/>
        <w:bCs/>
        <w:sz w:val="20"/>
        <w:szCs w:val="20"/>
      </w:rPr>
      <w:t xml:space="preserve">Grozījumi </w:t>
    </w:r>
    <w:r w:rsidR="00802550" w:rsidRPr="00802550">
      <w:rPr>
        <w:rFonts w:ascii="Times New Roman" w:hAnsi="Times New Roman"/>
        <w:sz w:val="20"/>
        <w:szCs w:val="20"/>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r w:rsidR="00802550">
      <w:rPr>
        <w:rFonts w:ascii="Times New Roman" w:hAnsi="Times New Roman"/>
        <w:sz w:val="20"/>
        <w:szCs w:val="20"/>
      </w:rPr>
      <w:t xml:space="preserve"> </w:t>
    </w:r>
    <w:r w:rsidR="00802550" w:rsidRPr="00802550">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B40A" w14:textId="63AACB43" w:rsidR="00802550" w:rsidRPr="00802550" w:rsidRDefault="00F7521F" w:rsidP="00802550">
    <w:pPr>
      <w:spacing w:after="0" w:line="240" w:lineRule="auto"/>
      <w:jc w:val="both"/>
      <w:rPr>
        <w:rFonts w:ascii="Times New Roman" w:hAnsi="Times New Roman"/>
        <w:sz w:val="20"/>
        <w:szCs w:val="20"/>
      </w:rPr>
    </w:pPr>
    <w:r w:rsidRPr="00802550">
      <w:rPr>
        <w:rFonts w:ascii="Times New Roman" w:eastAsia="Times New Roman" w:hAnsi="Times New Roman"/>
        <w:bCs/>
        <w:sz w:val="20"/>
        <w:szCs w:val="20"/>
        <w:lang w:eastAsia="lv-LV"/>
      </w:rPr>
      <w:t>IZManot_</w:t>
    </w:r>
    <w:r w:rsidR="00F46E80">
      <w:rPr>
        <w:rFonts w:ascii="Times New Roman" w:eastAsia="Times New Roman" w:hAnsi="Times New Roman"/>
        <w:bCs/>
        <w:sz w:val="20"/>
        <w:szCs w:val="20"/>
        <w:lang w:eastAsia="lv-LV"/>
      </w:rPr>
      <w:t>25</w:t>
    </w:r>
    <w:r w:rsidR="009628B9" w:rsidRPr="00802550">
      <w:rPr>
        <w:rFonts w:ascii="Times New Roman" w:eastAsia="Times New Roman" w:hAnsi="Times New Roman"/>
        <w:bCs/>
        <w:sz w:val="20"/>
        <w:szCs w:val="20"/>
        <w:lang w:eastAsia="lv-LV"/>
      </w:rPr>
      <w:t>01</w:t>
    </w:r>
    <w:r w:rsidRPr="00802550">
      <w:rPr>
        <w:rFonts w:ascii="Times New Roman" w:eastAsia="Times New Roman" w:hAnsi="Times New Roman"/>
        <w:bCs/>
        <w:sz w:val="20"/>
        <w:szCs w:val="20"/>
        <w:lang w:eastAsia="lv-LV"/>
      </w:rPr>
      <w:t>17_</w:t>
    </w:r>
    <w:r w:rsidR="009628B9" w:rsidRPr="00802550">
      <w:rPr>
        <w:rFonts w:ascii="Times New Roman" w:eastAsia="Times New Roman" w:hAnsi="Times New Roman"/>
        <w:bCs/>
        <w:sz w:val="20"/>
        <w:szCs w:val="20"/>
        <w:lang w:eastAsia="lv-LV"/>
      </w:rPr>
      <w:t>not1243</w:t>
    </w:r>
    <w:r w:rsidRPr="00802550">
      <w:rPr>
        <w:rFonts w:ascii="Times New Roman" w:eastAsia="Times New Roman" w:hAnsi="Times New Roman"/>
        <w:bCs/>
        <w:sz w:val="20"/>
        <w:szCs w:val="20"/>
        <w:lang w:eastAsia="lv-LV"/>
      </w:rPr>
      <w:t xml:space="preserve">; </w:t>
    </w:r>
    <w:r w:rsidR="00802550" w:rsidRPr="00802550">
      <w:rPr>
        <w:rFonts w:ascii="Times New Roman" w:eastAsia="Times New Roman" w:hAnsi="Times New Roman"/>
        <w:bCs/>
        <w:sz w:val="20"/>
        <w:szCs w:val="20"/>
        <w:lang w:eastAsia="lv-LV"/>
      </w:rPr>
      <w:t>Ministru kabineta noteikumu projekta “</w:t>
    </w:r>
    <w:r w:rsidR="00802550" w:rsidRPr="00802550">
      <w:rPr>
        <w:rFonts w:ascii="Times New Roman" w:hAnsi="Times New Roman"/>
        <w:bCs/>
        <w:sz w:val="20"/>
        <w:szCs w:val="20"/>
      </w:rPr>
      <w:t xml:space="preserve">Grozījumi </w:t>
    </w:r>
    <w:r w:rsidR="00802550" w:rsidRPr="00802550">
      <w:rPr>
        <w:rFonts w:ascii="Times New Roman" w:hAnsi="Times New Roman"/>
        <w:sz w:val="20"/>
        <w:szCs w:val="20"/>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r w:rsidR="00802550">
      <w:rPr>
        <w:rFonts w:ascii="Times New Roman" w:hAnsi="Times New Roman"/>
        <w:sz w:val="20"/>
        <w:szCs w:val="20"/>
      </w:rPr>
      <w:t xml:space="preserve"> </w:t>
    </w:r>
    <w:r w:rsidR="00802550" w:rsidRPr="00802550">
      <w:rPr>
        <w:rFonts w:ascii="Times New Roman" w:hAnsi="Times New Roman"/>
        <w:sz w:val="20"/>
        <w:szCs w:val="20"/>
      </w:rPr>
      <w:t>sākotnējās ietekmes novērtējuma ziņojums (anotācija)</w:t>
    </w:r>
  </w:p>
  <w:p w14:paraId="6FA2B6BF" w14:textId="6B9BD93F" w:rsidR="00F4546D" w:rsidRPr="00802550" w:rsidRDefault="00F4546D" w:rsidP="00802550">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1B243" w14:textId="77777777" w:rsidR="00CC7384" w:rsidRDefault="00CC7384" w:rsidP="004A53C8">
      <w:pPr>
        <w:spacing w:after="0" w:line="240" w:lineRule="auto"/>
      </w:pPr>
      <w:r>
        <w:separator/>
      </w:r>
    </w:p>
  </w:footnote>
  <w:footnote w:type="continuationSeparator" w:id="0">
    <w:p w14:paraId="4124B93E" w14:textId="77777777" w:rsidR="00CC7384" w:rsidRDefault="00CC7384"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321B94">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6357"/>
    <w:rsid w:val="00012B57"/>
    <w:rsid w:val="0001406B"/>
    <w:rsid w:val="000140A6"/>
    <w:rsid w:val="00057E77"/>
    <w:rsid w:val="00064A14"/>
    <w:rsid w:val="0006697F"/>
    <w:rsid w:val="0006762E"/>
    <w:rsid w:val="00074A3A"/>
    <w:rsid w:val="00091D44"/>
    <w:rsid w:val="00091E19"/>
    <w:rsid w:val="0009570C"/>
    <w:rsid w:val="0009669B"/>
    <w:rsid w:val="000C0CAE"/>
    <w:rsid w:val="000C5B35"/>
    <w:rsid w:val="000D13F5"/>
    <w:rsid w:val="000D3684"/>
    <w:rsid w:val="000E5914"/>
    <w:rsid w:val="000F2F18"/>
    <w:rsid w:val="000F47DB"/>
    <w:rsid w:val="000F597B"/>
    <w:rsid w:val="00121135"/>
    <w:rsid w:val="00151233"/>
    <w:rsid w:val="001515ED"/>
    <w:rsid w:val="001707C6"/>
    <w:rsid w:val="00196D09"/>
    <w:rsid w:val="001A08CA"/>
    <w:rsid w:val="001B2B20"/>
    <w:rsid w:val="001B53A6"/>
    <w:rsid w:val="001D4CA7"/>
    <w:rsid w:val="001D5D6F"/>
    <w:rsid w:val="001E1B5B"/>
    <w:rsid w:val="001F5A13"/>
    <w:rsid w:val="00204189"/>
    <w:rsid w:val="00206BC9"/>
    <w:rsid w:val="002172EA"/>
    <w:rsid w:val="00231770"/>
    <w:rsid w:val="00250073"/>
    <w:rsid w:val="00260CAD"/>
    <w:rsid w:val="00272847"/>
    <w:rsid w:val="00275B3C"/>
    <w:rsid w:val="002865DB"/>
    <w:rsid w:val="002900E1"/>
    <w:rsid w:val="002901D5"/>
    <w:rsid w:val="002B1A24"/>
    <w:rsid w:val="002C674B"/>
    <w:rsid w:val="002D0093"/>
    <w:rsid w:val="002D0EB1"/>
    <w:rsid w:val="002D4D8A"/>
    <w:rsid w:val="002E4F4C"/>
    <w:rsid w:val="00304E39"/>
    <w:rsid w:val="0030592D"/>
    <w:rsid w:val="003138F6"/>
    <w:rsid w:val="00313C26"/>
    <w:rsid w:val="00317641"/>
    <w:rsid w:val="00320E6F"/>
    <w:rsid w:val="00321B94"/>
    <w:rsid w:val="00322FF1"/>
    <w:rsid w:val="00324E0F"/>
    <w:rsid w:val="0033149E"/>
    <w:rsid w:val="00345008"/>
    <w:rsid w:val="00354158"/>
    <w:rsid w:val="0037596D"/>
    <w:rsid w:val="0038608C"/>
    <w:rsid w:val="00391D35"/>
    <w:rsid w:val="00392D00"/>
    <w:rsid w:val="00396EBE"/>
    <w:rsid w:val="003A6BFF"/>
    <w:rsid w:val="003B0459"/>
    <w:rsid w:val="003B65EA"/>
    <w:rsid w:val="003D5881"/>
    <w:rsid w:val="003D6A76"/>
    <w:rsid w:val="003E12C5"/>
    <w:rsid w:val="003E49E2"/>
    <w:rsid w:val="003F156B"/>
    <w:rsid w:val="00400644"/>
    <w:rsid w:val="0040749D"/>
    <w:rsid w:val="00430DB4"/>
    <w:rsid w:val="00433EBF"/>
    <w:rsid w:val="004358D3"/>
    <w:rsid w:val="0044267F"/>
    <w:rsid w:val="004460C6"/>
    <w:rsid w:val="0044735A"/>
    <w:rsid w:val="00454A2A"/>
    <w:rsid w:val="0045553F"/>
    <w:rsid w:val="00470A88"/>
    <w:rsid w:val="00482C68"/>
    <w:rsid w:val="00494BA8"/>
    <w:rsid w:val="004A16FD"/>
    <w:rsid w:val="004A505F"/>
    <w:rsid w:val="004A53C8"/>
    <w:rsid w:val="004A549F"/>
    <w:rsid w:val="004C1815"/>
    <w:rsid w:val="004C4E93"/>
    <w:rsid w:val="004D2904"/>
    <w:rsid w:val="004D3CA0"/>
    <w:rsid w:val="004D6490"/>
    <w:rsid w:val="004E2A16"/>
    <w:rsid w:val="004E520A"/>
    <w:rsid w:val="00517034"/>
    <w:rsid w:val="00531930"/>
    <w:rsid w:val="00551B92"/>
    <w:rsid w:val="00553ECB"/>
    <w:rsid w:val="00561B38"/>
    <w:rsid w:val="00561F6C"/>
    <w:rsid w:val="0056429A"/>
    <w:rsid w:val="00564ADA"/>
    <w:rsid w:val="005749B4"/>
    <w:rsid w:val="00577216"/>
    <w:rsid w:val="00583A5D"/>
    <w:rsid w:val="005919D4"/>
    <w:rsid w:val="005925F2"/>
    <w:rsid w:val="00593BF9"/>
    <w:rsid w:val="005A65CA"/>
    <w:rsid w:val="005B42B6"/>
    <w:rsid w:val="005C3F18"/>
    <w:rsid w:val="005C42B1"/>
    <w:rsid w:val="005C5D58"/>
    <w:rsid w:val="005D4875"/>
    <w:rsid w:val="005D56D4"/>
    <w:rsid w:val="005D734C"/>
    <w:rsid w:val="005E514E"/>
    <w:rsid w:val="005E51CF"/>
    <w:rsid w:val="005E7D5F"/>
    <w:rsid w:val="005F5ADA"/>
    <w:rsid w:val="0060519A"/>
    <w:rsid w:val="00613DAC"/>
    <w:rsid w:val="00627A99"/>
    <w:rsid w:val="00631529"/>
    <w:rsid w:val="00634BA3"/>
    <w:rsid w:val="0064042F"/>
    <w:rsid w:val="006464A8"/>
    <w:rsid w:val="006464EB"/>
    <w:rsid w:val="00647270"/>
    <w:rsid w:val="0065161F"/>
    <w:rsid w:val="00660618"/>
    <w:rsid w:val="00664145"/>
    <w:rsid w:val="006825C0"/>
    <w:rsid w:val="00694633"/>
    <w:rsid w:val="00694C66"/>
    <w:rsid w:val="006A33BF"/>
    <w:rsid w:val="006A3B0A"/>
    <w:rsid w:val="006C5F23"/>
    <w:rsid w:val="006D0049"/>
    <w:rsid w:val="006E0FC5"/>
    <w:rsid w:val="006E5F48"/>
    <w:rsid w:val="006F0067"/>
    <w:rsid w:val="006F11ED"/>
    <w:rsid w:val="006F3CAE"/>
    <w:rsid w:val="006F6984"/>
    <w:rsid w:val="006F6BE5"/>
    <w:rsid w:val="00702234"/>
    <w:rsid w:val="007058CE"/>
    <w:rsid w:val="0071082B"/>
    <w:rsid w:val="007147BE"/>
    <w:rsid w:val="00717867"/>
    <w:rsid w:val="007248FB"/>
    <w:rsid w:val="00733C8C"/>
    <w:rsid w:val="0074653E"/>
    <w:rsid w:val="00763606"/>
    <w:rsid w:val="00767FD6"/>
    <w:rsid w:val="00771AE0"/>
    <w:rsid w:val="00773158"/>
    <w:rsid w:val="00773C6A"/>
    <w:rsid w:val="00774545"/>
    <w:rsid w:val="00777330"/>
    <w:rsid w:val="00784229"/>
    <w:rsid w:val="00787327"/>
    <w:rsid w:val="00787C61"/>
    <w:rsid w:val="007973E0"/>
    <w:rsid w:val="007A0535"/>
    <w:rsid w:val="007A2871"/>
    <w:rsid w:val="007A5D0E"/>
    <w:rsid w:val="007A5EB6"/>
    <w:rsid w:val="007B07F6"/>
    <w:rsid w:val="007C4012"/>
    <w:rsid w:val="007C47AB"/>
    <w:rsid w:val="007C5781"/>
    <w:rsid w:val="007D6A20"/>
    <w:rsid w:val="007E2BAF"/>
    <w:rsid w:val="007E5DBD"/>
    <w:rsid w:val="007E7C9E"/>
    <w:rsid w:val="007F2B8D"/>
    <w:rsid w:val="007F662D"/>
    <w:rsid w:val="00800369"/>
    <w:rsid w:val="00802550"/>
    <w:rsid w:val="00804A45"/>
    <w:rsid w:val="00810A06"/>
    <w:rsid w:val="00812271"/>
    <w:rsid w:val="00816BD1"/>
    <w:rsid w:val="0082002F"/>
    <w:rsid w:val="00833E9A"/>
    <w:rsid w:val="00835064"/>
    <w:rsid w:val="00840CFA"/>
    <w:rsid w:val="00854F3B"/>
    <w:rsid w:val="00857EF2"/>
    <w:rsid w:val="00857EFA"/>
    <w:rsid w:val="00863303"/>
    <w:rsid w:val="0087656E"/>
    <w:rsid w:val="00880437"/>
    <w:rsid w:val="008854CB"/>
    <w:rsid w:val="008859A9"/>
    <w:rsid w:val="008907EB"/>
    <w:rsid w:val="00895EF4"/>
    <w:rsid w:val="008B4FFB"/>
    <w:rsid w:val="008B68AD"/>
    <w:rsid w:val="008C0B91"/>
    <w:rsid w:val="008C2F6A"/>
    <w:rsid w:val="008D37A4"/>
    <w:rsid w:val="008D3E73"/>
    <w:rsid w:val="008D676F"/>
    <w:rsid w:val="008F718A"/>
    <w:rsid w:val="0090583B"/>
    <w:rsid w:val="00907E28"/>
    <w:rsid w:val="009101D5"/>
    <w:rsid w:val="00927702"/>
    <w:rsid w:val="00930A74"/>
    <w:rsid w:val="0093566F"/>
    <w:rsid w:val="00944E05"/>
    <w:rsid w:val="0094577B"/>
    <w:rsid w:val="00946764"/>
    <w:rsid w:val="00951E78"/>
    <w:rsid w:val="009625C1"/>
    <w:rsid w:val="009628B9"/>
    <w:rsid w:val="009636D0"/>
    <w:rsid w:val="009675F2"/>
    <w:rsid w:val="00970000"/>
    <w:rsid w:val="009705CA"/>
    <w:rsid w:val="00971FE2"/>
    <w:rsid w:val="00973AB7"/>
    <w:rsid w:val="0098126F"/>
    <w:rsid w:val="00985459"/>
    <w:rsid w:val="009A1E24"/>
    <w:rsid w:val="009B0744"/>
    <w:rsid w:val="009B2A08"/>
    <w:rsid w:val="009B3D7E"/>
    <w:rsid w:val="009C7A5B"/>
    <w:rsid w:val="009E0243"/>
    <w:rsid w:val="009E3113"/>
    <w:rsid w:val="009E4133"/>
    <w:rsid w:val="009F1202"/>
    <w:rsid w:val="009F6089"/>
    <w:rsid w:val="00A13AAD"/>
    <w:rsid w:val="00A26DC3"/>
    <w:rsid w:val="00A272D5"/>
    <w:rsid w:val="00A325FA"/>
    <w:rsid w:val="00A415D2"/>
    <w:rsid w:val="00A4504C"/>
    <w:rsid w:val="00A54BE6"/>
    <w:rsid w:val="00A62082"/>
    <w:rsid w:val="00A6532E"/>
    <w:rsid w:val="00A65786"/>
    <w:rsid w:val="00A66790"/>
    <w:rsid w:val="00A67412"/>
    <w:rsid w:val="00A704E5"/>
    <w:rsid w:val="00A76C0A"/>
    <w:rsid w:val="00A87395"/>
    <w:rsid w:val="00A917AF"/>
    <w:rsid w:val="00A92F31"/>
    <w:rsid w:val="00A96E66"/>
    <w:rsid w:val="00AA3E1C"/>
    <w:rsid w:val="00AA4BE4"/>
    <w:rsid w:val="00AC20F9"/>
    <w:rsid w:val="00AC2235"/>
    <w:rsid w:val="00AC62B2"/>
    <w:rsid w:val="00AD32A3"/>
    <w:rsid w:val="00AD498A"/>
    <w:rsid w:val="00AF6AED"/>
    <w:rsid w:val="00AF7504"/>
    <w:rsid w:val="00B01379"/>
    <w:rsid w:val="00B07928"/>
    <w:rsid w:val="00B10218"/>
    <w:rsid w:val="00B215C7"/>
    <w:rsid w:val="00B21F14"/>
    <w:rsid w:val="00B232E9"/>
    <w:rsid w:val="00B2641B"/>
    <w:rsid w:val="00B31D70"/>
    <w:rsid w:val="00B4613D"/>
    <w:rsid w:val="00B47243"/>
    <w:rsid w:val="00B52298"/>
    <w:rsid w:val="00B54E5E"/>
    <w:rsid w:val="00B61941"/>
    <w:rsid w:val="00B65C59"/>
    <w:rsid w:val="00B72734"/>
    <w:rsid w:val="00B73480"/>
    <w:rsid w:val="00B91E30"/>
    <w:rsid w:val="00B93008"/>
    <w:rsid w:val="00BB10ED"/>
    <w:rsid w:val="00BB24B4"/>
    <w:rsid w:val="00BD1C23"/>
    <w:rsid w:val="00BE4BFC"/>
    <w:rsid w:val="00BF08EF"/>
    <w:rsid w:val="00BF177C"/>
    <w:rsid w:val="00C00401"/>
    <w:rsid w:val="00C02C2B"/>
    <w:rsid w:val="00C05444"/>
    <w:rsid w:val="00C1270E"/>
    <w:rsid w:val="00C21978"/>
    <w:rsid w:val="00C32B4B"/>
    <w:rsid w:val="00C3373E"/>
    <w:rsid w:val="00C37291"/>
    <w:rsid w:val="00C41CAB"/>
    <w:rsid w:val="00C51360"/>
    <w:rsid w:val="00C64748"/>
    <w:rsid w:val="00C76A5D"/>
    <w:rsid w:val="00C77A99"/>
    <w:rsid w:val="00C95874"/>
    <w:rsid w:val="00C96AD3"/>
    <w:rsid w:val="00CA0E56"/>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7742"/>
    <w:rsid w:val="00D52C05"/>
    <w:rsid w:val="00D7234C"/>
    <w:rsid w:val="00D80D82"/>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30404"/>
    <w:rsid w:val="00E32858"/>
    <w:rsid w:val="00E4329E"/>
    <w:rsid w:val="00E44DD5"/>
    <w:rsid w:val="00E521AB"/>
    <w:rsid w:val="00E53819"/>
    <w:rsid w:val="00E55E96"/>
    <w:rsid w:val="00E604CD"/>
    <w:rsid w:val="00E652EA"/>
    <w:rsid w:val="00E67DE9"/>
    <w:rsid w:val="00E762E9"/>
    <w:rsid w:val="00E8589E"/>
    <w:rsid w:val="00E90688"/>
    <w:rsid w:val="00EA2144"/>
    <w:rsid w:val="00EA26A5"/>
    <w:rsid w:val="00EA6CD0"/>
    <w:rsid w:val="00EB38B0"/>
    <w:rsid w:val="00EB4EB5"/>
    <w:rsid w:val="00EC08CE"/>
    <w:rsid w:val="00EC1F0E"/>
    <w:rsid w:val="00EC2AEA"/>
    <w:rsid w:val="00EC418C"/>
    <w:rsid w:val="00EF16F5"/>
    <w:rsid w:val="00EF22BB"/>
    <w:rsid w:val="00EF5512"/>
    <w:rsid w:val="00EF6B62"/>
    <w:rsid w:val="00EF74E9"/>
    <w:rsid w:val="00F17C81"/>
    <w:rsid w:val="00F20883"/>
    <w:rsid w:val="00F259FB"/>
    <w:rsid w:val="00F31126"/>
    <w:rsid w:val="00F44C04"/>
    <w:rsid w:val="00F4546D"/>
    <w:rsid w:val="00F46E80"/>
    <w:rsid w:val="00F476E5"/>
    <w:rsid w:val="00F520F0"/>
    <w:rsid w:val="00F65ED7"/>
    <w:rsid w:val="00F7235A"/>
    <w:rsid w:val="00F7521F"/>
    <w:rsid w:val="00F834B3"/>
    <w:rsid w:val="00F92AF7"/>
    <w:rsid w:val="00F93702"/>
    <w:rsid w:val="00F9465B"/>
    <w:rsid w:val="00FA5700"/>
    <w:rsid w:val="00FB5ADB"/>
    <w:rsid w:val="00FC0BD9"/>
    <w:rsid w:val="00FC4FD8"/>
    <w:rsid w:val="00FC68B2"/>
    <w:rsid w:val="00FC7557"/>
    <w:rsid w:val="00FC7EFA"/>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A4CD-E37D-4E9B-A18E-041108BE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1392</Words>
  <Characters>10483</Characters>
  <Application>Microsoft Office Word</Application>
  <DocSecurity>0</DocSecurity>
  <Lines>273</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IZM</Company>
  <LinksUpToDate>false</LinksUpToDate>
  <CharactersWithSpaces>11859</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Aija Riba (IZM)</dc:creator>
  <cp:keywords/>
  <dc:description>tel.:67047906; e-pasts: aija.riba@izm.gov.lv</dc:description>
  <cp:lastModifiedBy>Aija Riba</cp:lastModifiedBy>
  <cp:revision>97</cp:revision>
  <cp:lastPrinted>2015-01-13T12:23:00Z</cp:lastPrinted>
  <dcterms:created xsi:type="dcterms:W3CDTF">2016-05-09T12:06:00Z</dcterms:created>
  <dcterms:modified xsi:type="dcterms:W3CDTF">2017-01-26T07:09:00Z</dcterms:modified>
</cp:coreProperties>
</file>