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5A18C" w14:textId="77777777" w:rsidR="00362F1D" w:rsidRPr="00667285" w:rsidRDefault="00362F1D" w:rsidP="00756A2C">
      <w:pPr>
        <w:pStyle w:val="naislab"/>
        <w:spacing w:before="0" w:after="0"/>
        <w:jc w:val="center"/>
        <w:rPr>
          <w:b/>
          <w:bCs/>
          <w:sz w:val="28"/>
          <w:szCs w:val="28"/>
        </w:rPr>
      </w:pPr>
      <w:r w:rsidRPr="00667285">
        <w:rPr>
          <w:b/>
          <w:bCs/>
          <w:sz w:val="28"/>
          <w:szCs w:val="28"/>
        </w:rPr>
        <w:t>Ministru kabineta noteikumu projekta</w:t>
      </w:r>
    </w:p>
    <w:p w14:paraId="4FAC7DFA" w14:textId="77777777" w:rsidR="00B267A1" w:rsidRDefault="00756A2C" w:rsidP="00756A2C">
      <w:pPr>
        <w:pStyle w:val="naislab"/>
        <w:spacing w:before="0" w:after="0"/>
        <w:jc w:val="center"/>
        <w:rPr>
          <w:b/>
          <w:bCs/>
          <w:sz w:val="28"/>
          <w:szCs w:val="28"/>
        </w:rPr>
      </w:pPr>
      <w:r>
        <w:rPr>
          <w:b/>
          <w:bCs/>
          <w:sz w:val="28"/>
          <w:szCs w:val="28"/>
        </w:rPr>
        <w:t>"</w:t>
      </w:r>
      <w:r w:rsidR="00A20CBC">
        <w:rPr>
          <w:b/>
          <w:bCs/>
          <w:sz w:val="28"/>
          <w:szCs w:val="28"/>
        </w:rPr>
        <w:t>Valdības komunikācijas koordinācijas padomes nolikums</w:t>
      </w:r>
      <w:r w:rsidR="004F67D8">
        <w:rPr>
          <w:b/>
          <w:bCs/>
          <w:sz w:val="28"/>
          <w:szCs w:val="28"/>
        </w:rPr>
        <w:t>"</w:t>
      </w:r>
      <w:r w:rsidR="00362F1D" w:rsidRPr="00667285">
        <w:rPr>
          <w:b/>
          <w:bCs/>
          <w:sz w:val="28"/>
          <w:szCs w:val="28"/>
        </w:rPr>
        <w:t xml:space="preserve"> </w:t>
      </w:r>
    </w:p>
    <w:p w14:paraId="6E436D45" w14:textId="2769C0BE" w:rsidR="00362F1D" w:rsidRDefault="00362F1D" w:rsidP="00756A2C">
      <w:pPr>
        <w:pStyle w:val="naislab"/>
        <w:spacing w:before="0" w:after="0"/>
        <w:jc w:val="center"/>
        <w:rPr>
          <w:b/>
          <w:bCs/>
          <w:sz w:val="28"/>
          <w:szCs w:val="28"/>
        </w:rPr>
      </w:pPr>
      <w:r w:rsidRPr="00667285">
        <w:rPr>
          <w:b/>
          <w:bCs/>
          <w:sz w:val="28"/>
          <w:szCs w:val="28"/>
        </w:rPr>
        <w:t>sākotnējās ietekmes novērtējuma ziņojums (anotācija)</w:t>
      </w:r>
    </w:p>
    <w:p w14:paraId="5CFCBE4C" w14:textId="77777777" w:rsidR="00B267A1" w:rsidRPr="00B267A1" w:rsidRDefault="00B267A1" w:rsidP="00756A2C">
      <w:pPr>
        <w:pStyle w:val="naislab"/>
        <w:spacing w:before="0" w:after="0"/>
        <w:jc w:val="center"/>
        <w:rPr>
          <w:bCs/>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93"/>
        <w:gridCol w:w="6601"/>
      </w:tblGrid>
      <w:tr w:rsidR="00852042" w:rsidRPr="00667285" w14:paraId="14C61155" w14:textId="77777777" w:rsidTr="008107EC">
        <w:tc>
          <w:tcPr>
            <w:tcW w:w="9725" w:type="dxa"/>
            <w:gridSpan w:val="3"/>
            <w:vAlign w:val="center"/>
          </w:tcPr>
          <w:p w14:paraId="2BC3E21C" w14:textId="77777777" w:rsidR="00852042" w:rsidRPr="00756A2C" w:rsidRDefault="00852042" w:rsidP="00756A2C">
            <w:pPr>
              <w:pStyle w:val="naisnod"/>
              <w:spacing w:before="0" w:after="0"/>
            </w:pPr>
            <w:r w:rsidRPr="00756A2C">
              <w:t>I</w:t>
            </w:r>
            <w:r w:rsidR="000941C5" w:rsidRPr="00756A2C">
              <w:t>.</w:t>
            </w:r>
            <w:r w:rsidRPr="00756A2C">
              <w:t xml:space="preserve"> Tiesību akta </w:t>
            </w:r>
            <w:r w:rsidR="002E3FF4" w:rsidRPr="00756A2C">
              <w:t xml:space="preserve">projekta </w:t>
            </w:r>
            <w:r w:rsidRPr="00756A2C">
              <w:t>izstrādes nepieciešamība</w:t>
            </w:r>
          </w:p>
        </w:tc>
      </w:tr>
      <w:tr w:rsidR="00262E2B" w:rsidRPr="00667285" w14:paraId="33DC5A4E" w14:textId="77777777" w:rsidTr="00A12D88">
        <w:trPr>
          <w:trHeight w:val="630"/>
        </w:trPr>
        <w:tc>
          <w:tcPr>
            <w:tcW w:w="431" w:type="dxa"/>
          </w:tcPr>
          <w:p w14:paraId="0D93B676" w14:textId="77777777" w:rsidR="00262E2B" w:rsidRPr="00756A2C" w:rsidRDefault="00262E2B" w:rsidP="00CA700B">
            <w:pPr>
              <w:pStyle w:val="naiskr"/>
              <w:spacing w:before="0" w:after="0"/>
              <w:jc w:val="center"/>
            </w:pPr>
            <w:r w:rsidRPr="00756A2C">
              <w:t>1.</w:t>
            </w:r>
          </w:p>
        </w:tc>
        <w:tc>
          <w:tcPr>
            <w:tcW w:w="2693" w:type="dxa"/>
          </w:tcPr>
          <w:p w14:paraId="76CB7267" w14:textId="77777777" w:rsidR="00262E2B" w:rsidRPr="00756A2C" w:rsidRDefault="002D7F54" w:rsidP="00756A2C">
            <w:pPr>
              <w:pStyle w:val="naiskr"/>
              <w:spacing w:before="0" w:after="0"/>
              <w:ind w:left="164" w:hanging="10"/>
            </w:pPr>
            <w:r w:rsidRPr="00756A2C">
              <w:t>Pamatojums</w:t>
            </w:r>
          </w:p>
        </w:tc>
        <w:tc>
          <w:tcPr>
            <w:tcW w:w="6601" w:type="dxa"/>
          </w:tcPr>
          <w:p w14:paraId="75F0D9B1" w14:textId="611AB518" w:rsidR="00972875" w:rsidRPr="00756A2C" w:rsidRDefault="00EB2ACB" w:rsidP="00756A2C">
            <w:pPr>
              <w:ind w:left="142" w:right="222"/>
              <w:jc w:val="both"/>
            </w:pPr>
            <w:r w:rsidRPr="00756A2C">
              <w:t xml:space="preserve">Ministru kabineta noteikumu projekts </w:t>
            </w:r>
            <w:r w:rsidR="00756A2C">
              <w:t>"</w:t>
            </w:r>
            <w:r w:rsidR="00A20CBC" w:rsidRPr="00756A2C">
              <w:t>Valdības komunikācijas koordinācijas padomes nolikums</w:t>
            </w:r>
            <w:r w:rsidR="00756A2C">
              <w:t>"</w:t>
            </w:r>
            <w:r w:rsidRPr="00756A2C">
              <w:t xml:space="preserve"> (turpmāk – noteikumu projekts) ir izstrādāts </w:t>
            </w:r>
            <w:r w:rsidR="00A20CBC" w:rsidRPr="00756A2C">
              <w:t>pēc Valsts kancelejas iniciatīvas</w:t>
            </w:r>
          </w:p>
        </w:tc>
      </w:tr>
      <w:tr w:rsidR="00262E2B" w:rsidRPr="00667285" w14:paraId="267A104C" w14:textId="77777777" w:rsidTr="00A12D88">
        <w:trPr>
          <w:trHeight w:val="472"/>
        </w:trPr>
        <w:tc>
          <w:tcPr>
            <w:tcW w:w="431" w:type="dxa"/>
          </w:tcPr>
          <w:p w14:paraId="278137AE" w14:textId="77777777" w:rsidR="00262E2B" w:rsidRPr="00756A2C" w:rsidRDefault="00262E2B" w:rsidP="00CA700B">
            <w:pPr>
              <w:pStyle w:val="naiskr"/>
              <w:spacing w:before="0" w:after="0"/>
              <w:jc w:val="center"/>
            </w:pPr>
            <w:r w:rsidRPr="00756A2C">
              <w:t>2.</w:t>
            </w:r>
          </w:p>
        </w:tc>
        <w:tc>
          <w:tcPr>
            <w:tcW w:w="2693" w:type="dxa"/>
          </w:tcPr>
          <w:p w14:paraId="2341E3C8" w14:textId="77777777" w:rsidR="00262E2B" w:rsidRPr="00756A2C" w:rsidRDefault="00262E2B" w:rsidP="00756A2C">
            <w:pPr>
              <w:pStyle w:val="naiskr"/>
              <w:tabs>
                <w:tab w:val="left" w:pos="170"/>
              </w:tabs>
              <w:spacing w:before="0" w:after="0"/>
              <w:ind w:left="164"/>
            </w:pPr>
            <w:r w:rsidRPr="00756A2C">
              <w:t>Pašreizējā situācija</w:t>
            </w:r>
            <w:r w:rsidR="001F5CD6" w:rsidRPr="00756A2C">
              <w:t xml:space="preserve"> un problēmas</w:t>
            </w:r>
            <w:r w:rsidR="00F64A6D" w:rsidRPr="00756A2C">
              <w:t xml:space="preserve">, </w:t>
            </w:r>
            <w:r w:rsidR="009C48AB" w:rsidRPr="00756A2C">
              <w:t xml:space="preserve">kuru risināšanai tiesību akta projekts izstrādāts, </w:t>
            </w:r>
            <w:r w:rsidR="00F64A6D" w:rsidRPr="00756A2C">
              <w:t>tiesiskā regulējuma mērķis un būtība</w:t>
            </w:r>
          </w:p>
        </w:tc>
        <w:tc>
          <w:tcPr>
            <w:tcW w:w="6601" w:type="dxa"/>
          </w:tcPr>
          <w:p w14:paraId="69685443" w14:textId="253C1EAA" w:rsidR="00A47952" w:rsidRPr="00A47952" w:rsidRDefault="00A47952" w:rsidP="00A47952">
            <w:pPr>
              <w:tabs>
                <w:tab w:val="left" w:pos="700"/>
              </w:tabs>
              <w:ind w:left="142" w:right="222"/>
              <w:jc w:val="both"/>
              <w:rPr>
                <w:iCs/>
              </w:rPr>
            </w:pPr>
            <w:r w:rsidRPr="00A47952">
              <w:rPr>
                <w:iCs/>
              </w:rPr>
              <w:t>Valdības komunikācijas koordinācijas padomes funkcijas, tiesības un uzdevumi noteikti Ministru kabineta 2006.</w:t>
            </w:r>
            <w:r w:rsidR="00F22AF6">
              <w:rPr>
                <w:iCs/>
              </w:rPr>
              <w:t> </w:t>
            </w:r>
            <w:r w:rsidRPr="00A47952">
              <w:rPr>
                <w:iCs/>
              </w:rPr>
              <w:t>gada 21.</w:t>
            </w:r>
            <w:r w:rsidR="00F22AF6">
              <w:rPr>
                <w:iCs/>
              </w:rPr>
              <w:t> </w:t>
            </w:r>
            <w:r w:rsidRPr="00A47952">
              <w:rPr>
                <w:iCs/>
              </w:rPr>
              <w:t>marta noteikumos Nr.</w:t>
            </w:r>
            <w:r w:rsidR="00F22AF6">
              <w:rPr>
                <w:iCs/>
              </w:rPr>
              <w:t> </w:t>
            </w:r>
            <w:r w:rsidRPr="00A47952">
              <w:rPr>
                <w:iCs/>
              </w:rPr>
              <w:t xml:space="preserve">222 "Valdības komunikācijas koordinācijas padomes nolikums". </w:t>
            </w:r>
          </w:p>
          <w:p w14:paraId="627577FD" w14:textId="73A1276B" w:rsidR="00A47952" w:rsidRPr="00A47952" w:rsidRDefault="00A47952" w:rsidP="00A47952">
            <w:pPr>
              <w:tabs>
                <w:tab w:val="left" w:pos="700"/>
              </w:tabs>
              <w:ind w:left="142" w:right="222"/>
              <w:jc w:val="both"/>
              <w:rPr>
                <w:iCs/>
              </w:rPr>
            </w:pPr>
            <w:r w:rsidRPr="00A47952">
              <w:rPr>
                <w:iCs/>
              </w:rPr>
              <w:t xml:space="preserve">Izvērtējot </w:t>
            </w:r>
            <w:r w:rsidR="00F22AF6">
              <w:rPr>
                <w:iCs/>
              </w:rPr>
              <w:t xml:space="preserve">spēkā </w:t>
            </w:r>
            <w:r w:rsidRPr="00A47952">
              <w:rPr>
                <w:iCs/>
              </w:rPr>
              <w:t xml:space="preserve">esošo Ministru kabineta </w:t>
            </w:r>
            <w:r w:rsidR="00F22AF6">
              <w:rPr>
                <w:iCs/>
              </w:rPr>
              <w:t xml:space="preserve">(turpmāk – MK) </w:t>
            </w:r>
            <w:r w:rsidRPr="00A47952">
              <w:rPr>
                <w:iCs/>
              </w:rPr>
              <w:t xml:space="preserve">noteikumu lietderību, kā arī līdzšinējo padomes darbību, Valsts kanceleja secināja, ka daļa nolikumā minēto prasību ir novecojušas un nesniedz rezultātu. Tāpat, ņemot vērā nepieciešamo labojumu apjomu, saskaņā ar efektīvu pārvaldību nolemts sagatavot jaunu tiesību akta projektu. </w:t>
            </w:r>
          </w:p>
          <w:p w14:paraId="4F890318" w14:textId="20FC8660" w:rsidR="00A47952" w:rsidRPr="00A47952" w:rsidRDefault="00F22AF6" w:rsidP="00A47952">
            <w:pPr>
              <w:tabs>
                <w:tab w:val="left" w:pos="700"/>
              </w:tabs>
              <w:ind w:left="142" w:right="222"/>
              <w:jc w:val="both"/>
              <w:rPr>
                <w:iCs/>
              </w:rPr>
            </w:pPr>
            <w:r>
              <w:rPr>
                <w:iCs/>
              </w:rPr>
              <w:t>N</w:t>
            </w:r>
            <w:r w:rsidR="00A47952" w:rsidRPr="00A47952">
              <w:rPr>
                <w:iCs/>
              </w:rPr>
              <w:t xml:space="preserve">oteikumu projektā precizēta padomes definīcija, tās sastāvs, padomes veicamie uzdevumi, kā arī izslēgtas normas, kuras atzītas par neefektīvām un nerezultatīvām. </w:t>
            </w:r>
          </w:p>
          <w:p w14:paraId="564895EB" w14:textId="2EA391A1" w:rsidR="00A47952" w:rsidRPr="00A47952" w:rsidRDefault="00A47952" w:rsidP="00A47952">
            <w:pPr>
              <w:tabs>
                <w:tab w:val="left" w:pos="700"/>
              </w:tabs>
              <w:ind w:left="142" w:right="222"/>
              <w:jc w:val="both"/>
              <w:rPr>
                <w:iCs/>
              </w:rPr>
            </w:pPr>
            <w:r w:rsidRPr="00A47952">
              <w:rPr>
                <w:iCs/>
              </w:rPr>
              <w:t>Piemēram, MK noteikumos Nr.</w:t>
            </w:r>
            <w:r w:rsidR="00F22AF6">
              <w:rPr>
                <w:iCs/>
              </w:rPr>
              <w:t> </w:t>
            </w:r>
            <w:r w:rsidRPr="00A47952">
              <w:rPr>
                <w:iCs/>
              </w:rPr>
              <w:t xml:space="preserve">222 </w:t>
            </w:r>
            <w:r w:rsidR="00F22AF6">
              <w:rPr>
                <w:iCs/>
              </w:rPr>
              <w:t>"</w:t>
            </w:r>
            <w:r w:rsidRPr="00A47952">
              <w:rPr>
                <w:iCs/>
              </w:rPr>
              <w:t>Valdības komunikācijas koordinācijas padomes nolikums</w:t>
            </w:r>
            <w:r w:rsidR="00F22AF6">
              <w:rPr>
                <w:iCs/>
              </w:rPr>
              <w:t>"</w:t>
            </w:r>
            <w:r w:rsidRPr="00A47952">
              <w:rPr>
                <w:iCs/>
              </w:rPr>
              <w:t xml:space="preserve"> 3.3.</w:t>
            </w:r>
            <w:r w:rsidR="00F22AF6">
              <w:rPr>
                <w:iCs/>
              </w:rPr>
              <w:t> apakš</w:t>
            </w:r>
            <w:r w:rsidR="00F22AF6" w:rsidRPr="00A47952">
              <w:rPr>
                <w:iCs/>
              </w:rPr>
              <w:t>punkts</w:t>
            </w:r>
            <w:r w:rsidR="00F22AF6">
              <w:rPr>
                <w:iCs/>
              </w:rPr>
              <w:t xml:space="preserve"> </w:t>
            </w:r>
            <w:r w:rsidRPr="00A47952">
              <w:rPr>
                <w:iCs/>
              </w:rPr>
              <w:t>paredz padomei izskatīt ministriju un īpašu uzdevumu ministru sekretariātu komunikācijas struktūrvienību darba plānus un koordinēt to īstenošanu. Valsts kancelejas ieskatā institūcijas struktūrvienības darbības plāns ir tās iekšējā atbildība, kas nav novirzāma padomei. Tāpat iestādes darbības plāni tiek gatavoti saskaņā ar Valdības deklarācijā un Rīcības plānā noteiktajiem uzdevumiem un veicamajiem pasākumiem. Iestāde ir atbildīga arī par darbības plānā minēto pasākumu īstenošanu</w:t>
            </w:r>
            <w:r w:rsidR="00F22AF6">
              <w:rPr>
                <w:iCs/>
              </w:rPr>
              <w:t>.</w:t>
            </w:r>
            <w:r w:rsidRPr="00A47952">
              <w:rPr>
                <w:iCs/>
              </w:rPr>
              <w:t xml:space="preserve"> </w:t>
            </w:r>
            <w:r w:rsidR="00F22AF6">
              <w:rPr>
                <w:iCs/>
              </w:rPr>
              <w:t>P</w:t>
            </w:r>
            <w:r w:rsidRPr="00A47952">
              <w:rPr>
                <w:iCs/>
              </w:rPr>
              <w:t xml:space="preserve">adomes rīcība, izskatot un koordinējot plānā minēto uzdevumu īstenošanu, pārsniedz tās pilnvaras un ir traktējama kā iejaukšanās iestādes darbībā. </w:t>
            </w:r>
          </w:p>
          <w:p w14:paraId="39AC4F48" w14:textId="56A0B90A" w:rsidR="00A47952" w:rsidRPr="00A47952" w:rsidRDefault="00A47952" w:rsidP="00A47952">
            <w:pPr>
              <w:tabs>
                <w:tab w:val="left" w:pos="700"/>
              </w:tabs>
              <w:ind w:left="142" w:right="222"/>
              <w:jc w:val="both"/>
              <w:rPr>
                <w:iCs/>
              </w:rPr>
            </w:pPr>
            <w:r w:rsidRPr="00A47952">
              <w:rPr>
                <w:iCs/>
              </w:rPr>
              <w:t>No nolikuma ir izslēgta arī norma Ministru prezidentam ar rīkojumu apstiprināt padomes personālsastāvu, vienlaikus precizējot, ka padomes locekļi ir visu ministriju</w:t>
            </w:r>
            <w:r w:rsidR="00F22AF6">
              <w:rPr>
                <w:iCs/>
              </w:rPr>
              <w:t xml:space="preserve"> un</w:t>
            </w:r>
            <w:r w:rsidRPr="00A47952">
              <w:rPr>
                <w:iCs/>
              </w:rPr>
              <w:t xml:space="preserve"> </w:t>
            </w:r>
            <w:proofErr w:type="spellStart"/>
            <w:r w:rsidRPr="00A47952">
              <w:rPr>
                <w:iCs/>
              </w:rPr>
              <w:t>Pārresoru</w:t>
            </w:r>
            <w:proofErr w:type="spellEnd"/>
            <w:r w:rsidRPr="00A47952">
              <w:rPr>
                <w:iCs/>
              </w:rPr>
              <w:t xml:space="preserve"> koordinācijas centra komunikācijas struktūrvienību vadītāji. Tād</w:t>
            </w:r>
            <w:r w:rsidR="00CA700B">
              <w:rPr>
                <w:iCs/>
              </w:rPr>
              <w:t>ēj</w:t>
            </w:r>
            <w:r w:rsidRPr="00A47952">
              <w:rPr>
                <w:iCs/>
              </w:rPr>
              <w:t>ā</w:t>
            </w:r>
            <w:r w:rsidR="00CA700B">
              <w:rPr>
                <w:iCs/>
              </w:rPr>
              <w:t>di</w:t>
            </w:r>
            <w:r w:rsidRPr="00A47952">
              <w:rPr>
                <w:iCs/>
              </w:rPr>
              <w:t xml:space="preserve"> tiek mazināts administratīvais slogs</w:t>
            </w:r>
            <w:r w:rsidR="00CA700B">
              <w:rPr>
                <w:iCs/>
              </w:rPr>
              <w:t>, jo</w:t>
            </w:r>
            <w:r w:rsidRPr="00A47952">
              <w:rPr>
                <w:iCs/>
              </w:rPr>
              <w:t xml:space="preserve"> līdz ar personāla maiņu institūcijās </w:t>
            </w:r>
            <w:r w:rsidR="00CA700B">
              <w:rPr>
                <w:iCs/>
              </w:rPr>
              <w:t xml:space="preserve">nav nepieciešams izdarīt </w:t>
            </w:r>
            <w:r w:rsidRPr="00A47952">
              <w:rPr>
                <w:iCs/>
              </w:rPr>
              <w:t>grozī</w:t>
            </w:r>
            <w:r w:rsidR="00CA700B">
              <w:rPr>
                <w:iCs/>
              </w:rPr>
              <w:t>jumus</w:t>
            </w:r>
            <w:r w:rsidRPr="00A47952">
              <w:rPr>
                <w:iCs/>
              </w:rPr>
              <w:t xml:space="preserve"> Ministru prezidenta rīkojum</w:t>
            </w:r>
            <w:r w:rsidR="00CA700B">
              <w:rPr>
                <w:iCs/>
              </w:rPr>
              <w:t>ā</w:t>
            </w:r>
            <w:r w:rsidRPr="00A47952">
              <w:rPr>
                <w:iCs/>
              </w:rPr>
              <w:t xml:space="preserve"> par padomes personālsastāvu. </w:t>
            </w:r>
          </w:p>
          <w:p w14:paraId="226A611D" w14:textId="77777777" w:rsidR="00A47952" w:rsidRPr="00A47952" w:rsidRDefault="00A47952" w:rsidP="00A47952">
            <w:pPr>
              <w:tabs>
                <w:tab w:val="left" w:pos="700"/>
              </w:tabs>
              <w:ind w:left="142" w:right="222"/>
              <w:jc w:val="both"/>
              <w:rPr>
                <w:iCs/>
              </w:rPr>
            </w:pPr>
          </w:p>
          <w:p w14:paraId="661C54D9" w14:textId="77777777" w:rsidR="00A47952" w:rsidRPr="00A47952" w:rsidRDefault="00A47952" w:rsidP="00A47952">
            <w:pPr>
              <w:tabs>
                <w:tab w:val="left" w:pos="700"/>
              </w:tabs>
              <w:ind w:left="142" w:right="222"/>
              <w:jc w:val="both"/>
              <w:rPr>
                <w:iCs/>
              </w:rPr>
            </w:pPr>
            <w:r w:rsidRPr="00A47952">
              <w:rPr>
                <w:iCs/>
              </w:rPr>
              <w:t xml:space="preserve">Valdības komunikācijas koordinācijas padome ir konsultatīva koleģiāla institūcija, kuras mērķis ir koordinēt ministriju darbību komunikācijas jomā, lai veicinātu sabiedrības iesaistīšanu lēmumu pieņemšanas procesā un pilnveidotu sabiedrības informēšanas procesu par valdības un valsts pārvaldes institūciju darbu. </w:t>
            </w:r>
          </w:p>
          <w:p w14:paraId="01EAC451" w14:textId="67EFF553" w:rsidR="007E14C0" w:rsidRPr="00756A2C" w:rsidRDefault="00A47952" w:rsidP="00A47952">
            <w:pPr>
              <w:tabs>
                <w:tab w:val="left" w:pos="700"/>
              </w:tabs>
              <w:ind w:left="142" w:right="222"/>
              <w:jc w:val="both"/>
              <w:rPr>
                <w:color w:val="FF0000"/>
              </w:rPr>
            </w:pPr>
            <w:r w:rsidRPr="00A47952">
              <w:rPr>
                <w:iCs/>
              </w:rPr>
              <w:lastRenderedPageBreak/>
              <w:t>Valsts pārvaldes iestāžu komunikācijas savstarpēja koordinācija nepieciešama, lai informētu un izglītotu sabiedrību par valdības pieņemtajiem lēmumiem, kā arī lai veicinātu pilsonisko līdzdarbību un sabiedrības iesaisti lēmumu pieņemšanas procesos</w:t>
            </w:r>
          </w:p>
        </w:tc>
      </w:tr>
      <w:tr w:rsidR="00EB2ACB" w:rsidRPr="00667285" w14:paraId="3867B54A" w14:textId="77777777" w:rsidTr="00A12D88">
        <w:trPr>
          <w:trHeight w:val="476"/>
        </w:trPr>
        <w:tc>
          <w:tcPr>
            <w:tcW w:w="431" w:type="dxa"/>
          </w:tcPr>
          <w:p w14:paraId="33D00848" w14:textId="77777777" w:rsidR="000078D2" w:rsidRPr="00756A2C" w:rsidRDefault="00222A5F" w:rsidP="00CA700B">
            <w:pPr>
              <w:pStyle w:val="naiskr"/>
              <w:spacing w:before="0" w:after="0"/>
              <w:jc w:val="center"/>
            </w:pPr>
            <w:r w:rsidRPr="00756A2C">
              <w:lastRenderedPageBreak/>
              <w:t>3</w:t>
            </w:r>
            <w:r w:rsidR="000078D2" w:rsidRPr="00756A2C">
              <w:t>.</w:t>
            </w:r>
          </w:p>
        </w:tc>
        <w:tc>
          <w:tcPr>
            <w:tcW w:w="2693" w:type="dxa"/>
          </w:tcPr>
          <w:p w14:paraId="4EDA8660" w14:textId="77777777" w:rsidR="000078D2" w:rsidRPr="00756A2C" w:rsidRDefault="000078D2" w:rsidP="00756A2C">
            <w:pPr>
              <w:pStyle w:val="naiskr"/>
              <w:spacing w:before="0" w:after="0"/>
              <w:ind w:left="164"/>
            </w:pPr>
            <w:r w:rsidRPr="00756A2C">
              <w:t>Projekta izstrādē iesaistītās institūcijas</w:t>
            </w:r>
          </w:p>
        </w:tc>
        <w:tc>
          <w:tcPr>
            <w:tcW w:w="6601" w:type="dxa"/>
          </w:tcPr>
          <w:p w14:paraId="3061F102" w14:textId="36570F0A" w:rsidR="000078D2" w:rsidRPr="00756A2C" w:rsidRDefault="00CC4527" w:rsidP="00756A2C">
            <w:pPr>
              <w:pStyle w:val="naiskr"/>
              <w:spacing w:before="0" w:after="0"/>
              <w:ind w:left="142" w:right="222"/>
              <w:jc w:val="both"/>
            </w:pPr>
            <w:r w:rsidRPr="00756A2C">
              <w:t>Noteikumu projekts izskatīts Valdības komunikācijas koordinācijas padomes sēdē 2016.</w:t>
            </w:r>
            <w:r w:rsidR="00756A2C">
              <w:t> </w:t>
            </w:r>
            <w:r w:rsidRPr="00756A2C">
              <w:t>gada 22.</w:t>
            </w:r>
            <w:r w:rsidR="00756A2C">
              <w:t> </w:t>
            </w:r>
            <w:r w:rsidRPr="00756A2C">
              <w:t>aprīlī</w:t>
            </w:r>
          </w:p>
        </w:tc>
      </w:tr>
      <w:tr w:rsidR="00EB2ACB" w:rsidRPr="00667285" w14:paraId="51509890" w14:textId="77777777" w:rsidTr="00A12D88">
        <w:tc>
          <w:tcPr>
            <w:tcW w:w="431" w:type="dxa"/>
          </w:tcPr>
          <w:p w14:paraId="7DA2B05F" w14:textId="77777777" w:rsidR="000078D2" w:rsidRPr="00756A2C" w:rsidRDefault="00C80B56" w:rsidP="00CA700B">
            <w:pPr>
              <w:pStyle w:val="naiskr"/>
              <w:spacing w:before="0" w:after="0"/>
              <w:jc w:val="center"/>
            </w:pPr>
            <w:r w:rsidRPr="00756A2C">
              <w:t>4</w:t>
            </w:r>
            <w:r w:rsidR="000078D2" w:rsidRPr="00756A2C">
              <w:t>.</w:t>
            </w:r>
          </w:p>
        </w:tc>
        <w:tc>
          <w:tcPr>
            <w:tcW w:w="2693" w:type="dxa"/>
          </w:tcPr>
          <w:p w14:paraId="65551A34" w14:textId="77777777" w:rsidR="000078D2" w:rsidRPr="00756A2C" w:rsidRDefault="000078D2" w:rsidP="00756A2C">
            <w:pPr>
              <w:pStyle w:val="naiskr"/>
              <w:spacing w:before="0" w:after="0"/>
              <w:ind w:left="164"/>
            </w:pPr>
            <w:r w:rsidRPr="00756A2C">
              <w:t>Cita informācija</w:t>
            </w:r>
          </w:p>
        </w:tc>
        <w:tc>
          <w:tcPr>
            <w:tcW w:w="6601" w:type="dxa"/>
          </w:tcPr>
          <w:p w14:paraId="0CDB3A19" w14:textId="319FF3A4" w:rsidR="000078D2" w:rsidRPr="00756A2C" w:rsidRDefault="000078D2" w:rsidP="00756A2C">
            <w:pPr>
              <w:pStyle w:val="naiskr"/>
              <w:spacing w:before="0" w:after="0"/>
              <w:ind w:left="142"/>
            </w:pPr>
            <w:r w:rsidRPr="00756A2C">
              <w:t>Nav</w:t>
            </w:r>
          </w:p>
        </w:tc>
      </w:tr>
    </w:tbl>
    <w:p w14:paraId="1BF9B118" w14:textId="77777777" w:rsidR="00AC315F" w:rsidRPr="00B267A1" w:rsidRDefault="00AC315F" w:rsidP="00756A2C">
      <w:pPr>
        <w:pStyle w:val="naiskr"/>
        <w:tabs>
          <w:tab w:val="left" w:pos="2628"/>
        </w:tabs>
        <w:spacing w:before="0" w:after="0"/>
      </w:pPr>
    </w:p>
    <w:tbl>
      <w:tblPr>
        <w:tblpPr w:leftFromText="180" w:rightFromText="180" w:vertAnchor="text" w:tblpX="-274"/>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
        <w:gridCol w:w="2678"/>
        <w:gridCol w:w="6526"/>
      </w:tblGrid>
      <w:tr w:rsidR="00317270" w:rsidRPr="00756A2C" w14:paraId="10173AF8" w14:textId="77777777" w:rsidTr="007D0DE8">
        <w:trPr>
          <w:trHeight w:val="195"/>
        </w:trPr>
        <w:tc>
          <w:tcPr>
            <w:tcW w:w="9640" w:type="dxa"/>
            <w:gridSpan w:val="3"/>
            <w:vAlign w:val="center"/>
            <w:hideMark/>
          </w:tcPr>
          <w:p w14:paraId="0B6A8259" w14:textId="669BC468" w:rsidR="00317270" w:rsidRPr="00756A2C" w:rsidRDefault="00317270" w:rsidP="00756A2C">
            <w:pPr>
              <w:pStyle w:val="naisnod"/>
              <w:spacing w:before="0" w:after="0"/>
            </w:pPr>
            <w:r w:rsidRPr="00756A2C">
              <w:t xml:space="preserve">II. Tiesību akta projekta ietekme uz sabiedrību, tautsaimniecības attīstību un </w:t>
            </w:r>
            <w:r w:rsidR="00F22AF6">
              <w:br/>
            </w:r>
            <w:r w:rsidRPr="00756A2C">
              <w:t>administratīvo slogu</w:t>
            </w:r>
          </w:p>
        </w:tc>
      </w:tr>
      <w:tr w:rsidR="00317270" w:rsidRPr="00756A2C" w14:paraId="1F46A86D" w14:textId="77777777" w:rsidTr="007D0DE8">
        <w:trPr>
          <w:trHeight w:val="331"/>
        </w:trPr>
        <w:tc>
          <w:tcPr>
            <w:tcW w:w="436" w:type="dxa"/>
            <w:hideMark/>
          </w:tcPr>
          <w:p w14:paraId="663DFD21" w14:textId="77777777" w:rsidR="00317270" w:rsidRPr="00756A2C" w:rsidRDefault="00317270" w:rsidP="00CA700B">
            <w:pPr>
              <w:pStyle w:val="naiskr"/>
              <w:spacing w:before="0" w:after="0"/>
              <w:jc w:val="center"/>
            </w:pPr>
            <w:r w:rsidRPr="00756A2C">
              <w:t>1.</w:t>
            </w:r>
          </w:p>
        </w:tc>
        <w:tc>
          <w:tcPr>
            <w:tcW w:w="2678" w:type="dxa"/>
            <w:hideMark/>
          </w:tcPr>
          <w:p w14:paraId="7324CE4D" w14:textId="77777777" w:rsidR="00317270" w:rsidRPr="00756A2C" w:rsidRDefault="00317270" w:rsidP="00756A2C">
            <w:pPr>
              <w:pStyle w:val="naiskr"/>
              <w:spacing w:before="0" w:after="0"/>
              <w:ind w:left="141"/>
            </w:pPr>
            <w:r w:rsidRPr="00756A2C">
              <w:t>Sabiedrības mērķgrupas, kuras tiesiskais regulējums ietekmē vai varētu ietekmēt</w:t>
            </w:r>
          </w:p>
        </w:tc>
        <w:tc>
          <w:tcPr>
            <w:tcW w:w="6526" w:type="dxa"/>
            <w:hideMark/>
          </w:tcPr>
          <w:p w14:paraId="5AD7AE4D" w14:textId="2C2CBEC8" w:rsidR="00317270" w:rsidRPr="00756A2C" w:rsidRDefault="00317270" w:rsidP="00B267A1">
            <w:pPr>
              <w:pStyle w:val="naiskr"/>
              <w:spacing w:before="0" w:after="0"/>
              <w:ind w:left="157" w:right="132"/>
              <w:jc w:val="both"/>
            </w:pPr>
            <w:r w:rsidRPr="00756A2C">
              <w:t>Projektā ietvertais tiesiskais regulējums attiecināms uz Valsts kanceleju, Aizsardzības</w:t>
            </w:r>
            <w:r w:rsidR="00DC1076">
              <w:t xml:space="preserve"> </w:t>
            </w:r>
            <w:r w:rsidR="00DC1076" w:rsidRPr="00756A2C">
              <w:t>ministrij</w:t>
            </w:r>
            <w:r w:rsidR="00DC1076">
              <w:t>u</w:t>
            </w:r>
            <w:r w:rsidRPr="00756A2C">
              <w:t>, Ārlietu</w:t>
            </w:r>
            <w:r w:rsidR="00DC1076" w:rsidRPr="00756A2C">
              <w:t xml:space="preserve"> </w:t>
            </w:r>
            <w:r w:rsidR="00DC1076" w:rsidRPr="00756A2C">
              <w:t>ministrij</w:t>
            </w:r>
            <w:r w:rsidR="00DC1076">
              <w:t>u</w:t>
            </w:r>
            <w:r w:rsidRPr="00756A2C">
              <w:t>, Ekonomikas</w:t>
            </w:r>
            <w:r w:rsidR="00DC1076" w:rsidRPr="00756A2C">
              <w:t xml:space="preserve"> </w:t>
            </w:r>
            <w:r w:rsidR="00DC1076" w:rsidRPr="00756A2C">
              <w:t>ministrij</w:t>
            </w:r>
            <w:r w:rsidR="00DC1076">
              <w:t>u</w:t>
            </w:r>
            <w:r w:rsidRPr="00756A2C">
              <w:t>, Finanšu</w:t>
            </w:r>
            <w:r w:rsidR="00DC1076" w:rsidRPr="00756A2C">
              <w:t xml:space="preserve"> </w:t>
            </w:r>
            <w:r w:rsidR="00DC1076" w:rsidRPr="00756A2C">
              <w:t>ministrij</w:t>
            </w:r>
            <w:r w:rsidR="00DC1076">
              <w:t>u</w:t>
            </w:r>
            <w:r w:rsidRPr="00756A2C">
              <w:t>, Iekšlietu</w:t>
            </w:r>
            <w:r w:rsidR="00DC1076" w:rsidRPr="00756A2C">
              <w:t xml:space="preserve"> </w:t>
            </w:r>
            <w:r w:rsidR="00DC1076" w:rsidRPr="00756A2C">
              <w:t>ministrij</w:t>
            </w:r>
            <w:r w:rsidR="00DC1076">
              <w:t>u</w:t>
            </w:r>
            <w:r w:rsidRPr="00756A2C">
              <w:t>, Izglītības un zinātnes</w:t>
            </w:r>
            <w:r w:rsidR="00DC1076" w:rsidRPr="00756A2C">
              <w:t xml:space="preserve"> </w:t>
            </w:r>
            <w:r w:rsidR="00DC1076" w:rsidRPr="00756A2C">
              <w:t>ministrij</w:t>
            </w:r>
            <w:r w:rsidR="00DC1076">
              <w:t>u</w:t>
            </w:r>
            <w:r w:rsidRPr="00756A2C">
              <w:t>, Kultūras</w:t>
            </w:r>
            <w:r w:rsidR="00DC1076" w:rsidRPr="00756A2C">
              <w:t xml:space="preserve"> </w:t>
            </w:r>
            <w:r w:rsidR="00DC1076" w:rsidRPr="00756A2C">
              <w:t>ministrij</w:t>
            </w:r>
            <w:r w:rsidR="00DC1076">
              <w:t>u</w:t>
            </w:r>
            <w:r w:rsidRPr="00756A2C">
              <w:t>, Labklājības</w:t>
            </w:r>
            <w:r w:rsidR="00DC1076" w:rsidRPr="00756A2C">
              <w:t xml:space="preserve"> </w:t>
            </w:r>
            <w:r w:rsidR="00DC1076" w:rsidRPr="00756A2C">
              <w:t>ministrij</w:t>
            </w:r>
            <w:r w:rsidR="00DC1076">
              <w:t>u</w:t>
            </w:r>
            <w:r w:rsidRPr="00756A2C">
              <w:t>, Satiksmes</w:t>
            </w:r>
            <w:r w:rsidR="00DC1076" w:rsidRPr="00756A2C">
              <w:t xml:space="preserve"> </w:t>
            </w:r>
            <w:r w:rsidR="00DC1076" w:rsidRPr="00756A2C">
              <w:t>ministrij</w:t>
            </w:r>
            <w:r w:rsidR="00DC1076">
              <w:t>u</w:t>
            </w:r>
            <w:r w:rsidRPr="00756A2C">
              <w:t>, Tieslietu</w:t>
            </w:r>
            <w:r w:rsidR="00DC1076" w:rsidRPr="00756A2C">
              <w:t xml:space="preserve"> </w:t>
            </w:r>
            <w:r w:rsidR="00DC1076" w:rsidRPr="00756A2C">
              <w:t>ministrij</w:t>
            </w:r>
            <w:r w:rsidR="00DC1076">
              <w:t>u</w:t>
            </w:r>
            <w:r w:rsidRPr="00756A2C">
              <w:t>, Veselības</w:t>
            </w:r>
            <w:r w:rsidR="00DC1076" w:rsidRPr="00756A2C">
              <w:t xml:space="preserve"> </w:t>
            </w:r>
            <w:r w:rsidR="00DC1076" w:rsidRPr="00756A2C">
              <w:t>ministrij</w:t>
            </w:r>
            <w:r w:rsidR="00DC1076">
              <w:t>u</w:t>
            </w:r>
            <w:r w:rsidRPr="00756A2C">
              <w:t>, Vides aizsardzības un reģionālās attīstības</w:t>
            </w:r>
            <w:proofErr w:type="gramStart"/>
            <w:r w:rsidRPr="00756A2C">
              <w:t xml:space="preserve"> </w:t>
            </w:r>
            <w:r w:rsidR="00DC1076" w:rsidRPr="00756A2C">
              <w:t xml:space="preserve"> </w:t>
            </w:r>
            <w:proofErr w:type="gramEnd"/>
            <w:r w:rsidR="00DC1076" w:rsidRPr="00756A2C">
              <w:t>ministrij</w:t>
            </w:r>
            <w:r w:rsidR="00DC1076">
              <w:t>u</w:t>
            </w:r>
            <w:r w:rsidR="00DC1076" w:rsidRPr="00756A2C">
              <w:t xml:space="preserve"> </w:t>
            </w:r>
            <w:r w:rsidRPr="00756A2C">
              <w:t>un Zemkopības ministrij</w:t>
            </w:r>
            <w:r w:rsidR="00B267A1">
              <w:t>u</w:t>
            </w:r>
            <w:r w:rsidRPr="00756A2C">
              <w:t xml:space="preserve">, </w:t>
            </w:r>
            <w:r w:rsidR="00B267A1">
              <w:t xml:space="preserve">kā arī </w:t>
            </w:r>
            <w:proofErr w:type="spellStart"/>
            <w:r w:rsidRPr="00756A2C">
              <w:t>Pārresoru</w:t>
            </w:r>
            <w:proofErr w:type="spellEnd"/>
            <w:r w:rsidRPr="00756A2C">
              <w:t xml:space="preserve"> koordinācijas centru</w:t>
            </w:r>
          </w:p>
        </w:tc>
      </w:tr>
      <w:tr w:rsidR="00317270" w:rsidRPr="00756A2C" w14:paraId="3F5E9E77" w14:textId="77777777" w:rsidTr="007D0DE8">
        <w:trPr>
          <w:trHeight w:val="367"/>
        </w:trPr>
        <w:tc>
          <w:tcPr>
            <w:tcW w:w="436" w:type="dxa"/>
            <w:hideMark/>
          </w:tcPr>
          <w:p w14:paraId="74B81903" w14:textId="77777777" w:rsidR="00317270" w:rsidRPr="00756A2C" w:rsidRDefault="00317270" w:rsidP="00CA700B">
            <w:pPr>
              <w:pStyle w:val="naiskr"/>
              <w:spacing w:before="0" w:after="0"/>
              <w:jc w:val="center"/>
            </w:pPr>
            <w:r w:rsidRPr="00756A2C">
              <w:t>2.</w:t>
            </w:r>
          </w:p>
        </w:tc>
        <w:tc>
          <w:tcPr>
            <w:tcW w:w="2678" w:type="dxa"/>
            <w:hideMark/>
          </w:tcPr>
          <w:p w14:paraId="55A489DD" w14:textId="77777777" w:rsidR="00317270" w:rsidRPr="00756A2C" w:rsidRDefault="00317270" w:rsidP="00756A2C">
            <w:pPr>
              <w:pStyle w:val="naiskr"/>
              <w:spacing w:before="0" w:after="0"/>
              <w:ind w:left="141"/>
            </w:pPr>
            <w:r w:rsidRPr="00756A2C">
              <w:t>Tiesiskā regulējuma ietekme uz tautsaimniecību un administratīvo slogu</w:t>
            </w:r>
          </w:p>
        </w:tc>
        <w:tc>
          <w:tcPr>
            <w:tcW w:w="6526" w:type="dxa"/>
            <w:hideMark/>
          </w:tcPr>
          <w:p w14:paraId="2449D434" w14:textId="6D5BCB6C" w:rsidR="00317270" w:rsidRPr="00756A2C" w:rsidRDefault="00317270" w:rsidP="00756A2C">
            <w:pPr>
              <w:pStyle w:val="naiskr"/>
              <w:spacing w:before="0" w:after="0"/>
              <w:ind w:left="157" w:right="132"/>
              <w:jc w:val="both"/>
            </w:pPr>
            <w:r w:rsidRPr="00756A2C">
              <w:t>Projekts neradīs papildu administratīvo slogu un tiks īstenots</w:t>
            </w:r>
            <w:r w:rsidR="00756A2C">
              <w:t>,</w:t>
            </w:r>
            <w:r w:rsidRPr="00756A2C">
              <w:t xml:space="preserve"> </w:t>
            </w:r>
            <w:r w:rsidR="00756A2C">
              <w:t xml:space="preserve">izmantojot </w:t>
            </w:r>
            <w:r w:rsidRPr="00756A2C">
              <w:t>esoš</w:t>
            </w:r>
            <w:r w:rsidR="00756A2C">
              <w:t>os</w:t>
            </w:r>
            <w:r w:rsidRPr="00756A2C">
              <w:t xml:space="preserve"> administratīv</w:t>
            </w:r>
            <w:r w:rsidR="00756A2C">
              <w:t>os</w:t>
            </w:r>
            <w:r w:rsidRPr="00756A2C">
              <w:t xml:space="preserve"> resurs</w:t>
            </w:r>
            <w:r w:rsidR="00756A2C">
              <w:t>us</w:t>
            </w:r>
          </w:p>
        </w:tc>
      </w:tr>
      <w:tr w:rsidR="00317270" w:rsidRPr="00756A2C" w14:paraId="634C0AD0" w14:textId="77777777" w:rsidTr="007D0DE8">
        <w:trPr>
          <w:trHeight w:val="253"/>
        </w:trPr>
        <w:tc>
          <w:tcPr>
            <w:tcW w:w="436" w:type="dxa"/>
            <w:hideMark/>
          </w:tcPr>
          <w:p w14:paraId="2BF21153" w14:textId="77777777" w:rsidR="00317270" w:rsidRPr="00756A2C" w:rsidRDefault="00317270" w:rsidP="00CA700B">
            <w:pPr>
              <w:pStyle w:val="naiskr"/>
              <w:spacing w:before="0" w:after="0"/>
              <w:jc w:val="center"/>
            </w:pPr>
            <w:r w:rsidRPr="00756A2C">
              <w:t>3.</w:t>
            </w:r>
          </w:p>
        </w:tc>
        <w:tc>
          <w:tcPr>
            <w:tcW w:w="2678" w:type="dxa"/>
            <w:hideMark/>
          </w:tcPr>
          <w:p w14:paraId="008F6BAE" w14:textId="77777777" w:rsidR="00317270" w:rsidRPr="00756A2C" w:rsidRDefault="00317270" w:rsidP="00756A2C">
            <w:pPr>
              <w:pStyle w:val="naiskr"/>
              <w:spacing w:before="0" w:after="0"/>
              <w:ind w:left="141"/>
            </w:pPr>
            <w:r w:rsidRPr="00756A2C">
              <w:t>Administratīvo izmaksu monetārs novērtējums</w:t>
            </w:r>
          </w:p>
        </w:tc>
        <w:tc>
          <w:tcPr>
            <w:tcW w:w="6526" w:type="dxa"/>
            <w:hideMark/>
          </w:tcPr>
          <w:p w14:paraId="1922B37A" w14:textId="4C0B0B46" w:rsidR="00317270" w:rsidRPr="00756A2C" w:rsidRDefault="00317270" w:rsidP="00756A2C">
            <w:pPr>
              <w:ind w:left="157" w:right="132"/>
              <w:jc w:val="both"/>
              <w:rPr>
                <w:rFonts w:eastAsiaTheme="minorHAnsi"/>
                <w:lang w:eastAsia="en-US"/>
              </w:rPr>
            </w:pPr>
            <w:r w:rsidRPr="00756A2C">
              <w:t>Nav attiecināms</w:t>
            </w:r>
          </w:p>
        </w:tc>
      </w:tr>
      <w:tr w:rsidR="00317270" w:rsidRPr="00756A2C" w14:paraId="5CA1FBCC" w14:textId="77777777" w:rsidTr="007D0DE8">
        <w:trPr>
          <w:trHeight w:val="204"/>
        </w:trPr>
        <w:tc>
          <w:tcPr>
            <w:tcW w:w="436" w:type="dxa"/>
            <w:hideMark/>
          </w:tcPr>
          <w:p w14:paraId="7747BB71" w14:textId="77777777" w:rsidR="00317270" w:rsidRPr="00756A2C" w:rsidRDefault="00317270" w:rsidP="00CA700B">
            <w:pPr>
              <w:pStyle w:val="naiskr"/>
              <w:spacing w:before="0" w:after="0"/>
              <w:jc w:val="center"/>
            </w:pPr>
            <w:r w:rsidRPr="00756A2C">
              <w:t>4.</w:t>
            </w:r>
          </w:p>
        </w:tc>
        <w:tc>
          <w:tcPr>
            <w:tcW w:w="2678" w:type="dxa"/>
            <w:hideMark/>
          </w:tcPr>
          <w:p w14:paraId="15EED989" w14:textId="77777777" w:rsidR="00317270" w:rsidRPr="00756A2C" w:rsidRDefault="00317270" w:rsidP="00756A2C">
            <w:pPr>
              <w:pStyle w:val="naiskr"/>
              <w:spacing w:before="0" w:after="0"/>
              <w:ind w:left="141"/>
            </w:pPr>
            <w:r w:rsidRPr="00756A2C">
              <w:t>Cita informācija</w:t>
            </w:r>
          </w:p>
        </w:tc>
        <w:tc>
          <w:tcPr>
            <w:tcW w:w="6526" w:type="dxa"/>
            <w:hideMark/>
          </w:tcPr>
          <w:p w14:paraId="071C1D70" w14:textId="276E5B2C" w:rsidR="00317270" w:rsidRPr="00756A2C" w:rsidRDefault="00317270" w:rsidP="00756A2C">
            <w:pPr>
              <w:pStyle w:val="naiskr"/>
              <w:spacing w:before="0" w:after="0"/>
              <w:ind w:left="157" w:right="132"/>
            </w:pPr>
            <w:r w:rsidRPr="00756A2C">
              <w:t>Nav</w:t>
            </w:r>
          </w:p>
        </w:tc>
      </w:tr>
    </w:tbl>
    <w:p w14:paraId="25F6AE67" w14:textId="77777777" w:rsidR="00317270" w:rsidRDefault="00317270" w:rsidP="00756A2C">
      <w:pPr>
        <w:pStyle w:val="naiskr"/>
        <w:tabs>
          <w:tab w:val="left" w:pos="2628"/>
        </w:tabs>
        <w:spacing w:before="0" w:after="0"/>
      </w:pPr>
    </w:p>
    <w:tbl>
      <w:tblPr>
        <w:tblW w:w="5250" w:type="pct"/>
        <w:jc w:val="center"/>
        <w:tblInd w:w="-389"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94"/>
        <w:gridCol w:w="3095"/>
        <w:gridCol w:w="6086"/>
      </w:tblGrid>
      <w:tr w:rsidR="00A12D88" w:rsidRPr="00A12D88" w14:paraId="3CF4C041" w14:textId="77777777" w:rsidTr="00F22AF6">
        <w:trPr>
          <w:trHeight w:val="178"/>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F697D31" w14:textId="77777777" w:rsidR="00A12D88" w:rsidRPr="00A12D88" w:rsidRDefault="00A12D88" w:rsidP="00CC7606">
            <w:pPr>
              <w:spacing w:before="100" w:beforeAutospacing="1" w:after="100" w:afterAutospacing="1" w:line="293" w:lineRule="atLeast"/>
              <w:jc w:val="center"/>
              <w:rPr>
                <w:b/>
                <w:bCs/>
              </w:rPr>
            </w:pPr>
            <w:r w:rsidRPr="00A12D88">
              <w:rPr>
                <w:b/>
                <w:bCs/>
              </w:rPr>
              <w:t>IV. Tiesību akta projekta ietekme uz spēkā esošo tiesību normu sistēmu</w:t>
            </w:r>
          </w:p>
        </w:tc>
      </w:tr>
      <w:tr w:rsidR="00A12D88" w:rsidRPr="00A12D88" w14:paraId="57712E07" w14:textId="77777777" w:rsidTr="00A12D88">
        <w:trPr>
          <w:jc w:val="center"/>
        </w:trPr>
        <w:tc>
          <w:tcPr>
            <w:tcW w:w="206" w:type="pct"/>
            <w:tcBorders>
              <w:top w:val="outset" w:sz="6" w:space="0" w:color="414142"/>
              <w:left w:val="outset" w:sz="6" w:space="0" w:color="414142"/>
              <w:bottom w:val="outset" w:sz="6" w:space="0" w:color="414142"/>
              <w:right w:val="outset" w:sz="6" w:space="0" w:color="414142"/>
            </w:tcBorders>
            <w:hideMark/>
          </w:tcPr>
          <w:p w14:paraId="14805668" w14:textId="77777777" w:rsidR="00A12D88" w:rsidRPr="00A12D88" w:rsidRDefault="00A12D88" w:rsidP="00CA700B">
            <w:pPr>
              <w:jc w:val="center"/>
            </w:pPr>
            <w:r w:rsidRPr="00A12D88">
              <w:t>1.</w:t>
            </w:r>
          </w:p>
        </w:tc>
        <w:tc>
          <w:tcPr>
            <w:tcW w:w="1616" w:type="pct"/>
            <w:tcBorders>
              <w:top w:val="outset" w:sz="6" w:space="0" w:color="414142"/>
              <w:left w:val="outset" w:sz="6" w:space="0" w:color="414142"/>
              <w:bottom w:val="outset" w:sz="6" w:space="0" w:color="414142"/>
              <w:right w:val="outset" w:sz="6" w:space="0" w:color="414142"/>
            </w:tcBorders>
            <w:hideMark/>
          </w:tcPr>
          <w:p w14:paraId="1A7F90A0" w14:textId="77777777" w:rsidR="00A12D88" w:rsidRPr="00A12D88" w:rsidRDefault="00A12D88" w:rsidP="00CC7606">
            <w:r w:rsidRPr="00A12D88">
              <w:t>Nepieciešamie saistītie tiesību aktu projekti</w:t>
            </w:r>
          </w:p>
        </w:tc>
        <w:tc>
          <w:tcPr>
            <w:tcW w:w="3178" w:type="pct"/>
            <w:tcBorders>
              <w:top w:val="outset" w:sz="6" w:space="0" w:color="414142"/>
              <w:left w:val="outset" w:sz="6" w:space="0" w:color="414142"/>
              <w:bottom w:val="outset" w:sz="6" w:space="0" w:color="414142"/>
              <w:right w:val="outset" w:sz="6" w:space="0" w:color="414142"/>
            </w:tcBorders>
            <w:hideMark/>
          </w:tcPr>
          <w:p w14:paraId="2ADC107C" w14:textId="6604F0EE" w:rsidR="00A12D88" w:rsidRPr="00A12D88" w:rsidRDefault="0005703F" w:rsidP="00F22AF6">
            <w:pPr>
              <w:jc w:val="both"/>
            </w:pPr>
            <w:r>
              <w:t xml:space="preserve">Nepieciešams atzīt par spēku zaudējušu </w:t>
            </w:r>
            <w:r w:rsidR="00A12D88">
              <w:t xml:space="preserve">Ministru prezidenta </w:t>
            </w:r>
            <w:r>
              <w:t>2011.</w:t>
            </w:r>
            <w:r w:rsidR="00F22AF6">
              <w:t> </w:t>
            </w:r>
            <w:r>
              <w:t>gada 5.</w:t>
            </w:r>
            <w:r w:rsidR="00F22AF6">
              <w:t> </w:t>
            </w:r>
            <w:r>
              <w:t>septembra rīkojumu</w:t>
            </w:r>
            <w:r w:rsidR="00A12D88">
              <w:t xml:space="preserve"> Nr.</w:t>
            </w:r>
            <w:r w:rsidR="00F22AF6">
              <w:t> </w:t>
            </w:r>
            <w:r w:rsidR="00A12D88">
              <w:t xml:space="preserve">283 </w:t>
            </w:r>
            <w:r w:rsidR="00F22AF6">
              <w:t>"</w:t>
            </w:r>
            <w:r w:rsidR="00A12D88">
              <w:t>Par Valdības komunikācijas koordinācijas padomes personālsastāvu</w:t>
            </w:r>
            <w:r w:rsidR="00F22AF6">
              <w:t>"</w:t>
            </w:r>
          </w:p>
        </w:tc>
      </w:tr>
      <w:tr w:rsidR="00A12D88" w:rsidRPr="00A12D88" w14:paraId="5698B0FF" w14:textId="77777777" w:rsidTr="00A12D88">
        <w:trPr>
          <w:jc w:val="center"/>
        </w:trPr>
        <w:tc>
          <w:tcPr>
            <w:tcW w:w="206" w:type="pct"/>
            <w:tcBorders>
              <w:top w:val="outset" w:sz="6" w:space="0" w:color="414142"/>
              <w:left w:val="outset" w:sz="6" w:space="0" w:color="414142"/>
              <w:bottom w:val="outset" w:sz="6" w:space="0" w:color="414142"/>
              <w:right w:val="outset" w:sz="6" w:space="0" w:color="414142"/>
            </w:tcBorders>
            <w:hideMark/>
          </w:tcPr>
          <w:p w14:paraId="2BFF993D" w14:textId="77777777" w:rsidR="00A12D88" w:rsidRPr="00A12D88" w:rsidRDefault="00A12D88" w:rsidP="00CA700B">
            <w:pPr>
              <w:jc w:val="center"/>
            </w:pPr>
            <w:r w:rsidRPr="00A12D88">
              <w:t>2.</w:t>
            </w:r>
          </w:p>
        </w:tc>
        <w:tc>
          <w:tcPr>
            <w:tcW w:w="1616" w:type="pct"/>
            <w:tcBorders>
              <w:top w:val="outset" w:sz="6" w:space="0" w:color="414142"/>
              <w:left w:val="outset" w:sz="6" w:space="0" w:color="414142"/>
              <w:bottom w:val="outset" w:sz="6" w:space="0" w:color="414142"/>
              <w:right w:val="outset" w:sz="6" w:space="0" w:color="414142"/>
            </w:tcBorders>
            <w:hideMark/>
          </w:tcPr>
          <w:p w14:paraId="07A672B5" w14:textId="77777777" w:rsidR="00A12D88" w:rsidRPr="00A12D88" w:rsidRDefault="00A12D88" w:rsidP="00CC7606">
            <w:r w:rsidRPr="00A12D88">
              <w:t>Atbildīgā institūcija</w:t>
            </w:r>
          </w:p>
        </w:tc>
        <w:tc>
          <w:tcPr>
            <w:tcW w:w="3178" w:type="pct"/>
            <w:tcBorders>
              <w:top w:val="outset" w:sz="6" w:space="0" w:color="414142"/>
              <w:left w:val="outset" w:sz="6" w:space="0" w:color="414142"/>
              <w:bottom w:val="outset" w:sz="6" w:space="0" w:color="414142"/>
              <w:right w:val="outset" w:sz="6" w:space="0" w:color="414142"/>
            </w:tcBorders>
            <w:hideMark/>
          </w:tcPr>
          <w:p w14:paraId="178B506A" w14:textId="6453D82D" w:rsidR="00A12D88" w:rsidRPr="00A12D88" w:rsidRDefault="00A12D88" w:rsidP="00A12D88">
            <w:r>
              <w:t>Valsts kanceleja</w:t>
            </w:r>
          </w:p>
        </w:tc>
      </w:tr>
      <w:tr w:rsidR="00A12D88" w:rsidRPr="00A12D88" w14:paraId="02931A8D" w14:textId="77777777" w:rsidTr="00A12D88">
        <w:trPr>
          <w:jc w:val="center"/>
        </w:trPr>
        <w:tc>
          <w:tcPr>
            <w:tcW w:w="206" w:type="pct"/>
            <w:tcBorders>
              <w:top w:val="outset" w:sz="6" w:space="0" w:color="414142"/>
              <w:left w:val="outset" w:sz="6" w:space="0" w:color="414142"/>
              <w:bottom w:val="outset" w:sz="6" w:space="0" w:color="414142"/>
              <w:right w:val="outset" w:sz="6" w:space="0" w:color="414142"/>
            </w:tcBorders>
            <w:hideMark/>
          </w:tcPr>
          <w:p w14:paraId="3ACB1335" w14:textId="77777777" w:rsidR="00A12D88" w:rsidRPr="00A12D88" w:rsidRDefault="00A12D88" w:rsidP="00CA700B">
            <w:pPr>
              <w:jc w:val="center"/>
            </w:pPr>
            <w:r w:rsidRPr="00A12D88">
              <w:t>3.</w:t>
            </w:r>
          </w:p>
        </w:tc>
        <w:tc>
          <w:tcPr>
            <w:tcW w:w="1616" w:type="pct"/>
            <w:tcBorders>
              <w:top w:val="outset" w:sz="6" w:space="0" w:color="414142"/>
              <w:left w:val="outset" w:sz="6" w:space="0" w:color="414142"/>
              <w:bottom w:val="outset" w:sz="6" w:space="0" w:color="414142"/>
              <w:right w:val="outset" w:sz="6" w:space="0" w:color="414142"/>
            </w:tcBorders>
            <w:hideMark/>
          </w:tcPr>
          <w:p w14:paraId="1BACB9AA" w14:textId="77777777" w:rsidR="00A12D88" w:rsidRPr="00A12D88" w:rsidRDefault="00A12D88" w:rsidP="00CC7606">
            <w:r w:rsidRPr="00A12D88">
              <w:t>Cita informācija</w:t>
            </w:r>
          </w:p>
        </w:tc>
        <w:tc>
          <w:tcPr>
            <w:tcW w:w="3178" w:type="pct"/>
            <w:tcBorders>
              <w:top w:val="outset" w:sz="6" w:space="0" w:color="414142"/>
              <w:left w:val="outset" w:sz="6" w:space="0" w:color="414142"/>
              <w:bottom w:val="outset" w:sz="6" w:space="0" w:color="414142"/>
              <w:right w:val="outset" w:sz="6" w:space="0" w:color="414142"/>
            </w:tcBorders>
            <w:hideMark/>
          </w:tcPr>
          <w:p w14:paraId="6997E0AC" w14:textId="17EB3D34" w:rsidR="00A12D88" w:rsidRPr="00A12D88" w:rsidRDefault="00A12D88" w:rsidP="00CC7606">
            <w:pPr>
              <w:spacing w:before="100" w:beforeAutospacing="1" w:after="100" w:afterAutospacing="1" w:line="293" w:lineRule="atLeast"/>
            </w:pPr>
            <w:r>
              <w:t>Nav</w:t>
            </w:r>
          </w:p>
        </w:tc>
      </w:tr>
    </w:tbl>
    <w:p w14:paraId="62E11181" w14:textId="77777777" w:rsidR="00A12D88" w:rsidRPr="00A12D88" w:rsidRDefault="00A12D88" w:rsidP="00756A2C">
      <w:pPr>
        <w:pStyle w:val="naiskr"/>
        <w:tabs>
          <w:tab w:val="left" w:pos="2628"/>
        </w:tabs>
        <w:spacing w:before="0" w:after="0"/>
      </w:pPr>
    </w:p>
    <w:tbl>
      <w:tblPr>
        <w:tblStyle w:val="TableGrid"/>
        <w:tblW w:w="5190" w:type="pct"/>
        <w:tblInd w:w="-176" w:type="dxa"/>
        <w:tblLook w:val="04A0" w:firstRow="1" w:lastRow="0" w:firstColumn="1" w:lastColumn="0" w:noHBand="0" w:noVBand="1"/>
      </w:tblPr>
      <w:tblGrid>
        <w:gridCol w:w="439"/>
        <w:gridCol w:w="4425"/>
        <w:gridCol w:w="4776"/>
      </w:tblGrid>
      <w:tr w:rsidR="00AC70DC" w:rsidRPr="00756A2C" w14:paraId="3AC43088" w14:textId="77777777" w:rsidTr="00756A2C">
        <w:trPr>
          <w:trHeight w:val="289"/>
        </w:trPr>
        <w:tc>
          <w:tcPr>
            <w:tcW w:w="5000" w:type="pct"/>
            <w:gridSpan w:val="3"/>
            <w:hideMark/>
          </w:tcPr>
          <w:p w14:paraId="550BA4F5" w14:textId="77777777" w:rsidR="00AC70DC" w:rsidRPr="00756A2C" w:rsidRDefault="00AC70DC" w:rsidP="00756A2C">
            <w:pPr>
              <w:jc w:val="center"/>
              <w:rPr>
                <w:b/>
                <w:bCs/>
              </w:rPr>
            </w:pPr>
            <w:r w:rsidRPr="00756A2C">
              <w:rPr>
                <w:b/>
                <w:bCs/>
              </w:rPr>
              <w:t>VI. Sabiedrības līdzdalība un komunikācijas aktivitātes</w:t>
            </w:r>
          </w:p>
        </w:tc>
      </w:tr>
      <w:tr w:rsidR="00AC70DC" w:rsidRPr="00756A2C" w14:paraId="564C889B" w14:textId="77777777" w:rsidTr="00317270">
        <w:trPr>
          <w:trHeight w:val="540"/>
        </w:trPr>
        <w:tc>
          <w:tcPr>
            <w:tcW w:w="228" w:type="pct"/>
            <w:hideMark/>
          </w:tcPr>
          <w:p w14:paraId="1386AFF8" w14:textId="77777777" w:rsidR="00AC70DC" w:rsidRPr="00756A2C" w:rsidRDefault="00AC70DC" w:rsidP="00CA700B">
            <w:pPr>
              <w:jc w:val="center"/>
            </w:pPr>
            <w:r w:rsidRPr="00756A2C">
              <w:t>1.</w:t>
            </w:r>
          </w:p>
        </w:tc>
        <w:tc>
          <w:tcPr>
            <w:tcW w:w="2295" w:type="pct"/>
            <w:hideMark/>
          </w:tcPr>
          <w:p w14:paraId="3119796A" w14:textId="77777777" w:rsidR="00AC70DC" w:rsidRPr="00756A2C" w:rsidRDefault="00AC70DC" w:rsidP="00756A2C">
            <w:pPr>
              <w:ind w:left="21"/>
            </w:pPr>
            <w:r w:rsidRPr="00756A2C">
              <w:t>Plānotās sabiedrības līdzdalības un komunikācijas aktivitātes saistībā ar projektu</w:t>
            </w:r>
          </w:p>
        </w:tc>
        <w:tc>
          <w:tcPr>
            <w:tcW w:w="2477" w:type="pct"/>
            <w:hideMark/>
          </w:tcPr>
          <w:p w14:paraId="39539374" w14:textId="2B2C851E" w:rsidR="00AC70DC" w:rsidRPr="00756A2C" w:rsidRDefault="004E0FED" w:rsidP="00756A2C">
            <w:r w:rsidRPr="00756A2C">
              <w:t>Īpašas sabiedrības līdzdalības un komunikācijas aktivitātes nav plānotas</w:t>
            </w:r>
          </w:p>
        </w:tc>
      </w:tr>
      <w:tr w:rsidR="00AC70DC" w:rsidRPr="00756A2C" w14:paraId="323038BB" w14:textId="77777777" w:rsidTr="00317270">
        <w:trPr>
          <w:trHeight w:val="330"/>
        </w:trPr>
        <w:tc>
          <w:tcPr>
            <w:tcW w:w="228" w:type="pct"/>
            <w:hideMark/>
          </w:tcPr>
          <w:p w14:paraId="51217661" w14:textId="77777777" w:rsidR="00AC70DC" w:rsidRPr="00756A2C" w:rsidRDefault="00AC70DC" w:rsidP="00CA700B">
            <w:pPr>
              <w:jc w:val="center"/>
            </w:pPr>
            <w:r w:rsidRPr="00756A2C">
              <w:t>2.</w:t>
            </w:r>
          </w:p>
        </w:tc>
        <w:tc>
          <w:tcPr>
            <w:tcW w:w="2295" w:type="pct"/>
            <w:hideMark/>
          </w:tcPr>
          <w:p w14:paraId="0BC73970" w14:textId="77777777" w:rsidR="00AC70DC" w:rsidRPr="00756A2C" w:rsidRDefault="00AC70DC" w:rsidP="00756A2C">
            <w:r w:rsidRPr="00756A2C">
              <w:t>Sabiedrības līdzdalība projekta izstrādē</w:t>
            </w:r>
          </w:p>
        </w:tc>
        <w:tc>
          <w:tcPr>
            <w:tcW w:w="2477" w:type="pct"/>
          </w:tcPr>
          <w:p w14:paraId="74F33B20" w14:textId="66036452" w:rsidR="00AC70DC" w:rsidRPr="00756A2C" w:rsidRDefault="00756A2C" w:rsidP="00756A2C">
            <w:r>
              <w:t>Nav</w:t>
            </w:r>
            <w:r w:rsidR="00CC4527" w:rsidRPr="00756A2C">
              <w:t xml:space="preserve"> </w:t>
            </w:r>
          </w:p>
        </w:tc>
      </w:tr>
      <w:tr w:rsidR="00AC70DC" w:rsidRPr="00756A2C" w14:paraId="6F9A2363" w14:textId="77777777" w:rsidTr="00756A2C">
        <w:trPr>
          <w:trHeight w:val="239"/>
        </w:trPr>
        <w:tc>
          <w:tcPr>
            <w:tcW w:w="228" w:type="pct"/>
            <w:hideMark/>
          </w:tcPr>
          <w:p w14:paraId="7EFD2C61" w14:textId="77777777" w:rsidR="00AC70DC" w:rsidRPr="00756A2C" w:rsidRDefault="00AC70DC" w:rsidP="00CA700B">
            <w:pPr>
              <w:jc w:val="center"/>
            </w:pPr>
            <w:r w:rsidRPr="00756A2C">
              <w:t>3.</w:t>
            </w:r>
          </w:p>
        </w:tc>
        <w:tc>
          <w:tcPr>
            <w:tcW w:w="2295" w:type="pct"/>
            <w:hideMark/>
          </w:tcPr>
          <w:p w14:paraId="519C8C42" w14:textId="77777777" w:rsidR="00AC70DC" w:rsidRPr="00756A2C" w:rsidRDefault="00AC70DC" w:rsidP="00756A2C">
            <w:r w:rsidRPr="00756A2C">
              <w:t>Sabiedrības līdzdalības rezultāti</w:t>
            </w:r>
          </w:p>
        </w:tc>
        <w:tc>
          <w:tcPr>
            <w:tcW w:w="2477" w:type="pct"/>
            <w:hideMark/>
          </w:tcPr>
          <w:p w14:paraId="7DBDA61A" w14:textId="3E9B0A9B" w:rsidR="00AC70DC" w:rsidRPr="00756A2C" w:rsidRDefault="00CC4527" w:rsidP="00756A2C">
            <w:r w:rsidRPr="00756A2C">
              <w:t>Nav</w:t>
            </w:r>
          </w:p>
        </w:tc>
      </w:tr>
      <w:tr w:rsidR="00AC70DC" w:rsidRPr="00756A2C" w14:paraId="7648BE71" w14:textId="77777777" w:rsidTr="00756A2C">
        <w:trPr>
          <w:trHeight w:val="229"/>
        </w:trPr>
        <w:tc>
          <w:tcPr>
            <w:tcW w:w="228" w:type="pct"/>
            <w:hideMark/>
          </w:tcPr>
          <w:p w14:paraId="074C7532" w14:textId="77777777" w:rsidR="00AC70DC" w:rsidRPr="00756A2C" w:rsidRDefault="00AC70DC" w:rsidP="00CA700B">
            <w:pPr>
              <w:jc w:val="center"/>
            </w:pPr>
            <w:r w:rsidRPr="00756A2C">
              <w:t>4.</w:t>
            </w:r>
          </w:p>
        </w:tc>
        <w:tc>
          <w:tcPr>
            <w:tcW w:w="2295" w:type="pct"/>
            <w:hideMark/>
          </w:tcPr>
          <w:p w14:paraId="1B38A5C1" w14:textId="77777777" w:rsidR="00AC70DC" w:rsidRPr="00756A2C" w:rsidRDefault="00AC70DC" w:rsidP="00756A2C">
            <w:r w:rsidRPr="00756A2C">
              <w:t>Cita informācija</w:t>
            </w:r>
          </w:p>
        </w:tc>
        <w:tc>
          <w:tcPr>
            <w:tcW w:w="2477" w:type="pct"/>
            <w:hideMark/>
          </w:tcPr>
          <w:p w14:paraId="673BA57E" w14:textId="4F704FD0" w:rsidR="00AC70DC" w:rsidRPr="00756A2C" w:rsidRDefault="00AC70DC" w:rsidP="00756A2C">
            <w:r w:rsidRPr="00756A2C">
              <w:t>Nav</w:t>
            </w:r>
          </w:p>
        </w:tc>
      </w:tr>
    </w:tbl>
    <w:p w14:paraId="5FBEF5ED" w14:textId="77777777" w:rsidR="00AC70DC" w:rsidRPr="00756A2C" w:rsidRDefault="00AC70DC" w:rsidP="00756A2C">
      <w:pPr>
        <w:pStyle w:val="naiskr"/>
        <w:tabs>
          <w:tab w:val="left" w:pos="2628"/>
        </w:tabs>
        <w:spacing w:before="0" w:after="0"/>
        <w:rPr>
          <w:i/>
        </w:rPr>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394"/>
        <w:gridCol w:w="4820"/>
      </w:tblGrid>
      <w:tr w:rsidR="0023436E" w:rsidRPr="00756A2C" w14:paraId="1ECCD2ED" w14:textId="77777777" w:rsidTr="00756A2C">
        <w:trPr>
          <w:trHeight w:val="275"/>
        </w:trPr>
        <w:tc>
          <w:tcPr>
            <w:tcW w:w="9640" w:type="dxa"/>
            <w:gridSpan w:val="3"/>
            <w:tcBorders>
              <w:top w:val="single" w:sz="4" w:space="0" w:color="auto"/>
            </w:tcBorders>
          </w:tcPr>
          <w:p w14:paraId="3BED6F1F" w14:textId="77777777" w:rsidR="0023436E" w:rsidRPr="00756A2C" w:rsidRDefault="0023436E" w:rsidP="00756A2C">
            <w:pPr>
              <w:pStyle w:val="naisnod"/>
              <w:spacing w:before="0" w:after="0"/>
            </w:pPr>
            <w:r w:rsidRPr="00756A2C">
              <w:t>VII</w:t>
            </w:r>
            <w:r w:rsidR="000941C5" w:rsidRPr="00756A2C">
              <w:t>.</w:t>
            </w:r>
            <w:r w:rsidRPr="00756A2C">
              <w:t xml:space="preserve"> Tiesību akta projekta izpildes nodrošināšana un tās ietekme uz institūcijām</w:t>
            </w:r>
          </w:p>
        </w:tc>
      </w:tr>
      <w:tr w:rsidR="000078D2" w:rsidRPr="00756A2C" w14:paraId="373D8CFC" w14:textId="77777777" w:rsidTr="00756A2C">
        <w:trPr>
          <w:trHeight w:val="434"/>
        </w:trPr>
        <w:tc>
          <w:tcPr>
            <w:tcW w:w="426" w:type="dxa"/>
          </w:tcPr>
          <w:p w14:paraId="32C49FB2" w14:textId="77777777" w:rsidR="000078D2" w:rsidRPr="00756A2C" w:rsidRDefault="000078D2" w:rsidP="00CA700B">
            <w:pPr>
              <w:pStyle w:val="naisnod"/>
              <w:spacing w:before="0" w:after="0"/>
              <w:rPr>
                <w:b w:val="0"/>
              </w:rPr>
            </w:pPr>
            <w:r w:rsidRPr="00756A2C">
              <w:rPr>
                <w:b w:val="0"/>
              </w:rPr>
              <w:t>1.</w:t>
            </w:r>
          </w:p>
        </w:tc>
        <w:tc>
          <w:tcPr>
            <w:tcW w:w="4394" w:type="dxa"/>
          </w:tcPr>
          <w:p w14:paraId="3C2F4216" w14:textId="77777777" w:rsidR="000078D2" w:rsidRPr="00756A2C" w:rsidRDefault="00A94DC2" w:rsidP="00756A2C">
            <w:pPr>
              <w:pStyle w:val="naisf"/>
              <w:spacing w:before="0" w:after="0"/>
              <w:ind w:left="114" w:firstLine="0"/>
            </w:pPr>
            <w:r w:rsidRPr="00756A2C">
              <w:t>Projekta izpildē iesaistītās institūcijas</w:t>
            </w:r>
          </w:p>
        </w:tc>
        <w:tc>
          <w:tcPr>
            <w:tcW w:w="4820" w:type="dxa"/>
          </w:tcPr>
          <w:p w14:paraId="7C071856" w14:textId="7597EA8A" w:rsidR="000078D2" w:rsidRPr="00756A2C" w:rsidRDefault="007B00EC" w:rsidP="00756A2C">
            <w:pPr>
              <w:pStyle w:val="naiskr"/>
              <w:spacing w:before="0" w:after="0"/>
              <w:ind w:left="114"/>
              <w:jc w:val="both"/>
            </w:pPr>
            <w:r w:rsidRPr="00756A2C">
              <w:t>N</w:t>
            </w:r>
            <w:r w:rsidR="000078D2" w:rsidRPr="00756A2C">
              <w:t xml:space="preserve">oteikumu projekta izpildi nodrošinās </w:t>
            </w:r>
            <w:r w:rsidR="00796E62" w:rsidRPr="00756A2C">
              <w:t>Valsts kanceleja</w:t>
            </w:r>
            <w:r w:rsidR="000078D2" w:rsidRPr="00756A2C">
              <w:t xml:space="preserve"> </w:t>
            </w:r>
          </w:p>
        </w:tc>
      </w:tr>
      <w:tr w:rsidR="000078D2" w:rsidRPr="00756A2C" w14:paraId="3F4E3DE8" w14:textId="77777777" w:rsidTr="00756A2C">
        <w:trPr>
          <w:trHeight w:val="471"/>
        </w:trPr>
        <w:tc>
          <w:tcPr>
            <w:tcW w:w="426" w:type="dxa"/>
          </w:tcPr>
          <w:p w14:paraId="4F566F32" w14:textId="77777777" w:rsidR="000078D2" w:rsidRPr="00756A2C" w:rsidRDefault="000078D2" w:rsidP="00CA700B">
            <w:pPr>
              <w:pStyle w:val="naisnod"/>
              <w:spacing w:before="0" w:after="0"/>
              <w:rPr>
                <w:b w:val="0"/>
              </w:rPr>
            </w:pPr>
            <w:r w:rsidRPr="00756A2C">
              <w:rPr>
                <w:b w:val="0"/>
              </w:rPr>
              <w:t>2.</w:t>
            </w:r>
          </w:p>
        </w:tc>
        <w:tc>
          <w:tcPr>
            <w:tcW w:w="4394" w:type="dxa"/>
          </w:tcPr>
          <w:p w14:paraId="61C156F5" w14:textId="23658322" w:rsidR="000078D2" w:rsidRPr="00756A2C" w:rsidRDefault="00A94DC2" w:rsidP="00756A2C">
            <w:pPr>
              <w:ind w:left="114"/>
              <w:jc w:val="both"/>
            </w:pPr>
            <w:r w:rsidRPr="00756A2C">
              <w:t>Projekta izpildes ietekme uz pārvaldes funkcijām un institucionālo struktūru. Jaunu institūciju izveide, esoš</w:t>
            </w:r>
            <w:r w:rsidR="00756A2C">
              <w:t>o</w:t>
            </w:r>
            <w:r w:rsidRPr="00756A2C">
              <w:t xml:space="preserve"> institūciju likvidācija vai reorganizācija, to ietekme uz </w:t>
            </w:r>
            <w:r w:rsidRPr="00756A2C">
              <w:lastRenderedPageBreak/>
              <w:t>institūcijas cilvēkresursiem</w:t>
            </w:r>
          </w:p>
        </w:tc>
        <w:tc>
          <w:tcPr>
            <w:tcW w:w="4820" w:type="dxa"/>
          </w:tcPr>
          <w:p w14:paraId="7F857E61" w14:textId="046CD072" w:rsidR="000078D2" w:rsidRPr="00756A2C" w:rsidRDefault="0072423E" w:rsidP="00756A2C">
            <w:pPr>
              <w:ind w:left="114" w:right="114"/>
              <w:jc w:val="both"/>
            </w:pPr>
            <w:r w:rsidRPr="00756A2C">
              <w:rPr>
                <w:color w:val="000000"/>
              </w:rPr>
              <w:lastRenderedPageBreak/>
              <w:t xml:space="preserve">Noteikumu projekts nemaina </w:t>
            </w:r>
            <w:r w:rsidR="00756A2C">
              <w:rPr>
                <w:color w:val="000000"/>
              </w:rPr>
              <w:t>V</w:t>
            </w:r>
            <w:r w:rsidR="00796E62" w:rsidRPr="00756A2C">
              <w:rPr>
                <w:color w:val="000000"/>
              </w:rPr>
              <w:t xml:space="preserve">alsts kancelejas </w:t>
            </w:r>
            <w:r w:rsidRPr="00756A2C">
              <w:rPr>
                <w:color w:val="000000"/>
              </w:rPr>
              <w:t>kompetenci un funkcijas, kā arī neparedz jaunu institūciju izveidi, esošo institūciju likvidāciju vai reorganizāciju</w:t>
            </w:r>
          </w:p>
        </w:tc>
      </w:tr>
      <w:tr w:rsidR="000078D2" w:rsidRPr="00756A2C" w14:paraId="042114D0" w14:textId="77777777" w:rsidTr="00B267A1">
        <w:trPr>
          <w:trHeight w:val="215"/>
        </w:trPr>
        <w:tc>
          <w:tcPr>
            <w:tcW w:w="426" w:type="dxa"/>
          </w:tcPr>
          <w:p w14:paraId="37A9D210" w14:textId="77777777" w:rsidR="000078D2" w:rsidRPr="00756A2C" w:rsidRDefault="000078D2" w:rsidP="00CA700B">
            <w:pPr>
              <w:pStyle w:val="naisnod"/>
              <w:spacing w:before="0" w:after="0"/>
              <w:rPr>
                <w:b w:val="0"/>
              </w:rPr>
            </w:pPr>
            <w:r w:rsidRPr="00756A2C">
              <w:rPr>
                <w:b w:val="0"/>
              </w:rPr>
              <w:lastRenderedPageBreak/>
              <w:t>3.</w:t>
            </w:r>
          </w:p>
        </w:tc>
        <w:tc>
          <w:tcPr>
            <w:tcW w:w="4394" w:type="dxa"/>
          </w:tcPr>
          <w:p w14:paraId="08EC6F0E" w14:textId="77777777" w:rsidR="000078D2" w:rsidRPr="00756A2C" w:rsidRDefault="00A94DC2" w:rsidP="00756A2C">
            <w:pPr>
              <w:pStyle w:val="naisf"/>
              <w:spacing w:before="0" w:after="0"/>
              <w:ind w:left="114" w:firstLine="0"/>
              <w:jc w:val="left"/>
            </w:pPr>
            <w:r w:rsidRPr="00756A2C">
              <w:t>Cita informācija</w:t>
            </w:r>
          </w:p>
        </w:tc>
        <w:tc>
          <w:tcPr>
            <w:tcW w:w="4820" w:type="dxa"/>
          </w:tcPr>
          <w:p w14:paraId="716D2B3F" w14:textId="15B5FC38" w:rsidR="000078D2" w:rsidRPr="00756A2C" w:rsidRDefault="00A94DC2" w:rsidP="00756A2C">
            <w:pPr>
              <w:pStyle w:val="naiskr"/>
              <w:spacing w:before="0" w:after="0"/>
              <w:ind w:left="114"/>
              <w:jc w:val="both"/>
            </w:pPr>
            <w:r w:rsidRPr="00756A2C">
              <w:t>Nav</w:t>
            </w:r>
          </w:p>
        </w:tc>
      </w:tr>
    </w:tbl>
    <w:p w14:paraId="0199A2C6" w14:textId="77777777" w:rsidR="00756A2C" w:rsidRDefault="00756A2C" w:rsidP="00756A2C"/>
    <w:p w14:paraId="04282C09" w14:textId="0B50C202" w:rsidR="0072423E" w:rsidRPr="00756A2C" w:rsidRDefault="00317270" w:rsidP="00756A2C">
      <w:r w:rsidRPr="00756A2C">
        <w:t>Anotācijas</w:t>
      </w:r>
      <w:r w:rsidR="00FC773E" w:rsidRPr="00756A2C">
        <w:t xml:space="preserve"> </w:t>
      </w:r>
      <w:r w:rsidR="00A12D88">
        <w:t>III</w:t>
      </w:r>
      <w:r w:rsidR="0072423E" w:rsidRPr="00756A2C">
        <w:t xml:space="preserve"> un V sadaļa – </w:t>
      </w:r>
      <w:r w:rsidR="0072423E" w:rsidRPr="00756A2C">
        <w:rPr>
          <w:bCs/>
        </w:rPr>
        <w:t>projekts šīs jomas neskar</w:t>
      </w:r>
      <w:r w:rsidR="0072423E" w:rsidRPr="00756A2C">
        <w:t>.</w:t>
      </w:r>
    </w:p>
    <w:p w14:paraId="142DF8CA" w14:textId="77777777" w:rsidR="00214094" w:rsidRPr="00756A2C" w:rsidRDefault="00214094" w:rsidP="00756A2C">
      <w:pPr>
        <w:pStyle w:val="naisf"/>
        <w:tabs>
          <w:tab w:val="left" w:pos="5760"/>
        </w:tabs>
        <w:spacing w:before="0" w:after="0"/>
        <w:ind w:firstLine="720"/>
        <w:rPr>
          <w:sz w:val="28"/>
          <w:szCs w:val="28"/>
        </w:rPr>
      </w:pPr>
    </w:p>
    <w:p w14:paraId="5152AC04" w14:textId="77777777" w:rsidR="00B76EE0" w:rsidRDefault="00B76EE0" w:rsidP="00756A2C">
      <w:pPr>
        <w:pStyle w:val="naisf"/>
        <w:tabs>
          <w:tab w:val="left" w:pos="5760"/>
        </w:tabs>
        <w:spacing w:before="0" w:after="0"/>
        <w:ind w:firstLine="720"/>
        <w:rPr>
          <w:sz w:val="28"/>
          <w:szCs w:val="28"/>
        </w:rPr>
      </w:pPr>
    </w:p>
    <w:p w14:paraId="6B9DF249" w14:textId="77777777" w:rsidR="00B76EE0" w:rsidRPr="00667285" w:rsidRDefault="00B76EE0" w:rsidP="00756A2C">
      <w:pPr>
        <w:pStyle w:val="naisf"/>
        <w:tabs>
          <w:tab w:val="left" w:pos="5760"/>
        </w:tabs>
        <w:spacing w:before="0" w:after="0"/>
        <w:ind w:firstLine="720"/>
        <w:rPr>
          <w:sz w:val="28"/>
          <w:szCs w:val="28"/>
        </w:rPr>
      </w:pPr>
    </w:p>
    <w:p w14:paraId="42AE149B" w14:textId="459B2DF7" w:rsidR="00796E62" w:rsidRPr="00667285" w:rsidRDefault="00B76EE0" w:rsidP="00DF5E98">
      <w:pPr>
        <w:tabs>
          <w:tab w:val="left" w:pos="6804"/>
        </w:tabs>
        <w:ind w:firstLine="709"/>
        <w:jc w:val="both"/>
        <w:rPr>
          <w:bCs/>
          <w:color w:val="000000"/>
          <w:sz w:val="28"/>
          <w:szCs w:val="28"/>
        </w:rPr>
      </w:pPr>
      <w:r>
        <w:rPr>
          <w:bCs/>
          <w:color w:val="000000"/>
          <w:sz w:val="28"/>
          <w:szCs w:val="28"/>
        </w:rPr>
        <w:t>Ministru prezidents</w:t>
      </w:r>
      <w:r>
        <w:rPr>
          <w:bCs/>
          <w:color w:val="000000"/>
          <w:sz w:val="28"/>
          <w:szCs w:val="28"/>
        </w:rPr>
        <w:tab/>
      </w:r>
      <w:r w:rsidR="00796E62">
        <w:rPr>
          <w:bCs/>
          <w:color w:val="000000"/>
          <w:sz w:val="28"/>
          <w:szCs w:val="28"/>
        </w:rPr>
        <w:t>Māris Kučinskis</w:t>
      </w:r>
    </w:p>
    <w:p w14:paraId="2B595321" w14:textId="00DAA61B" w:rsidR="00667285" w:rsidRDefault="00667285" w:rsidP="00DF5E98">
      <w:pPr>
        <w:tabs>
          <w:tab w:val="left" w:pos="6804"/>
        </w:tabs>
        <w:ind w:firstLine="709"/>
        <w:jc w:val="both"/>
        <w:rPr>
          <w:sz w:val="28"/>
          <w:szCs w:val="28"/>
        </w:rPr>
      </w:pPr>
    </w:p>
    <w:p w14:paraId="5BFBF873" w14:textId="77777777" w:rsidR="00756A2C" w:rsidRDefault="00756A2C" w:rsidP="00DF5E98">
      <w:pPr>
        <w:tabs>
          <w:tab w:val="left" w:pos="6804"/>
        </w:tabs>
        <w:ind w:firstLine="709"/>
        <w:jc w:val="both"/>
        <w:rPr>
          <w:sz w:val="28"/>
          <w:szCs w:val="28"/>
        </w:rPr>
      </w:pPr>
    </w:p>
    <w:p w14:paraId="6C774B5C" w14:textId="77777777" w:rsidR="00756A2C" w:rsidRPr="00667285" w:rsidRDefault="00756A2C" w:rsidP="00DF5E98">
      <w:pPr>
        <w:tabs>
          <w:tab w:val="left" w:pos="6804"/>
        </w:tabs>
        <w:ind w:firstLine="709"/>
        <w:jc w:val="both"/>
        <w:rPr>
          <w:sz w:val="28"/>
          <w:szCs w:val="28"/>
        </w:rPr>
      </w:pPr>
    </w:p>
    <w:p w14:paraId="1CD6E425" w14:textId="77777777" w:rsidR="00796E62" w:rsidRDefault="00796E62" w:rsidP="00DF5E98">
      <w:pPr>
        <w:tabs>
          <w:tab w:val="left" w:pos="6663"/>
          <w:tab w:val="left" w:pos="6804"/>
        </w:tabs>
        <w:ind w:firstLine="709"/>
        <w:rPr>
          <w:sz w:val="28"/>
          <w:szCs w:val="28"/>
        </w:rPr>
      </w:pPr>
      <w:r w:rsidRPr="00BD424C">
        <w:rPr>
          <w:sz w:val="28"/>
          <w:szCs w:val="28"/>
        </w:rPr>
        <w:t>V</w:t>
      </w:r>
      <w:r>
        <w:rPr>
          <w:sz w:val="28"/>
          <w:szCs w:val="28"/>
        </w:rPr>
        <w:t>izē</w:t>
      </w:r>
      <w:r w:rsidRPr="00BD424C">
        <w:rPr>
          <w:sz w:val="28"/>
          <w:szCs w:val="28"/>
        </w:rPr>
        <w:t xml:space="preserve">: </w:t>
      </w:r>
    </w:p>
    <w:p w14:paraId="7AFB1A08" w14:textId="58EF2F7F" w:rsidR="00796E62" w:rsidRPr="00BD424C" w:rsidRDefault="00796E62" w:rsidP="00DC1076">
      <w:pPr>
        <w:tabs>
          <w:tab w:val="left" w:pos="6804"/>
        </w:tabs>
        <w:ind w:firstLine="709"/>
        <w:jc w:val="both"/>
        <w:rPr>
          <w:sz w:val="28"/>
          <w:szCs w:val="28"/>
        </w:rPr>
      </w:pPr>
      <w:r w:rsidRPr="00B76EE0">
        <w:rPr>
          <w:bCs/>
          <w:color w:val="000000"/>
          <w:sz w:val="28"/>
          <w:szCs w:val="28"/>
        </w:rPr>
        <w:t>Valsts</w:t>
      </w:r>
      <w:r w:rsidRPr="00BD424C">
        <w:rPr>
          <w:sz w:val="28"/>
          <w:szCs w:val="28"/>
        </w:rPr>
        <w:t xml:space="preserve"> </w:t>
      </w:r>
      <w:r w:rsidRPr="00B76EE0">
        <w:rPr>
          <w:bCs/>
          <w:color w:val="000000"/>
          <w:sz w:val="28"/>
          <w:szCs w:val="28"/>
        </w:rPr>
        <w:t>kancelejas</w:t>
      </w:r>
      <w:r w:rsidRPr="00BD424C">
        <w:rPr>
          <w:sz w:val="28"/>
          <w:szCs w:val="28"/>
        </w:rPr>
        <w:t xml:space="preserve"> </w:t>
      </w:r>
      <w:r>
        <w:rPr>
          <w:sz w:val="28"/>
          <w:szCs w:val="28"/>
        </w:rPr>
        <w:t>direktors</w:t>
      </w:r>
      <w:r w:rsidR="00DC1076" w:rsidRPr="00DC1076">
        <w:rPr>
          <w:sz w:val="28"/>
          <w:szCs w:val="28"/>
          <w:u w:val="single"/>
        </w:rPr>
        <w:tab/>
      </w:r>
      <w:r>
        <w:rPr>
          <w:sz w:val="28"/>
          <w:szCs w:val="28"/>
        </w:rPr>
        <w:t>Mārtiņš Krieviņš</w:t>
      </w:r>
    </w:p>
    <w:p w14:paraId="0E22A6C3" w14:textId="77777777" w:rsidR="00975279" w:rsidRPr="00667285" w:rsidRDefault="00975279" w:rsidP="00756A2C">
      <w:pPr>
        <w:pStyle w:val="naisf"/>
        <w:tabs>
          <w:tab w:val="left" w:pos="6804"/>
        </w:tabs>
        <w:spacing w:before="0" w:after="0"/>
        <w:ind w:firstLine="709"/>
        <w:rPr>
          <w:sz w:val="28"/>
          <w:szCs w:val="28"/>
        </w:rPr>
      </w:pPr>
    </w:p>
    <w:p w14:paraId="62643212" w14:textId="77777777" w:rsidR="000F7457" w:rsidRPr="00756A2C" w:rsidRDefault="000F7457" w:rsidP="00756A2C">
      <w:pPr>
        <w:rPr>
          <w:sz w:val="28"/>
          <w:szCs w:val="28"/>
          <w:lang w:eastAsia="en-US"/>
        </w:rPr>
      </w:pPr>
    </w:p>
    <w:p w14:paraId="38E1D553" w14:textId="77777777" w:rsidR="000F7457" w:rsidRPr="00756A2C" w:rsidRDefault="000F7457" w:rsidP="00756A2C">
      <w:pPr>
        <w:rPr>
          <w:sz w:val="28"/>
          <w:szCs w:val="28"/>
          <w:lang w:eastAsia="en-US"/>
        </w:rPr>
      </w:pPr>
    </w:p>
    <w:p w14:paraId="7DBAF1BE" w14:textId="77777777" w:rsidR="00436BA5" w:rsidRPr="00756A2C" w:rsidRDefault="00436BA5" w:rsidP="00756A2C">
      <w:pPr>
        <w:rPr>
          <w:sz w:val="28"/>
          <w:szCs w:val="28"/>
          <w:lang w:eastAsia="en-US"/>
        </w:rPr>
      </w:pPr>
    </w:p>
    <w:p w14:paraId="07D90255" w14:textId="77777777" w:rsidR="00436BA5" w:rsidRPr="00756A2C" w:rsidRDefault="00436BA5" w:rsidP="00756A2C">
      <w:pPr>
        <w:rPr>
          <w:sz w:val="28"/>
          <w:szCs w:val="28"/>
          <w:lang w:eastAsia="en-US"/>
        </w:rPr>
      </w:pPr>
    </w:p>
    <w:p w14:paraId="2B3B378B" w14:textId="77777777" w:rsidR="00436BA5" w:rsidRPr="00756A2C" w:rsidRDefault="00436BA5" w:rsidP="00756A2C">
      <w:pPr>
        <w:rPr>
          <w:sz w:val="28"/>
          <w:szCs w:val="28"/>
          <w:lang w:eastAsia="en-US"/>
        </w:rPr>
      </w:pPr>
    </w:p>
    <w:p w14:paraId="4AC1A380" w14:textId="588F906F" w:rsidR="00975279" w:rsidRPr="00B267A1" w:rsidRDefault="00C46405" w:rsidP="00756A2C">
      <w:pPr>
        <w:tabs>
          <w:tab w:val="right" w:pos="8306"/>
        </w:tabs>
        <w:rPr>
          <w:sz w:val="20"/>
          <w:szCs w:val="20"/>
        </w:rPr>
      </w:pPr>
      <w:r>
        <w:rPr>
          <w:sz w:val="20"/>
          <w:szCs w:val="20"/>
        </w:rPr>
        <w:t>03</w:t>
      </w:r>
      <w:r w:rsidR="00EC345E" w:rsidRPr="00B267A1">
        <w:rPr>
          <w:sz w:val="20"/>
          <w:szCs w:val="20"/>
        </w:rPr>
        <w:t>.</w:t>
      </w:r>
      <w:r>
        <w:rPr>
          <w:sz w:val="20"/>
          <w:szCs w:val="20"/>
        </w:rPr>
        <w:t>10</w:t>
      </w:r>
      <w:r w:rsidR="00910912" w:rsidRPr="00B267A1">
        <w:rPr>
          <w:sz w:val="20"/>
          <w:szCs w:val="20"/>
        </w:rPr>
        <w:t>.2016</w:t>
      </w:r>
    </w:p>
    <w:p w14:paraId="01AA30E2" w14:textId="6A125F8F" w:rsidR="00975279" w:rsidRPr="00B267A1" w:rsidRDefault="00D25A1B" w:rsidP="00756A2C">
      <w:pPr>
        <w:rPr>
          <w:sz w:val="20"/>
          <w:szCs w:val="20"/>
        </w:rPr>
      </w:pPr>
      <w:r>
        <w:rPr>
          <w:sz w:val="20"/>
          <w:szCs w:val="20"/>
        </w:rPr>
        <w:t>6</w:t>
      </w:r>
      <w:r w:rsidR="00DC1076">
        <w:rPr>
          <w:sz w:val="20"/>
          <w:szCs w:val="20"/>
        </w:rPr>
        <w:t>43</w:t>
      </w:r>
      <w:bookmarkStart w:id="0" w:name="_GoBack"/>
      <w:bookmarkEnd w:id="0"/>
    </w:p>
    <w:p w14:paraId="4BD985C7" w14:textId="4A7ECE3E" w:rsidR="00436BA5" w:rsidRPr="00B267A1" w:rsidRDefault="00796E62" w:rsidP="00756A2C">
      <w:pPr>
        <w:rPr>
          <w:sz w:val="20"/>
          <w:szCs w:val="20"/>
        </w:rPr>
      </w:pPr>
      <w:r w:rsidRPr="00B267A1">
        <w:rPr>
          <w:sz w:val="20"/>
          <w:szCs w:val="20"/>
        </w:rPr>
        <w:t>Barvida</w:t>
      </w:r>
      <w:r w:rsidR="00667285" w:rsidRPr="00B267A1">
        <w:rPr>
          <w:sz w:val="20"/>
          <w:szCs w:val="20"/>
        </w:rPr>
        <w:t xml:space="preserve"> </w:t>
      </w:r>
      <w:r w:rsidRPr="00B267A1">
        <w:rPr>
          <w:sz w:val="20"/>
          <w:szCs w:val="20"/>
        </w:rPr>
        <w:t>67082902</w:t>
      </w:r>
    </w:p>
    <w:p w14:paraId="7921F73C" w14:textId="72EDF6D6" w:rsidR="00A94DC2" w:rsidRPr="00B267A1" w:rsidRDefault="00796E62" w:rsidP="00756A2C">
      <w:pPr>
        <w:rPr>
          <w:sz w:val="20"/>
          <w:szCs w:val="20"/>
        </w:rPr>
      </w:pPr>
      <w:r w:rsidRPr="00B267A1">
        <w:rPr>
          <w:sz w:val="20"/>
          <w:szCs w:val="20"/>
        </w:rPr>
        <w:t>zaiga.barvida@mk.gov.lv</w:t>
      </w:r>
    </w:p>
    <w:sectPr w:rsidR="00A94DC2" w:rsidRPr="00B267A1" w:rsidSect="007B106D">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BBBE57" w15:done="0"/>
  <w15:commentEx w15:paraId="3481E9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849DE" w14:textId="77777777" w:rsidR="00811B49" w:rsidRDefault="00811B49">
      <w:r>
        <w:separator/>
      </w:r>
    </w:p>
  </w:endnote>
  <w:endnote w:type="continuationSeparator" w:id="0">
    <w:p w14:paraId="1BFA5842" w14:textId="77777777" w:rsidR="00811B49" w:rsidRDefault="0081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A7F97" w14:textId="77777777" w:rsidR="007B106D" w:rsidRDefault="007B106D" w:rsidP="007B106D">
    <w:pPr>
      <w:pStyle w:val="Footer"/>
      <w:tabs>
        <w:tab w:val="clear" w:pos="8306"/>
        <w:tab w:val="left" w:pos="7552"/>
      </w:tabs>
      <w:jc w:val="both"/>
      <w:rPr>
        <w:rFonts w:cs="Arial"/>
        <w:kern w:val="32"/>
        <w:sz w:val="20"/>
        <w:szCs w:val="20"/>
        <w:lang w:eastAsia="en-US"/>
      </w:rPr>
    </w:pPr>
    <w:r>
      <w:rPr>
        <w:rFonts w:cs="Arial"/>
        <w:kern w:val="32"/>
        <w:sz w:val="20"/>
        <w:szCs w:val="20"/>
        <w:lang w:eastAsia="en-US"/>
      </w:rPr>
      <w:t>MKanot_241116_kompadnolikums</w:t>
    </w:r>
  </w:p>
  <w:p w14:paraId="496D80EC" w14:textId="77777777" w:rsidR="007B106D" w:rsidRPr="00975279" w:rsidRDefault="007B106D" w:rsidP="007B106D">
    <w:pPr>
      <w:pStyle w:val="Footer"/>
      <w:tabs>
        <w:tab w:val="clear" w:pos="8306"/>
        <w:tab w:val="left" w:pos="7552"/>
      </w:tabs>
      <w:jc w:val="both"/>
      <w:rPr>
        <w:sz w:val="20"/>
        <w:szCs w:val="20"/>
      </w:rPr>
    </w:pPr>
    <w:r w:rsidRPr="00017A49">
      <w:rPr>
        <w:rFonts w:cs="Arial"/>
        <w:kern w:val="32"/>
        <w:sz w:val="20"/>
        <w:szCs w:val="20"/>
        <w:lang w:eastAsia="en-US"/>
      </w:rPr>
      <w:t>Mini</w:t>
    </w:r>
    <w:r>
      <w:rPr>
        <w:rFonts w:cs="Arial"/>
        <w:kern w:val="32"/>
        <w:sz w:val="20"/>
        <w:szCs w:val="20"/>
        <w:lang w:eastAsia="en-US"/>
      </w:rPr>
      <w:t>stru kabineta noteikumu projekta</w:t>
    </w:r>
    <w:r w:rsidRPr="00017A49">
      <w:rPr>
        <w:rFonts w:cs="Arial"/>
        <w:kern w:val="32"/>
        <w:sz w:val="20"/>
        <w:szCs w:val="20"/>
        <w:lang w:eastAsia="en-US"/>
      </w:rPr>
      <w:t xml:space="preserve"> „</w:t>
    </w:r>
    <w:r>
      <w:rPr>
        <w:sz w:val="20"/>
        <w:szCs w:val="20"/>
      </w:rPr>
      <w:t>Valdības komunikācijas koordinācijas padomes nolikums”</w:t>
    </w:r>
    <w:r w:rsidRPr="00C0152F">
      <w:rPr>
        <w:sz w:val="20"/>
        <w:szCs w:val="20"/>
      </w:rPr>
      <w:t xml:space="preserve"> </w:t>
    </w:r>
    <w:r w:rsidRPr="00017A49">
      <w:rPr>
        <w:sz w:val="20"/>
        <w:szCs w:val="20"/>
      </w:rPr>
      <w:t>sākotnējās ietekmes novērtējuma ziņojums (anotācija)</w:t>
    </w:r>
    <w:proofErr w:type="gramStart"/>
    <w:r>
      <w:rPr>
        <w:sz w:val="20"/>
        <w:szCs w:val="20"/>
      </w:rPr>
      <w:t xml:space="preserve">  </w:t>
    </w:r>
    <w:proofErr w:type="gramEnd"/>
    <w:r>
      <w:rPr>
        <w:sz w:val="20"/>
        <w:szCs w:val="20"/>
      </w:rPr>
      <w:t xml:space="preserve">(57593)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13321" w14:textId="01CCAF4F" w:rsidR="004E3F33" w:rsidRDefault="004E3F33" w:rsidP="00975279">
    <w:pPr>
      <w:pStyle w:val="Footer"/>
      <w:tabs>
        <w:tab w:val="clear" w:pos="8306"/>
        <w:tab w:val="left" w:pos="7552"/>
      </w:tabs>
      <w:jc w:val="both"/>
      <w:rPr>
        <w:rFonts w:cs="Arial"/>
        <w:kern w:val="32"/>
        <w:sz w:val="20"/>
        <w:szCs w:val="20"/>
        <w:lang w:eastAsia="en-US"/>
      </w:rPr>
    </w:pPr>
    <w:r>
      <w:rPr>
        <w:rFonts w:cs="Arial"/>
        <w:kern w:val="32"/>
        <w:sz w:val="20"/>
        <w:szCs w:val="20"/>
        <w:lang w:eastAsia="en-US"/>
      </w:rPr>
      <w:t>M</w:t>
    </w:r>
    <w:r w:rsidR="00C0429C">
      <w:rPr>
        <w:rFonts w:cs="Arial"/>
        <w:kern w:val="32"/>
        <w:sz w:val="20"/>
        <w:szCs w:val="20"/>
        <w:lang w:eastAsia="en-US"/>
      </w:rPr>
      <w:t>Kanot_</w:t>
    </w:r>
    <w:r w:rsidR="00273B65">
      <w:rPr>
        <w:rFonts w:cs="Arial"/>
        <w:kern w:val="32"/>
        <w:sz w:val="20"/>
        <w:szCs w:val="20"/>
        <w:lang w:eastAsia="en-US"/>
      </w:rPr>
      <w:t>2411</w:t>
    </w:r>
    <w:r w:rsidR="0050322A">
      <w:rPr>
        <w:rFonts w:cs="Arial"/>
        <w:kern w:val="32"/>
        <w:sz w:val="20"/>
        <w:szCs w:val="20"/>
        <w:lang w:eastAsia="en-US"/>
      </w:rPr>
      <w:t>16_kompad</w:t>
    </w:r>
    <w:r>
      <w:rPr>
        <w:rFonts w:cs="Arial"/>
        <w:kern w:val="32"/>
        <w:sz w:val="20"/>
        <w:szCs w:val="20"/>
        <w:lang w:eastAsia="en-US"/>
      </w:rPr>
      <w:t>nolikums</w:t>
    </w:r>
  </w:p>
  <w:p w14:paraId="5A36CB8F" w14:textId="4C3EB595" w:rsidR="00FE6DBE" w:rsidRPr="00975279" w:rsidRDefault="00FE6DBE" w:rsidP="00975279">
    <w:pPr>
      <w:pStyle w:val="Footer"/>
      <w:tabs>
        <w:tab w:val="clear" w:pos="8306"/>
        <w:tab w:val="left" w:pos="7552"/>
      </w:tabs>
      <w:jc w:val="both"/>
      <w:rPr>
        <w:sz w:val="20"/>
        <w:szCs w:val="20"/>
      </w:rPr>
    </w:pPr>
    <w:r w:rsidRPr="00017A49">
      <w:rPr>
        <w:rFonts w:cs="Arial"/>
        <w:kern w:val="32"/>
        <w:sz w:val="20"/>
        <w:szCs w:val="20"/>
        <w:lang w:eastAsia="en-US"/>
      </w:rPr>
      <w:t>Mini</w:t>
    </w:r>
    <w:r>
      <w:rPr>
        <w:rFonts w:cs="Arial"/>
        <w:kern w:val="32"/>
        <w:sz w:val="20"/>
        <w:szCs w:val="20"/>
        <w:lang w:eastAsia="en-US"/>
      </w:rPr>
      <w:t>stru kabineta noteikumu projekta</w:t>
    </w:r>
    <w:r w:rsidRPr="00017A49">
      <w:rPr>
        <w:rFonts w:cs="Arial"/>
        <w:kern w:val="32"/>
        <w:sz w:val="20"/>
        <w:szCs w:val="20"/>
        <w:lang w:eastAsia="en-US"/>
      </w:rPr>
      <w:t xml:space="preserve"> „</w:t>
    </w:r>
    <w:r w:rsidR="00796E62">
      <w:rPr>
        <w:sz w:val="20"/>
        <w:szCs w:val="20"/>
      </w:rPr>
      <w:t>Valdības komunikācijas koordinācijas padomes nolikums</w:t>
    </w:r>
    <w:r>
      <w:rPr>
        <w:sz w:val="20"/>
        <w:szCs w:val="20"/>
      </w:rPr>
      <w:t>”</w:t>
    </w:r>
    <w:r w:rsidRPr="00C0152F">
      <w:rPr>
        <w:sz w:val="20"/>
        <w:szCs w:val="20"/>
      </w:rPr>
      <w:t xml:space="preserve"> </w:t>
    </w:r>
    <w:r w:rsidRPr="00017A49">
      <w:rPr>
        <w:sz w:val="20"/>
        <w:szCs w:val="20"/>
      </w:rPr>
      <w:t>sākotnējās ietekmes novērtējuma ziņojums (anotācija)</w:t>
    </w:r>
    <w:proofErr w:type="gramStart"/>
    <w:r w:rsidR="007B106D">
      <w:rPr>
        <w:sz w:val="20"/>
        <w:szCs w:val="20"/>
      </w:rPr>
      <w:t xml:space="preserve">  </w:t>
    </w:r>
    <w:proofErr w:type="gramEnd"/>
    <w:r w:rsidR="007B106D">
      <w:rPr>
        <w:sz w:val="20"/>
        <w:szCs w:val="20"/>
      </w:rPr>
      <w:t>(57593)</w:t>
    </w:r>
    <w:r w:rsidR="007E171E">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DDFEE" w14:textId="77777777" w:rsidR="00811B49" w:rsidRDefault="00811B49">
      <w:r>
        <w:separator/>
      </w:r>
    </w:p>
  </w:footnote>
  <w:footnote w:type="continuationSeparator" w:id="0">
    <w:p w14:paraId="2F16EE98" w14:textId="77777777" w:rsidR="00811B49" w:rsidRDefault="00811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787B1" w14:textId="77777777" w:rsidR="00FE6DBE" w:rsidRDefault="00FE6DB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BD4C32" w14:textId="77777777" w:rsidR="00FE6DBE" w:rsidRDefault="00FE6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23791"/>
      <w:docPartObj>
        <w:docPartGallery w:val="Page Numbers (Top of Page)"/>
        <w:docPartUnique/>
      </w:docPartObj>
    </w:sdtPr>
    <w:sdtEndPr>
      <w:rPr>
        <w:noProof/>
      </w:rPr>
    </w:sdtEndPr>
    <w:sdtContent>
      <w:p w14:paraId="461BD9F4" w14:textId="5625C93B" w:rsidR="007B106D" w:rsidRDefault="007B106D">
        <w:pPr>
          <w:pStyle w:val="Header"/>
          <w:jc w:val="center"/>
        </w:pPr>
        <w:r>
          <w:fldChar w:fldCharType="begin"/>
        </w:r>
        <w:r>
          <w:instrText xml:space="preserve"> PAGE   \* MERGEFORMAT </w:instrText>
        </w:r>
        <w:r>
          <w:fldChar w:fldCharType="separate"/>
        </w:r>
        <w:r w:rsidR="00DC1076">
          <w:rPr>
            <w:noProof/>
          </w:rPr>
          <w:t>3</w:t>
        </w:r>
        <w:r>
          <w:rPr>
            <w:noProof/>
          </w:rPr>
          <w:fldChar w:fldCharType="end"/>
        </w:r>
      </w:p>
    </w:sdtContent>
  </w:sdt>
  <w:p w14:paraId="0B230F90" w14:textId="77777777" w:rsidR="00FE6DBE" w:rsidRDefault="00FE6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CD6E4E"/>
    <w:multiLevelType w:val="multilevel"/>
    <w:tmpl w:val="8A369D9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6101F58"/>
    <w:multiLevelType w:val="multilevel"/>
    <w:tmpl w:val="E6A271D4"/>
    <w:lvl w:ilvl="0">
      <w:start w:val="1"/>
      <w:numFmt w:val="decimal"/>
      <w:lvlText w:val="%1."/>
      <w:lvlJc w:val="left"/>
      <w:pPr>
        <w:tabs>
          <w:tab w:val="num" w:pos="555"/>
        </w:tabs>
        <w:ind w:left="555" w:hanging="360"/>
      </w:pPr>
    </w:lvl>
    <w:lvl w:ilvl="1">
      <w:start w:val="1"/>
      <w:numFmt w:val="decimal"/>
      <w:isLgl/>
      <w:lvlText w:val="%2."/>
      <w:lvlJc w:val="left"/>
      <w:pPr>
        <w:tabs>
          <w:tab w:val="num" w:pos="555"/>
        </w:tabs>
        <w:ind w:left="555" w:hanging="360"/>
      </w:pPr>
      <w:rPr>
        <w:rFonts w:ascii="Times New Roman" w:eastAsia="Times New Roman" w:hAnsi="Times New Roman" w:cs="Times New Roman"/>
      </w:rPr>
    </w:lvl>
    <w:lvl w:ilvl="2">
      <w:start w:val="1"/>
      <w:numFmt w:val="decimal"/>
      <w:isLgl/>
      <w:lvlText w:val="%1.%2.%3."/>
      <w:lvlJc w:val="left"/>
      <w:pPr>
        <w:tabs>
          <w:tab w:val="num" w:pos="915"/>
        </w:tabs>
        <w:ind w:left="915" w:hanging="720"/>
      </w:pPr>
      <w:rPr>
        <w:rFonts w:hint="default"/>
      </w:rPr>
    </w:lvl>
    <w:lvl w:ilvl="3">
      <w:start w:val="1"/>
      <w:numFmt w:val="decimal"/>
      <w:isLgl/>
      <w:lvlText w:val="%1.%2.%3.%4."/>
      <w:lvlJc w:val="left"/>
      <w:pPr>
        <w:tabs>
          <w:tab w:val="num" w:pos="915"/>
        </w:tabs>
        <w:ind w:left="915" w:hanging="720"/>
      </w:pPr>
      <w:rPr>
        <w:rFonts w:hint="default"/>
      </w:rPr>
    </w:lvl>
    <w:lvl w:ilvl="4">
      <w:start w:val="1"/>
      <w:numFmt w:val="decimal"/>
      <w:isLgl/>
      <w:lvlText w:val="%1.%2.%3.%4.%5."/>
      <w:lvlJc w:val="left"/>
      <w:pPr>
        <w:tabs>
          <w:tab w:val="num" w:pos="1275"/>
        </w:tabs>
        <w:ind w:left="1275" w:hanging="1080"/>
      </w:pPr>
      <w:rPr>
        <w:rFonts w:hint="default"/>
      </w:rPr>
    </w:lvl>
    <w:lvl w:ilvl="5">
      <w:start w:val="1"/>
      <w:numFmt w:val="decimal"/>
      <w:isLgl/>
      <w:lvlText w:val="%1.%2.%3.%4.%5.%6."/>
      <w:lvlJc w:val="left"/>
      <w:pPr>
        <w:tabs>
          <w:tab w:val="num" w:pos="1275"/>
        </w:tabs>
        <w:ind w:left="1275" w:hanging="1080"/>
      </w:pPr>
      <w:rPr>
        <w:rFonts w:hint="default"/>
      </w:rPr>
    </w:lvl>
    <w:lvl w:ilvl="6">
      <w:start w:val="1"/>
      <w:numFmt w:val="decimal"/>
      <w:isLgl/>
      <w:lvlText w:val="%1.%2.%3.%4.%5.%6.%7."/>
      <w:lvlJc w:val="left"/>
      <w:pPr>
        <w:tabs>
          <w:tab w:val="num" w:pos="1635"/>
        </w:tabs>
        <w:ind w:left="1635" w:hanging="1440"/>
      </w:pPr>
      <w:rPr>
        <w:rFonts w:hint="default"/>
      </w:rPr>
    </w:lvl>
    <w:lvl w:ilvl="7">
      <w:start w:val="1"/>
      <w:numFmt w:val="decimal"/>
      <w:isLgl/>
      <w:lvlText w:val="%1.%2.%3.%4.%5.%6.%7.%8."/>
      <w:lvlJc w:val="left"/>
      <w:pPr>
        <w:tabs>
          <w:tab w:val="num" w:pos="1635"/>
        </w:tabs>
        <w:ind w:left="1635" w:hanging="1440"/>
      </w:pPr>
      <w:rPr>
        <w:rFonts w:hint="default"/>
      </w:rPr>
    </w:lvl>
    <w:lvl w:ilvl="8">
      <w:start w:val="1"/>
      <w:numFmt w:val="decimal"/>
      <w:isLgl/>
      <w:lvlText w:val="%1.%2.%3.%4.%5.%6.%7.%8.%9."/>
      <w:lvlJc w:val="left"/>
      <w:pPr>
        <w:tabs>
          <w:tab w:val="num" w:pos="1995"/>
        </w:tabs>
        <w:ind w:left="1995" w:hanging="1800"/>
      </w:pPr>
      <w:rPr>
        <w:rFonts w:hint="default"/>
      </w:r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BA755D2"/>
    <w:multiLevelType w:val="hybridMultilevel"/>
    <w:tmpl w:val="0FBAAD58"/>
    <w:lvl w:ilvl="0" w:tplc="5F92E140">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3C414D2B"/>
    <w:multiLevelType w:val="hybridMultilevel"/>
    <w:tmpl w:val="1E0AC2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51922309"/>
    <w:multiLevelType w:val="hybridMultilevel"/>
    <w:tmpl w:val="993E681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DA27D3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6"/>
  </w:num>
  <w:num w:numId="3">
    <w:abstractNumId w:val="5"/>
  </w:num>
  <w:num w:numId="4">
    <w:abstractNumId w:val="3"/>
  </w:num>
  <w:num w:numId="5">
    <w:abstractNumId w:val="0"/>
  </w:num>
  <w:num w:numId="6">
    <w:abstractNumId w:val="13"/>
  </w:num>
  <w:num w:numId="7">
    <w:abstractNumId w:val="17"/>
  </w:num>
  <w:num w:numId="8">
    <w:abstractNumId w:val="9"/>
  </w:num>
  <w:num w:numId="9">
    <w:abstractNumId w:val="4"/>
  </w:num>
  <w:num w:numId="10">
    <w:abstractNumId w:val="10"/>
  </w:num>
  <w:num w:numId="11">
    <w:abstractNumId w:val="11"/>
  </w:num>
  <w:num w:numId="12">
    <w:abstractNumId w:val="14"/>
  </w:num>
  <w:num w:numId="13">
    <w:abstractNumId w:val="15"/>
  </w:num>
  <w:num w:numId="14">
    <w:abstractNumId w:val="2"/>
  </w:num>
  <w:num w:numId="15">
    <w:abstractNumId w:val="1"/>
  </w:num>
  <w:num w:numId="16">
    <w:abstractNumId w:val="12"/>
  </w:num>
  <w:num w:numId="17">
    <w:abstractNumId w:val="18"/>
  </w:num>
  <w:num w:numId="18">
    <w:abstractNumId w:va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lveiga Lice">
    <w15:presenceInfo w15:providerId="AD" w15:userId="S-1-5-21-1762135226-342840741-925700815-1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1E4C"/>
    <w:rsid w:val="00002230"/>
    <w:rsid w:val="0000546B"/>
    <w:rsid w:val="000078D2"/>
    <w:rsid w:val="00011D24"/>
    <w:rsid w:val="00012399"/>
    <w:rsid w:val="00013FF4"/>
    <w:rsid w:val="00017A49"/>
    <w:rsid w:val="00020FE1"/>
    <w:rsid w:val="00022E13"/>
    <w:rsid w:val="00032388"/>
    <w:rsid w:val="00035CE2"/>
    <w:rsid w:val="00035F95"/>
    <w:rsid w:val="00037453"/>
    <w:rsid w:val="0005073B"/>
    <w:rsid w:val="000519C8"/>
    <w:rsid w:val="0005553B"/>
    <w:rsid w:val="000565E3"/>
    <w:rsid w:val="0005703F"/>
    <w:rsid w:val="00057FCA"/>
    <w:rsid w:val="000604D2"/>
    <w:rsid w:val="00060E94"/>
    <w:rsid w:val="000660CC"/>
    <w:rsid w:val="0008465B"/>
    <w:rsid w:val="0009005E"/>
    <w:rsid w:val="00092782"/>
    <w:rsid w:val="000941C5"/>
    <w:rsid w:val="00095EEA"/>
    <w:rsid w:val="000A4208"/>
    <w:rsid w:val="000A4DF4"/>
    <w:rsid w:val="000A6451"/>
    <w:rsid w:val="000B064E"/>
    <w:rsid w:val="000B6528"/>
    <w:rsid w:val="000B69CF"/>
    <w:rsid w:val="000B6A27"/>
    <w:rsid w:val="000C4DFE"/>
    <w:rsid w:val="000C790C"/>
    <w:rsid w:val="000D07C8"/>
    <w:rsid w:val="000D1FC8"/>
    <w:rsid w:val="000D4042"/>
    <w:rsid w:val="000E0856"/>
    <w:rsid w:val="000E325E"/>
    <w:rsid w:val="000E69EE"/>
    <w:rsid w:val="000F061D"/>
    <w:rsid w:val="000F31BE"/>
    <w:rsid w:val="000F4794"/>
    <w:rsid w:val="000F662E"/>
    <w:rsid w:val="000F7457"/>
    <w:rsid w:val="001022BC"/>
    <w:rsid w:val="0010619D"/>
    <w:rsid w:val="00116A4A"/>
    <w:rsid w:val="00116C90"/>
    <w:rsid w:val="00124F12"/>
    <w:rsid w:val="001307EE"/>
    <w:rsid w:val="001323CF"/>
    <w:rsid w:val="00136DCF"/>
    <w:rsid w:val="00144E3A"/>
    <w:rsid w:val="0015060C"/>
    <w:rsid w:val="0016018A"/>
    <w:rsid w:val="00161F0E"/>
    <w:rsid w:val="00170E2A"/>
    <w:rsid w:val="00172BDD"/>
    <w:rsid w:val="00175542"/>
    <w:rsid w:val="0017624A"/>
    <w:rsid w:val="0017694F"/>
    <w:rsid w:val="00177394"/>
    <w:rsid w:val="001802E4"/>
    <w:rsid w:val="00182C18"/>
    <w:rsid w:val="00183CC2"/>
    <w:rsid w:val="00184705"/>
    <w:rsid w:val="001900E4"/>
    <w:rsid w:val="00190F88"/>
    <w:rsid w:val="00194808"/>
    <w:rsid w:val="0019489E"/>
    <w:rsid w:val="00196BD3"/>
    <w:rsid w:val="001A3AB3"/>
    <w:rsid w:val="001A4066"/>
    <w:rsid w:val="001A4B81"/>
    <w:rsid w:val="001A55DE"/>
    <w:rsid w:val="001A6AE4"/>
    <w:rsid w:val="001A7397"/>
    <w:rsid w:val="001B01FD"/>
    <w:rsid w:val="001B3C32"/>
    <w:rsid w:val="001B4A71"/>
    <w:rsid w:val="001D5B54"/>
    <w:rsid w:val="001E1DBF"/>
    <w:rsid w:val="001E4639"/>
    <w:rsid w:val="001E4A7D"/>
    <w:rsid w:val="001F4209"/>
    <w:rsid w:val="001F43A8"/>
    <w:rsid w:val="001F5CD6"/>
    <w:rsid w:val="001F761F"/>
    <w:rsid w:val="0021263D"/>
    <w:rsid w:val="00213F0C"/>
    <w:rsid w:val="00214094"/>
    <w:rsid w:val="0021592D"/>
    <w:rsid w:val="00222A5F"/>
    <w:rsid w:val="00222D76"/>
    <w:rsid w:val="0022318A"/>
    <w:rsid w:val="00223EB1"/>
    <w:rsid w:val="002248A2"/>
    <w:rsid w:val="002300B8"/>
    <w:rsid w:val="00231344"/>
    <w:rsid w:val="002314EA"/>
    <w:rsid w:val="0023436E"/>
    <w:rsid w:val="002347C0"/>
    <w:rsid w:val="002350E0"/>
    <w:rsid w:val="00241A6C"/>
    <w:rsid w:val="00242D2B"/>
    <w:rsid w:val="002437B1"/>
    <w:rsid w:val="00250323"/>
    <w:rsid w:val="00262E2B"/>
    <w:rsid w:val="00266861"/>
    <w:rsid w:val="00270429"/>
    <w:rsid w:val="002723E9"/>
    <w:rsid w:val="00273B65"/>
    <w:rsid w:val="00277929"/>
    <w:rsid w:val="00277DA2"/>
    <w:rsid w:val="00281D57"/>
    <w:rsid w:val="00283B82"/>
    <w:rsid w:val="002846E9"/>
    <w:rsid w:val="00284C34"/>
    <w:rsid w:val="0029066C"/>
    <w:rsid w:val="002929C2"/>
    <w:rsid w:val="002A4DF7"/>
    <w:rsid w:val="002B3E86"/>
    <w:rsid w:val="002B50DB"/>
    <w:rsid w:val="002C12AB"/>
    <w:rsid w:val="002C17DA"/>
    <w:rsid w:val="002C3604"/>
    <w:rsid w:val="002C7CAC"/>
    <w:rsid w:val="002D1539"/>
    <w:rsid w:val="002D167F"/>
    <w:rsid w:val="002D19EA"/>
    <w:rsid w:val="002D3306"/>
    <w:rsid w:val="002D48AA"/>
    <w:rsid w:val="002D6A48"/>
    <w:rsid w:val="002D7130"/>
    <w:rsid w:val="002D7861"/>
    <w:rsid w:val="002D7BAA"/>
    <w:rsid w:val="002D7F54"/>
    <w:rsid w:val="002E3FF4"/>
    <w:rsid w:val="002E5991"/>
    <w:rsid w:val="002F78C8"/>
    <w:rsid w:val="002F7D53"/>
    <w:rsid w:val="00301CF3"/>
    <w:rsid w:val="00302A79"/>
    <w:rsid w:val="00303DC9"/>
    <w:rsid w:val="003101F6"/>
    <w:rsid w:val="00314BB0"/>
    <w:rsid w:val="00315700"/>
    <w:rsid w:val="00317270"/>
    <w:rsid w:val="0032430B"/>
    <w:rsid w:val="0032715C"/>
    <w:rsid w:val="0033618D"/>
    <w:rsid w:val="00337CA5"/>
    <w:rsid w:val="00340AD2"/>
    <w:rsid w:val="00341B89"/>
    <w:rsid w:val="00351C6E"/>
    <w:rsid w:val="00352CE0"/>
    <w:rsid w:val="0035720E"/>
    <w:rsid w:val="00361F85"/>
    <w:rsid w:val="00362478"/>
    <w:rsid w:val="00362F1D"/>
    <w:rsid w:val="0037214C"/>
    <w:rsid w:val="00375B25"/>
    <w:rsid w:val="0038132C"/>
    <w:rsid w:val="0038532A"/>
    <w:rsid w:val="00390D60"/>
    <w:rsid w:val="00394871"/>
    <w:rsid w:val="00396542"/>
    <w:rsid w:val="0039685B"/>
    <w:rsid w:val="003A31A6"/>
    <w:rsid w:val="003A7F0C"/>
    <w:rsid w:val="003A7F79"/>
    <w:rsid w:val="003B4D40"/>
    <w:rsid w:val="003B6404"/>
    <w:rsid w:val="003B6839"/>
    <w:rsid w:val="003C18B4"/>
    <w:rsid w:val="003C2606"/>
    <w:rsid w:val="003C449B"/>
    <w:rsid w:val="003C6392"/>
    <w:rsid w:val="003D21FF"/>
    <w:rsid w:val="003D5D3B"/>
    <w:rsid w:val="003D6836"/>
    <w:rsid w:val="003E0C01"/>
    <w:rsid w:val="003E3097"/>
    <w:rsid w:val="003F0112"/>
    <w:rsid w:val="003F071A"/>
    <w:rsid w:val="003F12EC"/>
    <w:rsid w:val="003F160B"/>
    <w:rsid w:val="00400032"/>
    <w:rsid w:val="00400B5B"/>
    <w:rsid w:val="00405A00"/>
    <w:rsid w:val="004068D0"/>
    <w:rsid w:val="00413694"/>
    <w:rsid w:val="0041522D"/>
    <w:rsid w:val="004154BF"/>
    <w:rsid w:val="00420870"/>
    <w:rsid w:val="00426206"/>
    <w:rsid w:val="00430646"/>
    <w:rsid w:val="00432D0C"/>
    <w:rsid w:val="00436BA5"/>
    <w:rsid w:val="0043791B"/>
    <w:rsid w:val="0044129E"/>
    <w:rsid w:val="00441483"/>
    <w:rsid w:val="00441BCB"/>
    <w:rsid w:val="00445669"/>
    <w:rsid w:val="0045176A"/>
    <w:rsid w:val="00456332"/>
    <w:rsid w:val="00461826"/>
    <w:rsid w:val="00474556"/>
    <w:rsid w:val="00477814"/>
    <w:rsid w:val="004800F9"/>
    <w:rsid w:val="0049134A"/>
    <w:rsid w:val="004923EC"/>
    <w:rsid w:val="004A09C6"/>
    <w:rsid w:val="004A4EC1"/>
    <w:rsid w:val="004A58CB"/>
    <w:rsid w:val="004A5C1C"/>
    <w:rsid w:val="004B1795"/>
    <w:rsid w:val="004B1957"/>
    <w:rsid w:val="004B3C3D"/>
    <w:rsid w:val="004B42A0"/>
    <w:rsid w:val="004B56DD"/>
    <w:rsid w:val="004C020F"/>
    <w:rsid w:val="004C1AFD"/>
    <w:rsid w:val="004C2E21"/>
    <w:rsid w:val="004C558B"/>
    <w:rsid w:val="004D6DC6"/>
    <w:rsid w:val="004E03E8"/>
    <w:rsid w:val="004E0FED"/>
    <w:rsid w:val="004E3B50"/>
    <w:rsid w:val="004E3F33"/>
    <w:rsid w:val="004F191E"/>
    <w:rsid w:val="004F1F88"/>
    <w:rsid w:val="004F5F1B"/>
    <w:rsid w:val="004F5FD9"/>
    <w:rsid w:val="004F67D8"/>
    <w:rsid w:val="00502374"/>
    <w:rsid w:val="0050322A"/>
    <w:rsid w:val="005060A1"/>
    <w:rsid w:val="00512853"/>
    <w:rsid w:val="00516072"/>
    <w:rsid w:val="00516C1C"/>
    <w:rsid w:val="005264D8"/>
    <w:rsid w:val="005332EC"/>
    <w:rsid w:val="00534418"/>
    <w:rsid w:val="005353AB"/>
    <w:rsid w:val="00544304"/>
    <w:rsid w:val="00545819"/>
    <w:rsid w:val="00545AB5"/>
    <w:rsid w:val="005560BC"/>
    <w:rsid w:val="00556839"/>
    <w:rsid w:val="005573BE"/>
    <w:rsid w:val="005717EA"/>
    <w:rsid w:val="00572700"/>
    <w:rsid w:val="005776EF"/>
    <w:rsid w:val="00577ED4"/>
    <w:rsid w:val="00580468"/>
    <w:rsid w:val="00582231"/>
    <w:rsid w:val="0058603B"/>
    <w:rsid w:val="00591258"/>
    <w:rsid w:val="0059431B"/>
    <w:rsid w:val="005979E8"/>
    <w:rsid w:val="005A0560"/>
    <w:rsid w:val="005A1093"/>
    <w:rsid w:val="005A39CC"/>
    <w:rsid w:val="005A44C4"/>
    <w:rsid w:val="005B09AD"/>
    <w:rsid w:val="005B4730"/>
    <w:rsid w:val="005C4932"/>
    <w:rsid w:val="005C55D5"/>
    <w:rsid w:val="005D721F"/>
    <w:rsid w:val="005E05D7"/>
    <w:rsid w:val="005E1658"/>
    <w:rsid w:val="005E41E7"/>
    <w:rsid w:val="005E450F"/>
    <w:rsid w:val="005F7E60"/>
    <w:rsid w:val="0060408E"/>
    <w:rsid w:val="0062205F"/>
    <w:rsid w:val="006223E0"/>
    <w:rsid w:val="0062298A"/>
    <w:rsid w:val="00626514"/>
    <w:rsid w:val="00626589"/>
    <w:rsid w:val="0063047D"/>
    <w:rsid w:val="006339A0"/>
    <w:rsid w:val="00640EF4"/>
    <w:rsid w:val="006413A8"/>
    <w:rsid w:val="00642E56"/>
    <w:rsid w:val="00643033"/>
    <w:rsid w:val="0064478C"/>
    <w:rsid w:val="00651E00"/>
    <w:rsid w:val="00666AF6"/>
    <w:rsid w:val="0066714E"/>
    <w:rsid w:val="00667285"/>
    <w:rsid w:val="00671488"/>
    <w:rsid w:val="00672ECD"/>
    <w:rsid w:val="006733CE"/>
    <w:rsid w:val="00674572"/>
    <w:rsid w:val="006863DF"/>
    <w:rsid w:val="00687763"/>
    <w:rsid w:val="0069216B"/>
    <w:rsid w:val="00692B0D"/>
    <w:rsid w:val="00692EA2"/>
    <w:rsid w:val="00693E0E"/>
    <w:rsid w:val="00693FAA"/>
    <w:rsid w:val="00696F4B"/>
    <w:rsid w:val="006A1AE3"/>
    <w:rsid w:val="006A1BBF"/>
    <w:rsid w:val="006C30E1"/>
    <w:rsid w:val="006C38A5"/>
    <w:rsid w:val="006C4607"/>
    <w:rsid w:val="006D412A"/>
    <w:rsid w:val="006D48F1"/>
    <w:rsid w:val="006F108D"/>
    <w:rsid w:val="006F11AF"/>
    <w:rsid w:val="006F3477"/>
    <w:rsid w:val="006F45BE"/>
    <w:rsid w:val="007004FC"/>
    <w:rsid w:val="007042AA"/>
    <w:rsid w:val="00706670"/>
    <w:rsid w:val="00711F59"/>
    <w:rsid w:val="0071473A"/>
    <w:rsid w:val="00716348"/>
    <w:rsid w:val="0072417C"/>
    <w:rsid w:val="0072423E"/>
    <w:rsid w:val="00734450"/>
    <w:rsid w:val="00734BF7"/>
    <w:rsid w:val="007357F0"/>
    <w:rsid w:val="00737BE1"/>
    <w:rsid w:val="00745F67"/>
    <w:rsid w:val="0075039E"/>
    <w:rsid w:val="007508E7"/>
    <w:rsid w:val="00752B04"/>
    <w:rsid w:val="00752D9D"/>
    <w:rsid w:val="00754784"/>
    <w:rsid w:val="00756A2C"/>
    <w:rsid w:val="00757C6E"/>
    <w:rsid w:val="00761E77"/>
    <w:rsid w:val="00762BDA"/>
    <w:rsid w:val="007641B7"/>
    <w:rsid w:val="007655B0"/>
    <w:rsid w:val="007712DD"/>
    <w:rsid w:val="00771639"/>
    <w:rsid w:val="007717D5"/>
    <w:rsid w:val="007752C5"/>
    <w:rsid w:val="007805FD"/>
    <w:rsid w:val="0078406F"/>
    <w:rsid w:val="00784422"/>
    <w:rsid w:val="007929BE"/>
    <w:rsid w:val="00796E62"/>
    <w:rsid w:val="007A3F6E"/>
    <w:rsid w:val="007B00EC"/>
    <w:rsid w:val="007B106D"/>
    <w:rsid w:val="007B1C15"/>
    <w:rsid w:val="007B2E8B"/>
    <w:rsid w:val="007B3B54"/>
    <w:rsid w:val="007B3FA0"/>
    <w:rsid w:val="007B659E"/>
    <w:rsid w:val="007C0F2C"/>
    <w:rsid w:val="007C240A"/>
    <w:rsid w:val="007C2BCC"/>
    <w:rsid w:val="007C4C2D"/>
    <w:rsid w:val="007C4EF0"/>
    <w:rsid w:val="007D099D"/>
    <w:rsid w:val="007D0DE8"/>
    <w:rsid w:val="007E14C0"/>
    <w:rsid w:val="007E171E"/>
    <w:rsid w:val="007E1EEF"/>
    <w:rsid w:val="007E2664"/>
    <w:rsid w:val="007E3ABF"/>
    <w:rsid w:val="007E5BFA"/>
    <w:rsid w:val="007E6689"/>
    <w:rsid w:val="007E731C"/>
    <w:rsid w:val="007F0A03"/>
    <w:rsid w:val="007F0E8C"/>
    <w:rsid w:val="007F2D82"/>
    <w:rsid w:val="007F77F7"/>
    <w:rsid w:val="00810040"/>
    <w:rsid w:val="008107EC"/>
    <w:rsid w:val="00811B49"/>
    <w:rsid w:val="008126F6"/>
    <w:rsid w:val="00817EEE"/>
    <w:rsid w:val="0082023A"/>
    <w:rsid w:val="00821A7A"/>
    <w:rsid w:val="008253F8"/>
    <w:rsid w:val="00825CED"/>
    <w:rsid w:val="00826A4F"/>
    <w:rsid w:val="008325E4"/>
    <w:rsid w:val="00832A2B"/>
    <w:rsid w:val="00841820"/>
    <w:rsid w:val="00845811"/>
    <w:rsid w:val="00845A85"/>
    <w:rsid w:val="00846994"/>
    <w:rsid w:val="00850451"/>
    <w:rsid w:val="00852042"/>
    <w:rsid w:val="008534C9"/>
    <w:rsid w:val="0085599D"/>
    <w:rsid w:val="00856B1E"/>
    <w:rsid w:val="00862928"/>
    <w:rsid w:val="00871DF4"/>
    <w:rsid w:val="0087510C"/>
    <w:rsid w:val="00880611"/>
    <w:rsid w:val="00882A68"/>
    <w:rsid w:val="0089529B"/>
    <w:rsid w:val="00895732"/>
    <w:rsid w:val="008968D2"/>
    <w:rsid w:val="0089738E"/>
    <w:rsid w:val="008B07DC"/>
    <w:rsid w:val="008B2EBB"/>
    <w:rsid w:val="008B3A92"/>
    <w:rsid w:val="008B5FDB"/>
    <w:rsid w:val="008C2C87"/>
    <w:rsid w:val="008C48B9"/>
    <w:rsid w:val="008C50F4"/>
    <w:rsid w:val="008C5649"/>
    <w:rsid w:val="008D50AF"/>
    <w:rsid w:val="008E1744"/>
    <w:rsid w:val="008E44A2"/>
    <w:rsid w:val="008E697D"/>
    <w:rsid w:val="008F2F80"/>
    <w:rsid w:val="008F75CB"/>
    <w:rsid w:val="00903263"/>
    <w:rsid w:val="00906A21"/>
    <w:rsid w:val="009079C3"/>
    <w:rsid w:val="00910462"/>
    <w:rsid w:val="00910912"/>
    <w:rsid w:val="00915AB1"/>
    <w:rsid w:val="00917532"/>
    <w:rsid w:val="009235BA"/>
    <w:rsid w:val="00924023"/>
    <w:rsid w:val="00924CE2"/>
    <w:rsid w:val="00925B9F"/>
    <w:rsid w:val="00931AED"/>
    <w:rsid w:val="00931B74"/>
    <w:rsid w:val="009341CF"/>
    <w:rsid w:val="009355F5"/>
    <w:rsid w:val="00937B55"/>
    <w:rsid w:val="009405A1"/>
    <w:rsid w:val="009476A3"/>
    <w:rsid w:val="0095334F"/>
    <w:rsid w:val="00965897"/>
    <w:rsid w:val="00965923"/>
    <w:rsid w:val="0096765C"/>
    <w:rsid w:val="009727E4"/>
    <w:rsid w:val="00972875"/>
    <w:rsid w:val="00975279"/>
    <w:rsid w:val="00983969"/>
    <w:rsid w:val="009934C5"/>
    <w:rsid w:val="00994C0F"/>
    <w:rsid w:val="0099673D"/>
    <w:rsid w:val="009978A8"/>
    <w:rsid w:val="009A3C00"/>
    <w:rsid w:val="009A603D"/>
    <w:rsid w:val="009B22D7"/>
    <w:rsid w:val="009B3087"/>
    <w:rsid w:val="009B72ED"/>
    <w:rsid w:val="009B73D6"/>
    <w:rsid w:val="009C0A69"/>
    <w:rsid w:val="009C48AB"/>
    <w:rsid w:val="009C5561"/>
    <w:rsid w:val="009C66B5"/>
    <w:rsid w:val="009C6DEB"/>
    <w:rsid w:val="009C7123"/>
    <w:rsid w:val="009D6504"/>
    <w:rsid w:val="009E12D7"/>
    <w:rsid w:val="009E4B36"/>
    <w:rsid w:val="009E5D99"/>
    <w:rsid w:val="009E661A"/>
    <w:rsid w:val="009F1DB1"/>
    <w:rsid w:val="009F297F"/>
    <w:rsid w:val="00A03881"/>
    <w:rsid w:val="00A06781"/>
    <w:rsid w:val="00A074C3"/>
    <w:rsid w:val="00A0793F"/>
    <w:rsid w:val="00A07AEB"/>
    <w:rsid w:val="00A10432"/>
    <w:rsid w:val="00A1085B"/>
    <w:rsid w:val="00A12B8C"/>
    <w:rsid w:val="00A12D88"/>
    <w:rsid w:val="00A1509C"/>
    <w:rsid w:val="00A15D9E"/>
    <w:rsid w:val="00A20CBC"/>
    <w:rsid w:val="00A249B9"/>
    <w:rsid w:val="00A25F94"/>
    <w:rsid w:val="00A27660"/>
    <w:rsid w:val="00A3042F"/>
    <w:rsid w:val="00A326C6"/>
    <w:rsid w:val="00A33BEE"/>
    <w:rsid w:val="00A34260"/>
    <w:rsid w:val="00A41FC1"/>
    <w:rsid w:val="00A47952"/>
    <w:rsid w:val="00A533E9"/>
    <w:rsid w:val="00A70CFD"/>
    <w:rsid w:val="00A716C1"/>
    <w:rsid w:val="00A72A0B"/>
    <w:rsid w:val="00A81E42"/>
    <w:rsid w:val="00A83BA5"/>
    <w:rsid w:val="00A864FE"/>
    <w:rsid w:val="00A86518"/>
    <w:rsid w:val="00A86F41"/>
    <w:rsid w:val="00A87D04"/>
    <w:rsid w:val="00A91E79"/>
    <w:rsid w:val="00A92720"/>
    <w:rsid w:val="00A94521"/>
    <w:rsid w:val="00A94DC2"/>
    <w:rsid w:val="00A950C5"/>
    <w:rsid w:val="00A97069"/>
    <w:rsid w:val="00A97E9B"/>
    <w:rsid w:val="00AA1D25"/>
    <w:rsid w:val="00AA7061"/>
    <w:rsid w:val="00AB17B7"/>
    <w:rsid w:val="00AB2B1A"/>
    <w:rsid w:val="00AB326E"/>
    <w:rsid w:val="00AB397F"/>
    <w:rsid w:val="00AB5832"/>
    <w:rsid w:val="00AB62C7"/>
    <w:rsid w:val="00AB7A4C"/>
    <w:rsid w:val="00AC315F"/>
    <w:rsid w:val="00AC38F7"/>
    <w:rsid w:val="00AC51F2"/>
    <w:rsid w:val="00AC70DC"/>
    <w:rsid w:val="00AD3269"/>
    <w:rsid w:val="00AD3C25"/>
    <w:rsid w:val="00AE2012"/>
    <w:rsid w:val="00AE2673"/>
    <w:rsid w:val="00AE5066"/>
    <w:rsid w:val="00AE5E24"/>
    <w:rsid w:val="00AE61B7"/>
    <w:rsid w:val="00AE6CBA"/>
    <w:rsid w:val="00AE733F"/>
    <w:rsid w:val="00AE79AD"/>
    <w:rsid w:val="00AF35E4"/>
    <w:rsid w:val="00AF5CDE"/>
    <w:rsid w:val="00B00291"/>
    <w:rsid w:val="00B068FC"/>
    <w:rsid w:val="00B06A8A"/>
    <w:rsid w:val="00B11A57"/>
    <w:rsid w:val="00B211C3"/>
    <w:rsid w:val="00B226BD"/>
    <w:rsid w:val="00B241F0"/>
    <w:rsid w:val="00B25597"/>
    <w:rsid w:val="00B267A1"/>
    <w:rsid w:val="00B267B9"/>
    <w:rsid w:val="00B322E2"/>
    <w:rsid w:val="00B32993"/>
    <w:rsid w:val="00B32F99"/>
    <w:rsid w:val="00B33E09"/>
    <w:rsid w:val="00B344E0"/>
    <w:rsid w:val="00B41CBC"/>
    <w:rsid w:val="00B50708"/>
    <w:rsid w:val="00B50C68"/>
    <w:rsid w:val="00B51293"/>
    <w:rsid w:val="00B52B1E"/>
    <w:rsid w:val="00B5371A"/>
    <w:rsid w:val="00B55481"/>
    <w:rsid w:val="00B55824"/>
    <w:rsid w:val="00B5615A"/>
    <w:rsid w:val="00B56C32"/>
    <w:rsid w:val="00B57ACF"/>
    <w:rsid w:val="00B64BB1"/>
    <w:rsid w:val="00B73166"/>
    <w:rsid w:val="00B76363"/>
    <w:rsid w:val="00B76EE0"/>
    <w:rsid w:val="00B81619"/>
    <w:rsid w:val="00B818E2"/>
    <w:rsid w:val="00B8426C"/>
    <w:rsid w:val="00B91B8D"/>
    <w:rsid w:val="00B92866"/>
    <w:rsid w:val="00B93A23"/>
    <w:rsid w:val="00B94CBD"/>
    <w:rsid w:val="00B94E90"/>
    <w:rsid w:val="00BA2F29"/>
    <w:rsid w:val="00BA2FDF"/>
    <w:rsid w:val="00BA438C"/>
    <w:rsid w:val="00BB0A82"/>
    <w:rsid w:val="00BB11C6"/>
    <w:rsid w:val="00BB7793"/>
    <w:rsid w:val="00BB7C94"/>
    <w:rsid w:val="00BC0467"/>
    <w:rsid w:val="00BC0A9D"/>
    <w:rsid w:val="00BD1043"/>
    <w:rsid w:val="00BD28EA"/>
    <w:rsid w:val="00BD633E"/>
    <w:rsid w:val="00BF40ED"/>
    <w:rsid w:val="00BF5BC2"/>
    <w:rsid w:val="00C0429C"/>
    <w:rsid w:val="00C05312"/>
    <w:rsid w:val="00C1133D"/>
    <w:rsid w:val="00C11C88"/>
    <w:rsid w:val="00C15814"/>
    <w:rsid w:val="00C22750"/>
    <w:rsid w:val="00C22AA3"/>
    <w:rsid w:val="00C23DB6"/>
    <w:rsid w:val="00C27A08"/>
    <w:rsid w:val="00C27CC4"/>
    <w:rsid w:val="00C31312"/>
    <w:rsid w:val="00C31E36"/>
    <w:rsid w:val="00C326C6"/>
    <w:rsid w:val="00C35295"/>
    <w:rsid w:val="00C36ADD"/>
    <w:rsid w:val="00C36E74"/>
    <w:rsid w:val="00C40595"/>
    <w:rsid w:val="00C41621"/>
    <w:rsid w:val="00C449FA"/>
    <w:rsid w:val="00C46405"/>
    <w:rsid w:val="00C5384F"/>
    <w:rsid w:val="00C53C04"/>
    <w:rsid w:val="00C540F4"/>
    <w:rsid w:val="00C56964"/>
    <w:rsid w:val="00C606EE"/>
    <w:rsid w:val="00C62BB4"/>
    <w:rsid w:val="00C63CF9"/>
    <w:rsid w:val="00C63D84"/>
    <w:rsid w:val="00C643FA"/>
    <w:rsid w:val="00C656D5"/>
    <w:rsid w:val="00C659DB"/>
    <w:rsid w:val="00C65E02"/>
    <w:rsid w:val="00C67103"/>
    <w:rsid w:val="00C71BB9"/>
    <w:rsid w:val="00C80B56"/>
    <w:rsid w:val="00C94C28"/>
    <w:rsid w:val="00C9673C"/>
    <w:rsid w:val="00CA0B96"/>
    <w:rsid w:val="00CA2D78"/>
    <w:rsid w:val="00CA4DB4"/>
    <w:rsid w:val="00CA700B"/>
    <w:rsid w:val="00CB0247"/>
    <w:rsid w:val="00CB3440"/>
    <w:rsid w:val="00CB363D"/>
    <w:rsid w:val="00CB495E"/>
    <w:rsid w:val="00CC1692"/>
    <w:rsid w:val="00CC3471"/>
    <w:rsid w:val="00CC4527"/>
    <w:rsid w:val="00CD138B"/>
    <w:rsid w:val="00CD3E31"/>
    <w:rsid w:val="00CD74A3"/>
    <w:rsid w:val="00CE0527"/>
    <w:rsid w:val="00CE5B23"/>
    <w:rsid w:val="00CE6141"/>
    <w:rsid w:val="00CE6322"/>
    <w:rsid w:val="00CE7B52"/>
    <w:rsid w:val="00CF70AD"/>
    <w:rsid w:val="00CF70DD"/>
    <w:rsid w:val="00CF7729"/>
    <w:rsid w:val="00D00059"/>
    <w:rsid w:val="00D107FA"/>
    <w:rsid w:val="00D111D6"/>
    <w:rsid w:val="00D115D1"/>
    <w:rsid w:val="00D12275"/>
    <w:rsid w:val="00D12766"/>
    <w:rsid w:val="00D15004"/>
    <w:rsid w:val="00D209D7"/>
    <w:rsid w:val="00D20FF4"/>
    <w:rsid w:val="00D24D2C"/>
    <w:rsid w:val="00D25A1B"/>
    <w:rsid w:val="00D35881"/>
    <w:rsid w:val="00D43093"/>
    <w:rsid w:val="00D810A6"/>
    <w:rsid w:val="00D85FFA"/>
    <w:rsid w:val="00D87DEC"/>
    <w:rsid w:val="00D9626B"/>
    <w:rsid w:val="00DA4A39"/>
    <w:rsid w:val="00DA7DA5"/>
    <w:rsid w:val="00DB073B"/>
    <w:rsid w:val="00DB6B7E"/>
    <w:rsid w:val="00DB78F0"/>
    <w:rsid w:val="00DC0CEA"/>
    <w:rsid w:val="00DC1076"/>
    <w:rsid w:val="00DC2E43"/>
    <w:rsid w:val="00DC3474"/>
    <w:rsid w:val="00DC3EA3"/>
    <w:rsid w:val="00DD095C"/>
    <w:rsid w:val="00DD1020"/>
    <w:rsid w:val="00DD1330"/>
    <w:rsid w:val="00DD58B8"/>
    <w:rsid w:val="00DD6391"/>
    <w:rsid w:val="00DD64A3"/>
    <w:rsid w:val="00DE0B83"/>
    <w:rsid w:val="00DE1A81"/>
    <w:rsid w:val="00DE1C13"/>
    <w:rsid w:val="00DE4E10"/>
    <w:rsid w:val="00DE7F16"/>
    <w:rsid w:val="00DF5E98"/>
    <w:rsid w:val="00E02ABF"/>
    <w:rsid w:val="00E04DE9"/>
    <w:rsid w:val="00E05F16"/>
    <w:rsid w:val="00E100B4"/>
    <w:rsid w:val="00E1422F"/>
    <w:rsid w:val="00E14995"/>
    <w:rsid w:val="00E160D1"/>
    <w:rsid w:val="00E179CD"/>
    <w:rsid w:val="00E23E8D"/>
    <w:rsid w:val="00E25953"/>
    <w:rsid w:val="00E328FC"/>
    <w:rsid w:val="00E37F98"/>
    <w:rsid w:val="00E44555"/>
    <w:rsid w:val="00E46559"/>
    <w:rsid w:val="00E5236E"/>
    <w:rsid w:val="00E54C13"/>
    <w:rsid w:val="00E5593D"/>
    <w:rsid w:val="00E5789D"/>
    <w:rsid w:val="00E6670C"/>
    <w:rsid w:val="00E776E8"/>
    <w:rsid w:val="00E86264"/>
    <w:rsid w:val="00E92C1F"/>
    <w:rsid w:val="00E95D4B"/>
    <w:rsid w:val="00EA3978"/>
    <w:rsid w:val="00EB199F"/>
    <w:rsid w:val="00EB2ACB"/>
    <w:rsid w:val="00EC0A84"/>
    <w:rsid w:val="00EC23F7"/>
    <w:rsid w:val="00EC345E"/>
    <w:rsid w:val="00EC4BD8"/>
    <w:rsid w:val="00EC63EB"/>
    <w:rsid w:val="00EC6B96"/>
    <w:rsid w:val="00EC700C"/>
    <w:rsid w:val="00ED412F"/>
    <w:rsid w:val="00ED5782"/>
    <w:rsid w:val="00EE0FC5"/>
    <w:rsid w:val="00EE65B8"/>
    <w:rsid w:val="00EF36B2"/>
    <w:rsid w:val="00EF491C"/>
    <w:rsid w:val="00EF62DE"/>
    <w:rsid w:val="00EF6B32"/>
    <w:rsid w:val="00F032C9"/>
    <w:rsid w:val="00F03CDE"/>
    <w:rsid w:val="00F1013B"/>
    <w:rsid w:val="00F1246B"/>
    <w:rsid w:val="00F201EC"/>
    <w:rsid w:val="00F208A9"/>
    <w:rsid w:val="00F22AF6"/>
    <w:rsid w:val="00F2579C"/>
    <w:rsid w:val="00F27A77"/>
    <w:rsid w:val="00F3082B"/>
    <w:rsid w:val="00F3559F"/>
    <w:rsid w:val="00F41D75"/>
    <w:rsid w:val="00F42BCC"/>
    <w:rsid w:val="00F46B0B"/>
    <w:rsid w:val="00F5139D"/>
    <w:rsid w:val="00F5230F"/>
    <w:rsid w:val="00F62F63"/>
    <w:rsid w:val="00F63DAC"/>
    <w:rsid w:val="00F64A6D"/>
    <w:rsid w:val="00F64EC5"/>
    <w:rsid w:val="00F6635C"/>
    <w:rsid w:val="00F70585"/>
    <w:rsid w:val="00F73BEB"/>
    <w:rsid w:val="00F7454F"/>
    <w:rsid w:val="00F77988"/>
    <w:rsid w:val="00F77F48"/>
    <w:rsid w:val="00F9014D"/>
    <w:rsid w:val="00FA3679"/>
    <w:rsid w:val="00FB30F1"/>
    <w:rsid w:val="00FB53E7"/>
    <w:rsid w:val="00FB65F1"/>
    <w:rsid w:val="00FC2A5C"/>
    <w:rsid w:val="00FC773E"/>
    <w:rsid w:val="00FD2453"/>
    <w:rsid w:val="00FD2A8A"/>
    <w:rsid w:val="00FD5300"/>
    <w:rsid w:val="00FD5339"/>
    <w:rsid w:val="00FD663B"/>
    <w:rsid w:val="00FE6DBE"/>
    <w:rsid w:val="00FF68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43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erChar">
    <w:name w:val="Header Char"/>
    <w:link w:val="Header"/>
    <w:uiPriority w:val="99"/>
    <w:rsid w:val="00EE0FC5"/>
    <w:rPr>
      <w:sz w:val="24"/>
      <w:szCs w:val="24"/>
    </w:rPr>
  </w:style>
  <w:style w:type="character" w:customStyle="1" w:styleId="highlight">
    <w:name w:val="highlight"/>
    <w:rsid w:val="001B3C32"/>
  </w:style>
  <w:style w:type="paragraph" w:styleId="NormalWeb">
    <w:name w:val="Normal (Web)"/>
    <w:basedOn w:val="Normal"/>
    <w:uiPriority w:val="99"/>
    <w:unhideWhenUsed/>
    <w:rsid w:val="00972875"/>
    <w:pPr>
      <w:spacing w:before="100" w:beforeAutospacing="1" w:after="100" w:afterAutospacing="1"/>
    </w:pPr>
  </w:style>
  <w:style w:type="paragraph" w:customStyle="1" w:styleId="tv2132">
    <w:name w:val="tv2132"/>
    <w:basedOn w:val="Normal"/>
    <w:rsid w:val="0062205F"/>
    <w:pPr>
      <w:spacing w:line="360" w:lineRule="auto"/>
      <w:ind w:firstLine="300"/>
    </w:pPr>
    <w:rPr>
      <w:color w:val="414142"/>
      <w:sz w:val="20"/>
      <w:szCs w:val="20"/>
    </w:rPr>
  </w:style>
  <w:style w:type="paragraph" w:styleId="ListBullet">
    <w:name w:val="List Bullet"/>
    <w:basedOn w:val="Normal"/>
    <w:autoRedefine/>
    <w:rsid w:val="00C540F4"/>
    <w:pPr>
      <w:tabs>
        <w:tab w:val="num" w:pos="360"/>
      </w:tabs>
      <w:spacing w:before="120" w:after="120"/>
      <w:ind w:left="360" w:hanging="360"/>
      <w:jc w:val="both"/>
    </w:pPr>
    <w:rPr>
      <w:lang w:eastAsia="en-US"/>
    </w:rPr>
  </w:style>
  <w:style w:type="paragraph" w:styleId="ListParagraph">
    <w:name w:val="List Paragraph"/>
    <w:basedOn w:val="Normal"/>
    <w:uiPriority w:val="34"/>
    <w:qFormat/>
    <w:rsid w:val="00737BE1"/>
    <w:pPr>
      <w:ind w:left="720"/>
      <w:contextualSpacing/>
    </w:pPr>
  </w:style>
  <w:style w:type="paragraph" w:styleId="Signature">
    <w:name w:val="Signature"/>
    <w:basedOn w:val="Normal"/>
    <w:link w:val="SignatureChar"/>
    <w:uiPriority w:val="99"/>
    <w:semiHidden/>
    <w:unhideWhenUsed/>
    <w:rsid w:val="004E0FED"/>
    <w:pPr>
      <w:keepNext/>
      <w:spacing w:before="600"/>
      <w:ind w:firstLine="720"/>
    </w:pPr>
    <w:rPr>
      <w:sz w:val="26"/>
      <w:szCs w:val="26"/>
      <w:lang w:eastAsia="en-US"/>
    </w:rPr>
  </w:style>
  <w:style w:type="character" w:customStyle="1" w:styleId="SignatureChar">
    <w:name w:val="Signature Char"/>
    <w:basedOn w:val="DefaultParagraphFont"/>
    <w:link w:val="Signature"/>
    <w:uiPriority w:val="99"/>
    <w:semiHidden/>
    <w:rsid w:val="004E0FED"/>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erChar">
    <w:name w:val="Header Char"/>
    <w:link w:val="Header"/>
    <w:uiPriority w:val="99"/>
    <w:rsid w:val="00EE0FC5"/>
    <w:rPr>
      <w:sz w:val="24"/>
      <w:szCs w:val="24"/>
    </w:rPr>
  </w:style>
  <w:style w:type="character" w:customStyle="1" w:styleId="highlight">
    <w:name w:val="highlight"/>
    <w:rsid w:val="001B3C32"/>
  </w:style>
  <w:style w:type="paragraph" w:styleId="NormalWeb">
    <w:name w:val="Normal (Web)"/>
    <w:basedOn w:val="Normal"/>
    <w:uiPriority w:val="99"/>
    <w:unhideWhenUsed/>
    <w:rsid w:val="00972875"/>
    <w:pPr>
      <w:spacing w:before="100" w:beforeAutospacing="1" w:after="100" w:afterAutospacing="1"/>
    </w:pPr>
  </w:style>
  <w:style w:type="paragraph" w:customStyle="1" w:styleId="tv2132">
    <w:name w:val="tv2132"/>
    <w:basedOn w:val="Normal"/>
    <w:rsid w:val="0062205F"/>
    <w:pPr>
      <w:spacing w:line="360" w:lineRule="auto"/>
      <w:ind w:firstLine="300"/>
    </w:pPr>
    <w:rPr>
      <w:color w:val="414142"/>
      <w:sz w:val="20"/>
      <w:szCs w:val="20"/>
    </w:rPr>
  </w:style>
  <w:style w:type="paragraph" w:styleId="ListBullet">
    <w:name w:val="List Bullet"/>
    <w:basedOn w:val="Normal"/>
    <w:autoRedefine/>
    <w:rsid w:val="00C540F4"/>
    <w:pPr>
      <w:tabs>
        <w:tab w:val="num" w:pos="360"/>
      </w:tabs>
      <w:spacing w:before="120" w:after="120"/>
      <w:ind w:left="360" w:hanging="360"/>
      <w:jc w:val="both"/>
    </w:pPr>
    <w:rPr>
      <w:lang w:eastAsia="en-US"/>
    </w:rPr>
  </w:style>
  <w:style w:type="paragraph" w:styleId="ListParagraph">
    <w:name w:val="List Paragraph"/>
    <w:basedOn w:val="Normal"/>
    <w:uiPriority w:val="34"/>
    <w:qFormat/>
    <w:rsid w:val="00737BE1"/>
    <w:pPr>
      <w:ind w:left="720"/>
      <w:contextualSpacing/>
    </w:pPr>
  </w:style>
  <w:style w:type="paragraph" w:styleId="Signature">
    <w:name w:val="Signature"/>
    <w:basedOn w:val="Normal"/>
    <w:link w:val="SignatureChar"/>
    <w:uiPriority w:val="99"/>
    <w:semiHidden/>
    <w:unhideWhenUsed/>
    <w:rsid w:val="004E0FED"/>
    <w:pPr>
      <w:keepNext/>
      <w:spacing w:before="600"/>
      <w:ind w:firstLine="720"/>
    </w:pPr>
    <w:rPr>
      <w:sz w:val="26"/>
      <w:szCs w:val="26"/>
      <w:lang w:eastAsia="en-US"/>
    </w:rPr>
  </w:style>
  <w:style w:type="character" w:customStyle="1" w:styleId="SignatureChar">
    <w:name w:val="Signature Char"/>
    <w:basedOn w:val="DefaultParagraphFont"/>
    <w:link w:val="Signature"/>
    <w:uiPriority w:val="99"/>
    <w:semiHidden/>
    <w:rsid w:val="004E0FED"/>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742037">
      <w:bodyDiv w:val="1"/>
      <w:marLeft w:val="0"/>
      <w:marRight w:val="0"/>
      <w:marTop w:val="0"/>
      <w:marBottom w:val="0"/>
      <w:divBdr>
        <w:top w:val="none" w:sz="0" w:space="0" w:color="auto"/>
        <w:left w:val="none" w:sz="0" w:space="0" w:color="auto"/>
        <w:bottom w:val="none" w:sz="0" w:space="0" w:color="auto"/>
        <w:right w:val="none" w:sz="0" w:space="0" w:color="auto"/>
      </w:divBdr>
    </w:div>
    <w:div w:id="476344147">
      <w:bodyDiv w:val="1"/>
      <w:marLeft w:val="0"/>
      <w:marRight w:val="0"/>
      <w:marTop w:val="0"/>
      <w:marBottom w:val="0"/>
      <w:divBdr>
        <w:top w:val="none" w:sz="0" w:space="0" w:color="auto"/>
        <w:left w:val="none" w:sz="0" w:space="0" w:color="auto"/>
        <w:bottom w:val="none" w:sz="0" w:space="0" w:color="auto"/>
        <w:right w:val="none" w:sz="0" w:space="0" w:color="auto"/>
      </w:divBdr>
    </w:div>
    <w:div w:id="655257661">
      <w:bodyDiv w:val="1"/>
      <w:marLeft w:val="0"/>
      <w:marRight w:val="0"/>
      <w:marTop w:val="0"/>
      <w:marBottom w:val="0"/>
      <w:divBdr>
        <w:top w:val="none" w:sz="0" w:space="0" w:color="auto"/>
        <w:left w:val="none" w:sz="0" w:space="0" w:color="auto"/>
        <w:bottom w:val="none" w:sz="0" w:space="0" w:color="auto"/>
        <w:right w:val="none" w:sz="0" w:space="0" w:color="auto"/>
      </w:divBdr>
      <w:divsChild>
        <w:div w:id="1610699272">
          <w:marLeft w:val="0"/>
          <w:marRight w:val="0"/>
          <w:marTop w:val="0"/>
          <w:marBottom w:val="0"/>
          <w:divBdr>
            <w:top w:val="none" w:sz="0" w:space="0" w:color="auto"/>
            <w:left w:val="none" w:sz="0" w:space="0" w:color="auto"/>
            <w:bottom w:val="none" w:sz="0" w:space="0" w:color="auto"/>
            <w:right w:val="none" w:sz="0" w:space="0" w:color="auto"/>
          </w:divBdr>
        </w:div>
      </w:divsChild>
    </w:div>
    <w:div w:id="828643490">
      <w:bodyDiv w:val="1"/>
      <w:marLeft w:val="0"/>
      <w:marRight w:val="0"/>
      <w:marTop w:val="0"/>
      <w:marBottom w:val="0"/>
      <w:divBdr>
        <w:top w:val="none" w:sz="0" w:space="0" w:color="auto"/>
        <w:left w:val="none" w:sz="0" w:space="0" w:color="auto"/>
        <w:bottom w:val="none" w:sz="0" w:space="0" w:color="auto"/>
        <w:right w:val="none" w:sz="0" w:space="0" w:color="auto"/>
      </w:divBdr>
    </w:div>
    <w:div w:id="935096450">
      <w:bodyDiv w:val="1"/>
      <w:marLeft w:val="0"/>
      <w:marRight w:val="0"/>
      <w:marTop w:val="0"/>
      <w:marBottom w:val="0"/>
      <w:divBdr>
        <w:top w:val="none" w:sz="0" w:space="0" w:color="auto"/>
        <w:left w:val="none" w:sz="0" w:space="0" w:color="auto"/>
        <w:bottom w:val="none" w:sz="0" w:space="0" w:color="auto"/>
        <w:right w:val="none" w:sz="0" w:space="0" w:color="auto"/>
      </w:divBdr>
    </w:div>
    <w:div w:id="1008169493">
      <w:bodyDiv w:val="1"/>
      <w:marLeft w:val="0"/>
      <w:marRight w:val="0"/>
      <w:marTop w:val="0"/>
      <w:marBottom w:val="0"/>
      <w:divBdr>
        <w:top w:val="none" w:sz="0" w:space="0" w:color="auto"/>
        <w:left w:val="none" w:sz="0" w:space="0" w:color="auto"/>
        <w:bottom w:val="none" w:sz="0" w:space="0" w:color="auto"/>
        <w:right w:val="none" w:sz="0" w:space="0" w:color="auto"/>
      </w:divBdr>
      <w:divsChild>
        <w:div w:id="335815794">
          <w:marLeft w:val="0"/>
          <w:marRight w:val="0"/>
          <w:marTop w:val="0"/>
          <w:marBottom w:val="0"/>
          <w:divBdr>
            <w:top w:val="none" w:sz="0" w:space="0" w:color="auto"/>
            <w:left w:val="none" w:sz="0" w:space="0" w:color="auto"/>
            <w:bottom w:val="none" w:sz="0" w:space="0" w:color="auto"/>
            <w:right w:val="none" w:sz="0" w:space="0" w:color="auto"/>
          </w:divBdr>
          <w:divsChild>
            <w:div w:id="1827932254">
              <w:marLeft w:val="0"/>
              <w:marRight w:val="0"/>
              <w:marTop w:val="0"/>
              <w:marBottom w:val="0"/>
              <w:divBdr>
                <w:top w:val="none" w:sz="0" w:space="0" w:color="auto"/>
                <w:left w:val="none" w:sz="0" w:space="0" w:color="auto"/>
                <w:bottom w:val="none" w:sz="0" w:space="0" w:color="auto"/>
                <w:right w:val="none" w:sz="0" w:space="0" w:color="auto"/>
              </w:divBdr>
              <w:divsChild>
                <w:div w:id="794763039">
                  <w:marLeft w:val="0"/>
                  <w:marRight w:val="0"/>
                  <w:marTop w:val="0"/>
                  <w:marBottom w:val="0"/>
                  <w:divBdr>
                    <w:top w:val="none" w:sz="0" w:space="0" w:color="auto"/>
                    <w:left w:val="none" w:sz="0" w:space="0" w:color="auto"/>
                    <w:bottom w:val="none" w:sz="0" w:space="0" w:color="auto"/>
                    <w:right w:val="none" w:sz="0" w:space="0" w:color="auto"/>
                  </w:divBdr>
                  <w:divsChild>
                    <w:div w:id="98381848">
                      <w:marLeft w:val="0"/>
                      <w:marRight w:val="0"/>
                      <w:marTop w:val="0"/>
                      <w:marBottom w:val="0"/>
                      <w:divBdr>
                        <w:top w:val="none" w:sz="0" w:space="0" w:color="auto"/>
                        <w:left w:val="none" w:sz="0" w:space="0" w:color="auto"/>
                        <w:bottom w:val="none" w:sz="0" w:space="0" w:color="auto"/>
                        <w:right w:val="none" w:sz="0" w:space="0" w:color="auto"/>
                      </w:divBdr>
                      <w:divsChild>
                        <w:div w:id="2072270144">
                          <w:marLeft w:val="0"/>
                          <w:marRight w:val="0"/>
                          <w:marTop w:val="0"/>
                          <w:marBottom w:val="0"/>
                          <w:divBdr>
                            <w:top w:val="none" w:sz="0" w:space="0" w:color="auto"/>
                            <w:left w:val="none" w:sz="0" w:space="0" w:color="auto"/>
                            <w:bottom w:val="none" w:sz="0" w:space="0" w:color="auto"/>
                            <w:right w:val="none" w:sz="0" w:space="0" w:color="auto"/>
                          </w:divBdr>
                          <w:divsChild>
                            <w:div w:id="12211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02831">
      <w:bodyDiv w:val="1"/>
      <w:marLeft w:val="0"/>
      <w:marRight w:val="0"/>
      <w:marTop w:val="0"/>
      <w:marBottom w:val="0"/>
      <w:divBdr>
        <w:top w:val="none" w:sz="0" w:space="0" w:color="auto"/>
        <w:left w:val="none" w:sz="0" w:space="0" w:color="auto"/>
        <w:bottom w:val="none" w:sz="0" w:space="0" w:color="auto"/>
        <w:right w:val="none" w:sz="0" w:space="0" w:color="auto"/>
      </w:divBdr>
    </w:div>
    <w:div w:id="1919973551">
      <w:bodyDiv w:val="1"/>
      <w:marLeft w:val="0"/>
      <w:marRight w:val="0"/>
      <w:marTop w:val="0"/>
      <w:marBottom w:val="0"/>
      <w:divBdr>
        <w:top w:val="none" w:sz="0" w:space="0" w:color="auto"/>
        <w:left w:val="none" w:sz="0" w:space="0" w:color="auto"/>
        <w:bottom w:val="none" w:sz="0" w:space="0" w:color="auto"/>
        <w:right w:val="none" w:sz="0" w:space="0" w:color="auto"/>
      </w:divBdr>
    </w:div>
    <w:div w:id="2031102967">
      <w:bodyDiv w:val="1"/>
      <w:marLeft w:val="0"/>
      <w:marRight w:val="0"/>
      <w:marTop w:val="0"/>
      <w:marBottom w:val="0"/>
      <w:divBdr>
        <w:top w:val="none" w:sz="0" w:space="0" w:color="auto"/>
        <w:left w:val="none" w:sz="0" w:space="0" w:color="auto"/>
        <w:bottom w:val="none" w:sz="0" w:space="0" w:color="auto"/>
        <w:right w:val="none" w:sz="0" w:space="0" w:color="auto"/>
      </w:divBdr>
      <w:divsChild>
        <w:div w:id="252975602">
          <w:marLeft w:val="0"/>
          <w:marRight w:val="0"/>
          <w:marTop w:val="0"/>
          <w:marBottom w:val="0"/>
          <w:divBdr>
            <w:top w:val="none" w:sz="0" w:space="0" w:color="auto"/>
            <w:left w:val="none" w:sz="0" w:space="0" w:color="auto"/>
            <w:bottom w:val="none" w:sz="0" w:space="0" w:color="auto"/>
            <w:right w:val="none" w:sz="0" w:space="0" w:color="auto"/>
          </w:divBdr>
        </w:div>
        <w:div w:id="534394500">
          <w:marLeft w:val="0"/>
          <w:marRight w:val="0"/>
          <w:marTop w:val="0"/>
          <w:marBottom w:val="0"/>
          <w:divBdr>
            <w:top w:val="none" w:sz="0" w:space="0" w:color="auto"/>
            <w:left w:val="none" w:sz="0" w:space="0" w:color="auto"/>
            <w:bottom w:val="none" w:sz="0" w:space="0" w:color="auto"/>
            <w:right w:val="none" w:sz="0" w:space="0" w:color="auto"/>
          </w:divBdr>
        </w:div>
        <w:div w:id="670792034">
          <w:marLeft w:val="0"/>
          <w:marRight w:val="0"/>
          <w:marTop w:val="0"/>
          <w:marBottom w:val="0"/>
          <w:divBdr>
            <w:top w:val="none" w:sz="0" w:space="0" w:color="auto"/>
            <w:left w:val="none" w:sz="0" w:space="0" w:color="auto"/>
            <w:bottom w:val="none" w:sz="0" w:space="0" w:color="auto"/>
            <w:right w:val="none" w:sz="0" w:space="0" w:color="auto"/>
          </w:divBdr>
        </w:div>
        <w:div w:id="1337415889">
          <w:marLeft w:val="0"/>
          <w:marRight w:val="0"/>
          <w:marTop w:val="0"/>
          <w:marBottom w:val="0"/>
          <w:divBdr>
            <w:top w:val="none" w:sz="0" w:space="0" w:color="auto"/>
            <w:left w:val="none" w:sz="0" w:space="0" w:color="auto"/>
            <w:bottom w:val="none" w:sz="0" w:space="0" w:color="auto"/>
            <w:right w:val="none" w:sz="0" w:space="0" w:color="auto"/>
          </w:divBdr>
        </w:div>
        <w:div w:id="1515461426">
          <w:marLeft w:val="0"/>
          <w:marRight w:val="0"/>
          <w:marTop w:val="0"/>
          <w:marBottom w:val="0"/>
          <w:divBdr>
            <w:top w:val="none" w:sz="0" w:space="0" w:color="auto"/>
            <w:left w:val="none" w:sz="0" w:space="0" w:color="auto"/>
            <w:bottom w:val="none" w:sz="0" w:space="0" w:color="auto"/>
            <w:right w:val="none" w:sz="0" w:space="0" w:color="auto"/>
          </w:divBdr>
        </w:div>
        <w:div w:id="1554001382">
          <w:marLeft w:val="0"/>
          <w:marRight w:val="0"/>
          <w:marTop w:val="0"/>
          <w:marBottom w:val="0"/>
          <w:divBdr>
            <w:top w:val="none" w:sz="0" w:space="0" w:color="auto"/>
            <w:left w:val="none" w:sz="0" w:space="0" w:color="auto"/>
            <w:bottom w:val="none" w:sz="0" w:space="0" w:color="auto"/>
            <w:right w:val="none" w:sz="0" w:space="0" w:color="auto"/>
          </w:divBdr>
        </w:div>
        <w:div w:id="1617323192">
          <w:marLeft w:val="0"/>
          <w:marRight w:val="0"/>
          <w:marTop w:val="0"/>
          <w:marBottom w:val="0"/>
          <w:divBdr>
            <w:top w:val="none" w:sz="0" w:space="0" w:color="auto"/>
            <w:left w:val="none" w:sz="0" w:space="0" w:color="auto"/>
            <w:bottom w:val="none" w:sz="0" w:space="0" w:color="auto"/>
            <w:right w:val="none" w:sz="0" w:space="0" w:color="auto"/>
          </w:divBdr>
        </w:div>
        <w:div w:id="1618633346">
          <w:marLeft w:val="0"/>
          <w:marRight w:val="0"/>
          <w:marTop w:val="0"/>
          <w:marBottom w:val="0"/>
          <w:divBdr>
            <w:top w:val="none" w:sz="0" w:space="0" w:color="auto"/>
            <w:left w:val="none" w:sz="0" w:space="0" w:color="auto"/>
            <w:bottom w:val="none" w:sz="0" w:space="0" w:color="auto"/>
            <w:right w:val="none" w:sz="0" w:space="0" w:color="auto"/>
          </w:divBdr>
        </w:div>
        <w:div w:id="165629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1E16-A4FB-475A-A75D-C456740B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3505</Words>
  <Characters>1998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Ministru kabineta noteikumu projekta„Tautību klasifikators” sākotnējās ietekmes novērtējuma ziņojums (anotācija)</vt:lpstr>
    </vt:vector>
  </TitlesOfParts>
  <Company>CSP</Company>
  <LinksUpToDate>false</LinksUpToDate>
  <CharactersWithSpaces>5493</CharactersWithSpaces>
  <SharedDoc>false</SharedDoc>
  <HLinks>
    <vt:vector size="6" baseType="variant">
      <vt:variant>
        <vt:i4>7012359</vt:i4>
      </vt:variant>
      <vt:variant>
        <vt:i4>0</vt:i4>
      </vt:variant>
      <vt:variant>
        <vt:i4>0</vt:i4>
      </vt:variant>
      <vt:variant>
        <vt:i4>5</vt:i4>
      </vt:variant>
      <vt:variant>
        <vt:lpwstr>mailto:Inita.Ruka@mil.lv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projekta„Tautību klasifikators” sākotnējās ietekmes novērtējuma ziņojums (anotācija)</dc:title>
  <dc:subject>Anotācija</dc:subject>
  <dc:creator>Ieva Začeste</dc:creator>
  <dc:description>Ieva.Zaceste@csb.gov.lv
67366897</dc:description>
  <cp:lastModifiedBy>Lilija Kampāne</cp:lastModifiedBy>
  <cp:revision>12</cp:revision>
  <cp:lastPrinted>2016-11-29T12:55:00Z</cp:lastPrinted>
  <dcterms:created xsi:type="dcterms:W3CDTF">2016-11-24T13:03:00Z</dcterms:created>
  <dcterms:modified xsi:type="dcterms:W3CDTF">2016-11-29T12:55:00Z</dcterms:modified>
</cp:coreProperties>
</file>