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F4" w:rsidRPr="00EB11F4" w:rsidRDefault="00BF1B85" w:rsidP="00EB11F4">
      <w:pPr>
        <w:ind w:firstLine="0"/>
        <w:jc w:val="center"/>
        <w:rPr>
          <w:b/>
          <w:sz w:val="24"/>
          <w:szCs w:val="24"/>
        </w:rPr>
      </w:pPr>
      <w:r w:rsidRPr="005C62A3">
        <w:rPr>
          <w:b/>
          <w:sz w:val="24"/>
          <w:szCs w:val="24"/>
        </w:rPr>
        <w:t>Ministru kabineta noteikumu projekta</w:t>
      </w:r>
    </w:p>
    <w:p w:rsidR="00EB11F4" w:rsidRPr="00B44580" w:rsidRDefault="00EB11F4" w:rsidP="00D34BF5">
      <w:pPr>
        <w:ind w:right="-234" w:firstLine="0"/>
        <w:jc w:val="center"/>
        <w:rPr>
          <w:rFonts w:eastAsia="Times New Roman"/>
          <w:b/>
          <w:szCs w:val="28"/>
          <w:lang w:eastAsia="lv-LV"/>
        </w:rPr>
      </w:pPr>
      <w:bookmarkStart w:id="0" w:name="_GoBack"/>
      <w:r>
        <w:rPr>
          <w:b/>
          <w:sz w:val="24"/>
          <w:szCs w:val="24"/>
        </w:rPr>
        <w:t>“</w:t>
      </w:r>
      <w:r w:rsidRPr="00EB11F4">
        <w:rPr>
          <w:b/>
          <w:sz w:val="24"/>
          <w:szCs w:val="24"/>
        </w:rPr>
        <w:t xml:space="preserve">Grozījumi Ministru kabineta 2012.gada 11.decembra noteikumos Nr.858 „Transportlīdzekļa ekspluatācijas nodokļa un uzņēmumu vieglo transportlīdzekļu </w:t>
      </w:r>
      <w:r>
        <w:rPr>
          <w:b/>
          <w:sz w:val="24"/>
          <w:szCs w:val="24"/>
        </w:rPr>
        <w:t xml:space="preserve">nodokļa </w:t>
      </w:r>
      <w:r w:rsidRPr="00EB11F4">
        <w:rPr>
          <w:b/>
          <w:sz w:val="24"/>
          <w:szCs w:val="24"/>
        </w:rPr>
        <w:t>maksāšanas kārtība”</w:t>
      </w:r>
      <w:r>
        <w:rPr>
          <w:b/>
          <w:sz w:val="24"/>
          <w:szCs w:val="24"/>
        </w:rPr>
        <w:t xml:space="preserve">” </w:t>
      </w:r>
      <w:r w:rsidR="00BF1B85" w:rsidRPr="00BF1B85">
        <w:rPr>
          <w:b/>
          <w:sz w:val="24"/>
          <w:szCs w:val="24"/>
        </w:rPr>
        <w:t>sākotnējās ietekmes novērtējuma ziņojums (anotācija)</w:t>
      </w:r>
      <w:r w:rsidR="00BF1B85" w:rsidRPr="005C62A3">
        <w:rPr>
          <w:rFonts w:eastAsia="Times New Roman"/>
          <w:b/>
          <w:szCs w:val="28"/>
          <w:lang w:eastAsia="lv-LV"/>
        </w:rPr>
        <w:t xml:space="preserve"> </w:t>
      </w: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10"/>
        <w:gridCol w:w="3668"/>
        <w:gridCol w:w="379"/>
        <w:gridCol w:w="4815"/>
      </w:tblGrid>
      <w:tr w:rsidR="00994762" w:rsidRPr="00994762" w:rsidTr="00C21708">
        <w:trPr>
          <w:tblCellSpacing w:w="0" w:type="dxa"/>
        </w:trPr>
        <w:tc>
          <w:tcPr>
            <w:tcW w:w="9356" w:type="dxa"/>
            <w:gridSpan w:val="5"/>
            <w:tcBorders>
              <w:top w:val="outset" w:sz="6" w:space="0" w:color="auto"/>
              <w:left w:val="outset" w:sz="6" w:space="0" w:color="auto"/>
              <w:bottom w:val="outset" w:sz="6" w:space="0" w:color="auto"/>
              <w:right w:val="outset" w:sz="6" w:space="0" w:color="auto"/>
            </w:tcBorders>
            <w:vAlign w:val="center"/>
          </w:tcPr>
          <w:bookmarkEnd w:id="0"/>
          <w:p w:rsidR="00BF1B85" w:rsidRPr="00994762" w:rsidRDefault="00BF1B85" w:rsidP="009F0183">
            <w:pPr>
              <w:spacing w:before="100" w:beforeAutospacing="1" w:after="100" w:afterAutospacing="1" w:line="240" w:lineRule="auto"/>
              <w:ind w:firstLine="0"/>
              <w:jc w:val="center"/>
              <w:rPr>
                <w:rFonts w:eastAsia="Times New Roman"/>
                <w:sz w:val="24"/>
                <w:szCs w:val="24"/>
                <w:lang w:eastAsia="lv-LV"/>
              </w:rPr>
            </w:pPr>
            <w:r w:rsidRPr="00994762">
              <w:rPr>
                <w:rFonts w:eastAsia="Times New Roman"/>
                <w:b/>
                <w:bCs/>
                <w:sz w:val="24"/>
                <w:szCs w:val="24"/>
                <w:lang w:eastAsia="lv-LV"/>
              </w:rPr>
              <w:t>I. Tiesību akta projekta izstrādes nepieciešamība</w:t>
            </w:r>
          </w:p>
        </w:tc>
      </w:tr>
      <w:tr w:rsidR="00994762" w:rsidRPr="00994762" w:rsidTr="00382A1D">
        <w:trPr>
          <w:trHeight w:val="339"/>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3668" w:type="dxa"/>
            <w:tcBorders>
              <w:top w:val="outset" w:sz="6" w:space="0" w:color="auto"/>
              <w:left w:val="outset" w:sz="6" w:space="0" w:color="auto"/>
              <w:bottom w:val="outset" w:sz="6" w:space="0" w:color="auto"/>
              <w:right w:val="outset" w:sz="6" w:space="0" w:color="auto"/>
            </w:tcBorders>
          </w:tcPr>
          <w:p w:rsidR="00BF1B85" w:rsidRPr="00994762" w:rsidRDefault="00BF1B85" w:rsidP="00EB11F4">
            <w:pPr>
              <w:spacing w:before="100" w:beforeAutospacing="1" w:after="100" w:afterAutospacing="1" w:line="240" w:lineRule="auto"/>
              <w:ind w:firstLine="0"/>
              <w:rPr>
                <w:rFonts w:eastAsia="Times New Roman"/>
                <w:sz w:val="24"/>
                <w:szCs w:val="24"/>
                <w:lang w:eastAsia="lv-LV"/>
              </w:rPr>
            </w:pPr>
            <w:r w:rsidRPr="00994762">
              <w:rPr>
                <w:rFonts w:eastAsia="Times New Roman"/>
                <w:sz w:val="24"/>
                <w:szCs w:val="24"/>
                <w:lang w:eastAsia="lv-LV"/>
              </w:rPr>
              <w:t> Pamatojums</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994762" w:rsidRDefault="00EB11F4" w:rsidP="00EB11F4">
            <w:pPr>
              <w:spacing w:line="240" w:lineRule="auto"/>
              <w:ind w:firstLine="0"/>
              <w:rPr>
                <w:rFonts w:eastAsia="Times New Roman"/>
                <w:sz w:val="24"/>
                <w:szCs w:val="24"/>
                <w:lang w:eastAsia="lv-LV"/>
              </w:rPr>
            </w:pPr>
            <w:r w:rsidRPr="00EB11F4">
              <w:rPr>
                <w:rFonts w:eastAsia="Times New Roman"/>
                <w:sz w:val="24"/>
                <w:szCs w:val="24"/>
                <w:lang w:eastAsia="lv-LV"/>
              </w:rPr>
              <w:t>Transportl</w:t>
            </w:r>
            <w:r>
              <w:rPr>
                <w:rFonts w:eastAsia="Times New Roman"/>
                <w:sz w:val="24"/>
                <w:szCs w:val="24"/>
                <w:lang w:eastAsia="lv-LV"/>
              </w:rPr>
              <w:t xml:space="preserve">īdzekļa ekspluatācijas nodokļa </w:t>
            </w:r>
            <w:r w:rsidRPr="00EB11F4">
              <w:rPr>
                <w:rFonts w:eastAsia="Times New Roman"/>
                <w:sz w:val="24"/>
                <w:szCs w:val="24"/>
                <w:lang w:eastAsia="lv-LV"/>
              </w:rPr>
              <w:t>un uzņēmumu vieglo tr</w:t>
            </w:r>
            <w:r>
              <w:rPr>
                <w:rFonts w:eastAsia="Times New Roman"/>
                <w:sz w:val="24"/>
                <w:szCs w:val="24"/>
                <w:lang w:eastAsia="lv-LV"/>
              </w:rPr>
              <w:t xml:space="preserve">ansportlīdzekļu nodokļa likuma </w:t>
            </w:r>
            <w:r w:rsidRPr="00EB11F4">
              <w:rPr>
                <w:rFonts w:eastAsia="Times New Roman"/>
                <w:sz w:val="24"/>
                <w:szCs w:val="24"/>
                <w:lang w:eastAsia="lv-LV"/>
              </w:rPr>
              <w:t>5.panta d</w:t>
            </w:r>
            <w:r>
              <w:rPr>
                <w:rFonts w:eastAsia="Times New Roman"/>
                <w:sz w:val="24"/>
                <w:szCs w:val="24"/>
                <w:lang w:eastAsia="lv-LV"/>
              </w:rPr>
              <w:t>evītā daļa, 6.panta otrā daļa,7.panta sestā daļa</w:t>
            </w:r>
            <w:r w:rsidR="00B877DB">
              <w:rPr>
                <w:rFonts w:eastAsia="Times New Roman"/>
                <w:sz w:val="24"/>
                <w:szCs w:val="24"/>
                <w:lang w:eastAsia="lv-LV"/>
              </w:rPr>
              <w:t xml:space="preserve">, </w:t>
            </w:r>
            <w:r w:rsidR="00B877DB" w:rsidRPr="00B877DB">
              <w:rPr>
                <w:rFonts w:eastAsia="Times New Roman"/>
                <w:sz w:val="24"/>
                <w:szCs w:val="24"/>
                <w:lang w:eastAsia="lv-LV"/>
              </w:rPr>
              <w:t>9.</w:t>
            </w:r>
            <w:r w:rsidR="00B877DB" w:rsidRPr="00B877DB">
              <w:rPr>
                <w:rFonts w:eastAsia="Times New Roman"/>
                <w:sz w:val="24"/>
                <w:szCs w:val="24"/>
                <w:vertAlign w:val="superscript"/>
                <w:lang w:eastAsia="lv-LV"/>
              </w:rPr>
              <w:t>1</w:t>
            </w:r>
            <w:r w:rsidR="00B877DB">
              <w:rPr>
                <w:rFonts w:eastAsia="Times New Roman"/>
                <w:sz w:val="24"/>
                <w:szCs w:val="24"/>
                <w:lang w:eastAsia="lv-LV"/>
              </w:rPr>
              <w:t xml:space="preserve"> panta piektā daļa</w:t>
            </w:r>
            <w:r>
              <w:rPr>
                <w:rFonts w:eastAsia="Times New Roman"/>
                <w:sz w:val="24"/>
                <w:szCs w:val="24"/>
                <w:lang w:eastAsia="lv-LV"/>
              </w:rPr>
              <w:t xml:space="preserve"> un 16.panta trešā daļa.</w:t>
            </w:r>
          </w:p>
        </w:tc>
      </w:tr>
      <w:tr w:rsidR="00994762" w:rsidRPr="00994762" w:rsidTr="00C21708">
        <w:trPr>
          <w:trHeight w:val="1191"/>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2.</w:t>
            </w:r>
          </w:p>
        </w:tc>
        <w:tc>
          <w:tcPr>
            <w:tcW w:w="3668" w:type="dxa"/>
            <w:tcBorders>
              <w:top w:val="outset" w:sz="6" w:space="0" w:color="auto"/>
              <w:left w:val="outset" w:sz="6" w:space="0" w:color="auto"/>
              <w:bottom w:val="outset" w:sz="6" w:space="0" w:color="auto"/>
              <w:right w:val="outset" w:sz="6" w:space="0" w:color="auto"/>
            </w:tcBorders>
          </w:tcPr>
          <w:p w:rsidR="00A81D9B" w:rsidRPr="00994762" w:rsidRDefault="00BF1B85" w:rsidP="009E4FE9">
            <w:pPr>
              <w:spacing w:before="100" w:beforeAutospacing="1" w:after="100" w:afterAutospacing="1" w:line="240" w:lineRule="auto"/>
              <w:ind w:firstLine="0"/>
              <w:jc w:val="left"/>
              <w:rPr>
                <w:rFonts w:eastAsia="Times New Roman"/>
                <w:sz w:val="24"/>
                <w:szCs w:val="24"/>
                <w:lang w:eastAsia="lv-LV"/>
              </w:rPr>
            </w:pPr>
            <w:r w:rsidRPr="00994762">
              <w:rPr>
                <w:rFonts w:eastAsia="Times New Roman"/>
                <w:sz w:val="24"/>
                <w:szCs w:val="24"/>
                <w:lang w:eastAsia="lv-LV"/>
              </w:rPr>
              <w:t> </w:t>
            </w:r>
            <w:r w:rsidRPr="00994762">
              <w:rPr>
                <w:sz w:val="24"/>
                <w:szCs w:val="24"/>
              </w:rPr>
              <w:t>Pašreizējā situācija un problēmas, kuru risināšanai tiesību akta projekts izstrādāts, tiesiskā regulējuma mērķis un būtība</w:t>
            </w: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BF1B85" w:rsidRPr="00994762" w:rsidRDefault="00A81D9B" w:rsidP="00A81D9B">
            <w:pPr>
              <w:tabs>
                <w:tab w:val="left" w:pos="1728"/>
              </w:tabs>
              <w:rPr>
                <w:rFonts w:eastAsia="Times New Roman"/>
                <w:sz w:val="24"/>
                <w:szCs w:val="24"/>
                <w:lang w:eastAsia="lv-LV"/>
              </w:rPr>
            </w:pPr>
            <w:r w:rsidRPr="00994762">
              <w:rPr>
                <w:rFonts w:eastAsia="Times New Roman"/>
                <w:sz w:val="24"/>
                <w:szCs w:val="24"/>
                <w:lang w:eastAsia="lv-LV"/>
              </w:rPr>
              <w:tab/>
            </w:r>
          </w:p>
        </w:tc>
        <w:tc>
          <w:tcPr>
            <w:tcW w:w="5194" w:type="dxa"/>
            <w:gridSpan w:val="2"/>
            <w:tcBorders>
              <w:top w:val="outset" w:sz="6" w:space="0" w:color="auto"/>
              <w:left w:val="outset" w:sz="6" w:space="0" w:color="auto"/>
              <w:bottom w:val="outset" w:sz="6" w:space="0" w:color="auto"/>
              <w:right w:val="outset" w:sz="6" w:space="0" w:color="auto"/>
            </w:tcBorders>
          </w:tcPr>
          <w:p w:rsidR="00770DA8" w:rsidRDefault="00770DA8" w:rsidP="00A156A8">
            <w:pPr>
              <w:spacing w:line="240" w:lineRule="auto"/>
              <w:ind w:firstLine="360"/>
              <w:rPr>
                <w:sz w:val="24"/>
                <w:szCs w:val="24"/>
              </w:rPr>
            </w:pPr>
            <w:r w:rsidRPr="00770DA8">
              <w:rPr>
                <w:sz w:val="24"/>
                <w:szCs w:val="24"/>
              </w:rPr>
              <w:t>Ņ</w:t>
            </w:r>
            <w:r>
              <w:rPr>
                <w:sz w:val="24"/>
                <w:szCs w:val="24"/>
              </w:rPr>
              <w:t>emot vērā izdarītos grozījumus T</w:t>
            </w:r>
            <w:r w:rsidRPr="00770DA8">
              <w:rPr>
                <w:sz w:val="24"/>
                <w:szCs w:val="24"/>
              </w:rPr>
              <w:t>ransportlīdzekļa ekspluatācijas nodokļa un uzņēmumu vieglo transportlīdzekļu nodokļa likuma</w:t>
            </w:r>
            <w:r>
              <w:rPr>
                <w:sz w:val="24"/>
                <w:szCs w:val="24"/>
              </w:rPr>
              <w:t xml:space="preserve"> (turpmāk-Likums) </w:t>
            </w:r>
            <w:r w:rsidRPr="00770DA8">
              <w:rPr>
                <w:sz w:val="24"/>
                <w:szCs w:val="24"/>
              </w:rPr>
              <w:t>3.pantā, precizējot, ka transportlīdzekļa eksp</w:t>
            </w:r>
            <w:r w:rsidR="00660335">
              <w:rPr>
                <w:sz w:val="24"/>
                <w:szCs w:val="24"/>
              </w:rPr>
              <w:t>luatācijas nodokļa maksātājs ir T</w:t>
            </w:r>
            <w:r w:rsidRPr="00770DA8">
              <w:rPr>
                <w:sz w:val="24"/>
                <w:szCs w:val="24"/>
              </w:rPr>
              <w:t xml:space="preserve">ransportlīdzekļu un to vadītāju valsts reģistrā norādītais </w:t>
            </w:r>
            <w:r w:rsidR="002330FE">
              <w:rPr>
                <w:sz w:val="24"/>
                <w:szCs w:val="24"/>
              </w:rPr>
              <w:t>turētājs, nolūkā nodrošināt šī L</w:t>
            </w:r>
            <w:r w:rsidRPr="00770DA8">
              <w:rPr>
                <w:sz w:val="24"/>
                <w:szCs w:val="24"/>
              </w:rPr>
              <w:t xml:space="preserve">ikuma 6.pantā paredzētos atbrīvojumus no šī nodokļa maksāšanas personām ar invaliditāti, </w:t>
            </w:r>
            <w:r w:rsidR="002330FE">
              <w:rPr>
                <w:sz w:val="24"/>
                <w:szCs w:val="24"/>
              </w:rPr>
              <w:t xml:space="preserve"> grozījumi </w:t>
            </w:r>
            <w:r w:rsidRPr="00770DA8">
              <w:rPr>
                <w:sz w:val="24"/>
                <w:szCs w:val="24"/>
              </w:rPr>
              <w:t xml:space="preserve">Ministru kabineta 2012.gada 11.decembra noteikumos Nr.858 „Transportlīdzekļa ekspluatācijas nodokļa un uzņēmumu vieglo transportlīdzekļu nodokļa maksāšanas kārtība” (turpmāk-Noteikumu projekts) </w:t>
            </w:r>
            <w:r w:rsidR="002330FE">
              <w:rPr>
                <w:sz w:val="24"/>
                <w:szCs w:val="24"/>
              </w:rPr>
              <w:t>paredz</w:t>
            </w:r>
            <w:r w:rsidRPr="00770DA8">
              <w:rPr>
                <w:sz w:val="24"/>
                <w:szCs w:val="24"/>
              </w:rPr>
              <w:t>, ka atbrīvojums ir piemērojams arī tad, ja personai ar invaliditāti īpašumā ir reģistrēts transportlīdzeklis, kuram kā turētājs ir reģistrēta cita persona bez invaliditātes.</w:t>
            </w:r>
          </w:p>
          <w:p w:rsidR="006721D6" w:rsidRDefault="005E2F1E" w:rsidP="00A156A8">
            <w:pPr>
              <w:spacing w:line="240" w:lineRule="auto"/>
              <w:ind w:firstLine="360"/>
              <w:rPr>
                <w:rFonts w:eastAsia="Times New Roman"/>
                <w:sz w:val="24"/>
                <w:szCs w:val="24"/>
                <w:lang w:eastAsia="lv-LV"/>
              </w:rPr>
            </w:pPr>
            <w:r>
              <w:rPr>
                <w:sz w:val="24"/>
                <w:szCs w:val="24"/>
              </w:rPr>
              <w:t xml:space="preserve">2017.gada 1.janvārī stājas spēkā grozījumi </w:t>
            </w:r>
            <w:r w:rsidR="00770DA8">
              <w:rPr>
                <w:rFonts w:eastAsia="Times New Roman"/>
                <w:sz w:val="24"/>
                <w:szCs w:val="24"/>
                <w:lang w:eastAsia="lv-LV"/>
              </w:rPr>
              <w:t xml:space="preserve">Likumā, </w:t>
            </w:r>
            <w:r>
              <w:rPr>
                <w:rFonts w:eastAsia="Times New Roman"/>
                <w:sz w:val="24"/>
                <w:szCs w:val="24"/>
                <w:lang w:eastAsia="lv-LV"/>
              </w:rPr>
              <w:t xml:space="preserve">kas </w:t>
            </w:r>
            <w:r w:rsidR="004F541F">
              <w:rPr>
                <w:rFonts w:eastAsia="Times New Roman"/>
                <w:sz w:val="24"/>
                <w:szCs w:val="24"/>
                <w:lang w:eastAsia="lv-LV"/>
              </w:rPr>
              <w:t>paredz, ka ā</w:t>
            </w:r>
            <w:r w:rsidR="004F541F" w:rsidRPr="004F541F">
              <w:rPr>
                <w:rFonts w:eastAsia="Times New Roman"/>
                <w:sz w:val="24"/>
                <w:szCs w:val="24"/>
                <w:lang w:eastAsia="lv-LV"/>
              </w:rPr>
              <w:t>rvalstīs reģistrēta transportlīdzekļa ekspluatācijas nodokļa iekasēšanas un administrēšanas kārtību nosaka Ministru kabinets.</w:t>
            </w:r>
          </w:p>
          <w:p w:rsidR="005B4062" w:rsidRDefault="004F541F" w:rsidP="00132040">
            <w:pPr>
              <w:spacing w:line="240" w:lineRule="auto"/>
              <w:ind w:firstLine="360"/>
              <w:rPr>
                <w:rFonts w:eastAsia="Times New Roman"/>
                <w:sz w:val="24"/>
                <w:szCs w:val="24"/>
                <w:lang w:eastAsia="lv-LV"/>
              </w:rPr>
            </w:pPr>
            <w:r>
              <w:rPr>
                <w:rFonts w:eastAsia="Times New Roman"/>
                <w:sz w:val="24"/>
                <w:szCs w:val="24"/>
                <w:lang w:eastAsia="lv-LV"/>
              </w:rPr>
              <w:t xml:space="preserve">Ievērojot minēto, </w:t>
            </w:r>
            <w:r w:rsidR="00770DA8">
              <w:rPr>
                <w:rFonts w:eastAsia="Times New Roman"/>
                <w:sz w:val="24"/>
                <w:szCs w:val="24"/>
                <w:lang w:eastAsia="lv-LV"/>
              </w:rPr>
              <w:t xml:space="preserve">Noteikumu projekts </w:t>
            </w:r>
            <w:r>
              <w:rPr>
                <w:rFonts w:eastAsia="Times New Roman"/>
                <w:sz w:val="24"/>
                <w:szCs w:val="24"/>
                <w:lang w:eastAsia="lv-LV"/>
              </w:rPr>
              <w:t>paredz noteikt ā</w:t>
            </w:r>
            <w:r w:rsidRPr="004F541F">
              <w:rPr>
                <w:rFonts w:eastAsia="Times New Roman"/>
                <w:sz w:val="24"/>
                <w:szCs w:val="24"/>
                <w:lang w:eastAsia="lv-LV"/>
              </w:rPr>
              <w:t>rvalstī reģistrēta transportlīdzekļa ekspl</w:t>
            </w:r>
            <w:r>
              <w:rPr>
                <w:rFonts w:eastAsia="Times New Roman"/>
                <w:sz w:val="24"/>
                <w:szCs w:val="24"/>
                <w:lang w:eastAsia="lv-LV"/>
              </w:rPr>
              <w:t>uatācijas nodokļa iekasēšana</w:t>
            </w:r>
            <w:r w:rsidR="001B2AC4">
              <w:rPr>
                <w:rFonts w:eastAsia="Times New Roman"/>
                <w:sz w:val="24"/>
                <w:szCs w:val="24"/>
                <w:lang w:eastAsia="lv-LV"/>
              </w:rPr>
              <w:t>s</w:t>
            </w:r>
            <w:r w:rsidR="00EE779E">
              <w:rPr>
                <w:rFonts w:eastAsia="Times New Roman"/>
                <w:sz w:val="24"/>
                <w:szCs w:val="24"/>
                <w:lang w:eastAsia="lv-LV"/>
              </w:rPr>
              <w:t xml:space="preserve"> </w:t>
            </w:r>
            <w:r>
              <w:rPr>
                <w:rFonts w:eastAsia="Times New Roman"/>
                <w:sz w:val="24"/>
                <w:szCs w:val="24"/>
                <w:lang w:eastAsia="lv-LV"/>
              </w:rPr>
              <w:t xml:space="preserve">un </w:t>
            </w:r>
            <w:r w:rsidRPr="004F541F">
              <w:rPr>
                <w:rFonts w:eastAsia="Times New Roman"/>
                <w:sz w:val="24"/>
                <w:szCs w:val="24"/>
                <w:lang w:eastAsia="lv-LV"/>
              </w:rPr>
              <w:t>administrēšana</w:t>
            </w:r>
            <w:r w:rsidR="001B2AC4">
              <w:rPr>
                <w:rFonts w:eastAsia="Times New Roman"/>
                <w:sz w:val="24"/>
                <w:szCs w:val="24"/>
                <w:lang w:eastAsia="lv-LV"/>
              </w:rPr>
              <w:t>s</w:t>
            </w:r>
            <w:r w:rsidR="00517080">
              <w:rPr>
                <w:rFonts w:eastAsia="Times New Roman"/>
                <w:sz w:val="24"/>
                <w:szCs w:val="24"/>
                <w:lang w:eastAsia="lv-LV"/>
              </w:rPr>
              <w:t xml:space="preserve"> kārtību. </w:t>
            </w:r>
            <w:r w:rsidR="001B2AC4">
              <w:rPr>
                <w:rFonts w:eastAsia="Times New Roman"/>
                <w:sz w:val="24"/>
                <w:szCs w:val="24"/>
                <w:lang w:eastAsia="lv-LV"/>
              </w:rPr>
              <w:t>Noteikumu projekts paredz, ka ā</w:t>
            </w:r>
            <w:r w:rsidR="001B2AC4" w:rsidRPr="001B2AC4">
              <w:rPr>
                <w:rFonts w:eastAsia="Times New Roman"/>
                <w:sz w:val="24"/>
                <w:szCs w:val="24"/>
                <w:lang w:eastAsia="lv-LV"/>
              </w:rPr>
              <w:t xml:space="preserve">rvalstī reģistrēta transportlīdzekļa ekspluatācijas nodokli maksā pirms </w:t>
            </w:r>
            <w:r w:rsidR="001D79BB" w:rsidRPr="001D79BB">
              <w:rPr>
                <w:bCs/>
                <w:sz w:val="24"/>
                <w:szCs w:val="24"/>
              </w:rPr>
              <w:t>ārvalstī reģistrēta M1 un N1 kategorijas automobiļa izmantošanas ceļu satiksmē Latvijā.</w:t>
            </w:r>
            <w:r w:rsidR="001D79BB">
              <w:rPr>
                <w:rFonts w:eastAsia="Times New Roman"/>
                <w:sz w:val="24"/>
                <w:szCs w:val="24"/>
                <w:lang w:eastAsia="lv-LV"/>
              </w:rPr>
              <w:t xml:space="preserve"> </w:t>
            </w:r>
            <w:r w:rsidR="001B2AC4">
              <w:rPr>
                <w:rFonts w:eastAsia="Times New Roman"/>
                <w:sz w:val="24"/>
                <w:szCs w:val="24"/>
                <w:lang w:eastAsia="lv-LV"/>
              </w:rPr>
              <w:t>Minēto nodokli</w:t>
            </w:r>
            <w:r w:rsidR="00132040">
              <w:rPr>
                <w:rFonts w:eastAsia="Times New Roman"/>
                <w:sz w:val="24"/>
                <w:szCs w:val="24"/>
                <w:lang w:eastAsia="lv-LV"/>
              </w:rPr>
              <w:t xml:space="preserve"> būs iespējams samaksāt</w:t>
            </w:r>
            <w:r w:rsidR="00132040">
              <w:t xml:space="preserve"> </w:t>
            </w:r>
            <w:r w:rsidR="00132040" w:rsidRPr="00132040">
              <w:rPr>
                <w:rFonts w:eastAsia="Times New Roman"/>
                <w:sz w:val="24"/>
                <w:szCs w:val="24"/>
                <w:lang w:eastAsia="lv-LV"/>
              </w:rPr>
              <w:t xml:space="preserve">ar maksājumu karti CSDD nodrošināto e-pakalpojumu sistēmā vai skaidrā naudā vai ar maksājumu karti maksājumu karšu </w:t>
            </w:r>
            <w:r w:rsidR="00132040">
              <w:rPr>
                <w:rFonts w:eastAsia="Times New Roman"/>
                <w:sz w:val="24"/>
                <w:szCs w:val="24"/>
                <w:lang w:eastAsia="lv-LV"/>
              </w:rPr>
              <w:t xml:space="preserve">pieņemšanas terminālī CSDD kasē, norādot </w:t>
            </w:r>
            <w:r w:rsidR="00132040" w:rsidRPr="00132040">
              <w:rPr>
                <w:rFonts w:eastAsia="Times New Roman"/>
                <w:sz w:val="24"/>
                <w:szCs w:val="24"/>
                <w:lang w:eastAsia="lv-LV"/>
              </w:rPr>
              <w:t xml:space="preserve">transportlīdzekļa vadītāja vārdu, uzvārdu un personas </w:t>
            </w:r>
            <w:r w:rsidR="00132040">
              <w:rPr>
                <w:rFonts w:eastAsia="Times New Roman"/>
                <w:sz w:val="24"/>
                <w:szCs w:val="24"/>
                <w:lang w:eastAsia="lv-LV"/>
              </w:rPr>
              <w:t xml:space="preserve">kodu, </w:t>
            </w:r>
            <w:r w:rsidR="00132040" w:rsidRPr="00132040">
              <w:rPr>
                <w:rFonts w:eastAsia="Times New Roman"/>
                <w:sz w:val="24"/>
                <w:szCs w:val="24"/>
                <w:lang w:eastAsia="lv-LV"/>
              </w:rPr>
              <w:t>transportlīdzek</w:t>
            </w:r>
            <w:r w:rsidR="00132040">
              <w:rPr>
                <w:rFonts w:eastAsia="Times New Roman"/>
                <w:sz w:val="24"/>
                <w:szCs w:val="24"/>
                <w:lang w:eastAsia="lv-LV"/>
              </w:rPr>
              <w:t xml:space="preserve">ļa valsts reģistrācijas numuru, </w:t>
            </w:r>
            <w:r w:rsidR="00132040" w:rsidRPr="00132040">
              <w:rPr>
                <w:rFonts w:eastAsia="Times New Roman"/>
                <w:sz w:val="24"/>
                <w:szCs w:val="24"/>
                <w:lang w:eastAsia="lv-LV"/>
              </w:rPr>
              <w:t>transportlīdzekļa p</w:t>
            </w:r>
            <w:r w:rsidR="00132040">
              <w:rPr>
                <w:rFonts w:eastAsia="Times New Roman"/>
                <w:sz w:val="24"/>
                <w:szCs w:val="24"/>
                <w:lang w:eastAsia="lv-LV"/>
              </w:rPr>
              <w:t xml:space="preserve">astāvīgās reģistrācijas valsti un </w:t>
            </w:r>
            <w:r w:rsidR="001D79BB">
              <w:rPr>
                <w:rFonts w:eastAsia="Times New Roman"/>
                <w:sz w:val="24"/>
                <w:szCs w:val="24"/>
                <w:lang w:eastAsia="lv-LV"/>
              </w:rPr>
              <w:t>laik</w:t>
            </w:r>
            <w:r w:rsidR="00132040" w:rsidRPr="00132040">
              <w:rPr>
                <w:rFonts w:eastAsia="Times New Roman"/>
                <w:sz w:val="24"/>
                <w:szCs w:val="24"/>
                <w:lang w:eastAsia="lv-LV"/>
              </w:rPr>
              <w:t>posmu, kad transportlīdzeklis tiks izmantots dalībai ceļu satiksmē Latvijā</w:t>
            </w:r>
            <w:r w:rsidR="00132040">
              <w:rPr>
                <w:rFonts w:eastAsia="Times New Roman"/>
                <w:sz w:val="24"/>
                <w:szCs w:val="24"/>
                <w:lang w:eastAsia="lv-LV"/>
              </w:rPr>
              <w:t>.</w:t>
            </w:r>
            <w:r w:rsidR="005B4062">
              <w:rPr>
                <w:rFonts w:eastAsia="Times New Roman"/>
                <w:sz w:val="24"/>
                <w:szCs w:val="24"/>
                <w:lang w:eastAsia="lv-LV"/>
              </w:rPr>
              <w:t xml:space="preserve"> Ņemot vērā, ka Likums nosaka, ka ā</w:t>
            </w:r>
            <w:r w:rsidR="005B4062" w:rsidRPr="005B4062">
              <w:rPr>
                <w:rFonts w:eastAsia="Times New Roman"/>
                <w:sz w:val="24"/>
                <w:szCs w:val="24"/>
                <w:lang w:eastAsia="lv-LV"/>
              </w:rPr>
              <w:t>rvalstī reģistrēta transportlīdzekļa ekspluatācijas nodokli maksā transportlīdzekļa vadītājs</w:t>
            </w:r>
            <w:r w:rsidR="005B4062">
              <w:rPr>
                <w:rFonts w:eastAsia="Times New Roman"/>
                <w:sz w:val="24"/>
                <w:szCs w:val="24"/>
                <w:lang w:eastAsia="lv-LV"/>
              </w:rPr>
              <w:t xml:space="preserve">, minētie dati nepieciešami, lai Transportlīdzekļu un to vadītāju reģistrā būtu iespējams identificēt personu, kas veikusi ārvalstī </w:t>
            </w:r>
            <w:r w:rsidR="005B4062">
              <w:rPr>
                <w:rFonts w:eastAsia="Times New Roman"/>
                <w:sz w:val="24"/>
                <w:szCs w:val="24"/>
                <w:lang w:eastAsia="lv-LV"/>
              </w:rPr>
              <w:lastRenderedPageBreak/>
              <w:t>reģistrēta transportlīdzekļa ekspluatācijas nodokļa samaksu.</w:t>
            </w:r>
          </w:p>
          <w:p w:rsidR="00B44580" w:rsidRDefault="00B44580" w:rsidP="00A156A8">
            <w:pPr>
              <w:spacing w:line="240" w:lineRule="auto"/>
              <w:ind w:firstLine="360"/>
              <w:rPr>
                <w:rFonts w:eastAsia="Times New Roman"/>
                <w:sz w:val="24"/>
                <w:szCs w:val="24"/>
                <w:lang w:eastAsia="lv-LV"/>
              </w:rPr>
            </w:pPr>
            <w:r>
              <w:rPr>
                <w:rFonts w:eastAsia="Times New Roman"/>
                <w:sz w:val="24"/>
                <w:szCs w:val="24"/>
                <w:lang w:eastAsia="lv-LV"/>
              </w:rPr>
              <w:t xml:space="preserve">Noteikumu </w:t>
            </w:r>
            <w:r w:rsidRPr="00B44580">
              <w:rPr>
                <w:rFonts w:eastAsia="Times New Roman"/>
                <w:sz w:val="24"/>
                <w:szCs w:val="24"/>
                <w:lang w:eastAsia="lv-LV"/>
              </w:rPr>
              <w:t>38.</w:t>
            </w:r>
            <w:r>
              <w:rPr>
                <w:rFonts w:eastAsia="Times New Roman"/>
                <w:sz w:val="24"/>
                <w:szCs w:val="24"/>
                <w:lang w:eastAsia="lv-LV"/>
              </w:rPr>
              <w:t xml:space="preserve">punkts paredz, ka </w:t>
            </w:r>
            <w:r w:rsidRPr="00B44580">
              <w:rPr>
                <w:rFonts w:eastAsia="Times New Roman"/>
                <w:sz w:val="24"/>
                <w:szCs w:val="24"/>
                <w:lang w:eastAsia="lv-LV"/>
              </w:rPr>
              <w:t xml:space="preserve"> Likuma 6.panta pirmās daļas 15.punktā paredzēto atbrīvojumu no ekspluatācijas nodokļa maksāšanas piemēro, ja transportlīdzekļu reģistrā kā degvielas veids primāri norādīta elektrība. Lai</w:t>
            </w:r>
            <w:r>
              <w:rPr>
                <w:rFonts w:eastAsia="Times New Roman"/>
                <w:sz w:val="24"/>
                <w:szCs w:val="24"/>
                <w:lang w:eastAsia="lv-LV"/>
              </w:rPr>
              <w:t xml:space="preserve"> praksē izvairītos no pārpratumiem, Noteikumu projekts paredz, ka </w:t>
            </w:r>
            <w:r w:rsidRPr="00B44580">
              <w:rPr>
                <w:rFonts w:eastAsia="Times New Roman"/>
                <w:sz w:val="24"/>
                <w:szCs w:val="24"/>
                <w:lang w:eastAsia="lv-LV"/>
              </w:rPr>
              <w:t>Likuma 6.panta pirmās daļas 15.punktā paredzēto atbrīvojumu no ekspluatācijas nodokļa maksāšanas piemēro, ja transportlīdzekļu reģistrā kā degvielas veids norādīta tikai elektrība.</w:t>
            </w:r>
          </w:p>
          <w:p w:rsidR="004F541F" w:rsidRDefault="004F541F" w:rsidP="00A775D4">
            <w:pPr>
              <w:spacing w:line="240" w:lineRule="auto"/>
              <w:ind w:firstLine="360"/>
              <w:rPr>
                <w:sz w:val="24"/>
                <w:szCs w:val="24"/>
              </w:rPr>
            </w:pPr>
            <w:r>
              <w:rPr>
                <w:sz w:val="24"/>
                <w:szCs w:val="24"/>
              </w:rPr>
              <w:t>Saskaņā ar grozījumiem Likumā paredzēts, ka</w:t>
            </w:r>
            <w:r w:rsidR="00A775D4">
              <w:rPr>
                <w:sz w:val="24"/>
                <w:szCs w:val="24"/>
              </w:rPr>
              <w:t xml:space="preserve"> transportlīdzekļa ekspluatācijas nodokli nemaksā par </w:t>
            </w:r>
            <w:r>
              <w:rPr>
                <w:sz w:val="24"/>
                <w:szCs w:val="24"/>
              </w:rPr>
              <w:t xml:space="preserve"> </w:t>
            </w:r>
            <w:r w:rsidR="00A775D4">
              <w:rPr>
                <w:sz w:val="24"/>
                <w:szCs w:val="24"/>
              </w:rPr>
              <w:t>vienu transportlīdzekli, kurš ir vai tiek reģistrēts Sabiedroto spēku štāba loceklim vai viņa apgādājamajam, ja šī persona nav Latvijas pilsonis vai pastāvīgais iedzīvotājs, īpašumā turējumā vai valdījumā, ievērojot minēto, lai nodrošinātu attiecīgo ekspluatācijas nodokļa atbrīvojuma piemērošanu, Noteikumu projektā paredzēts, ka</w:t>
            </w:r>
            <w:r w:rsidR="00A775D4">
              <w:t xml:space="preserve"> </w:t>
            </w:r>
            <w:r w:rsidR="00A775D4" w:rsidRPr="00A775D4">
              <w:rPr>
                <w:sz w:val="24"/>
                <w:szCs w:val="24"/>
              </w:rPr>
              <w:t xml:space="preserve">atbrīvojumu no ekspluatācijas nodokļa maksāšanas piemēro, </w:t>
            </w:r>
            <w:r w:rsidR="00C0127D">
              <w:rPr>
                <w:sz w:val="24"/>
                <w:szCs w:val="24"/>
              </w:rPr>
              <w:t xml:space="preserve">pamatojoties </w:t>
            </w:r>
            <w:r w:rsidR="00C0127D" w:rsidRPr="00C0127D">
              <w:rPr>
                <w:sz w:val="24"/>
                <w:szCs w:val="24"/>
              </w:rPr>
              <w:t>uz Sabiedroto spēku štāba apliecinājuma pamata.</w:t>
            </w:r>
          </w:p>
          <w:p w:rsidR="00EA2DEF" w:rsidRDefault="00EA2DEF" w:rsidP="00A775D4">
            <w:pPr>
              <w:spacing w:line="240" w:lineRule="auto"/>
              <w:ind w:firstLine="360"/>
              <w:rPr>
                <w:sz w:val="24"/>
                <w:szCs w:val="24"/>
              </w:rPr>
            </w:pPr>
            <w:r w:rsidRPr="00EA2DEF">
              <w:rPr>
                <w:sz w:val="24"/>
                <w:szCs w:val="24"/>
                <w:lang w:eastAsia="lv-LV"/>
              </w:rPr>
              <w:t>Lauksaimnieki vienoto platību maksājumu saņem atb</w:t>
            </w:r>
            <w:r>
              <w:rPr>
                <w:sz w:val="24"/>
                <w:szCs w:val="24"/>
                <w:lang w:eastAsia="lv-LV"/>
              </w:rPr>
              <w:t>ilstoši Ministru kabineta 2015.gada 10.marta noteikumiem Nr.</w:t>
            </w:r>
            <w:r w:rsidRPr="00EA2DEF">
              <w:rPr>
                <w:sz w:val="24"/>
                <w:szCs w:val="24"/>
                <w:lang w:eastAsia="lv-LV"/>
              </w:rPr>
              <w:t xml:space="preserve">126 </w:t>
            </w:r>
            <w:r w:rsidRPr="00EA2DEF">
              <w:rPr>
                <w:bCs/>
                <w:sz w:val="24"/>
                <w:szCs w:val="24"/>
                <w:lang w:eastAsia="lv-LV"/>
              </w:rPr>
              <w:t>"</w:t>
            </w:r>
            <w:hyperlink r:id="rId9" w:tgtFrame="_blank" w:history="1">
              <w:r w:rsidRPr="00EA2DEF">
                <w:rPr>
                  <w:bCs/>
                  <w:sz w:val="24"/>
                  <w:szCs w:val="24"/>
                  <w:lang w:eastAsia="lv-LV"/>
                </w:rPr>
                <w:t>Tiešo maksājumu piešķiršanas kārtība lauksaimniekiem</w:t>
              </w:r>
            </w:hyperlink>
            <w:r w:rsidRPr="00EA2DEF">
              <w:rPr>
                <w:bCs/>
                <w:sz w:val="24"/>
                <w:szCs w:val="24"/>
                <w:lang w:eastAsia="lv-LV"/>
              </w:rPr>
              <w:t>", kuros ir noteikta kārtība, kādā lauksaimnieks deklarē Lauku atbalsta dienestā lauksaimniecībā izmantojamo zemes platību</w:t>
            </w:r>
            <w:r w:rsidRPr="00EA2DEF">
              <w:rPr>
                <w:sz w:val="24"/>
                <w:szCs w:val="24"/>
                <w:lang w:eastAsia="lv-LV"/>
              </w:rPr>
              <w:t>. Vienotam platību maksājumam ir pielīdzināts</w:t>
            </w:r>
            <w:r>
              <w:rPr>
                <w:sz w:val="24"/>
                <w:szCs w:val="24"/>
                <w:lang w:eastAsia="lv-LV"/>
              </w:rPr>
              <w:t xml:space="preserve"> arī</w:t>
            </w:r>
            <w:r w:rsidRPr="00EA2DEF">
              <w:rPr>
                <w:sz w:val="24"/>
                <w:szCs w:val="24"/>
                <w:lang w:eastAsia="lv-LV"/>
              </w:rPr>
              <w:t xml:space="preserve"> </w:t>
            </w:r>
            <w:r w:rsidRPr="00EA2DEF">
              <w:rPr>
                <w:sz w:val="24"/>
                <w:szCs w:val="24"/>
              </w:rPr>
              <w:t>mazo lauksaimnieku atbalsta shēmas maksājums, jo t</w:t>
            </w:r>
            <w:r>
              <w:rPr>
                <w:sz w:val="24"/>
                <w:szCs w:val="24"/>
              </w:rPr>
              <w:t xml:space="preserve">iem ir kopēja atbalsta aploksne, ievērojot minēto, Noteikumu projektā paredzēts, ka Likuma 7.panta ceturtajā daļā paredzēto ekspluatācijas nodokļa atvieglojumu piemēro pamatojoties uz </w:t>
            </w:r>
            <w:r w:rsidRPr="00EA2DEF">
              <w:rPr>
                <w:sz w:val="24"/>
                <w:szCs w:val="24"/>
              </w:rPr>
              <w:t xml:space="preserve">Lauku atbalsta dienesta līdz kārtējā gada 1. janvārim CSDD iesniegto to fizisko un juridisko personu sarakstu, kuras apstrādā viņu īpašumā, pastāvīgā lietošanā vai nomā esošu lauksaimniecībā izmantojamo zemi, kas kārtējā gada 1. janvārī ir apstiprināta vienotā platību maksājuma saņemšanai (ieskaitot mazo lauksaimnieku atbalsta shēmas maksājumu) saskaņā ar normatīvajiem aktiem par tiešo maksājumu piešķiršanas kārtību lauksaimniekiem (turpmāk – lauksaimniecībā izmantojamā zeme), ievērojot nosacījumu, ka ilggadīgo zālāju vai aramzemē sēto stiebrzāļu, vai lopbarības zālaugu maisījuma platības lauksaimniecībā izmantojamās zemes platībās ieskaita, ja lauksaimniecības dzīvnieku blīvums šajās platībās ir ne mazāks kā 0,2 nosacītās liellopu </w:t>
            </w:r>
            <w:r w:rsidRPr="00EA2DEF">
              <w:rPr>
                <w:sz w:val="24"/>
                <w:szCs w:val="24"/>
              </w:rPr>
              <w:lastRenderedPageBreak/>
              <w:t>vienības uz vienu Eiropas Savienības atbalsta piešķiršanai apstiprināto ilggadīgo zālāju vai aramzemē sēto stiebrzāļu, vai lopbarības zālaugu maisījuma platības hektāru</w:t>
            </w:r>
            <w:r>
              <w:rPr>
                <w:sz w:val="24"/>
                <w:szCs w:val="24"/>
              </w:rPr>
              <w:t xml:space="preserve"> un uzņēmumu vieglo transportlīdzekļu nodokli nemaksā par </w:t>
            </w:r>
            <w:r w:rsidRPr="00EA2DEF">
              <w:rPr>
                <w:sz w:val="24"/>
                <w:szCs w:val="24"/>
              </w:rPr>
              <w:t>transportlīdzekli, kas atbilst likuma 14.panta pirmās daļas 6.punktā minētajiem nosacījumiem, pamatojoties uz Lauku atbalsta dienesta līdz kārtējā gada 1.janvārim CSDD iesniegto to komersantu un zemnieku saimniecību sarakstu, kuras apstrādā viņu īpašumā, pastāvīgā lietošanā vai nomā esošu lauksaimniecībā izmantojamo zemi, kas kārtējā gada 1.janvārī ir apstiprināta vienotā platību maksājuma saņemšanai (ieskaitot mazo lauksaimnieku atbalsta shēmas maksājumu) saskaņā ar normatīvajiem aktiem par tiešo maksājumu piešķiršanas kārtību lauksaimniekiem, norādot ieņēmumus no lauksaimnieciskās ražošanas pēdējā iesniegtajā uzņēmuma gada pārskatā vai pēdējā iesniegtajā gada ienākumu deklarācijā, neieskaitot saņemto valsts un Eiropas Savienības atbalstu lauksa</w:t>
            </w:r>
            <w:r>
              <w:rPr>
                <w:sz w:val="24"/>
                <w:szCs w:val="24"/>
              </w:rPr>
              <w:t>imniecībai un lauku attīstībai.</w:t>
            </w:r>
          </w:p>
          <w:p w:rsidR="00A775D4" w:rsidRDefault="00A775D4" w:rsidP="00A775D4">
            <w:pPr>
              <w:spacing w:line="240" w:lineRule="auto"/>
              <w:ind w:firstLine="360"/>
              <w:rPr>
                <w:sz w:val="24"/>
                <w:szCs w:val="24"/>
              </w:rPr>
            </w:pPr>
            <w:r>
              <w:rPr>
                <w:sz w:val="24"/>
                <w:szCs w:val="24"/>
              </w:rPr>
              <w:t xml:space="preserve">Saskaņā ar grozījumiem Likumā paredzēts, ka par transportlīdzekļiem, ar kuriem fiziskā vai juridiskā persona, kas ieļauta Lauku atbalsta dienesta maksājumu saņēmēju datubāzē, veic kravas pašpārvadājumus, transportlīdzekļa </w:t>
            </w:r>
            <w:r w:rsidRPr="00A775D4">
              <w:rPr>
                <w:sz w:val="24"/>
                <w:szCs w:val="24"/>
              </w:rPr>
              <w:t>ekspluatācijas nodo</w:t>
            </w:r>
            <w:r>
              <w:rPr>
                <w:sz w:val="24"/>
                <w:szCs w:val="24"/>
              </w:rPr>
              <w:t xml:space="preserve">kli maksā 25 procentu apmērā, ievērojot minēto, lai nodrošinātu attiecīgo ekspluatācijas nodokļa atvieglojumu piemērošanu, Noteikumu projekts paredz, ka minēto </w:t>
            </w:r>
            <w:r w:rsidRPr="00A775D4">
              <w:rPr>
                <w:sz w:val="24"/>
                <w:szCs w:val="24"/>
              </w:rPr>
              <w:t>a</w:t>
            </w:r>
            <w:r w:rsidR="00ED32E5">
              <w:rPr>
                <w:sz w:val="24"/>
                <w:szCs w:val="24"/>
              </w:rPr>
              <w:t>tvieglojumu</w:t>
            </w:r>
            <w:r w:rsidRPr="00A775D4">
              <w:rPr>
                <w:sz w:val="24"/>
                <w:szCs w:val="24"/>
              </w:rPr>
              <w:t xml:space="preserve"> no ekspluatācijas nodokļa maksāšanas piemēro, pamatojoties uz Lauku atbalsta dienesta līdz kārtējā gada 1.janvārim </w:t>
            </w:r>
            <w:r w:rsidR="00ED32E5">
              <w:rPr>
                <w:sz w:val="24"/>
                <w:szCs w:val="24"/>
              </w:rPr>
              <w:t xml:space="preserve">VAS “Ceļu satiksmes drošības direkcija” </w:t>
            </w:r>
            <w:r w:rsidRPr="00A775D4">
              <w:rPr>
                <w:sz w:val="24"/>
                <w:szCs w:val="24"/>
              </w:rPr>
              <w:t>iesniegto fizisko un juridisko personu sarakstu, norādot ieņēmumus no lauksaimnieciskās ražošanas pēdējā iesniegtajā uzņēmuma gada pārskatā vai pēdējā iesniegtajā gada ienākumu deklarācijā, neieskaitot saņemto valsts un Eiropas Savienības atbalstu lauksai</w:t>
            </w:r>
            <w:r>
              <w:rPr>
                <w:sz w:val="24"/>
                <w:szCs w:val="24"/>
              </w:rPr>
              <w:t>mniecībai un lauku attīstībai.</w:t>
            </w:r>
          </w:p>
          <w:p w:rsidR="003D166F" w:rsidRPr="004B4295" w:rsidRDefault="00A775D4" w:rsidP="004B4295">
            <w:pPr>
              <w:spacing w:line="240" w:lineRule="auto"/>
              <w:ind w:firstLine="360"/>
              <w:rPr>
                <w:sz w:val="24"/>
                <w:szCs w:val="24"/>
              </w:rPr>
            </w:pPr>
            <w:r>
              <w:rPr>
                <w:sz w:val="24"/>
                <w:szCs w:val="24"/>
              </w:rPr>
              <w:t xml:space="preserve">Saskaņā ar grozījumiem Likumā paredzēts, ka daudzbērnu ģimene par vienu no tās locekļa īpašumā, turējumā vai valdījumā reģistrētu transportlīdzekli maksā transportlīdzekļa ekspluatācijas nodokli par attiecīgo kalendāra gadu 50 procentu apmērā, ja minētais transportlīdzeklis ir </w:t>
            </w:r>
            <w:r w:rsidRPr="00A775D4">
              <w:rPr>
                <w:sz w:val="24"/>
                <w:szCs w:val="24"/>
              </w:rPr>
              <w:t>reģistrēts kā</w:t>
            </w:r>
            <w:r>
              <w:rPr>
                <w:sz w:val="24"/>
                <w:szCs w:val="24"/>
              </w:rPr>
              <w:t xml:space="preserve"> </w:t>
            </w:r>
            <w:r w:rsidRPr="00A775D4">
              <w:rPr>
                <w:sz w:val="24"/>
                <w:szCs w:val="24"/>
              </w:rPr>
              <w:t>viegla</w:t>
            </w:r>
            <w:r>
              <w:rPr>
                <w:sz w:val="24"/>
                <w:szCs w:val="24"/>
              </w:rPr>
              <w:t xml:space="preserve">is pasažieru vai </w:t>
            </w:r>
            <w:proofErr w:type="spellStart"/>
            <w:r>
              <w:rPr>
                <w:sz w:val="24"/>
                <w:szCs w:val="24"/>
              </w:rPr>
              <w:t>plašlietojuma</w:t>
            </w:r>
            <w:proofErr w:type="spellEnd"/>
            <w:r>
              <w:rPr>
                <w:sz w:val="24"/>
                <w:szCs w:val="24"/>
              </w:rPr>
              <w:t xml:space="preserve">, </w:t>
            </w:r>
            <w:r w:rsidRPr="00A775D4">
              <w:rPr>
                <w:sz w:val="24"/>
                <w:szCs w:val="24"/>
              </w:rPr>
              <w:t xml:space="preserve">kravas transporta kaste vai furgons, ja attiecīgā automobiļa pasažiera sēdvietu </w:t>
            </w:r>
            <w:r>
              <w:rPr>
                <w:sz w:val="24"/>
                <w:szCs w:val="24"/>
              </w:rPr>
              <w:t xml:space="preserve">skaits pārsniedz četras vietas, </w:t>
            </w:r>
            <w:r w:rsidRPr="00A775D4">
              <w:rPr>
                <w:sz w:val="24"/>
                <w:szCs w:val="24"/>
              </w:rPr>
              <w:t xml:space="preserve">autobuss ar pasažieru </w:t>
            </w:r>
            <w:r>
              <w:rPr>
                <w:sz w:val="24"/>
                <w:szCs w:val="24"/>
              </w:rPr>
              <w:t>sēdvietu skaitu līdz 16 vietām, v</w:t>
            </w:r>
            <w:r w:rsidRPr="00A775D4">
              <w:rPr>
                <w:sz w:val="24"/>
                <w:szCs w:val="24"/>
              </w:rPr>
              <w:t>ieglais, kravas vai autobuss speciālais dzīvojamais.</w:t>
            </w:r>
            <w:r>
              <w:rPr>
                <w:sz w:val="24"/>
                <w:szCs w:val="24"/>
              </w:rPr>
              <w:t xml:space="preserve"> </w:t>
            </w:r>
            <w:r w:rsidRPr="007B29DD">
              <w:rPr>
                <w:sz w:val="24"/>
                <w:szCs w:val="24"/>
              </w:rPr>
              <w:t xml:space="preserve">Ievērojot </w:t>
            </w:r>
            <w:r w:rsidRPr="007B29DD">
              <w:rPr>
                <w:sz w:val="24"/>
                <w:szCs w:val="24"/>
              </w:rPr>
              <w:lastRenderedPageBreak/>
              <w:t>minēto, lai nodrošinātu</w:t>
            </w:r>
            <w:r w:rsidR="00564699" w:rsidRPr="007B29DD">
              <w:rPr>
                <w:sz w:val="24"/>
                <w:szCs w:val="24"/>
              </w:rPr>
              <w:t xml:space="preserve"> attiecīgo ekspluatācijas nodokļa atvieglojumu piemērošanu, Notei</w:t>
            </w:r>
            <w:r w:rsidR="007B29DD" w:rsidRPr="007B29DD">
              <w:rPr>
                <w:sz w:val="24"/>
                <w:szCs w:val="24"/>
              </w:rPr>
              <w:t>kumu projekts paredz, ka ekspluatācijas nodokļa atvieglojumu piemēro par vienu no katra daudzbērnu ģimenes locekļa īpašumā, turējumā vai valdījumā reģistrētu transportlīdzekli. Atvieglojumu piemēro, pamatojoties uz CSDD pieejamo informāciju no Iedzīvotāju reģistra vai informāciju, ko CSDD ir saņēmusi no Izglītības un zinātnes ministrijas par personām, kuras ir vecumā no 18 līdz 24 gadiem un iegūst vispārējo, profesionālo vai augstāko izglītību vai ārvalsts iestādes izsniegtu izziņu par personu, kura ir vecumā no 18 līdz 24 gadiem un iegūst vispārējo, profesionālo vai augstāko izglītību ārvalstī</w:t>
            </w:r>
            <w:r w:rsidR="007B29DD">
              <w:rPr>
                <w:sz w:val="24"/>
                <w:szCs w:val="24"/>
              </w:rPr>
              <w:t xml:space="preserve">. </w:t>
            </w:r>
            <w:r w:rsidR="003B571D">
              <w:rPr>
                <w:sz w:val="24"/>
                <w:szCs w:val="24"/>
              </w:rPr>
              <w:t>Ņemot vērā, ka ar 20</w:t>
            </w:r>
            <w:r w:rsidR="00ED32E5">
              <w:rPr>
                <w:sz w:val="24"/>
                <w:szCs w:val="24"/>
              </w:rPr>
              <w:t xml:space="preserve">15.gada 30.novembra grozījumiem </w:t>
            </w:r>
            <w:r w:rsidR="003B571D">
              <w:rPr>
                <w:sz w:val="24"/>
                <w:szCs w:val="24"/>
              </w:rPr>
              <w:t>Likumā no u</w:t>
            </w:r>
            <w:r w:rsidR="003B571D" w:rsidRPr="003B571D">
              <w:rPr>
                <w:sz w:val="24"/>
                <w:szCs w:val="24"/>
              </w:rPr>
              <w:t>zņēmumu vieglo tr</w:t>
            </w:r>
            <w:r w:rsidR="003B571D">
              <w:rPr>
                <w:sz w:val="24"/>
                <w:szCs w:val="24"/>
              </w:rPr>
              <w:t>ansportlīdzekļu nodokļa atbrīvojumu saņēmēju loka izslēgti taksometri, Noteikumu projekts paredz</w:t>
            </w:r>
            <w:r w:rsidR="00A86CCF">
              <w:rPr>
                <w:sz w:val="24"/>
                <w:szCs w:val="24"/>
              </w:rPr>
              <w:t xml:space="preserve"> </w:t>
            </w:r>
            <w:r w:rsidR="0028323F">
              <w:rPr>
                <w:sz w:val="24"/>
                <w:szCs w:val="24"/>
              </w:rPr>
              <w:t>attiecīgi precizēt Noteikumu 59.10. apakšpunktu 60.4. apakšpunktu un 62.punktu.</w:t>
            </w:r>
          </w:p>
        </w:tc>
      </w:tr>
      <w:tr w:rsidR="00BF1B85" w:rsidRPr="005C62A3" w:rsidTr="00C21708">
        <w:trPr>
          <w:trHeight w:val="681"/>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lastRenderedPageBreak/>
              <w:t> 3.</w:t>
            </w:r>
          </w:p>
        </w:tc>
        <w:tc>
          <w:tcPr>
            <w:tcW w:w="3668"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Projekta izstrādē iesaistītās institūcijas</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F356C7" w:rsidP="00B44580">
            <w:pPr>
              <w:spacing w:line="240" w:lineRule="auto"/>
              <w:ind w:firstLine="0"/>
              <w:jc w:val="left"/>
              <w:rPr>
                <w:rFonts w:eastAsia="Times New Roman"/>
                <w:sz w:val="24"/>
                <w:szCs w:val="24"/>
                <w:lang w:eastAsia="lv-LV"/>
              </w:rPr>
            </w:pPr>
            <w:r>
              <w:rPr>
                <w:rFonts w:eastAsia="Times New Roman"/>
                <w:sz w:val="24"/>
                <w:szCs w:val="24"/>
                <w:lang w:eastAsia="lv-LV"/>
              </w:rPr>
              <w:t>V</w:t>
            </w:r>
            <w:r w:rsidR="00BF1B85" w:rsidRPr="005C62A3">
              <w:rPr>
                <w:rFonts w:eastAsia="Times New Roman"/>
                <w:sz w:val="24"/>
                <w:szCs w:val="24"/>
                <w:lang w:eastAsia="lv-LV"/>
              </w:rPr>
              <w:t>alsts akciju sabiedrība „Ceļu satiksmes drošības direkcija”</w:t>
            </w:r>
            <w:r w:rsidR="00B44580">
              <w:rPr>
                <w:rFonts w:eastAsia="Times New Roman"/>
                <w:sz w:val="24"/>
                <w:szCs w:val="24"/>
                <w:lang w:eastAsia="lv-LV"/>
              </w:rPr>
              <w:t>.</w:t>
            </w:r>
          </w:p>
        </w:tc>
      </w:tr>
      <w:tr w:rsidR="00BF1B85" w:rsidRPr="005C62A3" w:rsidTr="00C21708">
        <w:trPr>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3668"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r w:rsidR="00F70FC4" w:rsidRPr="005C62A3" w:rsidTr="00C21708">
        <w:trPr>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c>
          <w:tcPr>
            <w:tcW w:w="3668" w:type="dxa"/>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c>
          <w:tcPr>
            <w:tcW w:w="5194" w:type="dxa"/>
            <w:gridSpan w:val="2"/>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r>
      <w:tr w:rsidR="00BF1B85" w:rsidRPr="005C62A3" w:rsidTr="00C21708">
        <w:trPr>
          <w:tblCellSpacing w:w="0" w:type="dxa"/>
        </w:trPr>
        <w:tc>
          <w:tcPr>
            <w:tcW w:w="9356" w:type="dxa"/>
            <w:gridSpan w:val="5"/>
            <w:tcBorders>
              <w:top w:val="outset" w:sz="6" w:space="0" w:color="auto"/>
              <w:left w:val="outset" w:sz="6" w:space="0" w:color="auto"/>
              <w:bottom w:val="outset" w:sz="6" w:space="0" w:color="auto"/>
              <w:right w:val="outset" w:sz="6" w:space="0" w:color="auto"/>
            </w:tcBorders>
            <w:vAlign w:val="center"/>
          </w:tcPr>
          <w:p w:rsidR="00BF1B85" w:rsidRPr="005C62A3" w:rsidRDefault="00BF1B85" w:rsidP="009F0183">
            <w:pPr>
              <w:spacing w:before="100" w:beforeAutospacing="1" w:after="100" w:afterAutospacing="1" w:line="240" w:lineRule="auto"/>
              <w:ind w:firstLine="0"/>
              <w:jc w:val="center"/>
              <w:rPr>
                <w:rFonts w:eastAsia="Times New Roman"/>
                <w:b/>
                <w:sz w:val="24"/>
                <w:szCs w:val="24"/>
                <w:lang w:eastAsia="lv-LV"/>
              </w:rPr>
            </w:pPr>
            <w:r w:rsidRPr="005C62A3">
              <w:rPr>
                <w:rFonts w:eastAsia="Times New Roman"/>
                <w:sz w:val="24"/>
                <w:szCs w:val="24"/>
                <w:lang w:eastAsia="lv-LV"/>
              </w:rPr>
              <w:t> </w:t>
            </w:r>
            <w:r w:rsidRPr="005C62A3">
              <w:rPr>
                <w:rFonts w:eastAsia="Times New Roman"/>
                <w:b/>
                <w:bCs/>
                <w:sz w:val="24"/>
                <w:szCs w:val="24"/>
                <w:lang w:eastAsia="lv-LV"/>
              </w:rPr>
              <w:t>II. Tiesību akta projekta ietekme uz sabiedrību</w:t>
            </w:r>
            <w:r w:rsidRPr="005C62A3">
              <w:rPr>
                <w:b/>
                <w:bCs/>
                <w:sz w:val="24"/>
                <w:szCs w:val="24"/>
                <w:shd w:val="clear" w:color="auto" w:fill="FFFFFF"/>
              </w:rPr>
              <w:t>, tautsaimniecības attīstību un administratīvo slogu</w:t>
            </w:r>
          </w:p>
        </w:tc>
      </w:tr>
      <w:tr w:rsidR="00BF1B85" w:rsidRPr="005C62A3" w:rsidTr="00C21708">
        <w:trPr>
          <w:trHeight w:val="467"/>
          <w:tblCellSpacing w:w="0" w:type="dxa"/>
        </w:trPr>
        <w:tc>
          <w:tcPr>
            <w:tcW w:w="484"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4057"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 xml:space="preserve">Sabiedrības </w:t>
            </w:r>
            <w:proofErr w:type="spellStart"/>
            <w:r w:rsidRPr="005C62A3">
              <w:rPr>
                <w:sz w:val="24"/>
                <w:szCs w:val="24"/>
                <w:shd w:val="clear" w:color="auto" w:fill="FFFFFF"/>
              </w:rPr>
              <w:t>mērķgrupas</w:t>
            </w:r>
            <w:proofErr w:type="spellEnd"/>
            <w:r w:rsidRPr="005C62A3">
              <w:rPr>
                <w:sz w:val="24"/>
                <w:szCs w:val="24"/>
                <w:shd w:val="clear" w:color="auto" w:fill="FFFFFF"/>
              </w:rPr>
              <w:t>, kuras tiesiskais regulējums ietekmē vai varētu ietekmēt</w:t>
            </w:r>
          </w:p>
        </w:tc>
        <w:tc>
          <w:tcPr>
            <w:tcW w:w="4815" w:type="dxa"/>
            <w:tcBorders>
              <w:top w:val="outset" w:sz="6" w:space="0" w:color="auto"/>
              <w:left w:val="outset" w:sz="6" w:space="0" w:color="auto"/>
              <w:bottom w:val="outset" w:sz="6" w:space="0" w:color="auto"/>
              <w:right w:val="outset" w:sz="6" w:space="0" w:color="auto"/>
            </w:tcBorders>
          </w:tcPr>
          <w:p w:rsidR="00B44580" w:rsidRPr="00B44580" w:rsidRDefault="00BF1B85" w:rsidP="00B44580">
            <w:pPr>
              <w:spacing w:after="120" w:line="240" w:lineRule="auto"/>
              <w:ind w:firstLine="0"/>
              <w:rPr>
                <w:rFonts w:eastAsia="Times New Roman"/>
                <w:sz w:val="24"/>
                <w:szCs w:val="24"/>
                <w:lang w:eastAsia="lv-LV"/>
              </w:rPr>
            </w:pPr>
            <w:r w:rsidRPr="005C62A3">
              <w:rPr>
                <w:rFonts w:eastAsia="Times New Roman"/>
                <w:sz w:val="24"/>
                <w:szCs w:val="24"/>
                <w:lang w:eastAsia="lv-LV"/>
              </w:rPr>
              <w:t xml:space="preserve">Noteikumu projekts attiecas uz </w:t>
            </w:r>
            <w:r w:rsidR="00B44580" w:rsidRPr="00B44580">
              <w:rPr>
                <w:rFonts w:eastAsia="Times New Roman"/>
                <w:sz w:val="24"/>
                <w:szCs w:val="24"/>
                <w:lang w:eastAsia="lv-LV"/>
              </w:rPr>
              <w:t>transportlīdzekļu ekspluatācijas nodokļa</w:t>
            </w:r>
            <w:r w:rsidR="00B44580">
              <w:rPr>
                <w:rFonts w:eastAsia="Times New Roman"/>
                <w:sz w:val="24"/>
                <w:szCs w:val="24"/>
                <w:lang w:eastAsia="lv-LV"/>
              </w:rPr>
              <w:t xml:space="preserve"> un uzņēmumu vieglo transportlīdzekļu nodokļa </w:t>
            </w:r>
            <w:r w:rsidR="00B44580" w:rsidRPr="00B44580">
              <w:rPr>
                <w:rFonts w:eastAsia="Times New Roman"/>
                <w:sz w:val="24"/>
                <w:szCs w:val="24"/>
                <w:lang w:eastAsia="lv-LV"/>
              </w:rPr>
              <w:t xml:space="preserve"> maksātājiem.</w:t>
            </w:r>
          </w:p>
          <w:p w:rsidR="00BF1B85" w:rsidRPr="005C62A3" w:rsidRDefault="00BF1B85" w:rsidP="00B44580">
            <w:pPr>
              <w:spacing w:before="100" w:beforeAutospacing="1" w:after="100" w:afterAutospacing="1" w:line="240" w:lineRule="auto"/>
              <w:ind w:firstLine="0"/>
              <w:rPr>
                <w:rFonts w:eastAsia="Times New Roman"/>
                <w:sz w:val="24"/>
                <w:szCs w:val="24"/>
                <w:lang w:eastAsia="lv-LV"/>
              </w:rPr>
            </w:pPr>
          </w:p>
        </w:tc>
      </w:tr>
      <w:tr w:rsidR="00BF1B85" w:rsidRPr="005C62A3" w:rsidTr="00C21708">
        <w:trPr>
          <w:trHeight w:val="523"/>
          <w:tblCellSpacing w:w="0" w:type="dxa"/>
        </w:trPr>
        <w:tc>
          <w:tcPr>
            <w:tcW w:w="484"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2.</w:t>
            </w:r>
          </w:p>
        </w:tc>
        <w:tc>
          <w:tcPr>
            <w:tcW w:w="4057"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Tiesiskā regulējuma ietekme uz tautsaimniecību un administratīvo slogu</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2E5CF5" w:rsidP="002E5CF5">
            <w:pPr>
              <w:spacing w:line="240" w:lineRule="auto"/>
              <w:ind w:firstLine="0"/>
            </w:pPr>
            <w:r>
              <w:rPr>
                <w:rFonts w:eastAsia="Times New Roman"/>
                <w:sz w:val="24"/>
                <w:szCs w:val="24"/>
                <w:lang w:eastAsia="lv-LV"/>
              </w:rPr>
              <w:t>T</w:t>
            </w:r>
            <w:r w:rsidRPr="002E5CF5">
              <w:rPr>
                <w:rFonts w:eastAsia="Times New Roman"/>
                <w:sz w:val="24"/>
                <w:szCs w:val="24"/>
                <w:lang w:eastAsia="lv-LV"/>
              </w:rPr>
              <w:t>ransportlīdzekļu ekspluatācijas nodokļa un uzņēmumu vieglo transpo</w:t>
            </w:r>
            <w:r>
              <w:rPr>
                <w:rFonts w:eastAsia="Times New Roman"/>
                <w:sz w:val="24"/>
                <w:szCs w:val="24"/>
                <w:lang w:eastAsia="lv-LV"/>
              </w:rPr>
              <w:t>rtlīdzekļu nodokļa  maksātājiem N</w:t>
            </w:r>
            <w:r w:rsidRPr="002E5CF5">
              <w:rPr>
                <w:rFonts w:eastAsia="Times New Roman"/>
                <w:sz w:val="24"/>
                <w:szCs w:val="24"/>
                <w:lang w:eastAsia="lv-LV"/>
              </w:rPr>
              <w:t>oteikumu projekta tiesiskais regulējums administratīvo slogu, kā arī veicamās darbības nemaina.</w:t>
            </w:r>
          </w:p>
        </w:tc>
      </w:tr>
      <w:tr w:rsidR="00BF1B85" w:rsidRPr="005C62A3" w:rsidTr="00C21708">
        <w:trPr>
          <w:trHeight w:val="517"/>
          <w:tblCellSpacing w:w="0" w:type="dxa"/>
        </w:trPr>
        <w:tc>
          <w:tcPr>
            <w:tcW w:w="484"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3.</w:t>
            </w:r>
          </w:p>
        </w:tc>
        <w:tc>
          <w:tcPr>
            <w:tcW w:w="4057"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Administratīvo izmaksu monetārs novērtējums</w:t>
            </w:r>
          </w:p>
        </w:tc>
        <w:tc>
          <w:tcPr>
            <w:tcW w:w="4815" w:type="dxa"/>
            <w:tcBorders>
              <w:top w:val="outset" w:sz="6" w:space="0" w:color="auto"/>
              <w:left w:val="outset" w:sz="6" w:space="0" w:color="auto"/>
              <w:bottom w:val="outset" w:sz="6" w:space="0" w:color="auto"/>
              <w:right w:val="outset" w:sz="6" w:space="0" w:color="auto"/>
            </w:tcBorders>
          </w:tcPr>
          <w:p w:rsidR="00F46BF8" w:rsidRPr="005C62A3" w:rsidRDefault="00B44580" w:rsidP="003B558B">
            <w:pPr>
              <w:ind w:firstLine="0"/>
            </w:pPr>
            <w:r w:rsidRPr="00B44580">
              <w:rPr>
                <w:rFonts w:eastAsia="Times New Roman"/>
                <w:sz w:val="24"/>
                <w:szCs w:val="24"/>
                <w:lang w:eastAsia="lv-LV"/>
              </w:rPr>
              <w:t>Projekts šo jomu neskar.</w:t>
            </w:r>
          </w:p>
        </w:tc>
      </w:tr>
      <w:tr w:rsidR="00BF1B85" w:rsidRPr="005C62A3" w:rsidTr="00C21708">
        <w:trPr>
          <w:trHeight w:val="366"/>
          <w:tblCellSpacing w:w="0" w:type="dxa"/>
        </w:trPr>
        <w:tc>
          <w:tcPr>
            <w:tcW w:w="484"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4057"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bl>
    <w:tbl>
      <w:tblPr>
        <w:tblStyle w:val="TableGrid"/>
        <w:tblW w:w="9356" w:type="dxa"/>
        <w:tblInd w:w="-34" w:type="dxa"/>
        <w:tblLook w:val="04A0" w:firstRow="1" w:lastRow="0" w:firstColumn="1" w:lastColumn="0" w:noHBand="0" w:noVBand="1"/>
      </w:tblPr>
      <w:tblGrid>
        <w:gridCol w:w="4111"/>
        <w:gridCol w:w="5245"/>
      </w:tblGrid>
      <w:tr w:rsidR="003373D7" w:rsidRPr="003373D7" w:rsidTr="003373D7">
        <w:tc>
          <w:tcPr>
            <w:tcW w:w="9356" w:type="dxa"/>
            <w:gridSpan w:val="2"/>
          </w:tcPr>
          <w:p w:rsidR="003373D7" w:rsidRPr="003373D7" w:rsidRDefault="003373D7" w:rsidP="003373D7">
            <w:pPr>
              <w:spacing w:before="100" w:beforeAutospacing="1" w:after="100" w:afterAutospacing="1" w:line="240" w:lineRule="auto"/>
              <w:ind w:firstLine="0"/>
              <w:jc w:val="center"/>
              <w:rPr>
                <w:rFonts w:eastAsia="Times New Roman"/>
                <w:b/>
                <w:bCs/>
                <w:sz w:val="24"/>
                <w:szCs w:val="24"/>
                <w:lang w:eastAsia="lv-LV"/>
              </w:rPr>
            </w:pPr>
            <w:r w:rsidRPr="003373D7">
              <w:rPr>
                <w:rFonts w:eastAsia="Times New Roman"/>
                <w:b/>
                <w:bCs/>
                <w:sz w:val="24"/>
                <w:szCs w:val="24"/>
                <w:lang w:eastAsia="lv-LV"/>
              </w:rPr>
              <w:t>VII. Tiesību akta projekta izpildes nodrošināšana un tās ietekme uz institūcijām</w:t>
            </w:r>
          </w:p>
        </w:tc>
      </w:tr>
      <w:tr w:rsidR="003373D7" w:rsidRPr="003373D7" w:rsidTr="00994762">
        <w:trPr>
          <w:trHeight w:val="643"/>
        </w:trPr>
        <w:tc>
          <w:tcPr>
            <w:tcW w:w="4111" w:type="dxa"/>
          </w:tcPr>
          <w:p w:rsidR="003373D7" w:rsidRPr="003373D7" w:rsidRDefault="003373D7" w:rsidP="003373D7">
            <w:pPr>
              <w:numPr>
                <w:ilvl w:val="0"/>
                <w:numId w:val="1"/>
              </w:numPr>
              <w:spacing w:before="100" w:beforeAutospacing="1" w:after="100" w:afterAutospacing="1" w:line="240" w:lineRule="auto"/>
              <w:jc w:val="left"/>
              <w:rPr>
                <w:rFonts w:eastAsia="Times New Roman"/>
                <w:sz w:val="24"/>
                <w:szCs w:val="24"/>
                <w:lang w:eastAsia="lv-LV"/>
              </w:rPr>
            </w:pPr>
            <w:r w:rsidRPr="003373D7">
              <w:rPr>
                <w:rFonts w:eastAsia="Times New Roman"/>
                <w:sz w:val="24"/>
                <w:szCs w:val="24"/>
                <w:lang w:eastAsia="lv-LV"/>
              </w:rPr>
              <w:t>Projekta izpildē iesaistītās institūcijas</w:t>
            </w:r>
          </w:p>
        </w:tc>
        <w:tc>
          <w:tcPr>
            <w:tcW w:w="5245" w:type="dxa"/>
          </w:tcPr>
          <w:p w:rsidR="003373D7" w:rsidRPr="003373D7" w:rsidRDefault="00F77F58" w:rsidP="009522F8">
            <w:pPr>
              <w:spacing w:before="100" w:beforeAutospacing="1" w:after="100" w:afterAutospacing="1" w:line="240" w:lineRule="auto"/>
              <w:ind w:firstLine="0"/>
              <w:rPr>
                <w:rFonts w:eastAsia="Times New Roman"/>
                <w:sz w:val="24"/>
                <w:szCs w:val="24"/>
                <w:lang w:eastAsia="lv-LV"/>
              </w:rPr>
            </w:pPr>
            <w:r w:rsidRPr="00F77F58">
              <w:rPr>
                <w:rFonts w:eastAsia="Times New Roman"/>
                <w:sz w:val="24"/>
                <w:szCs w:val="24"/>
                <w:lang w:eastAsia="lv-LV"/>
              </w:rPr>
              <w:t>Finanšu ministrija, Valsts ieņēmumu dienests, Nacionālie bruņotie spēki, Lauku atbalsta dienests,</w:t>
            </w:r>
            <w:r w:rsidRPr="00F77F58">
              <w:t xml:space="preserve"> </w:t>
            </w:r>
            <w:r w:rsidRPr="00F77F58">
              <w:rPr>
                <w:rFonts w:eastAsia="Times New Roman"/>
                <w:sz w:val="24"/>
                <w:szCs w:val="24"/>
                <w:lang w:eastAsia="lv-LV"/>
              </w:rPr>
              <w:t xml:space="preserve">Sabiedrības integrācijas fonds, </w:t>
            </w:r>
            <w:r w:rsidR="003373D7" w:rsidRPr="00F77F58">
              <w:rPr>
                <w:rFonts w:eastAsia="Times New Roman"/>
                <w:sz w:val="24"/>
                <w:szCs w:val="24"/>
                <w:lang w:eastAsia="lv-LV"/>
              </w:rPr>
              <w:t>Valsts akciju sabiedrība „Ceļu satiksmes drošības direkcija”</w:t>
            </w:r>
            <w:r w:rsidRPr="00F77F58">
              <w:rPr>
                <w:rFonts w:eastAsia="Times New Roman"/>
                <w:sz w:val="24"/>
                <w:szCs w:val="24"/>
                <w:lang w:eastAsia="lv-LV"/>
              </w:rPr>
              <w:t>.</w:t>
            </w:r>
          </w:p>
        </w:tc>
      </w:tr>
      <w:tr w:rsidR="003373D7" w:rsidRPr="003373D7" w:rsidTr="00994762">
        <w:trPr>
          <w:trHeight w:val="463"/>
        </w:trPr>
        <w:tc>
          <w:tcPr>
            <w:tcW w:w="4111" w:type="dxa"/>
          </w:tcPr>
          <w:p w:rsidR="003373D7" w:rsidRPr="003373D7" w:rsidRDefault="003373D7" w:rsidP="004B4295">
            <w:pPr>
              <w:numPr>
                <w:ilvl w:val="0"/>
                <w:numId w:val="1"/>
              </w:numPr>
              <w:spacing w:line="240" w:lineRule="auto"/>
              <w:rPr>
                <w:rFonts w:eastAsia="Times New Roman"/>
                <w:sz w:val="24"/>
                <w:szCs w:val="24"/>
                <w:lang w:eastAsia="lv-LV"/>
              </w:rPr>
            </w:pPr>
            <w:r w:rsidRPr="003373D7">
              <w:rPr>
                <w:rFonts w:eastAsia="Times New Roman"/>
                <w:sz w:val="24"/>
                <w:szCs w:val="24"/>
                <w:lang w:eastAsia="lv-LV"/>
              </w:rPr>
              <w:t xml:space="preserve">Projekta izpildes ietekme uz pārvaldes funkcijām un institucionālo struktūru. Jaunu institūciju izveide, esošu institūciju likvidācija vai reorganizācija, to ietekme uz institūcijas </w:t>
            </w:r>
            <w:r w:rsidRPr="003373D7">
              <w:rPr>
                <w:rFonts w:eastAsia="Times New Roman"/>
                <w:sz w:val="24"/>
                <w:szCs w:val="24"/>
                <w:lang w:eastAsia="lv-LV"/>
              </w:rPr>
              <w:lastRenderedPageBreak/>
              <w:t>cilvēkresursiem</w:t>
            </w:r>
          </w:p>
        </w:tc>
        <w:tc>
          <w:tcPr>
            <w:tcW w:w="5245" w:type="dxa"/>
          </w:tcPr>
          <w:p w:rsidR="003373D7" w:rsidRPr="00D60F57" w:rsidRDefault="00D60F57" w:rsidP="004B4295">
            <w:pPr>
              <w:spacing w:line="240" w:lineRule="auto"/>
              <w:ind w:firstLine="0"/>
              <w:rPr>
                <w:sz w:val="24"/>
                <w:szCs w:val="24"/>
              </w:rPr>
            </w:pPr>
            <w:r>
              <w:rPr>
                <w:sz w:val="24"/>
                <w:szCs w:val="24"/>
              </w:rPr>
              <w:lastRenderedPageBreak/>
              <w:t>Projekta izpildē iesaistīto institūciju</w:t>
            </w:r>
            <w:r w:rsidRPr="00D60F57">
              <w:rPr>
                <w:sz w:val="24"/>
                <w:szCs w:val="24"/>
              </w:rPr>
              <w:t xml:space="preserve"> funkcijas un uzdevumi net</w:t>
            </w:r>
            <w:r>
              <w:rPr>
                <w:sz w:val="24"/>
                <w:szCs w:val="24"/>
              </w:rPr>
              <w:t xml:space="preserve">iek paplašināti vai sašaurināti un </w:t>
            </w:r>
            <w:r w:rsidRPr="00D60F57">
              <w:rPr>
                <w:sz w:val="24"/>
                <w:szCs w:val="24"/>
              </w:rPr>
              <w:t>pieejamos cilvēkresursus neietekmē. Saistībā ar projekta izpildi nav nepieciešams veidot jaunas institūcijas, likvidēt vai reorganizēt esošās.</w:t>
            </w:r>
          </w:p>
        </w:tc>
      </w:tr>
      <w:tr w:rsidR="003373D7" w:rsidRPr="003373D7" w:rsidTr="00994762">
        <w:trPr>
          <w:trHeight w:val="416"/>
        </w:trPr>
        <w:tc>
          <w:tcPr>
            <w:tcW w:w="4111" w:type="dxa"/>
          </w:tcPr>
          <w:p w:rsidR="003373D7" w:rsidRPr="003373D7" w:rsidRDefault="003373D7" w:rsidP="004B4295">
            <w:pPr>
              <w:numPr>
                <w:ilvl w:val="0"/>
                <w:numId w:val="1"/>
              </w:numPr>
              <w:spacing w:line="240" w:lineRule="auto"/>
              <w:jc w:val="left"/>
              <w:rPr>
                <w:rFonts w:eastAsia="Times New Roman"/>
                <w:sz w:val="24"/>
                <w:szCs w:val="24"/>
                <w:lang w:eastAsia="lv-LV"/>
              </w:rPr>
            </w:pPr>
            <w:r w:rsidRPr="003373D7">
              <w:rPr>
                <w:rFonts w:eastAsia="Times New Roman"/>
                <w:sz w:val="24"/>
                <w:szCs w:val="24"/>
                <w:lang w:eastAsia="lv-LV"/>
              </w:rPr>
              <w:lastRenderedPageBreak/>
              <w:t>Cita informācija</w:t>
            </w:r>
          </w:p>
        </w:tc>
        <w:tc>
          <w:tcPr>
            <w:tcW w:w="5245" w:type="dxa"/>
          </w:tcPr>
          <w:p w:rsidR="003373D7" w:rsidRPr="003373D7" w:rsidRDefault="003373D7" w:rsidP="004B4295">
            <w:pPr>
              <w:spacing w:line="240" w:lineRule="auto"/>
              <w:ind w:firstLine="0"/>
              <w:jc w:val="left"/>
              <w:rPr>
                <w:rFonts w:eastAsia="Times New Roman"/>
                <w:sz w:val="24"/>
                <w:szCs w:val="24"/>
                <w:lang w:eastAsia="lv-LV"/>
              </w:rPr>
            </w:pPr>
            <w:r w:rsidRPr="003373D7">
              <w:rPr>
                <w:rFonts w:eastAsia="Times New Roman"/>
                <w:sz w:val="24"/>
                <w:szCs w:val="24"/>
                <w:lang w:eastAsia="lv-LV"/>
              </w:rPr>
              <w:t> Nav.</w:t>
            </w:r>
          </w:p>
        </w:tc>
      </w:tr>
    </w:tbl>
    <w:p w:rsidR="007C3C72" w:rsidRPr="007C3C72" w:rsidRDefault="00171F07"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F77F58">
        <w:rPr>
          <w:rFonts w:eastAsia="Times New Roman"/>
          <w:sz w:val="24"/>
          <w:szCs w:val="24"/>
          <w:lang w:eastAsia="lv-LV"/>
        </w:rPr>
        <w:t xml:space="preserve">, </w:t>
      </w:r>
      <w:r w:rsidR="002E5CF5" w:rsidRPr="002E5CF5">
        <w:rPr>
          <w:rFonts w:eastAsia="Times New Roman"/>
          <w:bCs/>
          <w:sz w:val="24"/>
          <w:szCs w:val="24"/>
          <w:lang w:eastAsia="lv-LV"/>
        </w:rPr>
        <w:t>IV</w:t>
      </w:r>
      <w:r w:rsidR="00F77F58">
        <w:t>,</w:t>
      </w:r>
      <w:r w:rsidR="00F77F58">
        <w:rPr>
          <w:rFonts w:eastAsia="Times New Roman"/>
          <w:sz w:val="24"/>
          <w:szCs w:val="24"/>
          <w:lang w:eastAsia="lv-LV"/>
        </w:rPr>
        <w:t>V</w:t>
      </w:r>
      <w:r w:rsidR="00F77F58">
        <w:rPr>
          <w:rFonts w:eastAsia="Times New Roman"/>
          <w:bCs/>
          <w:sz w:val="24"/>
          <w:szCs w:val="24"/>
          <w:lang w:eastAsia="lv-LV"/>
        </w:rPr>
        <w:t xml:space="preserve"> un </w:t>
      </w:r>
      <w:r w:rsidR="00F77F58" w:rsidRPr="00F77F58">
        <w:rPr>
          <w:rFonts w:eastAsia="Times New Roman"/>
          <w:bCs/>
          <w:sz w:val="24"/>
          <w:szCs w:val="24"/>
          <w:lang w:eastAsia="lv-LV"/>
        </w:rPr>
        <w:t>VI</w:t>
      </w:r>
      <w:r w:rsidR="002E5CF5">
        <w:rPr>
          <w:rFonts w:eastAsia="Times New Roman"/>
          <w:sz w:val="24"/>
          <w:szCs w:val="24"/>
          <w:lang w:eastAsia="lv-LV"/>
        </w:rPr>
        <w:t xml:space="preserve"> </w:t>
      </w:r>
      <w:r w:rsidR="003373D7" w:rsidRPr="003373D7">
        <w:rPr>
          <w:rFonts w:eastAsia="Times New Roman"/>
          <w:sz w:val="24"/>
          <w:szCs w:val="24"/>
          <w:lang w:eastAsia="lv-LV"/>
        </w:rPr>
        <w:t>sadaļa – projekts šīs jomas neskar.</w:t>
      </w:r>
    </w:p>
    <w:p w:rsidR="007C3C72" w:rsidRPr="0006490F" w:rsidRDefault="007C3C72" w:rsidP="0077138F">
      <w:pPr>
        <w:spacing w:line="240" w:lineRule="auto"/>
        <w:ind w:firstLine="0"/>
        <w:rPr>
          <w:rFonts w:eastAsia="Times New Roman"/>
          <w:szCs w:val="28"/>
          <w:lang w:eastAsia="lv-LV"/>
        </w:rPr>
      </w:pPr>
    </w:p>
    <w:p w:rsidR="005F6670" w:rsidRDefault="00D87D2E" w:rsidP="007C3C72">
      <w:pPr>
        <w:spacing w:before="58" w:after="58"/>
        <w:ind w:right="-341" w:firstLine="0"/>
        <w:rPr>
          <w:sz w:val="24"/>
          <w:szCs w:val="24"/>
        </w:rPr>
      </w:pPr>
      <w:r w:rsidRPr="00171F07">
        <w:rPr>
          <w:sz w:val="24"/>
          <w:szCs w:val="24"/>
        </w:rPr>
        <w:t>Satiksmes ministrs</w:t>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proofErr w:type="spellStart"/>
      <w:r w:rsidR="00C96872" w:rsidRPr="00171F07">
        <w:rPr>
          <w:sz w:val="24"/>
          <w:szCs w:val="24"/>
        </w:rPr>
        <w:t>U.Augulis</w:t>
      </w:r>
      <w:proofErr w:type="spellEnd"/>
    </w:p>
    <w:p w:rsidR="00791D2F" w:rsidRDefault="00791D2F" w:rsidP="007C3C72">
      <w:pPr>
        <w:spacing w:before="58" w:after="58"/>
        <w:ind w:right="-341" w:firstLine="0"/>
        <w:rPr>
          <w:sz w:val="24"/>
          <w:szCs w:val="24"/>
        </w:rPr>
      </w:pPr>
    </w:p>
    <w:p w:rsidR="00660335" w:rsidRPr="00171F07" w:rsidRDefault="00660335" w:rsidP="007C3C72">
      <w:pPr>
        <w:spacing w:before="58" w:after="58"/>
        <w:ind w:right="-341" w:firstLine="0"/>
        <w:rPr>
          <w:sz w:val="24"/>
          <w:szCs w:val="24"/>
        </w:rPr>
      </w:pPr>
    </w:p>
    <w:p w:rsidR="00630F08" w:rsidRPr="00171F07" w:rsidRDefault="0006490F" w:rsidP="00630F08">
      <w:pPr>
        <w:ind w:right="-516" w:firstLine="0"/>
        <w:rPr>
          <w:sz w:val="24"/>
          <w:szCs w:val="24"/>
        </w:rPr>
      </w:pPr>
      <w:r w:rsidRPr="00171F07">
        <w:rPr>
          <w:sz w:val="24"/>
          <w:szCs w:val="24"/>
        </w:rPr>
        <w:t>Vīza: Valsts sekretārs</w:t>
      </w:r>
      <w:r w:rsidRPr="00171F07">
        <w:rPr>
          <w:sz w:val="24"/>
          <w:szCs w:val="24"/>
        </w:rPr>
        <w:tab/>
        <w:t xml:space="preserve">                   </w:t>
      </w:r>
      <w:r w:rsidR="00630F08" w:rsidRPr="00171F07">
        <w:rPr>
          <w:sz w:val="24"/>
          <w:szCs w:val="24"/>
        </w:rPr>
        <w:tab/>
      </w:r>
      <w:r w:rsidR="00630F08" w:rsidRPr="00171F07">
        <w:rPr>
          <w:sz w:val="24"/>
          <w:szCs w:val="24"/>
        </w:rPr>
        <w:tab/>
      </w:r>
      <w:r w:rsidR="00630F08" w:rsidRPr="00171F07">
        <w:rPr>
          <w:sz w:val="24"/>
          <w:szCs w:val="24"/>
        </w:rPr>
        <w:tab/>
      </w:r>
      <w:r w:rsidR="00630F08" w:rsidRPr="00171F07">
        <w:rPr>
          <w:sz w:val="24"/>
          <w:szCs w:val="24"/>
        </w:rPr>
        <w:tab/>
      </w:r>
      <w:r w:rsidR="00630F08" w:rsidRPr="00171F07">
        <w:rPr>
          <w:sz w:val="24"/>
          <w:szCs w:val="24"/>
        </w:rPr>
        <w:tab/>
      </w:r>
      <w:r w:rsidR="00630F08" w:rsidRPr="00171F07">
        <w:rPr>
          <w:sz w:val="24"/>
          <w:szCs w:val="24"/>
        </w:rPr>
        <w:tab/>
      </w:r>
      <w:r w:rsidR="00171F07">
        <w:rPr>
          <w:sz w:val="24"/>
          <w:szCs w:val="24"/>
        </w:rPr>
        <w:tab/>
      </w:r>
      <w:r w:rsidR="00630F08" w:rsidRPr="00171F07">
        <w:rPr>
          <w:sz w:val="24"/>
          <w:szCs w:val="24"/>
        </w:rPr>
        <w:t>K.Ozoliņš</w:t>
      </w:r>
    </w:p>
    <w:p w:rsidR="004B4295" w:rsidRDefault="004B4295" w:rsidP="00BF1B85">
      <w:pPr>
        <w:pStyle w:val="Header"/>
        <w:ind w:firstLine="0"/>
        <w:rPr>
          <w:sz w:val="22"/>
          <w:lang w:val="lv-LV"/>
        </w:rPr>
      </w:pPr>
    </w:p>
    <w:p w:rsidR="004B4295" w:rsidRPr="005C62A3" w:rsidRDefault="004B4295" w:rsidP="00BF1B85">
      <w:pPr>
        <w:pStyle w:val="Header"/>
        <w:ind w:firstLine="0"/>
        <w:rPr>
          <w:sz w:val="22"/>
          <w:lang w:val="lv-LV"/>
        </w:rPr>
      </w:pPr>
    </w:p>
    <w:p w:rsidR="00ED32E5" w:rsidRPr="00ED32E5" w:rsidRDefault="00660335" w:rsidP="00ED32E5">
      <w:pPr>
        <w:spacing w:line="240" w:lineRule="auto"/>
        <w:ind w:firstLine="0"/>
        <w:rPr>
          <w:sz w:val="20"/>
          <w:szCs w:val="20"/>
        </w:rPr>
      </w:pPr>
      <w:r>
        <w:rPr>
          <w:sz w:val="20"/>
          <w:szCs w:val="20"/>
        </w:rPr>
        <w:t>10.01.2017</w:t>
      </w:r>
      <w:r w:rsidR="00ED32E5" w:rsidRPr="00ED32E5">
        <w:rPr>
          <w:sz w:val="20"/>
          <w:szCs w:val="20"/>
        </w:rPr>
        <w:t>. 12:20</w:t>
      </w:r>
    </w:p>
    <w:p w:rsidR="00ED32E5" w:rsidRPr="00ED32E5" w:rsidRDefault="00660335" w:rsidP="00ED32E5">
      <w:pPr>
        <w:spacing w:line="240" w:lineRule="auto"/>
        <w:ind w:firstLine="0"/>
        <w:rPr>
          <w:sz w:val="20"/>
          <w:szCs w:val="20"/>
        </w:rPr>
      </w:pPr>
      <w:r>
        <w:rPr>
          <w:sz w:val="20"/>
          <w:szCs w:val="20"/>
        </w:rPr>
        <w:t>1197</w:t>
      </w:r>
    </w:p>
    <w:p w:rsidR="00ED32E5" w:rsidRPr="00ED32E5" w:rsidRDefault="00ED32E5" w:rsidP="00ED32E5">
      <w:pPr>
        <w:spacing w:line="240" w:lineRule="auto"/>
        <w:ind w:firstLine="0"/>
        <w:rPr>
          <w:sz w:val="20"/>
          <w:szCs w:val="20"/>
        </w:rPr>
      </w:pPr>
      <w:r w:rsidRPr="00ED32E5">
        <w:rPr>
          <w:sz w:val="20"/>
          <w:szCs w:val="20"/>
        </w:rPr>
        <w:t>Lauris Miķelsons</w:t>
      </w:r>
    </w:p>
    <w:p w:rsidR="00ED32E5" w:rsidRPr="00ED32E5" w:rsidRDefault="00ED32E5" w:rsidP="00ED32E5">
      <w:pPr>
        <w:spacing w:line="240" w:lineRule="auto"/>
        <w:ind w:firstLine="0"/>
        <w:rPr>
          <w:sz w:val="20"/>
          <w:szCs w:val="20"/>
        </w:rPr>
      </w:pPr>
      <w:r w:rsidRPr="00ED32E5">
        <w:rPr>
          <w:sz w:val="20"/>
          <w:szCs w:val="20"/>
        </w:rPr>
        <w:t>67028323</w:t>
      </w:r>
    </w:p>
    <w:p w:rsidR="00ED32E5" w:rsidRPr="00ED32E5" w:rsidRDefault="00ED32E5" w:rsidP="00ED32E5">
      <w:pPr>
        <w:spacing w:line="240" w:lineRule="auto"/>
        <w:ind w:firstLine="0"/>
        <w:rPr>
          <w:sz w:val="20"/>
          <w:szCs w:val="20"/>
        </w:rPr>
      </w:pPr>
      <w:r w:rsidRPr="00ED32E5">
        <w:rPr>
          <w:sz w:val="20"/>
          <w:szCs w:val="20"/>
        </w:rPr>
        <w:t>lauris.mikelsons@sam.gov.lv</w:t>
      </w:r>
    </w:p>
    <w:sectPr w:rsidR="00ED32E5" w:rsidRPr="00ED32E5" w:rsidSect="00ED32E5">
      <w:headerReference w:type="default" r:id="rId10"/>
      <w:footerReference w:type="default" r:id="rId11"/>
      <w:footerReference w:type="first" r:id="rId12"/>
      <w:pgSz w:w="11906" w:h="16838"/>
      <w:pgMar w:top="1134" w:right="1134" w:bottom="1134" w:left="1701"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18" w:rsidRDefault="001C2318">
      <w:pPr>
        <w:spacing w:line="240" w:lineRule="auto"/>
      </w:pPr>
      <w:r>
        <w:separator/>
      </w:r>
    </w:p>
  </w:endnote>
  <w:endnote w:type="continuationSeparator" w:id="0">
    <w:p w:rsidR="001C2318" w:rsidRDefault="001C2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80" w:rsidRPr="00B44580" w:rsidRDefault="00660335" w:rsidP="00B44580">
    <w:pPr>
      <w:tabs>
        <w:tab w:val="center" w:pos="4153"/>
        <w:tab w:val="right" w:pos="8306"/>
      </w:tabs>
      <w:ind w:firstLine="0"/>
      <w:rPr>
        <w:sz w:val="20"/>
        <w:szCs w:val="20"/>
      </w:rPr>
    </w:pPr>
    <w:r>
      <w:rPr>
        <w:sz w:val="20"/>
        <w:szCs w:val="20"/>
      </w:rPr>
      <w:t>SAMAnot_100117</w:t>
    </w:r>
    <w:r w:rsidR="00B44580" w:rsidRPr="00B44580">
      <w:rPr>
        <w:sz w:val="20"/>
        <w:szCs w:val="20"/>
      </w:rPr>
      <w:t>_ekspluatācijas; Ministru kabineta noteikumu projekta “Grozījumi Ministru kabineta 2012.gada 11.decembra noteikumos Nr.858 „Transportlīdzekļa ekspluatācijas nodokļa un uzņēmumu vieglo transportlīdzekļu nodokļa maksāšanas kārtība”” sākotnējās ietekmes novērtējuma ziņojums (anotācija)</w:t>
    </w:r>
  </w:p>
  <w:p w:rsidR="009F0183" w:rsidRDefault="009F0183"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Pr="00B44580" w:rsidRDefault="00660335" w:rsidP="00B44580">
    <w:pPr>
      <w:pStyle w:val="Footer"/>
      <w:ind w:firstLine="0"/>
      <w:rPr>
        <w:sz w:val="20"/>
        <w:szCs w:val="20"/>
        <w:lang w:val="lv-LV"/>
      </w:rPr>
    </w:pPr>
    <w:r>
      <w:rPr>
        <w:sz w:val="20"/>
        <w:szCs w:val="20"/>
        <w:lang w:val="lv-LV"/>
      </w:rPr>
      <w:t>SAMAnot_100117</w:t>
    </w:r>
    <w:r w:rsidR="0077138F">
      <w:rPr>
        <w:sz w:val="20"/>
        <w:szCs w:val="20"/>
        <w:lang w:val="lv-LV"/>
      </w:rPr>
      <w:t>_</w:t>
    </w:r>
    <w:r w:rsidR="00B44580">
      <w:rPr>
        <w:sz w:val="20"/>
        <w:szCs w:val="20"/>
        <w:lang w:val="lv-LV"/>
      </w:rPr>
      <w:t>ekspluatācijas</w:t>
    </w:r>
    <w:r w:rsidR="00281070" w:rsidRPr="00281070">
      <w:rPr>
        <w:sz w:val="20"/>
        <w:szCs w:val="20"/>
        <w:lang w:val="lv-LV"/>
      </w:rPr>
      <w:t xml:space="preserve">; </w:t>
    </w:r>
    <w:r w:rsidR="00B44580" w:rsidRPr="00B44580">
      <w:rPr>
        <w:sz w:val="20"/>
        <w:szCs w:val="20"/>
        <w:lang w:val="lv-LV"/>
      </w:rPr>
      <w:t>Minis</w:t>
    </w:r>
    <w:r w:rsidR="00B44580">
      <w:rPr>
        <w:sz w:val="20"/>
        <w:szCs w:val="20"/>
        <w:lang w:val="lv-LV"/>
      </w:rPr>
      <w:t xml:space="preserve">tru kabineta noteikumu projekta </w:t>
    </w:r>
    <w:r w:rsidR="00B44580" w:rsidRPr="00B44580">
      <w:rPr>
        <w:sz w:val="20"/>
        <w:szCs w:val="20"/>
        <w:lang w:val="lv-LV"/>
      </w:rPr>
      <w:t>“Grozījumi Ministru kabineta 2012.gada 11.decembra noteikumos Nr.858 „Transportlīdzekļa ekspluatācijas nodokļa un uzņēmumu vieglo transportlīdzekļu nodokļa maksāšanas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18" w:rsidRDefault="001C2318">
      <w:pPr>
        <w:spacing w:line="240" w:lineRule="auto"/>
      </w:pPr>
      <w:r>
        <w:separator/>
      </w:r>
    </w:p>
  </w:footnote>
  <w:footnote w:type="continuationSeparator" w:id="0">
    <w:p w:rsidR="001C2318" w:rsidRDefault="001C23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Pr="00171F07" w:rsidRDefault="00687344" w:rsidP="00171F07">
    <w:pPr>
      <w:pStyle w:val="Header"/>
      <w:ind w:firstLine="0"/>
      <w:jc w:val="center"/>
      <w:rPr>
        <w:lang w:val="lv-LV"/>
      </w:rPr>
    </w:pPr>
    <w:r>
      <w:fldChar w:fldCharType="begin"/>
    </w:r>
    <w:r>
      <w:instrText xml:space="preserve"> PAGE   \* MERGEFORMAT </w:instrText>
    </w:r>
    <w:r>
      <w:fldChar w:fldCharType="separate"/>
    </w:r>
    <w:r w:rsidR="000128DE">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128DE"/>
    <w:rsid w:val="00021366"/>
    <w:rsid w:val="00042CBD"/>
    <w:rsid w:val="000527EA"/>
    <w:rsid w:val="00061DCB"/>
    <w:rsid w:val="0006490F"/>
    <w:rsid w:val="000A1F22"/>
    <w:rsid w:val="000B4261"/>
    <w:rsid w:val="000D7548"/>
    <w:rsid w:val="000E384E"/>
    <w:rsid w:val="000F2AB2"/>
    <w:rsid w:val="000F783A"/>
    <w:rsid w:val="0010204A"/>
    <w:rsid w:val="00126C4C"/>
    <w:rsid w:val="00132040"/>
    <w:rsid w:val="00167B8A"/>
    <w:rsid w:val="00171F07"/>
    <w:rsid w:val="00180736"/>
    <w:rsid w:val="00184F23"/>
    <w:rsid w:val="00194D84"/>
    <w:rsid w:val="001A0396"/>
    <w:rsid w:val="001A0521"/>
    <w:rsid w:val="001A6C87"/>
    <w:rsid w:val="001B2AC4"/>
    <w:rsid w:val="001C2318"/>
    <w:rsid w:val="001D79BB"/>
    <w:rsid w:val="0020405C"/>
    <w:rsid w:val="00205C2C"/>
    <w:rsid w:val="0023230E"/>
    <w:rsid w:val="002330FE"/>
    <w:rsid w:val="00234FE1"/>
    <w:rsid w:val="002500A1"/>
    <w:rsid w:val="00257523"/>
    <w:rsid w:val="00281070"/>
    <w:rsid w:val="0028323F"/>
    <w:rsid w:val="002B5174"/>
    <w:rsid w:val="002E2923"/>
    <w:rsid w:val="002E5CF5"/>
    <w:rsid w:val="00314A78"/>
    <w:rsid w:val="003236B0"/>
    <w:rsid w:val="00325C8C"/>
    <w:rsid w:val="00333ACB"/>
    <w:rsid w:val="003373D7"/>
    <w:rsid w:val="0034013D"/>
    <w:rsid w:val="0034105D"/>
    <w:rsid w:val="00355C28"/>
    <w:rsid w:val="00366619"/>
    <w:rsid w:val="00382A1D"/>
    <w:rsid w:val="00382AC4"/>
    <w:rsid w:val="00390EE3"/>
    <w:rsid w:val="003B558B"/>
    <w:rsid w:val="003B571D"/>
    <w:rsid w:val="003C4079"/>
    <w:rsid w:val="003D166F"/>
    <w:rsid w:val="003D6E53"/>
    <w:rsid w:val="003E23CB"/>
    <w:rsid w:val="003F124A"/>
    <w:rsid w:val="003F6EC1"/>
    <w:rsid w:val="004378BF"/>
    <w:rsid w:val="00450330"/>
    <w:rsid w:val="00477756"/>
    <w:rsid w:val="004B4295"/>
    <w:rsid w:val="004C75FC"/>
    <w:rsid w:val="004D4F2E"/>
    <w:rsid w:val="004E6D57"/>
    <w:rsid w:val="004F541F"/>
    <w:rsid w:val="00505323"/>
    <w:rsid w:val="00515704"/>
    <w:rsid w:val="00517080"/>
    <w:rsid w:val="0053418C"/>
    <w:rsid w:val="00562765"/>
    <w:rsid w:val="00562C35"/>
    <w:rsid w:val="00564699"/>
    <w:rsid w:val="00583189"/>
    <w:rsid w:val="0059046E"/>
    <w:rsid w:val="0059066B"/>
    <w:rsid w:val="005924F2"/>
    <w:rsid w:val="005B4062"/>
    <w:rsid w:val="005E2F1E"/>
    <w:rsid w:val="005F6670"/>
    <w:rsid w:val="00630F08"/>
    <w:rsid w:val="00642717"/>
    <w:rsid w:val="006466C7"/>
    <w:rsid w:val="00660335"/>
    <w:rsid w:val="00671781"/>
    <w:rsid w:val="006721D6"/>
    <w:rsid w:val="00687344"/>
    <w:rsid w:val="00691184"/>
    <w:rsid w:val="00691D00"/>
    <w:rsid w:val="00692D7A"/>
    <w:rsid w:val="006A6D37"/>
    <w:rsid w:val="006B4786"/>
    <w:rsid w:val="006C56B2"/>
    <w:rsid w:val="006E06E3"/>
    <w:rsid w:val="00700EF1"/>
    <w:rsid w:val="007040D8"/>
    <w:rsid w:val="00706ABE"/>
    <w:rsid w:val="00710354"/>
    <w:rsid w:val="00742C40"/>
    <w:rsid w:val="00763372"/>
    <w:rsid w:val="00770DA8"/>
    <w:rsid w:val="0077138F"/>
    <w:rsid w:val="007719E4"/>
    <w:rsid w:val="007724A9"/>
    <w:rsid w:val="007814DE"/>
    <w:rsid w:val="0079035A"/>
    <w:rsid w:val="00791D2F"/>
    <w:rsid w:val="007931AC"/>
    <w:rsid w:val="007B0CED"/>
    <w:rsid w:val="007B29DD"/>
    <w:rsid w:val="007C2065"/>
    <w:rsid w:val="007C3C72"/>
    <w:rsid w:val="007C57A4"/>
    <w:rsid w:val="007D0B71"/>
    <w:rsid w:val="007D0D35"/>
    <w:rsid w:val="007D7DDF"/>
    <w:rsid w:val="00820D80"/>
    <w:rsid w:val="008666E4"/>
    <w:rsid w:val="008C1159"/>
    <w:rsid w:val="008C232F"/>
    <w:rsid w:val="009111D1"/>
    <w:rsid w:val="009522F8"/>
    <w:rsid w:val="00963BCE"/>
    <w:rsid w:val="009765A9"/>
    <w:rsid w:val="00994762"/>
    <w:rsid w:val="00997156"/>
    <w:rsid w:val="009977D7"/>
    <w:rsid w:val="009A3CF9"/>
    <w:rsid w:val="009A426C"/>
    <w:rsid w:val="009E4FE9"/>
    <w:rsid w:val="009F0183"/>
    <w:rsid w:val="00A156A8"/>
    <w:rsid w:val="00A176F1"/>
    <w:rsid w:val="00A215E7"/>
    <w:rsid w:val="00A47454"/>
    <w:rsid w:val="00A63D0D"/>
    <w:rsid w:val="00A71C2B"/>
    <w:rsid w:val="00A775D4"/>
    <w:rsid w:val="00A81D9B"/>
    <w:rsid w:val="00A86CCF"/>
    <w:rsid w:val="00A90019"/>
    <w:rsid w:val="00AE1869"/>
    <w:rsid w:val="00AE7576"/>
    <w:rsid w:val="00B24250"/>
    <w:rsid w:val="00B32EED"/>
    <w:rsid w:val="00B44580"/>
    <w:rsid w:val="00B47F10"/>
    <w:rsid w:val="00B55026"/>
    <w:rsid w:val="00B704E7"/>
    <w:rsid w:val="00B877DB"/>
    <w:rsid w:val="00BA60D6"/>
    <w:rsid w:val="00BB79C7"/>
    <w:rsid w:val="00BC7C1A"/>
    <w:rsid w:val="00BD5B7A"/>
    <w:rsid w:val="00BE5C06"/>
    <w:rsid w:val="00BF1B85"/>
    <w:rsid w:val="00C0127D"/>
    <w:rsid w:val="00C17D8E"/>
    <w:rsid w:val="00C21708"/>
    <w:rsid w:val="00C31818"/>
    <w:rsid w:val="00C80971"/>
    <w:rsid w:val="00C81BC4"/>
    <w:rsid w:val="00C96872"/>
    <w:rsid w:val="00CB2304"/>
    <w:rsid w:val="00CC3C15"/>
    <w:rsid w:val="00CF3C9E"/>
    <w:rsid w:val="00D143DB"/>
    <w:rsid w:val="00D34BF5"/>
    <w:rsid w:val="00D4560C"/>
    <w:rsid w:val="00D55FE8"/>
    <w:rsid w:val="00D60F57"/>
    <w:rsid w:val="00D707FC"/>
    <w:rsid w:val="00D87D2E"/>
    <w:rsid w:val="00D93F71"/>
    <w:rsid w:val="00DC4A8C"/>
    <w:rsid w:val="00DD7F3B"/>
    <w:rsid w:val="00DE1908"/>
    <w:rsid w:val="00DF5236"/>
    <w:rsid w:val="00E04958"/>
    <w:rsid w:val="00E154A7"/>
    <w:rsid w:val="00E321F9"/>
    <w:rsid w:val="00E50640"/>
    <w:rsid w:val="00E50D90"/>
    <w:rsid w:val="00E82A26"/>
    <w:rsid w:val="00E966E7"/>
    <w:rsid w:val="00EA2DEF"/>
    <w:rsid w:val="00EB11F4"/>
    <w:rsid w:val="00EB6441"/>
    <w:rsid w:val="00EB6E22"/>
    <w:rsid w:val="00ED32E5"/>
    <w:rsid w:val="00EE779E"/>
    <w:rsid w:val="00F356C7"/>
    <w:rsid w:val="00F45EC7"/>
    <w:rsid w:val="00F46BF8"/>
    <w:rsid w:val="00F503F1"/>
    <w:rsid w:val="00F56F5B"/>
    <w:rsid w:val="00F661D8"/>
    <w:rsid w:val="00F70FC4"/>
    <w:rsid w:val="00F72986"/>
    <w:rsid w:val="00F75F5C"/>
    <w:rsid w:val="00F77F58"/>
    <w:rsid w:val="00FA1F26"/>
    <w:rsid w:val="00FB09FC"/>
    <w:rsid w:val="00FE2822"/>
    <w:rsid w:val="00FE74F5"/>
    <w:rsid w:val="00FE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80"/>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80"/>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5680">
      <w:bodyDiv w:val="1"/>
      <w:marLeft w:val="0"/>
      <w:marRight w:val="0"/>
      <w:marTop w:val="0"/>
      <w:marBottom w:val="0"/>
      <w:divBdr>
        <w:top w:val="none" w:sz="0" w:space="0" w:color="auto"/>
        <w:left w:val="none" w:sz="0" w:space="0" w:color="auto"/>
        <w:bottom w:val="none" w:sz="0" w:space="0" w:color="auto"/>
        <w:right w:val="none" w:sz="0" w:space="0" w:color="auto"/>
      </w:divBdr>
    </w:div>
    <w:div w:id="10871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73050-tieso-maksajumu-pieskirsanas-kartiba-lauksaimnieki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86FA-8113-40DD-B1F0-436E13FF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6644</Words>
  <Characters>3788</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18.decembra noteikumos Nr.876 „Transportlīdzekļu un to numurēto agregātu tirdzniecības noteikumi”” sākotnējās ietekmes novērtējuma ziņojums (anotācija)</vt:lpstr>
      <vt:lpstr/>
    </vt:vector>
  </TitlesOfParts>
  <Company>CSDD</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11.decembra noteikumos Nr.858 „Transportlīdzekļa ekspluatācijas nodokļa un uzņēmumu vieglo transportlīdzekļu nodokļa maksāšanas kārtība”” sākotnējās ietekmes novērtējuma ziņojums (anotācija) </dc:title>
  <dc:creator>Lauris.Mikelsons@sam.gov.lv</dc:creator>
  <cp:lastModifiedBy>Lauris Miķelsons</cp:lastModifiedBy>
  <cp:revision>39</cp:revision>
  <cp:lastPrinted>2016-12-22T08:22:00Z</cp:lastPrinted>
  <dcterms:created xsi:type="dcterms:W3CDTF">2016-10-24T11:04:00Z</dcterms:created>
  <dcterms:modified xsi:type="dcterms:W3CDTF">2017-01-09T14:40:00Z</dcterms:modified>
</cp:coreProperties>
</file>