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5B" w:rsidRDefault="003C301D" w:rsidP="00DE0915">
      <w:pPr>
        <w:jc w:val="center"/>
        <w:rPr>
          <w:b/>
          <w:bCs/>
          <w:color w:val="000000"/>
          <w:szCs w:val="28"/>
          <w:lang w:eastAsia="lv-LV"/>
        </w:rPr>
      </w:pPr>
      <w:r>
        <w:rPr>
          <w:b/>
          <w:bCs/>
          <w:color w:val="000000"/>
          <w:szCs w:val="28"/>
          <w:lang w:eastAsia="lv-LV"/>
        </w:rPr>
        <w:t xml:space="preserve">Likumprojekta </w:t>
      </w:r>
      <w:r w:rsidR="001E09B5">
        <w:rPr>
          <w:b/>
          <w:bCs/>
          <w:color w:val="000000"/>
          <w:szCs w:val="28"/>
          <w:lang w:eastAsia="lv-LV"/>
        </w:rPr>
        <w:t>“Grozījum</w:t>
      </w:r>
      <w:r w:rsidR="001B0991">
        <w:rPr>
          <w:b/>
          <w:bCs/>
          <w:color w:val="000000"/>
          <w:szCs w:val="28"/>
          <w:lang w:eastAsia="lv-LV"/>
        </w:rPr>
        <w:t>i</w:t>
      </w:r>
      <w:r w:rsidR="001E09B5">
        <w:rPr>
          <w:b/>
          <w:bCs/>
          <w:color w:val="000000"/>
          <w:szCs w:val="28"/>
          <w:lang w:eastAsia="lv-LV"/>
        </w:rPr>
        <w:t xml:space="preserve"> likumā “</w:t>
      </w:r>
      <w:r>
        <w:rPr>
          <w:b/>
          <w:bCs/>
          <w:color w:val="000000"/>
          <w:szCs w:val="28"/>
          <w:lang w:eastAsia="lv-LV"/>
        </w:rPr>
        <w:t>Par autoceļiem”</w:t>
      </w:r>
      <w:r w:rsidR="009A22F6" w:rsidRPr="00DE0915">
        <w:rPr>
          <w:b/>
          <w:bCs/>
          <w:color w:val="000000"/>
          <w:szCs w:val="28"/>
          <w:lang w:eastAsia="lv-LV"/>
        </w:rPr>
        <w:t xml:space="preserve">” </w:t>
      </w:r>
    </w:p>
    <w:p w:rsidR="009A22F6" w:rsidRPr="00DE0915" w:rsidRDefault="009A22F6" w:rsidP="00DE0915">
      <w:pPr>
        <w:jc w:val="center"/>
        <w:rPr>
          <w:b/>
          <w:bCs/>
          <w:color w:val="000000"/>
          <w:szCs w:val="28"/>
          <w:lang w:eastAsia="lv-LV"/>
        </w:rPr>
      </w:pPr>
      <w:r w:rsidRPr="00DE0915">
        <w:rPr>
          <w:b/>
          <w:bCs/>
          <w:color w:val="000000"/>
          <w:szCs w:val="28"/>
          <w:lang w:eastAsia="lv-LV"/>
        </w:rPr>
        <w:t>sākotnējās ietekmes novērtējuma ziņojums (anotācija)</w:t>
      </w:r>
    </w:p>
    <w:p w:rsidR="009A22F6" w:rsidRPr="00DE0915" w:rsidRDefault="009A22F6" w:rsidP="00DE0915">
      <w:pPr>
        <w:shd w:val="clear" w:color="auto" w:fill="FFFFFF"/>
        <w:spacing w:before="45" w:line="248" w:lineRule="atLeast"/>
        <w:ind w:firstLine="300"/>
        <w:jc w:val="center"/>
        <w:rPr>
          <w:iCs/>
          <w:color w:val="000000"/>
          <w:sz w:val="24"/>
          <w:szCs w:val="24"/>
          <w:lang w:eastAsia="lv-LV"/>
        </w:rPr>
      </w:pPr>
    </w:p>
    <w:p w:rsidR="009A22F6" w:rsidRPr="00DE0915" w:rsidRDefault="009A22F6" w:rsidP="00DE0915">
      <w:pPr>
        <w:shd w:val="clear" w:color="auto" w:fill="FFFFFF"/>
        <w:spacing w:before="45" w:line="248" w:lineRule="atLeast"/>
        <w:ind w:firstLine="300"/>
        <w:jc w:val="center"/>
        <w:rPr>
          <w:iCs/>
          <w:color w:val="000000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6"/>
        <w:gridCol w:w="2831"/>
        <w:gridCol w:w="5844"/>
      </w:tblGrid>
      <w:tr w:rsidR="007F59FC" w:rsidRPr="007F59FC" w:rsidTr="00DE0915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9A22F6" w:rsidRPr="007F59FC" w:rsidRDefault="00F80C03" w:rsidP="00DE0915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7F59FC">
              <w:rPr>
                <w:b/>
                <w:bCs/>
                <w:sz w:val="24"/>
                <w:szCs w:val="24"/>
                <w:lang w:eastAsia="lv-LV"/>
              </w:rPr>
              <w:t>I</w:t>
            </w:r>
            <w:r w:rsidR="009A22F6" w:rsidRPr="007F59FC">
              <w:rPr>
                <w:b/>
                <w:bCs/>
                <w:sz w:val="24"/>
                <w:szCs w:val="24"/>
                <w:lang w:eastAsia="lv-LV"/>
              </w:rPr>
              <w:t xml:space="preserve"> Tiesību akta projekta izstrādes nepieciešamība</w:t>
            </w:r>
          </w:p>
        </w:tc>
      </w:tr>
      <w:tr w:rsidR="007F59FC" w:rsidRPr="007F59FC" w:rsidTr="00DE0915">
        <w:trPr>
          <w:trHeight w:val="40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55F2">
            <w:pPr>
              <w:spacing w:before="100" w:beforeAutospacing="1" w:after="100" w:afterAutospacing="1" w:line="293" w:lineRule="atLeast"/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A22F6" w:rsidRPr="007F59FC" w:rsidRDefault="007F7AFE" w:rsidP="00FC55F2">
            <w:pPr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F59FC" w:rsidRPr="007F59FC" w:rsidTr="007653E2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55F2">
            <w:pPr>
              <w:spacing w:before="100" w:beforeAutospacing="1" w:after="100" w:afterAutospacing="1" w:line="293" w:lineRule="atLeast"/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46D14" w:rsidRPr="007F59FC" w:rsidRDefault="00946D14" w:rsidP="00FC55F2">
            <w:pPr>
              <w:ind w:firstLine="720"/>
              <w:jc w:val="both"/>
              <w:rPr>
                <w:sz w:val="24"/>
                <w:szCs w:val="24"/>
              </w:rPr>
            </w:pPr>
            <w:r w:rsidRPr="007F59FC">
              <w:rPr>
                <w:sz w:val="24"/>
                <w:szCs w:val="24"/>
              </w:rPr>
              <w:t>2013. gada 6. novembr</w:t>
            </w:r>
            <w:r w:rsidR="00E41E14">
              <w:rPr>
                <w:sz w:val="24"/>
                <w:szCs w:val="24"/>
              </w:rPr>
              <w:t>ī Saeima pieņēma likumprojektu “Grozījumi likumā “</w:t>
            </w:r>
            <w:r w:rsidRPr="007F59FC">
              <w:rPr>
                <w:sz w:val="24"/>
                <w:szCs w:val="24"/>
              </w:rPr>
              <w:t xml:space="preserve">Par autoceļiem””, kas paredzēja papildināt likuma „Par autoceļiem” 25. pantu ar </w:t>
            </w:r>
            <w:r w:rsidR="002A1B75" w:rsidRPr="007F59FC">
              <w:rPr>
                <w:sz w:val="24"/>
                <w:szCs w:val="24"/>
              </w:rPr>
              <w:t>1.</w:t>
            </w:r>
            <w:r w:rsidR="002A1B75" w:rsidRPr="007F59FC">
              <w:rPr>
                <w:sz w:val="24"/>
                <w:szCs w:val="24"/>
                <w:vertAlign w:val="superscript"/>
              </w:rPr>
              <w:t>1</w:t>
            </w:r>
            <w:r w:rsidRPr="007F59FC">
              <w:rPr>
                <w:sz w:val="24"/>
                <w:szCs w:val="24"/>
              </w:rPr>
              <w:t xml:space="preserve"> daļu, kurā paredzēts deleģējums Ministru kabinetam noteikt vispārīgās valsts autoceļu būvdarbu izpildes un kvalitātes prasības atbilstoši autoceļu noslogojumam.</w:t>
            </w:r>
            <w:r w:rsidR="005B34D8">
              <w:rPr>
                <w:sz w:val="24"/>
                <w:szCs w:val="24"/>
              </w:rPr>
              <w:t xml:space="preserve"> Atbilstoši likuma “</w:t>
            </w:r>
            <w:r w:rsidR="005B34D8" w:rsidRPr="007F59FC">
              <w:rPr>
                <w:sz w:val="24"/>
                <w:szCs w:val="24"/>
              </w:rPr>
              <w:t>Par autoceļiem”</w:t>
            </w:r>
            <w:r w:rsidR="005B34D8">
              <w:rPr>
                <w:sz w:val="24"/>
                <w:szCs w:val="24"/>
              </w:rPr>
              <w:t xml:space="preserve"> pārejas noteikumu 19. punktam š</w:t>
            </w:r>
            <w:r w:rsidR="005B34D8" w:rsidRPr="005B34D8">
              <w:rPr>
                <w:sz w:val="24"/>
                <w:szCs w:val="24"/>
              </w:rPr>
              <w:t>ā likuma 25.</w:t>
            </w:r>
            <w:r w:rsidR="005B34D8">
              <w:rPr>
                <w:sz w:val="24"/>
                <w:szCs w:val="24"/>
              </w:rPr>
              <w:t> </w:t>
            </w:r>
            <w:r w:rsidR="005B34D8" w:rsidRPr="005B34D8">
              <w:rPr>
                <w:sz w:val="24"/>
                <w:szCs w:val="24"/>
              </w:rPr>
              <w:t>panta 1.</w:t>
            </w:r>
            <w:r w:rsidR="005B34D8" w:rsidRPr="005B34D8">
              <w:rPr>
                <w:sz w:val="24"/>
                <w:szCs w:val="24"/>
                <w:vertAlign w:val="superscript"/>
              </w:rPr>
              <w:t>1</w:t>
            </w:r>
            <w:r w:rsidR="005B34D8">
              <w:rPr>
                <w:sz w:val="24"/>
                <w:szCs w:val="24"/>
                <w:vertAlign w:val="superscript"/>
              </w:rPr>
              <w:t> </w:t>
            </w:r>
            <w:r w:rsidR="005B34D8" w:rsidRPr="005B34D8">
              <w:rPr>
                <w:sz w:val="24"/>
                <w:szCs w:val="24"/>
              </w:rPr>
              <w:t>daļā minētos noteikumus Ministru kabinet</w:t>
            </w:r>
            <w:r w:rsidR="005B34D8">
              <w:rPr>
                <w:sz w:val="24"/>
                <w:szCs w:val="24"/>
              </w:rPr>
              <w:t>am</w:t>
            </w:r>
            <w:r w:rsidR="005B34D8" w:rsidRPr="005B34D8">
              <w:rPr>
                <w:sz w:val="24"/>
                <w:szCs w:val="24"/>
              </w:rPr>
              <w:t xml:space="preserve"> </w:t>
            </w:r>
            <w:r w:rsidR="005B34D8">
              <w:rPr>
                <w:sz w:val="24"/>
                <w:szCs w:val="24"/>
              </w:rPr>
              <w:t xml:space="preserve">bija </w:t>
            </w:r>
            <w:r w:rsidR="00FC0B12">
              <w:rPr>
                <w:sz w:val="24"/>
                <w:szCs w:val="24"/>
              </w:rPr>
              <w:t>jā</w:t>
            </w:r>
            <w:r w:rsidR="005B34D8" w:rsidRPr="005B34D8">
              <w:rPr>
                <w:sz w:val="24"/>
                <w:szCs w:val="24"/>
              </w:rPr>
              <w:t>izdod līdz 2014.</w:t>
            </w:r>
            <w:r w:rsidR="005B34D8">
              <w:rPr>
                <w:sz w:val="24"/>
                <w:szCs w:val="24"/>
              </w:rPr>
              <w:t> </w:t>
            </w:r>
            <w:r w:rsidR="005B34D8" w:rsidRPr="005B34D8">
              <w:rPr>
                <w:sz w:val="24"/>
                <w:szCs w:val="24"/>
              </w:rPr>
              <w:t>gada 31.</w:t>
            </w:r>
            <w:r w:rsidR="005B34D8">
              <w:rPr>
                <w:sz w:val="24"/>
                <w:szCs w:val="24"/>
              </w:rPr>
              <w:t> </w:t>
            </w:r>
            <w:r w:rsidR="005B34D8" w:rsidRPr="005B34D8">
              <w:rPr>
                <w:sz w:val="24"/>
                <w:szCs w:val="24"/>
              </w:rPr>
              <w:t>martam.</w:t>
            </w:r>
          </w:p>
          <w:p w:rsidR="00946D14" w:rsidRPr="007F59FC" w:rsidRDefault="00946D14" w:rsidP="00FC55F2">
            <w:pPr>
              <w:ind w:firstLine="720"/>
              <w:jc w:val="both"/>
              <w:rPr>
                <w:sz w:val="24"/>
                <w:szCs w:val="24"/>
              </w:rPr>
            </w:pPr>
            <w:r w:rsidRPr="007F59FC">
              <w:rPr>
                <w:sz w:val="24"/>
                <w:szCs w:val="24"/>
              </w:rPr>
              <w:t xml:space="preserve">Minēto noteikumu mērķis </w:t>
            </w:r>
            <w:r w:rsidR="0095756B">
              <w:rPr>
                <w:sz w:val="24"/>
                <w:szCs w:val="24"/>
              </w:rPr>
              <w:t>bija</w:t>
            </w:r>
            <w:r w:rsidRPr="007F59FC">
              <w:rPr>
                <w:sz w:val="24"/>
                <w:szCs w:val="24"/>
              </w:rPr>
              <w:t xml:space="preserve"> noteikt valsts autoceļu tīklā veicamo būvdarbu izpildes vispārīgās prasības, pielietojamo materiālu īpašību robežas dažādai autoceļu noslodzei, kā arī noteiktas prasības, </w:t>
            </w:r>
            <w:r w:rsidR="005B34D8">
              <w:rPr>
                <w:sz w:val="24"/>
                <w:szCs w:val="24"/>
              </w:rPr>
              <w:t>saskaņā ar</w:t>
            </w:r>
            <w:r w:rsidRPr="007F59FC">
              <w:rPr>
                <w:sz w:val="24"/>
                <w:szCs w:val="24"/>
              </w:rPr>
              <w:t xml:space="preserve"> kurām jāveic pielietojamo materiālu īpašību pārbaudes un būvdarbu izpildes kvalitātes novērtējums.</w:t>
            </w:r>
          </w:p>
          <w:p w:rsidR="00946D14" w:rsidRPr="007F59FC" w:rsidRDefault="00946D14" w:rsidP="00FC55F2">
            <w:pPr>
              <w:ind w:firstLine="720"/>
              <w:jc w:val="both"/>
              <w:rPr>
                <w:sz w:val="24"/>
                <w:szCs w:val="24"/>
              </w:rPr>
            </w:pPr>
            <w:r w:rsidRPr="007F59FC">
              <w:rPr>
                <w:sz w:val="24"/>
                <w:szCs w:val="24"/>
              </w:rPr>
              <w:t>Satiksmes ministrija sagatavoja un iesniedza izskatīšanai Ministru kabineta 2014. gada 14. o</w:t>
            </w:r>
            <w:r w:rsidR="00E41E14">
              <w:rPr>
                <w:sz w:val="24"/>
                <w:szCs w:val="24"/>
              </w:rPr>
              <w:t>ktobra sēdē noteikumu projektu “</w:t>
            </w:r>
            <w:r w:rsidRPr="007F59FC">
              <w:rPr>
                <w:sz w:val="24"/>
                <w:szCs w:val="24"/>
              </w:rPr>
              <w:t xml:space="preserve">Vispārīgās valsts autoceļu būvdarbu izpildes un kvalitātes prasības atbilstoši autoceļu noslogojumam”, </w:t>
            </w:r>
            <w:r w:rsidR="008D3AC4" w:rsidRPr="007F59FC">
              <w:rPr>
                <w:sz w:val="24"/>
                <w:szCs w:val="24"/>
              </w:rPr>
              <w:t>noteikumu projekts tika pieņemts, taču netika i</w:t>
            </w:r>
            <w:r w:rsidR="00E41E14">
              <w:rPr>
                <w:sz w:val="24"/>
                <w:szCs w:val="24"/>
              </w:rPr>
              <w:t>zsludināts oficiālajā izdevumā “</w:t>
            </w:r>
            <w:r w:rsidR="008D3AC4" w:rsidRPr="007F59FC">
              <w:rPr>
                <w:sz w:val="24"/>
                <w:szCs w:val="24"/>
              </w:rPr>
              <w:t xml:space="preserve">Latvijas Vēstnesis”, līdz ar to nav stājies spēkā, ņemot vērā to, ka </w:t>
            </w:r>
            <w:r w:rsidRPr="007F59FC">
              <w:rPr>
                <w:sz w:val="24"/>
                <w:szCs w:val="24"/>
              </w:rPr>
              <w:t>noteikumu projekts neguva sociālo partneru (biedrības „Latvijas Ceļu būvētājs” u. c.) atbalstu</w:t>
            </w:r>
            <w:r w:rsidR="00451CBA" w:rsidRPr="007F59FC">
              <w:rPr>
                <w:sz w:val="24"/>
                <w:szCs w:val="24"/>
              </w:rPr>
              <w:t>.</w:t>
            </w:r>
            <w:r w:rsidRPr="007F59FC">
              <w:rPr>
                <w:sz w:val="24"/>
                <w:szCs w:val="24"/>
              </w:rPr>
              <w:t xml:space="preserve"> </w:t>
            </w:r>
          </w:p>
          <w:p w:rsidR="0075212F" w:rsidRDefault="005B34D8" w:rsidP="00FC55F2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Arī biedrība “</w:t>
            </w:r>
            <w:r w:rsidRPr="007F59FC">
              <w:rPr>
                <w:sz w:val="24"/>
                <w:szCs w:val="24"/>
              </w:rPr>
              <w:t xml:space="preserve">Latvijas Ceļu būvētājs” </w:t>
            </w:r>
            <w:r>
              <w:rPr>
                <w:sz w:val="24"/>
                <w:szCs w:val="24"/>
              </w:rPr>
              <w:t>ir lūgusi</w:t>
            </w:r>
            <w:r w:rsidR="00946D14" w:rsidRPr="007F59FC">
              <w:rPr>
                <w:sz w:val="24"/>
                <w:szCs w:val="24"/>
              </w:rPr>
              <w:t xml:space="preserve"> </w:t>
            </w:r>
            <w:r w:rsidR="008D3AC4" w:rsidRPr="007F59FC">
              <w:rPr>
                <w:sz w:val="24"/>
                <w:szCs w:val="24"/>
              </w:rPr>
              <w:t xml:space="preserve">izslēgt deleģējumu </w:t>
            </w:r>
            <w:r w:rsidR="00946D14" w:rsidRPr="007F59FC">
              <w:rPr>
                <w:sz w:val="24"/>
                <w:szCs w:val="24"/>
              </w:rPr>
              <w:t xml:space="preserve">Ministru kabinetam noteikt vispārīgās valsts autoceļu izpildes un kvalitātes prasības atbilstoši </w:t>
            </w:r>
            <w:r>
              <w:rPr>
                <w:sz w:val="24"/>
                <w:szCs w:val="24"/>
              </w:rPr>
              <w:t xml:space="preserve">autoceļu noslogojumam, ievērojot to, ka </w:t>
            </w:r>
            <w:r w:rsidR="00946D14" w:rsidRPr="007F59FC">
              <w:rPr>
                <w:sz w:val="24"/>
                <w:szCs w:val="24"/>
              </w:rPr>
              <w:t xml:space="preserve">noteikumi ierobežos inovācijas autoceļu jomā, jo visi jauninājumi kvalitātes prasībām, ko varētu ierosināt </w:t>
            </w:r>
            <w:r w:rsidR="00804653" w:rsidRPr="007F59FC">
              <w:rPr>
                <w:sz w:val="24"/>
                <w:szCs w:val="24"/>
              </w:rPr>
              <w:t>gan</w:t>
            </w:r>
            <w:r w:rsidR="00946D14" w:rsidRPr="007F59FC">
              <w:rPr>
                <w:sz w:val="24"/>
                <w:szCs w:val="24"/>
              </w:rPr>
              <w:t xml:space="preserve"> pasūtītājs, </w:t>
            </w:r>
            <w:r w:rsidR="00804653" w:rsidRPr="007F59FC">
              <w:rPr>
                <w:sz w:val="24"/>
                <w:szCs w:val="24"/>
              </w:rPr>
              <w:t>gan</w:t>
            </w:r>
            <w:r w:rsidR="00946D14" w:rsidRPr="007F59FC">
              <w:rPr>
                <w:sz w:val="24"/>
                <w:szCs w:val="24"/>
              </w:rPr>
              <w:t xml:space="preserve"> </w:t>
            </w:r>
            <w:r w:rsidR="00804653" w:rsidRPr="007F59FC">
              <w:rPr>
                <w:sz w:val="24"/>
                <w:szCs w:val="24"/>
              </w:rPr>
              <w:t>izpildītājs</w:t>
            </w:r>
            <w:r w:rsidR="00946D14" w:rsidRPr="007F59FC">
              <w:rPr>
                <w:sz w:val="24"/>
                <w:szCs w:val="24"/>
              </w:rPr>
              <w:t xml:space="preserve">, būtu jāvirza </w:t>
            </w:r>
            <w:r w:rsidR="00804653" w:rsidRPr="007F59FC">
              <w:rPr>
                <w:sz w:val="24"/>
                <w:szCs w:val="24"/>
              </w:rPr>
              <w:t>izskatīšanai</w:t>
            </w:r>
            <w:r w:rsidR="00946D14" w:rsidRPr="007F59FC">
              <w:rPr>
                <w:sz w:val="24"/>
                <w:szCs w:val="24"/>
              </w:rPr>
              <w:t xml:space="preserve"> </w:t>
            </w:r>
            <w:r w:rsidR="00804653" w:rsidRPr="007F59FC">
              <w:rPr>
                <w:sz w:val="24"/>
                <w:szCs w:val="24"/>
              </w:rPr>
              <w:t>Ministru kabinetā</w:t>
            </w:r>
            <w:r w:rsidR="00946D14" w:rsidRPr="007F59FC">
              <w:rPr>
                <w:sz w:val="24"/>
                <w:szCs w:val="24"/>
              </w:rPr>
              <w:t xml:space="preserve">, lai atceltu </w:t>
            </w:r>
            <w:r w:rsidR="0095756B">
              <w:rPr>
                <w:sz w:val="24"/>
                <w:szCs w:val="24"/>
              </w:rPr>
              <w:t>tiesību aktā noteiktos ierobežojumus</w:t>
            </w:r>
            <w:r w:rsidR="00804653" w:rsidRPr="007F59FC">
              <w:rPr>
                <w:sz w:val="24"/>
                <w:szCs w:val="24"/>
              </w:rPr>
              <w:t>.</w:t>
            </w:r>
          </w:p>
          <w:p w:rsidR="00E357EB" w:rsidRPr="007F59FC" w:rsidRDefault="00E357EB" w:rsidP="00FC55F2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Pamatojoties uz iepriekš minēto, likumprojekts paredz izslēgt likuma “Par autoceļiem” </w:t>
            </w:r>
            <w:r w:rsidRPr="00E357EB">
              <w:rPr>
                <w:sz w:val="24"/>
                <w:szCs w:val="24"/>
              </w:rPr>
              <w:t>25. panta 1.</w:t>
            </w:r>
            <w:r w:rsidRPr="00E357EB">
              <w:rPr>
                <w:sz w:val="24"/>
                <w:szCs w:val="24"/>
                <w:vertAlign w:val="superscript"/>
              </w:rPr>
              <w:t>1</w:t>
            </w:r>
            <w:r w:rsidRPr="00E357EB">
              <w:rPr>
                <w:sz w:val="24"/>
                <w:szCs w:val="24"/>
              </w:rPr>
              <w:t xml:space="preserve"> daļu</w:t>
            </w:r>
            <w:r w:rsidR="00272ACD">
              <w:rPr>
                <w:sz w:val="24"/>
                <w:szCs w:val="24"/>
              </w:rPr>
              <w:t xml:space="preserve"> un pārejas noteikumu 19. punktu.</w:t>
            </w:r>
          </w:p>
        </w:tc>
      </w:tr>
      <w:tr w:rsidR="007F59FC" w:rsidRPr="007F59FC" w:rsidTr="00DE0915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55F2">
            <w:pPr>
              <w:spacing w:before="100" w:beforeAutospacing="1" w:after="100" w:afterAutospacing="1" w:line="293" w:lineRule="atLeast"/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A22F6" w:rsidRPr="007F59FC" w:rsidRDefault="009A22F6" w:rsidP="00FC55F2">
            <w:pPr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Satiksmes ministrija, valsts akciju sabiedrība „Latvijas Valsts ceļi”</w:t>
            </w:r>
            <w:r w:rsidR="00FC0B12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9A22F6" w:rsidRPr="007F59FC" w:rsidTr="00DE0915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55F2">
            <w:pPr>
              <w:spacing w:before="100" w:beforeAutospacing="1" w:after="100" w:afterAutospacing="1" w:line="293" w:lineRule="atLeast"/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A22F6" w:rsidRPr="007F59FC" w:rsidRDefault="009A22F6" w:rsidP="00FC55F2">
            <w:pPr>
              <w:spacing w:before="100" w:beforeAutospacing="1" w:after="100" w:afterAutospacing="1" w:line="293" w:lineRule="atLeast"/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Nav.</w:t>
            </w:r>
          </w:p>
        </w:tc>
      </w:tr>
    </w:tbl>
    <w:p w:rsidR="009A22F6" w:rsidRPr="007F59FC" w:rsidRDefault="009A22F6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p w:rsidR="009A22F6" w:rsidRPr="007F59FC" w:rsidRDefault="009A22F6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6"/>
        <w:gridCol w:w="2831"/>
        <w:gridCol w:w="5844"/>
      </w:tblGrid>
      <w:tr w:rsidR="007F59FC" w:rsidRPr="007F59FC" w:rsidTr="00DE0915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9A22F6" w:rsidRPr="007F59FC" w:rsidRDefault="00F80C03" w:rsidP="00DE0915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7F59FC">
              <w:rPr>
                <w:b/>
                <w:bCs/>
                <w:sz w:val="24"/>
                <w:szCs w:val="24"/>
                <w:lang w:eastAsia="lv-LV"/>
              </w:rPr>
              <w:lastRenderedPageBreak/>
              <w:t>II</w:t>
            </w:r>
            <w:r w:rsidR="009A22F6" w:rsidRPr="007F59FC">
              <w:rPr>
                <w:b/>
                <w:bCs/>
                <w:sz w:val="24"/>
                <w:szCs w:val="24"/>
                <w:lang w:eastAsia="lv-LV"/>
              </w:rPr>
              <w:t xml:space="preserve"> Tiesību akta projekta ietekme uz sabiedrību, tautsaimniecības attīstību un administratīvo slogu</w:t>
            </w:r>
          </w:p>
        </w:tc>
      </w:tr>
      <w:tr w:rsidR="007F59FC" w:rsidRPr="007F59FC" w:rsidTr="00DE0915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DE0915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A22F6" w:rsidRPr="007F59FC" w:rsidRDefault="007F59FC" w:rsidP="00FC55F2">
            <w:pPr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Būvdarbu veicējs, pasūtītājs</w:t>
            </w:r>
            <w:r w:rsidR="00015F28" w:rsidRPr="007F59FC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7F59FC" w:rsidRPr="007F59FC" w:rsidTr="00DE0915">
        <w:trPr>
          <w:trHeight w:val="51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DE0915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A22F6" w:rsidRPr="007F59FC" w:rsidRDefault="00015F28" w:rsidP="00FC55F2">
            <w:pPr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F59FC" w:rsidRPr="007F59FC" w:rsidTr="00DE0915">
        <w:trPr>
          <w:trHeight w:val="51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DE0915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A22F6" w:rsidRPr="007F59FC" w:rsidRDefault="00DF1E40" w:rsidP="00FC55F2">
            <w:pPr>
              <w:contextualSpacing/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A22F6" w:rsidRPr="007F59FC" w:rsidTr="00DE0915">
        <w:trPr>
          <w:trHeight w:val="34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DE0915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A22F6" w:rsidRPr="007F59FC" w:rsidRDefault="00015F28" w:rsidP="00FC55F2">
            <w:pPr>
              <w:spacing w:before="100" w:beforeAutospacing="1" w:after="100" w:afterAutospacing="1" w:line="293" w:lineRule="atLeast"/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 xml:space="preserve">Projekts ietekmi uz sabiedrību, tautsaimniecības attīstību un administratīvo slogu neradīs, jo </w:t>
            </w:r>
            <w:r w:rsidR="00E41E14">
              <w:rPr>
                <w:sz w:val="24"/>
                <w:szCs w:val="24"/>
                <w:lang w:eastAsia="lv-LV"/>
              </w:rPr>
              <w:t>likuma “</w:t>
            </w:r>
            <w:r w:rsidRPr="007F59FC">
              <w:rPr>
                <w:sz w:val="24"/>
                <w:szCs w:val="24"/>
                <w:lang w:eastAsia="lv-LV"/>
              </w:rPr>
              <w:t>Par autoceļiem” 25. panta ar 1.</w:t>
            </w:r>
            <w:r w:rsidRPr="007F59FC">
              <w:rPr>
                <w:sz w:val="24"/>
                <w:szCs w:val="24"/>
                <w:vertAlign w:val="superscript"/>
                <w:lang w:eastAsia="lv-LV"/>
              </w:rPr>
              <w:t>1</w:t>
            </w:r>
            <w:r w:rsidRPr="007F59FC">
              <w:rPr>
                <w:sz w:val="24"/>
                <w:szCs w:val="24"/>
                <w:lang w:eastAsia="lv-LV"/>
              </w:rPr>
              <w:t xml:space="preserve"> daļā paredzētie Ministru kabineta noteikumi nav stājušies spēkā, līdz ar to šī deleģējuma izslēgšana no likuma nemainīs pašreizējo situāciju.</w:t>
            </w:r>
          </w:p>
        </w:tc>
      </w:tr>
    </w:tbl>
    <w:p w:rsidR="009A22F6" w:rsidRPr="007F59FC" w:rsidRDefault="009A22F6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p w:rsidR="00DF1E40" w:rsidRPr="007F59FC" w:rsidRDefault="00DF1E40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7F59FC" w:rsidRPr="007F59FC" w:rsidTr="00630602">
        <w:trPr>
          <w:trHeight w:val="3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F1E40" w:rsidRPr="007F59FC" w:rsidRDefault="00DF1E40" w:rsidP="00630602">
            <w:pPr>
              <w:spacing w:before="100" w:beforeAutospacing="1" w:after="100" w:afterAutospacing="1" w:line="28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F59FC" w:rsidRPr="007F59FC" w:rsidTr="00630602">
        <w:trPr>
          <w:trHeight w:val="3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F1E40" w:rsidRPr="007F59FC" w:rsidRDefault="0048299C" w:rsidP="00630602">
            <w:pPr>
              <w:spacing w:before="100" w:beforeAutospacing="1" w:after="100" w:afterAutospacing="1" w:line="28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04653" w:rsidRPr="007F59FC" w:rsidRDefault="00804653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p w:rsidR="00DF1E40" w:rsidRPr="007F59FC" w:rsidRDefault="00DF1E40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7F59FC" w:rsidRPr="007F59FC" w:rsidTr="00630602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F1E40" w:rsidRPr="007F59FC" w:rsidRDefault="00DF1E40" w:rsidP="00630602">
            <w:pPr>
              <w:spacing w:before="100" w:beforeAutospacing="1" w:after="100" w:afterAutospacing="1" w:line="28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F59FC" w:rsidRPr="007F59FC" w:rsidTr="00630602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F1E40" w:rsidRPr="007F59FC" w:rsidRDefault="0048299C" w:rsidP="00630602">
            <w:pPr>
              <w:spacing w:before="100" w:beforeAutospacing="1" w:after="100" w:afterAutospacing="1" w:line="28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DF1E40" w:rsidRPr="007F59FC" w:rsidRDefault="00DF1E40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p w:rsidR="00DF1E40" w:rsidRPr="007F59FC" w:rsidRDefault="00DF1E40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7F59FC" w:rsidRPr="007F59FC" w:rsidTr="0063060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DF1E40" w:rsidRPr="007F59FC" w:rsidRDefault="00DF1E40" w:rsidP="00630602">
            <w:pPr>
              <w:spacing w:before="100" w:beforeAutospacing="1" w:after="100" w:afterAutospacing="1" w:line="28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F59FC" w:rsidRPr="007F59FC" w:rsidTr="0063060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F1E40" w:rsidRPr="007F59FC" w:rsidRDefault="0048299C" w:rsidP="00630602">
            <w:pPr>
              <w:spacing w:before="100" w:beforeAutospacing="1" w:after="100" w:afterAutospacing="1" w:line="28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DF1E40" w:rsidRPr="007F59FC" w:rsidRDefault="00DF1E40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p w:rsidR="00DF1E40" w:rsidRPr="007F59FC" w:rsidRDefault="00DF1E40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7F59FC" w:rsidRPr="007F59FC" w:rsidTr="00630602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80C03" w:rsidRPr="007F59FC" w:rsidRDefault="00F80C03" w:rsidP="00630602">
            <w:pPr>
              <w:spacing w:before="100" w:beforeAutospacing="1" w:after="100" w:afterAutospacing="1" w:line="28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 Sabiedrības līdzdalība un komunikācijas aktivitātes</w:t>
            </w:r>
          </w:p>
        </w:tc>
      </w:tr>
      <w:tr w:rsidR="007F59FC" w:rsidRPr="007F59FC" w:rsidTr="006306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03" w:rsidRPr="007F59FC" w:rsidRDefault="00F80C03" w:rsidP="0063060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03" w:rsidRPr="007F59FC" w:rsidRDefault="00F80C03" w:rsidP="00FC0B1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51EA8" w:rsidRPr="007F59FC" w:rsidRDefault="00E51EA8" w:rsidP="00FC55F2">
            <w:pPr>
              <w:jc w:val="both"/>
              <w:rPr>
                <w:sz w:val="24"/>
                <w:szCs w:val="24"/>
              </w:rPr>
            </w:pPr>
            <w:r w:rsidRPr="007F59FC">
              <w:rPr>
                <w:sz w:val="24"/>
                <w:szCs w:val="24"/>
              </w:rPr>
              <w:t xml:space="preserve">Projekts </w:t>
            </w:r>
            <w:r w:rsidR="00627EC8">
              <w:rPr>
                <w:sz w:val="24"/>
                <w:szCs w:val="24"/>
              </w:rPr>
              <w:t xml:space="preserve">2016. gada 22. augustā </w:t>
            </w:r>
            <w:r w:rsidRPr="007F59FC">
              <w:rPr>
                <w:sz w:val="24"/>
                <w:szCs w:val="24"/>
              </w:rPr>
              <w:t xml:space="preserve">publicēts Satiksmes </w:t>
            </w:r>
            <w:r w:rsidR="00E41E14">
              <w:rPr>
                <w:sz w:val="24"/>
                <w:szCs w:val="24"/>
              </w:rPr>
              <w:t xml:space="preserve">ministrijas </w:t>
            </w:r>
            <w:r w:rsidR="005B34D8">
              <w:rPr>
                <w:sz w:val="24"/>
                <w:szCs w:val="24"/>
              </w:rPr>
              <w:t>tīmekļa vietnē</w:t>
            </w:r>
            <w:r w:rsidR="00E41E14">
              <w:rPr>
                <w:sz w:val="24"/>
                <w:szCs w:val="24"/>
              </w:rPr>
              <w:t>, sadaļā “</w:t>
            </w:r>
            <w:r w:rsidRPr="007F59FC">
              <w:rPr>
                <w:sz w:val="24"/>
                <w:szCs w:val="24"/>
              </w:rPr>
              <w:t>Izstrādē esošie attīstības plāno</w:t>
            </w:r>
            <w:r w:rsidR="00E02DDA">
              <w:rPr>
                <w:sz w:val="24"/>
                <w:szCs w:val="24"/>
              </w:rPr>
              <w:t>šanas dokumenti un tiesību akti</w:t>
            </w:r>
            <w:r w:rsidRPr="007F59FC">
              <w:rPr>
                <w:sz w:val="24"/>
                <w:szCs w:val="24"/>
              </w:rPr>
              <w:t>”.</w:t>
            </w:r>
          </w:p>
          <w:p w:rsidR="00F80C03" w:rsidRPr="007F59FC" w:rsidRDefault="00F80C03" w:rsidP="00FC55F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7F59FC" w:rsidRPr="007F59FC" w:rsidTr="006306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03" w:rsidRPr="007F59FC" w:rsidRDefault="00F80C03" w:rsidP="0063060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03" w:rsidRPr="007F59FC" w:rsidRDefault="00F80C03" w:rsidP="00FC0B1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03" w:rsidRPr="007F59FC" w:rsidRDefault="00272ACD" w:rsidP="00711D39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Saņemta b</w:t>
            </w:r>
            <w:r w:rsidR="00804653" w:rsidRPr="007F59FC">
              <w:rPr>
                <w:sz w:val="24"/>
                <w:szCs w:val="24"/>
                <w:lang w:eastAsia="lv-LV"/>
              </w:rPr>
              <w:t xml:space="preserve">iedrības „Latvijas Ceļu būvētājs” </w:t>
            </w:r>
            <w:r w:rsidR="005B34D8">
              <w:rPr>
                <w:sz w:val="24"/>
                <w:szCs w:val="24"/>
                <w:lang w:eastAsia="lv-LV"/>
              </w:rPr>
              <w:t xml:space="preserve">2015. gada 18. maija </w:t>
            </w:r>
            <w:r w:rsidR="00804653" w:rsidRPr="007F59FC">
              <w:rPr>
                <w:sz w:val="24"/>
                <w:szCs w:val="24"/>
                <w:lang w:eastAsia="lv-LV"/>
              </w:rPr>
              <w:t>vēstule</w:t>
            </w:r>
            <w:r w:rsidR="005B34D8">
              <w:rPr>
                <w:sz w:val="24"/>
                <w:szCs w:val="24"/>
                <w:lang w:eastAsia="lv-LV"/>
              </w:rPr>
              <w:t xml:space="preserve"> Nr. </w:t>
            </w:r>
            <w:r w:rsidR="00FC0B12">
              <w:rPr>
                <w:sz w:val="24"/>
                <w:szCs w:val="24"/>
                <w:lang w:eastAsia="lv-LV"/>
              </w:rPr>
              <w:t xml:space="preserve">9/15 ar priekšlikumiem, 2016.gada 13.septembra </w:t>
            </w:r>
            <w:r w:rsidR="00711D39">
              <w:rPr>
                <w:sz w:val="24"/>
                <w:szCs w:val="24"/>
                <w:lang w:eastAsia="lv-LV"/>
              </w:rPr>
              <w:t>vēstule</w:t>
            </w:r>
            <w:r w:rsidR="00FC0B12">
              <w:rPr>
                <w:sz w:val="24"/>
                <w:szCs w:val="24"/>
                <w:lang w:eastAsia="lv-LV"/>
              </w:rPr>
              <w:t xml:space="preserve"> Nr. 21/16 un 2016.gada 27.oktobra </w:t>
            </w:r>
            <w:r w:rsidR="00711D39">
              <w:rPr>
                <w:sz w:val="24"/>
                <w:szCs w:val="24"/>
                <w:lang w:eastAsia="lv-LV"/>
              </w:rPr>
              <w:t>vēstule</w:t>
            </w:r>
            <w:r w:rsidR="00FC0B12">
              <w:rPr>
                <w:sz w:val="24"/>
                <w:szCs w:val="24"/>
                <w:lang w:eastAsia="lv-LV"/>
              </w:rPr>
              <w:t xml:space="preserve"> Nr. 35/16.</w:t>
            </w:r>
          </w:p>
        </w:tc>
      </w:tr>
      <w:tr w:rsidR="007F59FC" w:rsidRPr="007F59FC" w:rsidTr="006306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03" w:rsidRPr="007F59FC" w:rsidRDefault="00F80C03" w:rsidP="0063060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03" w:rsidRPr="007F59FC" w:rsidRDefault="00F80C03" w:rsidP="00FC0B1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72ACD" w:rsidRPr="007F59FC" w:rsidRDefault="005C589B" w:rsidP="00FC55F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 xml:space="preserve">Biedrība „Latvijas Ceļu būvētājs” </w:t>
            </w:r>
            <w:r w:rsidRPr="007F59FC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00804653" w:rsidRPr="007F59FC">
              <w:rPr>
                <w:rFonts w:eastAsia="Times New Roman"/>
                <w:sz w:val="24"/>
                <w:szCs w:val="24"/>
                <w:lang w:eastAsia="lv-LV"/>
              </w:rPr>
              <w:t>eatbalsta Minist</w:t>
            </w:r>
            <w:r w:rsidR="00E41E14">
              <w:rPr>
                <w:rFonts w:eastAsia="Times New Roman"/>
                <w:sz w:val="24"/>
                <w:szCs w:val="24"/>
                <w:lang w:eastAsia="lv-LV"/>
              </w:rPr>
              <w:t>ru kabineta noteikumu projekta “</w:t>
            </w:r>
            <w:r w:rsidR="00804653" w:rsidRPr="007F59FC">
              <w:rPr>
                <w:sz w:val="24"/>
                <w:szCs w:val="24"/>
              </w:rPr>
              <w:t>Vispārīgās valsts autoceļu būvdarbu izpildes un kvalitātes prasības atbilstoši autoceļu noslogojumam” pieņe</w:t>
            </w:r>
            <w:r w:rsidR="00E41E14">
              <w:rPr>
                <w:sz w:val="24"/>
                <w:szCs w:val="24"/>
              </w:rPr>
              <w:t>mšanu un uzskata, ka no likuma “</w:t>
            </w:r>
            <w:r w:rsidR="00804653" w:rsidRPr="007F59FC">
              <w:rPr>
                <w:sz w:val="24"/>
                <w:szCs w:val="24"/>
              </w:rPr>
              <w:t xml:space="preserve">Par </w:t>
            </w:r>
            <w:r w:rsidR="00804653" w:rsidRPr="007F59FC">
              <w:rPr>
                <w:sz w:val="24"/>
                <w:szCs w:val="24"/>
              </w:rPr>
              <w:lastRenderedPageBreak/>
              <w:t xml:space="preserve">autoceļiem” nepieciešams izslēgt 25. panta </w:t>
            </w:r>
            <w:r w:rsidR="008D3AC4" w:rsidRPr="007F59FC">
              <w:rPr>
                <w:sz w:val="24"/>
                <w:szCs w:val="24"/>
              </w:rPr>
              <w:t>1.</w:t>
            </w:r>
            <w:r w:rsidR="008D3AC4" w:rsidRPr="007F59FC">
              <w:rPr>
                <w:sz w:val="24"/>
                <w:szCs w:val="24"/>
                <w:vertAlign w:val="superscript"/>
              </w:rPr>
              <w:t>1</w:t>
            </w:r>
            <w:r w:rsidR="00804653" w:rsidRPr="007F59FC">
              <w:rPr>
                <w:sz w:val="24"/>
                <w:szCs w:val="24"/>
              </w:rPr>
              <w:t xml:space="preserve"> daļu.</w:t>
            </w:r>
            <w:r w:rsidR="00272ACD">
              <w:rPr>
                <w:sz w:val="24"/>
                <w:szCs w:val="24"/>
              </w:rPr>
              <w:t xml:space="preserve"> </w:t>
            </w:r>
            <w:r w:rsidR="00272ACD">
              <w:rPr>
                <w:sz w:val="24"/>
                <w:szCs w:val="24"/>
                <w:lang w:eastAsia="lv-LV"/>
              </w:rPr>
              <w:t xml:space="preserve">Biedrības </w:t>
            </w:r>
            <w:r w:rsidR="00272ACD" w:rsidRPr="007F59FC">
              <w:rPr>
                <w:sz w:val="24"/>
                <w:szCs w:val="24"/>
                <w:lang w:eastAsia="lv-LV"/>
              </w:rPr>
              <w:t>„Latvijas Ceļu būvētājs”</w:t>
            </w:r>
            <w:r w:rsidR="00272ACD">
              <w:rPr>
                <w:sz w:val="24"/>
                <w:szCs w:val="24"/>
                <w:lang w:eastAsia="lv-LV"/>
              </w:rPr>
              <w:t xml:space="preserve"> priekšlikumi ņemti vērā.</w:t>
            </w:r>
          </w:p>
        </w:tc>
      </w:tr>
      <w:tr w:rsidR="007F59FC" w:rsidRPr="007F59FC" w:rsidTr="006306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03" w:rsidRPr="007F59FC" w:rsidRDefault="00F80C03" w:rsidP="0063060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03" w:rsidRPr="007F59FC" w:rsidRDefault="00F80C03" w:rsidP="00FC55F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03" w:rsidRPr="007F59FC" w:rsidRDefault="00F80C03" w:rsidP="00FC55F2">
            <w:pPr>
              <w:spacing w:before="100" w:beforeAutospacing="1" w:after="100" w:afterAutospacing="1" w:line="285" w:lineRule="atLeast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F59FC"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9A22F6" w:rsidRPr="007F59FC" w:rsidRDefault="009A22F6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p w:rsidR="00F80C03" w:rsidRPr="007F59FC" w:rsidRDefault="00F80C03" w:rsidP="002F0047">
      <w:pPr>
        <w:shd w:val="clear" w:color="auto" w:fill="FFFFFF"/>
        <w:ind w:firstLine="301"/>
        <w:rPr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6"/>
        <w:gridCol w:w="3470"/>
        <w:gridCol w:w="5205"/>
      </w:tblGrid>
      <w:tr w:rsidR="007F59FC" w:rsidRPr="007F59FC" w:rsidTr="00DE0915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9A22F6" w:rsidRPr="007F59FC" w:rsidRDefault="00F80C03" w:rsidP="00DE0915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7F59FC">
              <w:rPr>
                <w:b/>
                <w:bCs/>
                <w:sz w:val="24"/>
                <w:szCs w:val="24"/>
                <w:lang w:eastAsia="lv-LV"/>
              </w:rPr>
              <w:t>VII</w:t>
            </w:r>
            <w:r w:rsidR="009A22F6" w:rsidRPr="007F59FC">
              <w:rPr>
                <w:b/>
                <w:bCs/>
                <w:sz w:val="24"/>
                <w:szCs w:val="24"/>
                <w:lang w:eastAsia="lv-LV"/>
              </w:rPr>
              <w:t xml:space="preserve"> Tiesību akta projekta izpildes nodrošināšana un tās ietekme uz institūcijām</w:t>
            </w:r>
          </w:p>
        </w:tc>
      </w:tr>
      <w:tr w:rsidR="007F59FC" w:rsidRPr="007F59FC" w:rsidTr="00DE0915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DE0915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A22F6" w:rsidRPr="007F59FC" w:rsidRDefault="009A22F6" w:rsidP="00FC55F2">
            <w:pPr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Satiksmes minist</w:t>
            </w:r>
            <w:r w:rsidR="00E41E14">
              <w:rPr>
                <w:sz w:val="24"/>
                <w:szCs w:val="24"/>
                <w:lang w:eastAsia="lv-LV"/>
              </w:rPr>
              <w:t>rija, valsts akciju sabiedrība “</w:t>
            </w:r>
            <w:r w:rsidRPr="007F59FC">
              <w:rPr>
                <w:sz w:val="24"/>
                <w:szCs w:val="24"/>
                <w:lang w:eastAsia="lv-LV"/>
              </w:rPr>
              <w:t>Latvija</w:t>
            </w:r>
            <w:r w:rsidR="003C301D" w:rsidRPr="007F59FC">
              <w:rPr>
                <w:sz w:val="24"/>
                <w:szCs w:val="24"/>
                <w:lang w:eastAsia="lv-LV"/>
              </w:rPr>
              <w:t>s Valsts ceļi”.</w:t>
            </w:r>
          </w:p>
        </w:tc>
      </w:tr>
      <w:tr w:rsidR="007F59FC" w:rsidRPr="007F59FC" w:rsidTr="00DE0915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DE0915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9A22F6" w:rsidRPr="007F59FC" w:rsidRDefault="009A22F6" w:rsidP="00FC0B12">
            <w:pPr>
              <w:spacing w:before="100" w:beforeAutospacing="1" w:after="100" w:afterAutospacing="1" w:line="293" w:lineRule="atLeast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A22F6" w:rsidRPr="007F59FC" w:rsidRDefault="009A22F6" w:rsidP="00FC55F2">
            <w:pPr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A22F6" w:rsidRPr="007F59FC" w:rsidTr="00DE0915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DE0915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22F6" w:rsidRPr="007F59FC" w:rsidRDefault="009A22F6" w:rsidP="00FC0B12">
            <w:pPr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A22F6" w:rsidRPr="007F59FC" w:rsidRDefault="009A22F6" w:rsidP="00FC55F2">
            <w:pPr>
              <w:spacing w:before="100" w:beforeAutospacing="1" w:after="100" w:afterAutospacing="1" w:line="293" w:lineRule="atLeast"/>
              <w:jc w:val="both"/>
              <w:rPr>
                <w:sz w:val="24"/>
                <w:szCs w:val="24"/>
                <w:lang w:eastAsia="lv-LV"/>
              </w:rPr>
            </w:pPr>
            <w:r w:rsidRPr="007F59FC">
              <w:rPr>
                <w:sz w:val="24"/>
                <w:szCs w:val="24"/>
                <w:lang w:eastAsia="lv-LV"/>
              </w:rPr>
              <w:t>Nav.</w:t>
            </w:r>
          </w:p>
        </w:tc>
      </w:tr>
    </w:tbl>
    <w:p w:rsidR="009A22F6" w:rsidRPr="007F59FC" w:rsidRDefault="009A22F6">
      <w:pPr>
        <w:rPr>
          <w:sz w:val="24"/>
          <w:szCs w:val="24"/>
        </w:rPr>
      </w:pPr>
    </w:p>
    <w:p w:rsidR="009A22F6" w:rsidRPr="007F59FC" w:rsidRDefault="009A22F6" w:rsidP="005D0E57">
      <w:pPr>
        <w:rPr>
          <w:sz w:val="24"/>
          <w:szCs w:val="24"/>
        </w:rPr>
      </w:pPr>
    </w:p>
    <w:p w:rsidR="009A22F6" w:rsidRDefault="009A22F6" w:rsidP="005D0E57">
      <w:pPr>
        <w:rPr>
          <w:color w:val="000000"/>
          <w:sz w:val="24"/>
          <w:szCs w:val="24"/>
        </w:rPr>
      </w:pPr>
    </w:p>
    <w:p w:rsidR="009A22F6" w:rsidRDefault="009A22F6" w:rsidP="005D0E57">
      <w:pPr>
        <w:rPr>
          <w:color w:val="000000"/>
          <w:sz w:val="24"/>
          <w:szCs w:val="24"/>
        </w:rPr>
      </w:pPr>
    </w:p>
    <w:p w:rsidR="009A22F6" w:rsidRDefault="009A22F6" w:rsidP="00627EC8">
      <w:pPr>
        <w:jc w:val="both"/>
        <w:rPr>
          <w:szCs w:val="28"/>
          <w:lang w:eastAsia="lv-LV"/>
        </w:rPr>
      </w:pPr>
      <w:r>
        <w:rPr>
          <w:szCs w:val="28"/>
          <w:lang w:eastAsia="lv-LV"/>
        </w:rPr>
        <w:t>Satiksmes ministrs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 w:rsidR="00627EC8">
        <w:rPr>
          <w:szCs w:val="28"/>
          <w:lang w:eastAsia="lv-LV"/>
        </w:rPr>
        <w:tab/>
      </w:r>
      <w:r w:rsidR="00E357EB">
        <w:rPr>
          <w:szCs w:val="28"/>
          <w:lang w:eastAsia="lv-LV"/>
        </w:rPr>
        <w:t>U. Augulis</w:t>
      </w:r>
    </w:p>
    <w:p w:rsidR="009A22F6" w:rsidRDefault="009A22F6" w:rsidP="00627EC8">
      <w:pPr>
        <w:jc w:val="both"/>
        <w:rPr>
          <w:szCs w:val="28"/>
          <w:lang w:eastAsia="lv-LV"/>
        </w:rPr>
      </w:pPr>
    </w:p>
    <w:p w:rsidR="009A22F6" w:rsidRDefault="009A22F6" w:rsidP="00627EC8">
      <w:pPr>
        <w:jc w:val="both"/>
        <w:rPr>
          <w:szCs w:val="28"/>
          <w:lang w:eastAsia="lv-LV"/>
        </w:rPr>
      </w:pPr>
    </w:p>
    <w:p w:rsidR="00272ACD" w:rsidRPr="00272ACD" w:rsidRDefault="007D115B" w:rsidP="007D115B">
      <w:pPr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Vīza: valsts sekretārs</w:t>
      </w:r>
      <w:r>
        <w:rPr>
          <w:rFonts w:eastAsia="Times New Roman"/>
          <w:color w:val="000000"/>
          <w:szCs w:val="28"/>
          <w:lang w:eastAsia="lv-LV"/>
        </w:rPr>
        <w:tab/>
      </w:r>
      <w:r>
        <w:rPr>
          <w:rFonts w:eastAsia="Times New Roman"/>
          <w:color w:val="000000"/>
          <w:szCs w:val="28"/>
          <w:lang w:eastAsia="lv-LV"/>
        </w:rPr>
        <w:tab/>
      </w:r>
      <w:r>
        <w:rPr>
          <w:rFonts w:eastAsia="Times New Roman"/>
          <w:color w:val="000000"/>
          <w:szCs w:val="28"/>
          <w:lang w:eastAsia="lv-LV"/>
        </w:rPr>
        <w:tab/>
      </w:r>
      <w:r>
        <w:rPr>
          <w:rFonts w:eastAsia="Times New Roman"/>
          <w:color w:val="000000"/>
          <w:szCs w:val="28"/>
          <w:lang w:eastAsia="lv-LV"/>
        </w:rPr>
        <w:tab/>
      </w:r>
      <w:r>
        <w:rPr>
          <w:rFonts w:eastAsia="Times New Roman"/>
          <w:color w:val="000000"/>
          <w:szCs w:val="28"/>
          <w:lang w:eastAsia="lv-LV"/>
        </w:rPr>
        <w:tab/>
      </w:r>
      <w:r>
        <w:rPr>
          <w:rFonts w:eastAsia="Times New Roman"/>
          <w:color w:val="000000"/>
          <w:szCs w:val="28"/>
          <w:lang w:eastAsia="lv-LV"/>
        </w:rPr>
        <w:tab/>
      </w:r>
      <w:r>
        <w:rPr>
          <w:rFonts w:eastAsia="Times New Roman"/>
          <w:color w:val="000000"/>
          <w:szCs w:val="28"/>
          <w:lang w:eastAsia="lv-LV"/>
        </w:rPr>
        <w:tab/>
      </w:r>
      <w:r w:rsidR="00272ACD" w:rsidRPr="00272ACD">
        <w:rPr>
          <w:rFonts w:eastAsia="Times New Roman"/>
          <w:color w:val="000000"/>
          <w:szCs w:val="28"/>
          <w:lang w:eastAsia="lv-LV"/>
        </w:rPr>
        <w:t>K. Ozoliņš</w:t>
      </w:r>
    </w:p>
    <w:p w:rsidR="009A22F6" w:rsidRDefault="009A22F6" w:rsidP="005D0E57">
      <w:pPr>
        <w:jc w:val="both"/>
        <w:rPr>
          <w:szCs w:val="28"/>
          <w:lang w:eastAsia="lv-LV"/>
        </w:rPr>
      </w:pPr>
    </w:p>
    <w:p w:rsidR="009A22F6" w:rsidRDefault="009A22F6" w:rsidP="005D0E57">
      <w:pPr>
        <w:jc w:val="both"/>
        <w:rPr>
          <w:szCs w:val="28"/>
          <w:lang w:eastAsia="lv-LV"/>
        </w:rPr>
      </w:pPr>
    </w:p>
    <w:p w:rsidR="003B3316" w:rsidRDefault="003B3316" w:rsidP="005D0E57">
      <w:pPr>
        <w:jc w:val="both"/>
        <w:rPr>
          <w:szCs w:val="28"/>
          <w:lang w:eastAsia="lv-LV"/>
        </w:rPr>
      </w:pPr>
    </w:p>
    <w:p w:rsidR="003B3316" w:rsidRDefault="003B3316" w:rsidP="005D0E57">
      <w:pPr>
        <w:jc w:val="both"/>
        <w:rPr>
          <w:szCs w:val="28"/>
          <w:lang w:eastAsia="lv-LV"/>
        </w:rPr>
      </w:pPr>
    </w:p>
    <w:p w:rsidR="003B3316" w:rsidRDefault="003B3316" w:rsidP="005D0E57">
      <w:pPr>
        <w:jc w:val="both"/>
        <w:rPr>
          <w:szCs w:val="28"/>
          <w:lang w:eastAsia="lv-LV"/>
        </w:rPr>
      </w:pPr>
    </w:p>
    <w:p w:rsidR="003B3316" w:rsidRDefault="003B3316" w:rsidP="005D0E57">
      <w:pPr>
        <w:jc w:val="both"/>
        <w:rPr>
          <w:szCs w:val="28"/>
          <w:lang w:eastAsia="lv-LV"/>
        </w:rPr>
      </w:pPr>
    </w:p>
    <w:p w:rsidR="003B3316" w:rsidRDefault="003B3316" w:rsidP="005D0E57">
      <w:pPr>
        <w:jc w:val="both"/>
        <w:rPr>
          <w:szCs w:val="28"/>
          <w:lang w:eastAsia="lv-LV"/>
        </w:rPr>
      </w:pPr>
    </w:p>
    <w:p w:rsidR="009A22F6" w:rsidRDefault="00713F21" w:rsidP="005D0E57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2016.11</w:t>
      </w:r>
      <w:r w:rsidR="00585CC6">
        <w:rPr>
          <w:sz w:val="20"/>
          <w:szCs w:val="20"/>
          <w:lang w:eastAsia="lv-LV"/>
        </w:rPr>
        <w:t>.</w:t>
      </w:r>
      <w:r w:rsidR="007D115B">
        <w:rPr>
          <w:sz w:val="20"/>
          <w:szCs w:val="20"/>
          <w:lang w:eastAsia="lv-LV"/>
        </w:rPr>
        <w:t>1</w:t>
      </w:r>
      <w:r w:rsidR="0095756B">
        <w:rPr>
          <w:sz w:val="20"/>
          <w:szCs w:val="20"/>
          <w:lang w:eastAsia="lv-LV"/>
        </w:rPr>
        <w:t>7. 9:29</w:t>
      </w:r>
      <w:bookmarkStart w:id="0" w:name="_GoBack"/>
      <w:bookmarkEnd w:id="0"/>
    </w:p>
    <w:p w:rsidR="007D115B" w:rsidRDefault="0095756B" w:rsidP="005D0E57">
      <w:pPr>
        <w:jc w:val="both"/>
        <w:rPr>
          <w:sz w:val="20"/>
          <w:szCs w:val="20"/>
        </w:rPr>
      </w:pPr>
      <w:r>
        <w:rPr>
          <w:sz w:val="20"/>
          <w:szCs w:val="20"/>
        </w:rPr>
        <w:t>606</w:t>
      </w:r>
    </w:p>
    <w:p w:rsidR="00272ACD" w:rsidRDefault="009A22F6" w:rsidP="005D0E57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A.</w:t>
      </w:r>
      <w:r w:rsidR="00481D38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>Granīta, 6</w:t>
      </w:r>
      <w:r w:rsidR="00272ACD">
        <w:rPr>
          <w:sz w:val="20"/>
          <w:szCs w:val="20"/>
        </w:rPr>
        <w:t>7028157</w:t>
      </w:r>
      <w:r>
        <w:rPr>
          <w:sz w:val="20"/>
          <w:szCs w:val="20"/>
        </w:rPr>
        <w:t xml:space="preserve"> </w:t>
      </w:r>
    </w:p>
    <w:p w:rsidR="009A22F6" w:rsidRDefault="0095756B" w:rsidP="005D0E57">
      <w:pPr>
        <w:jc w:val="both"/>
        <w:rPr>
          <w:sz w:val="20"/>
          <w:szCs w:val="20"/>
        </w:rPr>
      </w:pPr>
      <w:hyperlink r:id="rId9" w:history="1">
        <w:r w:rsidR="009A22F6">
          <w:rPr>
            <w:rStyle w:val="Hyperlink"/>
            <w:sz w:val="20"/>
            <w:szCs w:val="20"/>
          </w:rPr>
          <w:t>Andra.Granita@lvceli.lv</w:t>
        </w:r>
      </w:hyperlink>
      <w:r w:rsidR="009A22F6">
        <w:rPr>
          <w:sz w:val="20"/>
          <w:szCs w:val="20"/>
        </w:rPr>
        <w:t xml:space="preserve"> </w:t>
      </w:r>
    </w:p>
    <w:p w:rsidR="00CB1428" w:rsidRDefault="00CB1428" w:rsidP="005D0E57">
      <w:pPr>
        <w:jc w:val="both"/>
        <w:rPr>
          <w:sz w:val="20"/>
          <w:szCs w:val="20"/>
        </w:rPr>
      </w:pPr>
    </w:p>
    <w:p w:rsidR="00CB1428" w:rsidRPr="00C154DE" w:rsidRDefault="00CB1428" w:rsidP="00CB1428">
      <w:pPr>
        <w:rPr>
          <w:rFonts w:eastAsia="Times New Roman"/>
          <w:sz w:val="20"/>
          <w:szCs w:val="20"/>
          <w:lang w:eastAsia="lv-LV"/>
        </w:rPr>
      </w:pPr>
      <w:r w:rsidRPr="00C154DE">
        <w:rPr>
          <w:rFonts w:eastAsia="Times New Roman"/>
          <w:sz w:val="20"/>
          <w:szCs w:val="20"/>
          <w:lang w:eastAsia="lv-LV"/>
        </w:rPr>
        <w:t>D.</w:t>
      </w:r>
      <w:r w:rsidR="00481D38">
        <w:rPr>
          <w:rFonts w:eastAsia="Times New Roman"/>
          <w:sz w:val="20"/>
          <w:szCs w:val="20"/>
          <w:lang w:eastAsia="lv-LV"/>
        </w:rPr>
        <w:t> </w:t>
      </w:r>
      <w:r w:rsidR="00883D22">
        <w:rPr>
          <w:rFonts w:eastAsia="Times New Roman"/>
          <w:sz w:val="20"/>
          <w:szCs w:val="20"/>
          <w:lang w:eastAsia="lv-LV"/>
        </w:rPr>
        <w:t>Supe</w:t>
      </w:r>
      <w:r w:rsidRPr="00C154DE">
        <w:rPr>
          <w:rFonts w:eastAsia="Times New Roman"/>
          <w:sz w:val="20"/>
          <w:szCs w:val="20"/>
          <w:lang w:eastAsia="lv-LV"/>
        </w:rPr>
        <w:t>, 67028253</w:t>
      </w:r>
    </w:p>
    <w:p w:rsidR="00CB1428" w:rsidRDefault="0095756B" w:rsidP="0042367F">
      <w:pPr>
        <w:rPr>
          <w:rFonts w:ascii="Arial" w:hAnsi="Arial" w:cs="Arial"/>
          <w:b/>
          <w:bCs/>
          <w:color w:val="414142"/>
          <w:sz w:val="20"/>
          <w:szCs w:val="20"/>
          <w:lang w:eastAsia="lv-LV"/>
        </w:rPr>
      </w:pPr>
      <w:hyperlink r:id="rId10" w:history="1">
        <w:r w:rsidR="00883D22" w:rsidRPr="000006F0">
          <w:rPr>
            <w:rStyle w:val="Hyperlink"/>
            <w:rFonts w:eastAsia="Times New Roman"/>
            <w:sz w:val="20"/>
            <w:szCs w:val="20"/>
            <w:lang w:eastAsia="lv-LV"/>
          </w:rPr>
          <w:t>dace.supe@sam.gov.lv</w:t>
        </w:r>
      </w:hyperlink>
    </w:p>
    <w:sectPr w:rsidR="00CB1428" w:rsidSect="001D3D27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36" w:rsidRDefault="00816736" w:rsidP="001D3D27">
      <w:r>
        <w:separator/>
      </w:r>
    </w:p>
    <w:p w:rsidR="00816736" w:rsidRDefault="00816736"/>
  </w:endnote>
  <w:endnote w:type="continuationSeparator" w:id="0">
    <w:p w:rsidR="00816736" w:rsidRDefault="00816736" w:rsidP="001D3D27">
      <w:r>
        <w:continuationSeparator/>
      </w:r>
    </w:p>
    <w:p w:rsidR="00816736" w:rsidRDefault="00816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91" w:rsidRPr="00DE0915" w:rsidRDefault="001B0991" w:rsidP="001B0991">
    <w:pPr>
      <w:jc w:val="both"/>
      <w:rPr>
        <w:bCs/>
        <w:color w:val="000000"/>
        <w:sz w:val="20"/>
        <w:szCs w:val="20"/>
        <w:lang w:eastAsia="lv-LV"/>
      </w:rPr>
    </w:pPr>
    <w:r>
      <w:rPr>
        <w:bCs/>
        <w:color w:val="000000"/>
        <w:sz w:val="20"/>
        <w:szCs w:val="20"/>
        <w:lang w:eastAsia="lv-LV"/>
      </w:rPr>
      <w:t>SAMAnot_</w:t>
    </w:r>
    <w:r w:rsidR="00713F21">
      <w:rPr>
        <w:bCs/>
        <w:color w:val="000000"/>
        <w:sz w:val="20"/>
        <w:szCs w:val="20"/>
        <w:lang w:eastAsia="lv-LV"/>
      </w:rPr>
      <w:t>1</w:t>
    </w:r>
    <w:r w:rsidR="0095756B">
      <w:rPr>
        <w:bCs/>
        <w:color w:val="000000"/>
        <w:sz w:val="20"/>
        <w:szCs w:val="20"/>
        <w:lang w:eastAsia="lv-LV"/>
      </w:rPr>
      <w:t>7</w:t>
    </w:r>
    <w:r w:rsidR="00713F21">
      <w:rPr>
        <w:bCs/>
        <w:color w:val="000000"/>
        <w:sz w:val="20"/>
        <w:szCs w:val="20"/>
        <w:lang w:eastAsia="lv-LV"/>
      </w:rPr>
      <w:t>11</w:t>
    </w:r>
    <w:r>
      <w:rPr>
        <w:bCs/>
        <w:color w:val="000000"/>
        <w:sz w:val="20"/>
        <w:szCs w:val="20"/>
        <w:lang w:eastAsia="lv-LV"/>
      </w:rPr>
      <w:t xml:space="preserve">16_grozaclik; </w:t>
    </w:r>
    <w:r w:rsidRPr="005C504F">
      <w:rPr>
        <w:bCs/>
        <w:color w:val="000000"/>
        <w:sz w:val="20"/>
        <w:szCs w:val="20"/>
        <w:lang w:eastAsia="lv-LV"/>
      </w:rPr>
      <w:t>Likumprojekta „Grozījum</w:t>
    </w:r>
    <w:r>
      <w:rPr>
        <w:bCs/>
        <w:color w:val="000000"/>
        <w:sz w:val="20"/>
        <w:szCs w:val="20"/>
        <w:lang w:eastAsia="lv-LV"/>
      </w:rPr>
      <w:t>i</w:t>
    </w:r>
    <w:r w:rsidRPr="005C504F">
      <w:rPr>
        <w:bCs/>
        <w:color w:val="000000"/>
        <w:sz w:val="20"/>
        <w:szCs w:val="20"/>
        <w:lang w:eastAsia="lv-LV"/>
      </w:rPr>
      <w:t xml:space="preserve"> likumā „Par autoceļiem””</w:t>
    </w:r>
    <w:r w:rsidRPr="001D3D27">
      <w:rPr>
        <w:bCs/>
        <w:color w:val="000000"/>
        <w:sz w:val="20"/>
        <w:szCs w:val="20"/>
        <w:lang w:eastAsia="lv-LV"/>
      </w:rPr>
      <w:t xml:space="preserve"> </w:t>
    </w:r>
    <w:r w:rsidRPr="00DE0915">
      <w:rPr>
        <w:bCs/>
        <w:color w:val="000000"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F6" w:rsidRPr="00DE0915" w:rsidRDefault="009A22F6" w:rsidP="00864B46">
    <w:pPr>
      <w:jc w:val="both"/>
      <w:rPr>
        <w:bCs/>
        <w:color w:val="000000"/>
        <w:sz w:val="20"/>
        <w:szCs w:val="20"/>
        <w:lang w:eastAsia="lv-LV"/>
      </w:rPr>
    </w:pPr>
    <w:r>
      <w:rPr>
        <w:bCs/>
        <w:color w:val="000000"/>
        <w:sz w:val="20"/>
        <w:szCs w:val="20"/>
        <w:lang w:eastAsia="lv-LV"/>
      </w:rPr>
      <w:t>SAMAnot_</w:t>
    </w:r>
    <w:r w:rsidR="0095756B">
      <w:rPr>
        <w:bCs/>
        <w:color w:val="000000"/>
        <w:sz w:val="20"/>
        <w:szCs w:val="20"/>
        <w:lang w:eastAsia="lv-LV"/>
      </w:rPr>
      <w:t>17</w:t>
    </w:r>
    <w:r w:rsidR="00713F21">
      <w:rPr>
        <w:bCs/>
        <w:color w:val="000000"/>
        <w:sz w:val="20"/>
        <w:szCs w:val="20"/>
        <w:lang w:eastAsia="lv-LV"/>
      </w:rPr>
      <w:t>11</w:t>
    </w:r>
    <w:r w:rsidR="00C820B0">
      <w:rPr>
        <w:bCs/>
        <w:color w:val="000000"/>
        <w:sz w:val="20"/>
        <w:szCs w:val="20"/>
        <w:lang w:eastAsia="lv-LV"/>
      </w:rPr>
      <w:t>1</w:t>
    </w:r>
    <w:r w:rsidR="00E357EB">
      <w:rPr>
        <w:bCs/>
        <w:color w:val="000000"/>
        <w:sz w:val="20"/>
        <w:szCs w:val="20"/>
        <w:lang w:eastAsia="lv-LV"/>
      </w:rPr>
      <w:t>6</w:t>
    </w:r>
    <w:r>
      <w:rPr>
        <w:bCs/>
        <w:color w:val="000000"/>
        <w:sz w:val="20"/>
        <w:szCs w:val="20"/>
        <w:lang w:eastAsia="lv-LV"/>
      </w:rPr>
      <w:t>_groz</w:t>
    </w:r>
    <w:r w:rsidR="005C504F">
      <w:rPr>
        <w:bCs/>
        <w:color w:val="000000"/>
        <w:sz w:val="20"/>
        <w:szCs w:val="20"/>
        <w:lang w:eastAsia="lv-LV"/>
      </w:rPr>
      <w:t>aclik</w:t>
    </w:r>
    <w:r>
      <w:rPr>
        <w:bCs/>
        <w:color w:val="000000"/>
        <w:sz w:val="20"/>
        <w:szCs w:val="20"/>
        <w:lang w:eastAsia="lv-LV"/>
      </w:rPr>
      <w:t xml:space="preserve">; </w:t>
    </w:r>
    <w:r w:rsidR="005C504F" w:rsidRPr="005C504F">
      <w:rPr>
        <w:bCs/>
        <w:color w:val="000000"/>
        <w:sz w:val="20"/>
        <w:szCs w:val="20"/>
        <w:lang w:eastAsia="lv-LV"/>
      </w:rPr>
      <w:t>Likumprojekta „Grozījum</w:t>
    </w:r>
    <w:r w:rsidR="001B0991">
      <w:rPr>
        <w:bCs/>
        <w:color w:val="000000"/>
        <w:sz w:val="20"/>
        <w:szCs w:val="20"/>
        <w:lang w:eastAsia="lv-LV"/>
      </w:rPr>
      <w:t>i</w:t>
    </w:r>
    <w:r w:rsidR="005C504F" w:rsidRPr="005C504F">
      <w:rPr>
        <w:bCs/>
        <w:color w:val="000000"/>
        <w:sz w:val="20"/>
        <w:szCs w:val="20"/>
        <w:lang w:eastAsia="lv-LV"/>
      </w:rPr>
      <w:t xml:space="preserve"> likumā „Par autoceļiem””</w:t>
    </w:r>
    <w:r w:rsidRPr="001D3D27">
      <w:rPr>
        <w:bCs/>
        <w:color w:val="000000"/>
        <w:sz w:val="20"/>
        <w:szCs w:val="20"/>
        <w:lang w:eastAsia="lv-LV"/>
      </w:rPr>
      <w:t xml:space="preserve"> </w:t>
    </w:r>
    <w:r w:rsidRPr="00DE0915">
      <w:rPr>
        <w:bCs/>
        <w:color w:val="000000"/>
        <w:sz w:val="20"/>
        <w:szCs w:val="20"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36" w:rsidRDefault="00816736" w:rsidP="001D3D27">
      <w:r>
        <w:separator/>
      </w:r>
    </w:p>
    <w:p w:rsidR="00816736" w:rsidRDefault="00816736"/>
  </w:footnote>
  <w:footnote w:type="continuationSeparator" w:id="0">
    <w:p w:rsidR="00816736" w:rsidRDefault="00816736" w:rsidP="001D3D27">
      <w:r>
        <w:continuationSeparator/>
      </w:r>
    </w:p>
    <w:p w:rsidR="00816736" w:rsidRDefault="008167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A0" w:rsidRDefault="000A38A0">
    <w:pPr>
      <w:pStyle w:val="Header"/>
    </w:pPr>
  </w:p>
  <w:p w:rsidR="00A91656" w:rsidRDefault="00A916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F6" w:rsidRPr="00711D39" w:rsidRDefault="009A22F6">
    <w:pPr>
      <w:pStyle w:val="Header"/>
      <w:jc w:val="center"/>
      <w:rPr>
        <w:sz w:val="24"/>
        <w:szCs w:val="24"/>
      </w:rPr>
    </w:pPr>
    <w:r w:rsidRPr="00711D39">
      <w:rPr>
        <w:sz w:val="24"/>
        <w:szCs w:val="24"/>
      </w:rPr>
      <w:fldChar w:fldCharType="begin"/>
    </w:r>
    <w:r w:rsidRPr="00711D39">
      <w:rPr>
        <w:sz w:val="24"/>
        <w:szCs w:val="24"/>
      </w:rPr>
      <w:instrText xml:space="preserve"> PAGE   \* MERGEFORMAT </w:instrText>
    </w:r>
    <w:r w:rsidRPr="00711D39">
      <w:rPr>
        <w:sz w:val="24"/>
        <w:szCs w:val="24"/>
      </w:rPr>
      <w:fldChar w:fldCharType="separate"/>
    </w:r>
    <w:r w:rsidR="0095756B">
      <w:rPr>
        <w:noProof/>
        <w:sz w:val="24"/>
        <w:szCs w:val="24"/>
      </w:rPr>
      <w:t>3</w:t>
    </w:r>
    <w:r w:rsidRPr="00711D39">
      <w:rPr>
        <w:sz w:val="24"/>
        <w:szCs w:val="24"/>
      </w:rPr>
      <w:fldChar w:fldCharType="end"/>
    </w:r>
  </w:p>
  <w:p w:rsidR="009A22F6" w:rsidRDefault="009A22F6">
    <w:pPr>
      <w:pStyle w:val="Header"/>
    </w:pPr>
  </w:p>
  <w:p w:rsidR="00A91656" w:rsidRDefault="00A916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55"/>
    <w:multiLevelType w:val="hybridMultilevel"/>
    <w:tmpl w:val="0CD45EC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51178"/>
    <w:multiLevelType w:val="hybridMultilevel"/>
    <w:tmpl w:val="3C469EE6"/>
    <w:lvl w:ilvl="0" w:tplc="7506FEEC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4DA7"/>
    <w:multiLevelType w:val="hybridMultilevel"/>
    <w:tmpl w:val="E7E6F1A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5"/>
    <w:rsid w:val="000048CD"/>
    <w:rsid w:val="00015F28"/>
    <w:rsid w:val="00087D6B"/>
    <w:rsid w:val="000A38A0"/>
    <w:rsid w:val="000D66F9"/>
    <w:rsid w:val="0014481A"/>
    <w:rsid w:val="001B0991"/>
    <w:rsid w:val="001D3D27"/>
    <w:rsid w:val="001E09B5"/>
    <w:rsid w:val="00222671"/>
    <w:rsid w:val="00272ACD"/>
    <w:rsid w:val="00297869"/>
    <w:rsid w:val="002A1B75"/>
    <w:rsid w:val="002F0047"/>
    <w:rsid w:val="00300F55"/>
    <w:rsid w:val="00394104"/>
    <w:rsid w:val="003B1E79"/>
    <w:rsid w:val="003B3316"/>
    <w:rsid w:val="003C301D"/>
    <w:rsid w:val="00410CEB"/>
    <w:rsid w:val="0042367F"/>
    <w:rsid w:val="00430951"/>
    <w:rsid w:val="00451CBA"/>
    <w:rsid w:val="00481D38"/>
    <w:rsid w:val="0048299C"/>
    <w:rsid w:val="004B3F43"/>
    <w:rsid w:val="004B6EB5"/>
    <w:rsid w:val="004C1EFA"/>
    <w:rsid w:val="004C45D6"/>
    <w:rsid w:val="004F5F50"/>
    <w:rsid w:val="00501BC3"/>
    <w:rsid w:val="005066FD"/>
    <w:rsid w:val="00506FB8"/>
    <w:rsid w:val="0051192F"/>
    <w:rsid w:val="00523878"/>
    <w:rsid w:val="005268F5"/>
    <w:rsid w:val="00580136"/>
    <w:rsid w:val="00584604"/>
    <w:rsid w:val="00585CC6"/>
    <w:rsid w:val="00591647"/>
    <w:rsid w:val="00595082"/>
    <w:rsid w:val="005B34D8"/>
    <w:rsid w:val="005C504F"/>
    <w:rsid w:val="005C589B"/>
    <w:rsid w:val="005D098E"/>
    <w:rsid w:val="005D0E57"/>
    <w:rsid w:val="00627EC8"/>
    <w:rsid w:val="00666170"/>
    <w:rsid w:val="00693E35"/>
    <w:rsid w:val="006A4CE3"/>
    <w:rsid w:val="006A73DE"/>
    <w:rsid w:val="006D0E4F"/>
    <w:rsid w:val="006D783E"/>
    <w:rsid w:val="00711D39"/>
    <w:rsid w:val="00713F21"/>
    <w:rsid w:val="00723BA5"/>
    <w:rsid w:val="0075212F"/>
    <w:rsid w:val="007653E2"/>
    <w:rsid w:val="00781925"/>
    <w:rsid w:val="007D115B"/>
    <w:rsid w:val="007D1291"/>
    <w:rsid w:val="007F59FC"/>
    <w:rsid w:val="007F7AFE"/>
    <w:rsid w:val="00804653"/>
    <w:rsid w:val="008052A7"/>
    <w:rsid w:val="00816736"/>
    <w:rsid w:val="00840154"/>
    <w:rsid w:val="00861D6F"/>
    <w:rsid w:val="00864B46"/>
    <w:rsid w:val="00883D22"/>
    <w:rsid w:val="0088592A"/>
    <w:rsid w:val="0089513C"/>
    <w:rsid w:val="008B3DAA"/>
    <w:rsid w:val="008D245E"/>
    <w:rsid w:val="008D3AC4"/>
    <w:rsid w:val="008E30A3"/>
    <w:rsid w:val="009202AB"/>
    <w:rsid w:val="00932321"/>
    <w:rsid w:val="00946D14"/>
    <w:rsid w:val="0095756B"/>
    <w:rsid w:val="00975194"/>
    <w:rsid w:val="009A22F6"/>
    <w:rsid w:val="009E29B9"/>
    <w:rsid w:val="00A50B39"/>
    <w:rsid w:val="00A91656"/>
    <w:rsid w:val="00AE6171"/>
    <w:rsid w:val="00AF400C"/>
    <w:rsid w:val="00B96F3F"/>
    <w:rsid w:val="00BA1968"/>
    <w:rsid w:val="00BD5A81"/>
    <w:rsid w:val="00C60BCD"/>
    <w:rsid w:val="00C63EB8"/>
    <w:rsid w:val="00C820B0"/>
    <w:rsid w:val="00CB1428"/>
    <w:rsid w:val="00D17EE4"/>
    <w:rsid w:val="00D23B4E"/>
    <w:rsid w:val="00D6111F"/>
    <w:rsid w:val="00DC76D2"/>
    <w:rsid w:val="00DD3E70"/>
    <w:rsid w:val="00DE0915"/>
    <w:rsid w:val="00DF1E40"/>
    <w:rsid w:val="00E02DDA"/>
    <w:rsid w:val="00E07C15"/>
    <w:rsid w:val="00E26F8F"/>
    <w:rsid w:val="00E357EB"/>
    <w:rsid w:val="00E41E14"/>
    <w:rsid w:val="00E43E19"/>
    <w:rsid w:val="00E51EA8"/>
    <w:rsid w:val="00E6107C"/>
    <w:rsid w:val="00E71DF6"/>
    <w:rsid w:val="00E87CB8"/>
    <w:rsid w:val="00E91F17"/>
    <w:rsid w:val="00EC677A"/>
    <w:rsid w:val="00ED52B8"/>
    <w:rsid w:val="00EF0B38"/>
    <w:rsid w:val="00F2475F"/>
    <w:rsid w:val="00F50F36"/>
    <w:rsid w:val="00F52710"/>
    <w:rsid w:val="00F54F4F"/>
    <w:rsid w:val="00F80C03"/>
    <w:rsid w:val="00FB5AB5"/>
    <w:rsid w:val="00FC0B12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5"/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238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38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387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8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387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3D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D3D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3D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D3D27"/>
    <w:rPr>
      <w:rFonts w:cs="Times New Roman"/>
    </w:rPr>
  </w:style>
  <w:style w:type="character" w:styleId="Hyperlink">
    <w:name w:val="Hyperlink"/>
    <w:uiPriority w:val="99"/>
    <w:semiHidden/>
    <w:rsid w:val="005D0E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00C"/>
    <w:pPr>
      <w:ind w:left="72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5"/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238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38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387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8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387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3D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D3D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3D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D3D27"/>
    <w:rPr>
      <w:rFonts w:cs="Times New Roman"/>
    </w:rPr>
  </w:style>
  <w:style w:type="character" w:styleId="Hyperlink">
    <w:name w:val="Hyperlink"/>
    <w:uiPriority w:val="99"/>
    <w:semiHidden/>
    <w:rsid w:val="005D0E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00C"/>
    <w:pPr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5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ce.supe@s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a.Granita@lvcel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9153-3579-45BD-B91E-5C2C1BBB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4389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“Grozījumi likumā “Par autoceļiem”” sākotnējās ietekmes novērtējuma ziņojums (anotācija)</vt:lpstr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likumā “Par autoceļiem”” sākotnējās ietekmes novērtējuma ziņojums (anotācija)</dc:title>
  <dc:creator>Andra Granīta;Dace.Supe@sam.gov.lv</dc:creator>
  <dc:description>Dace.Supe@sam.gov.lv, 67028253; Andra.Granita@lvceli.lv, 67028157</dc:description>
  <cp:lastModifiedBy>Dace Supe</cp:lastModifiedBy>
  <cp:revision>6</cp:revision>
  <cp:lastPrinted>2015-08-28T08:52:00Z</cp:lastPrinted>
  <dcterms:created xsi:type="dcterms:W3CDTF">2016-11-07T07:56:00Z</dcterms:created>
  <dcterms:modified xsi:type="dcterms:W3CDTF">2016-11-17T07:29:00Z</dcterms:modified>
</cp:coreProperties>
</file>