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51" w:rsidRPr="00C42973" w:rsidRDefault="00C86270" w:rsidP="002B3E74">
      <w:pPr>
        <w:pStyle w:val="Header"/>
        <w:spacing w:line="240" w:lineRule="auto"/>
        <w:ind w:firstLine="0"/>
        <w:jc w:val="center"/>
        <w:rPr>
          <w:b/>
          <w:sz w:val="24"/>
          <w:szCs w:val="24"/>
          <w:lang w:val="lv-LV"/>
        </w:rPr>
      </w:pPr>
      <w:r w:rsidRPr="00C42973">
        <w:rPr>
          <w:b/>
          <w:sz w:val="24"/>
          <w:szCs w:val="24"/>
        </w:rPr>
        <w:t>Ministru kabineta noteikumu projekta “</w:t>
      </w:r>
      <w:r w:rsidR="000528FB" w:rsidRPr="00C42973">
        <w:rPr>
          <w:b/>
          <w:sz w:val="24"/>
          <w:szCs w:val="24"/>
        </w:rPr>
        <w:t>Grozījum</w:t>
      </w:r>
      <w:r w:rsidR="000528FB" w:rsidRPr="00C42973">
        <w:rPr>
          <w:b/>
          <w:sz w:val="24"/>
          <w:szCs w:val="24"/>
          <w:lang w:val="lv-LV"/>
        </w:rPr>
        <w:t>i</w:t>
      </w:r>
      <w:r w:rsidR="00121D05" w:rsidRPr="00C42973">
        <w:rPr>
          <w:b/>
          <w:sz w:val="24"/>
          <w:szCs w:val="24"/>
          <w:lang w:val="lv-LV"/>
        </w:rPr>
        <w:t xml:space="preserve"> </w:t>
      </w:r>
      <w:r w:rsidRPr="00C42973">
        <w:rPr>
          <w:b/>
          <w:sz w:val="24"/>
          <w:szCs w:val="24"/>
        </w:rPr>
        <w:t>Ministru kabineta 2005.gada 17.maija</w:t>
      </w:r>
      <w:r w:rsidRPr="00C42973">
        <w:rPr>
          <w:b/>
          <w:sz w:val="24"/>
          <w:szCs w:val="24"/>
          <w:lang w:val="lv-LV"/>
        </w:rPr>
        <w:t xml:space="preserve"> </w:t>
      </w:r>
      <w:r w:rsidRPr="00C42973">
        <w:rPr>
          <w:b/>
          <w:sz w:val="24"/>
          <w:szCs w:val="24"/>
        </w:rPr>
        <w:t>noteikumos Nr.339 „Kārtība, kādā atļauts veikt pasažieru un kravas</w:t>
      </w:r>
      <w:r w:rsidRPr="00C42973">
        <w:rPr>
          <w:b/>
          <w:sz w:val="24"/>
          <w:szCs w:val="24"/>
          <w:lang w:val="lv-LV"/>
        </w:rPr>
        <w:t xml:space="preserve"> </w:t>
      </w:r>
      <w:r w:rsidRPr="00C42973">
        <w:rPr>
          <w:b/>
          <w:sz w:val="24"/>
          <w:szCs w:val="24"/>
        </w:rPr>
        <w:t>komercpārvadājumus ar citu personu īpašumā esošiem autotransporta līdzekļiem””</w:t>
      </w:r>
      <w:r w:rsidRPr="00C42973">
        <w:rPr>
          <w:b/>
          <w:sz w:val="24"/>
          <w:szCs w:val="24"/>
          <w:lang w:val="lv-LV"/>
        </w:rPr>
        <w:t xml:space="preserve"> </w:t>
      </w:r>
      <w:r w:rsidR="004371C5" w:rsidRPr="00C42973">
        <w:rPr>
          <w:b/>
          <w:sz w:val="24"/>
          <w:szCs w:val="24"/>
        </w:rPr>
        <w:t>sākotnējās ietekmes novērtējuma ziņojums (anotācija)</w:t>
      </w:r>
      <w:r w:rsidRPr="00C42973">
        <w:rPr>
          <w:b/>
          <w:sz w:val="24"/>
          <w:szCs w:val="24"/>
          <w:lang w:val="lv-LV"/>
        </w:rPr>
        <w:t xml:space="preserve"> </w:t>
      </w:r>
    </w:p>
    <w:p w:rsidR="00D824FA" w:rsidRPr="00C42973" w:rsidRDefault="00D824FA" w:rsidP="002B3E74">
      <w:pPr>
        <w:pStyle w:val="Header"/>
        <w:tabs>
          <w:tab w:val="clear" w:pos="4153"/>
          <w:tab w:val="clear" w:pos="8306"/>
          <w:tab w:val="left" w:pos="6195"/>
        </w:tabs>
        <w:spacing w:line="240" w:lineRule="auto"/>
        <w:ind w:firstLine="0"/>
        <w:rPr>
          <w:sz w:val="24"/>
          <w:szCs w:val="24"/>
          <w:lang w:val="lv-LV"/>
        </w:rPr>
      </w:pPr>
    </w:p>
    <w:p w:rsidR="00CE2351" w:rsidRPr="00C42973" w:rsidRDefault="00032250" w:rsidP="002B3E74">
      <w:pPr>
        <w:pStyle w:val="Header"/>
        <w:tabs>
          <w:tab w:val="clear" w:pos="4153"/>
          <w:tab w:val="clear" w:pos="8306"/>
          <w:tab w:val="left" w:pos="6195"/>
        </w:tabs>
        <w:spacing w:line="240" w:lineRule="auto"/>
        <w:ind w:firstLine="0"/>
        <w:rPr>
          <w:sz w:val="24"/>
          <w:szCs w:val="24"/>
          <w:lang w:val="lv-LV"/>
        </w:rPr>
      </w:pPr>
      <w:r w:rsidRPr="00C42973">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2692"/>
        <w:gridCol w:w="6179"/>
      </w:tblGrid>
      <w:tr w:rsidR="00C42973" w:rsidRPr="00C42973"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C42973" w:rsidRDefault="00565A60" w:rsidP="002B3E74">
            <w:pPr>
              <w:spacing w:line="240" w:lineRule="auto"/>
              <w:ind w:left="-330" w:firstLine="47"/>
              <w:jc w:val="center"/>
              <w:rPr>
                <w:rFonts w:eastAsia="Times New Roman"/>
                <w:b/>
                <w:bCs/>
                <w:sz w:val="24"/>
                <w:szCs w:val="24"/>
                <w:lang w:eastAsia="lv-LV"/>
              </w:rPr>
            </w:pPr>
            <w:r w:rsidRPr="00C42973">
              <w:rPr>
                <w:rFonts w:eastAsia="Times New Roman"/>
                <w:b/>
                <w:bCs/>
                <w:sz w:val="24"/>
                <w:szCs w:val="24"/>
                <w:lang w:eastAsia="lv-LV"/>
              </w:rPr>
              <w:t>I. Tiesību akta projekta izstrādes nepieciešamība</w:t>
            </w:r>
          </w:p>
        </w:tc>
      </w:tr>
      <w:tr w:rsidR="00C42973" w:rsidRPr="00C42973" w:rsidTr="002B3E74">
        <w:tc>
          <w:tcPr>
            <w:tcW w:w="229" w:type="pct"/>
            <w:tcBorders>
              <w:top w:val="outset" w:sz="6" w:space="0" w:color="auto"/>
              <w:left w:val="outset" w:sz="6" w:space="0" w:color="auto"/>
              <w:bottom w:val="outset" w:sz="6" w:space="0" w:color="auto"/>
              <w:right w:val="outset" w:sz="6" w:space="0" w:color="auto"/>
            </w:tcBorders>
          </w:tcPr>
          <w:p w:rsidR="00565A60" w:rsidRPr="00C42973" w:rsidRDefault="004326C0" w:rsidP="002B3E74">
            <w:pPr>
              <w:numPr>
                <w:ilvl w:val="0"/>
                <w:numId w:val="2"/>
              </w:numPr>
              <w:spacing w:line="240" w:lineRule="auto"/>
              <w:rPr>
                <w:rFonts w:eastAsia="Times New Roman"/>
                <w:sz w:val="24"/>
                <w:szCs w:val="24"/>
                <w:lang w:eastAsia="lv-LV"/>
              </w:rPr>
            </w:pPr>
            <w:r w:rsidRPr="00C42973">
              <w:rPr>
                <w:rFonts w:eastAsia="Times New Roman"/>
                <w:sz w:val="24"/>
                <w:szCs w:val="24"/>
                <w:lang w:eastAsia="lv-LV"/>
              </w:rPr>
              <w:t>1.</w:t>
            </w:r>
          </w:p>
        </w:tc>
        <w:tc>
          <w:tcPr>
            <w:tcW w:w="1448"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18"/>
              <w:rPr>
                <w:rFonts w:eastAsia="Times New Roman"/>
                <w:sz w:val="24"/>
                <w:szCs w:val="24"/>
                <w:lang w:eastAsia="lv-LV"/>
              </w:rPr>
            </w:pPr>
            <w:r w:rsidRPr="00C42973">
              <w:rPr>
                <w:rFonts w:eastAsia="Times New Roman"/>
                <w:sz w:val="24"/>
                <w:szCs w:val="24"/>
                <w:lang w:eastAsia="lv-LV"/>
              </w:rPr>
              <w:t>Pamatojums</w:t>
            </w:r>
          </w:p>
        </w:tc>
        <w:tc>
          <w:tcPr>
            <w:tcW w:w="3323" w:type="pct"/>
            <w:tcBorders>
              <w:top w:val="outset" w:sz="6" w:space="0" w:color="auto"/>
              <w:left w:val="outset" w:sz="6" w:space="0" w:color="auto"/>
              <w:bottom w:val="outset" w:sz="6" w:space="0" w:color="auto"/>
              <w:right w:val="outset" w:sz="6" w:space="0" w:color="auto"/>
            </w:tcBorders>
          </w:tcPr>
          <w:p w:rsidR="00AB04BE" w:rsidRPr="00C42973" w:rsidRDefault="00AB04BE" w:rsidP="002B3E74">
            <w:pPr>
              <w:spacing w:line="240" w:lineRule="auto"/>
              <w:ind w:right="53" w:firstLine="0"/>
              <w:rPr>
                <w:sz w:val="24"/>
                <w:szCs w:val="24"/>
              </w:rPr>
            </w:pPr>
            <w:r w:rsidRPr="00C42973">
              <w:rPr>
                <w:sz w:val="24"/>
                <w:szCs w:val="24"/>
              </w:rPr>
              <w:t xml:space="preserve">Ministru kabineta 2016.gada 13.septembra sēdes </w:t>
            </w:r>
            <w:proofErr w:type="spellStart"/>
            <w:r w:rsidRPr="00C42973">
              <w:rPr>
                <w:sz w:val="24"/>
                <w:szCs w:val="24"/>
              </w:rPr>
              <w:t>protokollēmums</w:t>
            </w:r>
            <w:proofErr w:type="spellEnd"/>
            <w:r w:rsidRPr="00C42973">
              <w:rPr>
                <w:sz w:val="24"/>
                <w:szCs w:val="24"/>
              </w:rPr>
              <w:t xml:space="preserve"> (prot. Nr.45, 31.§)  “Informatīvais ziņojums “Pasažieru pārvadājumu ar taksometriem jomas tiesiskais regulējums un priekšlikumi tās pilnveidošanai””.</w:t>
            </w:r>
          </w:p>
          <w:p w:rsidR="00385095" w:rsidRPr="00C42973" w:rsidRDefault="00385095" w:rsidP="002B3E74">
            <w:pPr>
              <w:spacing w:line="240" w:lineRule="auto"/>
              <w:ind w:right="53" w:firstLine="0"/>
              <w:rPr>
                <w:sz w:val="24"/>
                <w:szCs w:val="24"/>
              </w:rPr>
            </w:pPr>
            <w:r w:rsidRPr="00C42973">
              <w:rPr>
                <w:sz w:val="24"/>
                <w:szCs w:val="24"/>
              </w:rPr>
              <w:t>2016.gada 10.jūnija Ēnu ekonomikas apkarošanas padomes sēdē apstiprināt</w:t>
            </w:r>
            <w:r w:rsidR="00C66C7A" w:rsidRPr="00C42973">
              <w:rPr>
                <w:sz w:val="24"/>
                <w:szCs w:val="24"/>
              </w:rPr>
              <w:t>ā</w:t>
            </w:r>
            <w:r w:rsidRPr="00C42973">
              <w:rPr>
                <w:sz w:val="24"/>
                <w:szCs w:val="24"/>
              </w:rPr>
              <w:t xml:space="preserve"> Valsts iestāžu darba plān</w:t>
            </w:r>
            <w:r w:rsidR="00C66C7A" w:rsidRPr="00C42973">
              <w:rPr>
                <w:sz w:val="24"/>
                <w:szCs w:val="24"/>
              </w:rPr>
              <w:t>a</w:t>
            </w:r>
            <w:r w:rsidRPr="00C42973">
              <w:rPr>
                <w:sz w:val="24"/>
                <w:szCs w:val="24"/>
              </w:rPr>
              <w:t xml:space="preserve"> ēnu ekonomikas ierobežošanai 2016.-2020.gadam</w:t>
            </w:r>
            <w:r w:rsidR="00C66C7A" w:rsidRPr="00C42973">
              <w:rPr>
                <w:sz w:val="24"/>
                <w:szCs w:val="24"/>
              </w:rPr>
              <w:t xml:space="preserve"> 2.4.sadaļa - Transporta joma.</w:t>
            </w:r>
          </w:p>
        </w:tc>
      </w:tr>
      <w:tr w:rsidR="00C42973" w:rsidRPr="00C42973" w:rsidTr="002B3E74">
        <w:tc>
          <w:tcPr>
            <w:tcW w:w="229" w:type="pct"/>
            <w:tcBorders>
              <w:top w:val="outset" w:sz="6" w:space="0" w:color="auto"/>
              <w:left w:val="outset" w:sz="6" w:space="0" w:color="auto"/>
              <w:bottom w:val="outset" w:sz="6" w:space="0" w:color="auto"/>
              <w:right w:val="outset" w:sz="6" w:space="0" w:color="auto"/>
            </w:tcBorders>
          </w:tcPr>
          <w:p w:rsidR="00565A60" w:rsidRPr="00C42973" w:rsidRDefault="004326C0" w:rsidP="002B3E74">
            <w:pPr>
              <w:numPr>
                <w:ilvl w:val="0"/>
                <w:numId w:val="2"/>
              </w:numPr>
              <w:spacing w:line="240" w:lineRule="auto"/>
              <w:rPr>
                <w:rFonts w:eastAsia="Times New Roman"/>
                <w:sz w:val="24"/>
                <w:szCs w:val="24"/>
                <w:lang w:eastAsia="lv-LV"/>
              </w:rPr>
            </w:pPr>
            <w:r w:rsidRPr="00C42973">
              <w:rPr>
                <w:rFonts w:eastAsia="Times New Roman"/>
                <w:sz w:val="24"/>
                <w:szCs w:val="24"/>
                <w:lang w:eastAsia="lv-LV"/>
              </w:rPr>
              <w:t>2.</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565A60" w:rsidRPr="00C42973" w:rsidRDefault="00565A60" w:rsidP="002B3E74">
            <w:pPr>
              <w:spacing w:line="240" w:lineRule="auto"/>
              <w:ind w:firstLine="18"/>
              <w:rPr>
                <w:rFonts w:eastAsia="Times New Roman"/>
                <w:sz w:val="24"/>
                <w:szCs w:val="24"/>
                <w:lang w:eastAsia="lv-LV"/>
              </w:rPr>
            </w:pPr>
            <w:r w:rsidRPr="00C42973">
              <w:rPr>
                <w:sz w:val="24"/>
                <w:szCs w:val="24"/>
                <w:shd w:val="clear" w:color="auto" w:fill="FFFFFF"/>
              </w:rPr>
              <w:t>Pašreizējā situācija un problēmas, kuru risināšanai tiesību akta projekts izstrādāts, tiesiskā regulējuma mērķis un būtība</w:t>
            </w:r>
          </w:p>
        </w:tc>
        <w:tc>
          <w:tcPr>
            <w:tcW w:w="3323" w:type="pct"/>
            <w:tcBorders>
              <w:top w:val="outset" w:sz="6" w:space="0" w:color="auto"/>
              <w:left w:val="outset" w:sz="6" w:space="0" w:color="auto"/>
              <w:bottom w:val="outset" w:sz="6" w:space="0" w:color="auto"/>
              <w:right w:val="outset" w:sz="6" w:space="0" w:color="auto"/>
            </w:tcBorders>
            <w:shd w:val="clear" w:color="auto" w:fill="auto"/>
          </w:tcPr>
          <w:p w:rsidR="004F65D4" w:rsidRPr="00C42973" w:rsidRDefault="004F65D4" w:rsidP="002B3E74">
            <w:pPr>
              <w:tabs>
                <w:tab w:val="left" w:pos="993"/>
              </w:tabs>
              <w:spacing w:line="240" w:lineRule="auto"/>
              <w:ind w:firstLine="0"/>
              <w:rPr>
                <w:sz w:val="24"/>
                <w:szCs w:val="24"/>
              </w:rPr>
            </w:pPr>
            <w:r w:rsidRPr="00C42973">
              <w:rPr>
                <w:sz w:val="24"/>
                <w:szCs w:val="24"/>
              </w:rPr>
              <w:t>Pasažieru pārvadājumos ar taksometriem, veicot pārvadājumus ar citas personas īpašumā esošu transportlīdzekli, pārsvarā tiek noslēgti patapinājuma līgumi (vairākums gadījumu patapinātājs ir fiziska persona), lai izvairīto</w:t>
            </w:r>
            <w:r w:rsidR="003A1BFD" w:rsidRPr="00C42973">
              <w:rPr>
                <w:sz w:val="24"/>
                <w:szCs w:val="24"/>
              </w:rPr>
              <w:t>s no pienākuma maksāt nodokļus.</w:t>
            </w:r>
            <w:r w:rsidR="00A735AC" w:rsidRPr="00C42973">
              <w:rPr>
                <w:sz w:val="24"/>
                <w:szCs w:val="24"/>
              </w:rPr>
              <w:t xml:space="preserve"> </w:t>
            </w:r>
          </w:p>
          <w:p w:rsidR="00FB030D" w:rsidRPr="00C42973" w:rsidRDefault="00AB04BE" w:rsidP="002B3E74">
            <w:pPr>
              <w:tabs>
                <w:tab w:val="left" w:pos="993"/>
              </w:tabs>
              <w:spacing w:line="240" w:lineRule="auto"/>
              <w:ind w:firstLine="0"/>
              <w:rPr>
                <w:sz w:val="24"/>
                <w:szCs w:val="24"/>
              </w:rPr>
            </w:pPr>
            <w:r w:rsidRPr="00C42973">
              <w:rPr>
                <w:sz w:val="24"/>
                <w:szCs w:val="24"/>
              </w:rPr>
              <w:t xml:space="preserve">Noteikumu projekts nosaka, ka </w:t>
            </w:r>
            <w:r w:rsidR="00FB030D" w:rsidRPr="00C42973">
              <w:rPr>
                <w:sz w:val="24"/>
                <w:szCs w:val="24"/>
              </w:rPr>
              <w:t xml:space="preserve">tiesības veikt pasažieru pārvadājumus ar </w:t>
            </w:r>
            <w:r w:rsidRPr="00C42973">
              <w:rPr>
                <w:sz w:val="24"/>
                <w:szCs w:val="24"/>
              </w:rPr>
              <w:t>taksometriem</w:t>
            </w:r>
            <w:r w:rsidR="00FB030D" w:rsidRPr="00C42973">
              <w:rPr>
                <w:sz w:val="24"/>
                <w:szCs w:val="24"/>
              </w:rPr>
              <w:t xml:space="preserve"> ar citas personas īpašumā esošu transportlīdzekli</w:t>
            </w:r>
            <w:r w:rsidR="00993A9C" w:rsidRPr="00C42973">
              <w:rPr>
                <w:sz w:val="24"/>
                <w:szCs w:val="24"/>
              </w:rPr>
              <w:t xml:space="preserve"> ir</w:t>
            </w:r>
            <w:r w:rsidR="00FB030D" w:rsidRPr="00C42973">
              <w:rPr>
                <w:sz w:val="24"/>
                <w:szCs w:val="24"/>
              </w:rPr>
              <w:t xml:space="preserve"> tikai uz nomas līguma pamata.</w:t>
            </w:r>
          </w:p>
          <w:p w:rsidR="004F65D4" w:rsidRPr="00C42973" w:rsidRDefault="004F65D4" w:rsidP="002B3E74">
            <w:pPr>
              <w:tabs>
                <w:tab w:val="left" w:pos="993"/>
              </w:tabs>
              <w:spacing w:line="240" w:lineRule="auto"/>
              <w:ind w:firstLine="0"/>
              <w:rPr>
                <w:sz w:val="24"/>
                <w:szCs w:val="24"/>
              </w:rPr>
            </w:pPr>
            <w:r w:rsidRPr="00C42973">
              <w:rPr>
                <w:sz w:val="24"/>
                <w:szCs w:val="24"/>
              </w:rPr>
              <w:t xml:space="preserve">Atšķirībā no patapinājuma līguma nomas līgums paredz nomas maksājumu par nomas priekšmetu. Fiziskās personas – iznomātāja – saņemtā nomas maksa pēc </w:t>
            </w:r>
            <w:r w:rsidR="00DF0CD9" w:rsidRPr="00C42973">
              <w:rPr>
                <w:sz w:val="24"/>
                <w:szCs w:val="24"/>
              </w:rPr>
              <w:t>būtības ir ienākums no īpašuma.</w:t>
            </w:r>
          </w:p>
          <w:p w:rsidR="004F65D4" w:rsidRPr="00C42973" w:rsidRDefault="004F65D4" w:rsidP="002B3E74">
            <w:pPr>
              <w:tabs>
                <w:tab w:val="left" w:pos="993"/>
              </w:tabs>
              <w:spacing w:line="240" w:lineRule="auto"/>
              <w:ind w:firstLine="0"/>
              <w:rPr>
                <w:sz w:val="24"/>
                <w:szCs w:val="24"/>
              </w:rPr>
            </w:pPr>
            <w:r w:rsidRPr="00C42973">
              <w:rPr>
                <w:sz w:val="24"/>
                <w:szCs w:val="24"/>
              </w:rPr>
              <w:t>Fiziskai personai transportlīdzekļa nomas līguma noslēgšanas gadījumā likumā “Par iedzīvotāju ienākuma nodokli” ir paredzētas 2 iespējas:</w:t>
            </w:r>
          </w:p>
          <w:p w:rsidR="004F65D4" w:rsidRPr="00C42973" w:rsidRDefault="004F65D4" w:rsidP="002B3E74">
            <w:pPr>
              <w:tabs>
                <w:tab w:val="left" w:pos="993"/>
              </w:tabs>
              <w:spacing w:line="240" w:lineRule="auto"/>
              <w:rPr>
                <w:sz w:val="24"/>
                <w:szCs w:val="24"/>
              </w:rPr>
            </w:pPr>
            <w:r w:rsidRPr="00C42973">
              <w:rPr>
                <w:sz w:val="24"/>
                <w:szCs w:val="24"/>
              </w:rPr>
              <w:t>- maksāt iedzīvotāju ienākuma nodokli no saimnieciskajā darbībā (kustamā īpašuma iznomāšana) gūtā ienākuma vispārējā kārtībā, piemērojot nodokļa likmi 23% apmērā, vai</w:t>
            </w:r>
          </w:p>
          <w:p w:rsidR="00CB5598" w:rsidRPr="00C42973" w:rsidRDefault="004F65D4" w:rsidP="002B3E74">
            <w:pPr>
              <w:pStyle w:val="tv2131"/>
              <w:spacing w:line="240" w:lineRule="auto"/>
              <w:ind w:firstLine="720"/>
              <w:jc w:val="both"/>
              <w:rPr>
                <w:color w:val="auto"/>
                <w:sz w:val="24"/>
                <w:szCs w:val="24"/>
              </w:rPr>
            </w:pPr>
            <w:r w:rsidRPr="00C42973">
              <w:rPr>
                <w:color w:val="auto"/>
                <w:sz w:val="24"/>
                <w:szCs w:val="24"/>
              </w:rPr>
              <w:t>- informēt Valsts ieņēmumu dienestu, ka iedzīvotāju ienākuma nodoklis tiks maksāts kā par pasīvas saimnieciskās darbības ienākumu (kustamā īpašuma iznomāšanu) saskaņā ar likuma “Par iedzīvotāju ienākuma nodokli” 11.panta divpadsmito daļu, un piemērot nomas maksai nodokļa likmi 10% apmērā.</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2016.gada 10.jūnija Ēnu ekonomikas apkarošanas padomes sēdē apstiprināts Valsts iestāžu darba plāns ēnu ekonomikas ierobežošanai 2016.-2020.gadam, kurš transporta jomā paredz stiprināt prasības taksometru pakalpojumu sniedzējiem.</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Civillikuma 1947.pantā noteikts, ka patapinājums (lietošanas aizdevums) ir līgums, ar kuru kādam nodod lietu bez atlīdzības, bet noteiktai lietošanai, ar nosacījumu atdot to pašu lietu. </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Tādējādi patapināšana ir lietas bezatlīdzības lietošanas tiesību piešķiršana, kuru patapinātājs piešķir patapinājuma ņēmējam. Civillikuma 1948.pantā noteikts, ka par patapinājuma priekšmetu var būt kā kustamas, tā arī nekustamas lietas.</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Patapinājuma mērķis ir sniegt bezatlīdzības darījumu, bez mērķa gūt peļņu. Tas izriet no Civillikuma 1960.panta, kurš </w:t>
            </w:r>
            <w:r w:rsidRPr="00C42973">
              <w:rPr>
                <w:rFonts w:eastAsia="Times New Roman"/>
                <w:sz w:val="24"/>
                <w:szCs w:val="24"/>
                <w:lang w:eastAsia="lv-LV"/>
              </w:rPr>
              <w:lastRenderedPageBreak/>
              <w:t xml:space="preserve">nosaka, ka patapinājuma ņēmējam ir jāatdod ne vien pati lieta patapinātājam, bet arī no tās gūtie augļi un visa cita iegūtā peļņa. Tātad patapinājuma būtība kā tāda nav saistāma ar komercdarījumu. Turklāt arī civiltiesību speciālists </w:t>
            </w:r>
            <w:proofErr w:type="spellStart"/>
            <w:r w:rsidRPr="00C42973">
              <w:rPr>
                <w:rFonts w:eastAsia="Times New Roman"/>
                <w:sz w:val="24"/>
                <w:szCs w:val="24"/>
                <w:lang w:eastAsia="lv-LV"/>
              </w:rPr>
              <w:t>K.Torgāns</w:t>
            </w:r>
            <w:proofErr w:type="spellEnd"/>
            <w:r w:rsidRPr="00C42973">
              <w:rPr>
                <w:rFonts w:eastAsia="Times New Roman"/>
                <w:sz w:val="24"/>
                <w:szCs w:val="24"/>
                <w:lang w:eastAsia="lv-LV"/>
              </w:rPr>
              <w:t xml:space="preserve"> norāda, ka patapinājums nav aizliegts juridisko personu attiecībās, taču uzņēmējdarbībā bezatlīdzības darījumi ir retums un parādās tikai kā sevišķas labvēlības izpausmes (Latvijas Republikas Civillikuma komentāri. Saistību tiesības (1401.-2400.p.), autoru kolektīvs prof. </w:t>
            </w:r>
            <w:proofErr w:type="spellStart"/>
            <w:r w:rsidRPr="00C42973">
              <w:rPr>
                <w:rFonts w:eastAsia="Times New Roman"/>
                <w:sz w:val="24"/>
                <w:szCs w:val="24"/>
                <w:lang w:eastAsia="lv-LV"/>
              </w:rPr>
              <w:t>K.Torgāna</w:t>
            </w:r>
            <w:proofErr w:type="spellEnd"/>
            <w:r w:rsidRPr="00C42973">
              <w:rPr>
                <w:rFonts w:eastAsia="Times New Roman"/>
                <w:sz w:val="24"/>
                <w:szCs w:val="24"/>
                <w:lang w:eastAsia="lv-LV"/>
              </w:rPr>
              <w:t xml:space="preserve"> vispārīgā zinātniskā redakcijā, Rīga 2000).</w:t>
            </w:r>
          </w:p>
          <w:p w:rsidR="002B3E74" w:rsidRPr="00C42973" w:rsidRDefault="002B3E74" w:rsidP="002B3E74">
            <w:pPr>
              <w:shd w:val="clear" w:color="auto" w:fill="FFFFFF"/>
              <w:spacing w:line="240" w:lineRule="auto"/>
              <w:ind w:firstLine="0"/>
              <w:rPr>
                <w:rFonts w:eastAsia="Times New Roman"/>
                <w:sz w:val="24"/>
                <w:szCs w:val="24"/>
                <w:lang w:eastAsia="lv-LV"/>
              </w:rPr>
            </w:pPr>
            <w:r w:rsidRPr="00C42973">
              <w:rPr>
                <w:rFonts w:eastAsia="Times New Roman"/>
                <w:sz w:val="24"/>
                <w:szCs w:val="24"/>
                <w:lang w:eastAsia="lv-LV"/>
              </w:rPr>
              <w:t>Tāpat patapinātam pamatlīdzeklim saimnieciskās darbības veicējs nevar norakstīt arī nolietojumu, kas arī nav savienojams ar normālu saimniecisko darbību. Tādējādi, ja patapinājuma līgums tiek noslēgts tikai tāpēc, lai ar juridisko formu izmantotu tikai kā aizsegu pavisam citam darījumam pēc ekonomiskās būtības, kā rezultātā tiek īstenota nodokļu plānošana, šāda prakse nav pieļaujama.</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Informatīvā ziņojuma „Pasažieru pārvadājumu ar taksometriem jomas tiesiskais regulējums un priekšlikumi tās pilnveidošanai” (turpmāk – informatīvais ziņojums) izstrādes laikā arī taksometru nozares pārstāvji neiebilda pret patapinājuma līguma izslēgšanu no jomas regulējuma.</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Informatīvajā ziņojumā ir secināts, ka, izvērtējot pašvaldību sniegto informāciju, secināms, ka pasažieru pārvadājumos ar taksometriem, veicot pārvadājumus ar citas personas īpašumā esošu transportlīdzekli, pārsvarā tiek noslēgti patapinājuma līgumi (vairākums gadījumu patapinātājs ir fiziska persona), lai izvairītos no pienākuma maksāt nodokļus.</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Patapinājumu līgums kā bezatlīdzības līgums nav raksturīgs komerciālajās attiecībās, ievērojot minēto, nav saprotami iemesli, kāpēc saimnieciskās darbības ietvaros viena persona otrai personai bez atlīdzības nodod lietošanā transportlīdzekli, kuru tā tālāk izmanto taksometru pasažieru komercpārvadājumos, ja patapinājuma ņēmējs to nevarēs atdot atpakaļ patapinātājam tādā stāvoklī (mašīnas nobraukums), kādā saņēmis, kā arī, kāpēc patapinātājam savas saimnieciskās darbības ietvaros būtu jāsaņem patapinājuma ņēmēja iegūtā saimnieciskās darbības peļņa. </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Norādām, ka likuma “Par nodokļiem un nodevām” 23.panta 14.daļa nosaka, ka nodokļu administrācija nosaka nodokļa maksājuma apmēru, ņemot vērā nodokļu maksātāja atsevišķa darījuma vai darījumu kopuma ekonomisko saturu un būtību, nevis tikai juridisko formu. Līdz ar to, izvērtējot nodokļu apmēru, ir jāvērtē darījumi kopumā, lai konstatētu mākslīgu nodokļa samazināšanu. </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Šādam ierobežojumam ir leģitīms mērķis, proti, visas sabiedrības intereses novērst iespējas izvairīties no nodokļu nomaksas, kā arī šāds ierobežojums uzskatāms par samērīgu, proti, visas sabiedrības ieguvums novēršot iespējas izvairīties no nodokļu nomaksas ir lielāks, nekā atsevišķu indivīdu vai grupas tiesību ierobežojums, kā arī minēto mērķi nav iespējams </w:t>
            </w:r>
            <w:r w:rsidRPr="00C42973">
              <w:rPr>
                <w:rFonts w:eastAsia="Times New Roman"/>
                <w:sz w:val="24"/>
                <w:szCs w:val="24"/>
                <w:lang w:eastAsia="lv-LV"/>
              </w:rPr>
              <w:lastRenderedPageBreak/>
              <w:t>sasniegt ar indivīdu tiesību mazāk ierobežojušiem līdzekļiem.</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Atbilstoši Likumam par budžetu un finanšu vadību, budžets ir līdzeklis valsts politikas realizācijai ar finansiālām metodēm un tas ir valdības finansiālās darbības un vadības pamatā. Izvairīšanās no nodokļu maksāšanas ir būtisks pārkāpums, kā rezultātā netiek nodrošināti atbilstoši ieņēmumi valsts budžetā. Nodokļu plāna neizpilde var radīt iztrūkumu budžetā, kā rezultātā tas var radīt sarežģījumus nodrošināt visas valsts attīstībai un drošībai nepieciešamās vajadzības.</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Saskaņā ar Civillikuma 2120.pantu nomas maksai jābūt patiesai atlīdzībai par lietas lietošanu, un tādēļ to nedrīkst nolikt tikai izskata pēc. Darījums, kas noslēgts pretēji šim noteikumam, ar nolūku apiet likumu vai pievilt trešo personu, nav spēkā. Tas nozīmē, ka nomas maksa ir jānosaka samērīga, turklāt Valsts ieņēmumu dienests, veicot pārbaudes uzņēmumos, arī vērtējot nomas līgumus, var ņemt vērā ekonomisko būtību un veikt attiecīgas darbības, ja tiek konstatēti normatīvo aktu pārkāpumi. </w:t>
            </w:r>
          </w:p>
          <w:p w:rsidR="002B3E74" w:rsidRPr="00C42973" w:rsidRDefault="002B3E74" w:rsidP="002B3E74">
            <w:pPr>
              <w:spacing w:line="240" w:lineRule="auto"/>
              <w:ind w:firstLine="0"/>
              <w:rPr>
                <w:rFonts w:eastAsia="Times New Roman"/>
                <w:sz w:val="24"/>
                <w:szCs w:val="24"/>
                <w:lang w:eastAsia="lv-LV"/>
              </w:rPr>
            </w:pPr>
            <w:r w:rsidRPr="00C42973">
              <w:rPr>
                <w:rFonts w:eastAsia="Times New Roman"/>
                <w:sz w:val="24"/>
                <w:szCs w:val="24"/>
                <w:lang w:eastAsia="lv-LV"/>
              </w:rPr>
              <w:t>Saskaņā ar noteikumu projektā noteikto, proti,  liedzot taksometru pakalpojumu sniedzējiem ņemt patapinājumā transportlīdzekli, tiek risināta situācija, kas mazinātu tādu gadījumu skaitu, kad izvairoties no nodokļu samaksas, tiek kropļota godīga konkurence.</w:t>
            </w:r>
          </w:p>
          <w:p w:rsidR="00090F95" w:rsidRPr="00C42973" w:rsidRDefault="00090F95" w:rsidP="002B3E74">
            <w:pPr>
              <w:pStyle w:val="tv2131"/>
              <w:spacing w:line="240" w:lineRule="auto"/>
              <w:ind w:firstLine="0"/>
              <w:jc w:val="both"/>
              <w:rPr>
                <w:color w:val="auto"/>
                <w:sz w:val="24"/>
                <w:szCs w:val="24"/>
              </w:rPr>
            </w:pPr>
            <w:r w:rsidRPr="00C42973">
              <w:rPr>
                <w:color w:val="auto"/>
                <w:sz w:val="24"/>
                <w:szCs w:val="24"/>
              </w:rPr>
              <w:t xml:space="preserve">Lai nodrošinātu taksometru uzņēmējiem samērīgu pārejas periodu, noteikumu projekts paredz ļaut veikt pasažieru komercpārvadājumus ar taksometriem, izmantojot citas personas īpašumā esošu autotransporta līdzekli uz patapinājuma līguma pamata, </w:t>
            </w:r>
            <w:r w:rsidR="002B3E74" w:rsidRPr="00C42973">
              <w:rPr>
                <w:color w:val="auto"/>
                <w:sz w:val="24"/>
                <w:szCs w:val="24"/>
              </w:rPr>
              <w:t>līdz 2017.gada 30</w:t>
            </w:r>
            <w:r w:rsidRPr="00C42973">
              <w:rPr>
                <w:color w:val="auto"/>
                <w:sz w:val="24"/>
                <w:szCs w:val="24"/>
              </w:rPr>
              <w:t>.</w:t>
            </w:r>
            <w:r w:rsidR="002B3E74" w:rsidRPr="00C42973">
              <w:rPr>
                <w:color w:val="auto"/>
                <w:sz w:val="24"/>
                <w:szCs w:val="24"/>
              </w:rPr>
              <w:t>jūnijam</w:t>
            </w:r>
            <w:r w:rsidRPr="00C42973">
              <w:rPr>
                <w:color w:val="auto"/>
                <w:sz w:val="24"/>
                <w:szCs w:val="24"/>
              </w:rPr>
              <w:t>.</w:t>
            </w:r>
          </w:p>
        </w:tc>
      </w:tr>
      <w:tr w:rsidR="00C42973" w:rsidRPr="00C42973" w:rsidTr="002B3E74">
        <w:tc>
          <w:tcPr>
            <w:tcW w:w="229" w:type="pct"/>
            <w:tcBorders>
              <w:top w:val="outset" w:sz="6" w:space="0" w:color="auto"/>
              <w:left w:val="outset" w:sz="6" w:space="0" w:color="auto"/>
              <w:bottom w:val="outset" w:sz="6" w:space="0" w:color="auto"/>
              <w:right w:val="outset" w:sz="6" w:space="0" w:color="auto"/>
            </w:tcBorders>
          </w:tcPr>
          <w:p w:rsidR="00565A60" w:rsidRPr="00C42973" w:rsidRDefault="00344EA8" w:rsidP="002B3E74">
            <w:pPr>
              <w:numPr>
                <w:ilvl w:val="0"/>
                <w:numId w:val="2"/>
              </w:numPr>
              <w:spacing w:line="240" w:lineRule="auto"/>
              <w:rPr>
                <w:rFonts w:eastAsia="Times New Roman"/>
                <w:sz w:val="24"/>
                <w:szCs w:val="24"/>
                <w:lang w:eastAsia="lv-LV"/>
              </w:rPr>
            </w:pPr>
            <w:r w:rsidRPr="00C42973">
              <w:rPr>
                <w:rFonts w:eastAsia="Times New Roman"/>
                <w:sz w:val="24"/>
                <w:szCs w:val="24"/>
                <w:lang w:eastAsia="lv-LV"/>
              </w:rPr>
              <w:lastRenderedPageBreak/>
              <w:t>3.</w:t>
            </w:r>
          </w:p>
        </w:tc>
        <w:tc>
          <w:tcPr>
            <w:tcW w:w="1448"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18"/>
              <w:rPr>
                <w:rFonts w:eastAsia="Times New Roman"/>
                <w:sz w:val="24"/>
                <w:szCs w:val="24"/>
                <w:lang w:eastAsia="lv-LV"/>
              </w:rPr>
            </w:pPr>
            <w:r w:rsidRPr="00C42973">
              <w:rPr>
                <w:rFonts w:eastAsia="Times New Roman"/>
                <w:sz w:val="24"/>
                <w:szCs w:val="24"/>
                <w:lang w:eastAsia="lv-LV"/>
              </w:rPr>
              <w:t>Projekta izstrādē iesaistītās institūcijas</w:t>
            </w:r>
          </w:p>
        </w:tc>
        <w:tc>
          <w:tcPr>
            <w:tcW w:w="3323" w:type="pct"/>
            <w:tcBorders>
              <w:top w:val="outset" w:sz="6" w:space="0" w:color="auto"/>
              <w:left w:val="outset" w:sz="6" w:space="0" w:color="auto"/>
              <w:bottom w:val="outset" w:sz="6" w:space="0" w:color="auto"/>
              <w:right w:val="outset" w:sz="6" w:space="0" w:color="auto"/>
            </w:tcBorders>
          </w:tcPr>
          <w:p w:rsidR="00565A60" w:rsidRPr="00C42973" w:rsidRDefault="00B077FE" w:rsidP="002B3E74">
            <w:pPr>
              <w:tabs>
                <w:tab w:val="left" w:pos="2715"/>
              </w:tabs>
              <w:spacing w:line="240" w:lineRule="auto"/>
              <w:ind w:firstLine="0"/>
              <w:rPr>
                <w:rFonts w:eastAsia="Times New Roman"/>
                <w:sz w:val="24"/>
                <w:szCs w:val="24"/>
                <w:lang w:eastAsia="lv-LV"/>
              </w:rPr>
            </w:pPr>
            <w:r w:rsidRPr="00C42973">
              <w:rPr>
                <w:rFonts w:eastAsia="Times New Roman"/>
                <w:sz w:val="24"/>
                <w:szCs w:val="24"/>
                <w:lang w:eastAsia="lv-LV"/>
              </w:rPr>
              <w:t>Satiksmes ministrija</w:t>
            </w:r>
            <w:r w:rsidR="0097625F" w:rsidRPr="00C42973">
              <w:rPr>
                <w:rFonts w:eastAsia="Times New Roman"/>
                <w:sz w:val="24"/>
                <w:szCs w:val="24"/>
                <w:lang w:eastAsia="lv-LV"/>
              </w:rPr>
              <w:t>.</w:t>
            </w:r>
          </w:p>
        </w:tc>
      </w:tr>
      <w:tr w:rsidR="0097625F" w:rsidRPr="00C42973" w:rsidTr="002B3E74">
        <w:tc>
          <w:tcPr>
            <w:tcW w:w="229" w:type="pct"/>
            <w:tcBorders>
              <w:top w:val="outset" w:sz="6" w:space="0" w:color="auto"/>
              <w:left w:val="outset" w:sz="6" w:space="0" w:color="auto"/>
              <w:bottom w:val="outset" w:sz="6" w:space="0" w:color="auto"/>
              <w:right w:val="outset" w:sz="6" w:space="0" w:color="auto"/>
            </w:tcBorders>
          </w:tcPr>
          <w:p w:rsidR="00565A60" w:rsidRPr="00C42973" w:rsidRDefault="00344EA8" w:rsidP="002B3E74">
            <w:pPr>
              <w:numPr>
                <w:ilvl w:val="0"/>
                <w:numId w:val="2"/>
              </w:numPr>
              <w:spacing w:line="240" w:lineRule="auto"/>
              <w:rPr>
                <w:rFonts w:eastAsia="Times New Roman"/>
                <w:sz w:val="24"/>
                <w:szCs w:val="24"/>
                <w:lang w:eastAsia="lv-LV"/>
              </w:rPr>
            </w:pPr>
            <w:r w:rsidRPr="00C42973">
              <w:rPr>
                <w:rFonts w:eastAsia="Times New Roman"/>
                <w:sz w:val="24"/>
                <w:szCs w:val="24"/>
                <w:lang w:eastAsia="lv-LV"/>
              </w:rPr>
              <w:t>4.</w:t>
            </w:r>
          </w:p>
        </w:tc>
        <w:tc>
          <w:tcPr>
            <w:tcW w:w="1448"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18"/>
              <w:rPr>
                <w:rFonts w:eastAsia="Times New Roman"/>
                <w:sz w:val="24"/>
                <w:szCs w:val="24"/>
                <w:lang w:eastAsia="lv-LV"/>
              </w:rPr>
            </w:pPr>
            <w:r w:rsidRPr="00C42973">
              <w:rPr>
                <w:rFonts w:eastAsia="Times New Roman"/>
                <w:sz w:val="24"/>
                <w:szCs w:val="24"/>
                <w:lang w:eastAsia="lv-LV"/>
              </w:rPr>
              <w:t>Cita informācija</w:t>
            </w:r>
          </w:p>
        </w:tc>
        <w:tc>
          <w:tcPr>
            <w:tcW w:w="3323"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sz w:val="24"/>
                <w:szCs w:val="24"/>
              </w:rPr>
            </w:pPr>
          </w:p>
        </w:tc>
      </w:tr>
    </w:tbl>
    <w:p w:rsidR="00565A60" w:rsidRPr="00C42973" w:rsidRDefault="00565A60" w:rsidP="002B3E74">
      <w:pPr>
        <w:spacing w:line="240" w:lineRule="auto"/>
        <w:rPr>
          <w:sz w:val="24"/>
          <w:szCs w:val="24"/>
        </w:rPr>
      </w:pPr>
    </w:p>
    <w:p w:rsidR="000B6A04" w:rsidRPr="00C42973" w:rsidRDefault="000B6A04" w:rsidP="002B3E74">
      <w:pPr>
        <w:spacing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837"/>
        <w:gridCol w:w="6179"/>
      </w:tblGrid>
      <w:tr w:rsidR="00C42973" w:rsidRPr="00C42973"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C42973" w:rsidRDefault="00565A60" w:rsidP="002B3E74">
            <w:pPr>
              <w:spacing w:line="240" w:lineRule="auto"/>
              <w:jc w:val="center"/>
              <w:rPr>
                <w:rFonts w:eastAsia="Times New Roman"/>
                <w:b/>
                <w:bCs/>
                <w:sz w:val="24"/>
                <w:szCs w:val="24"/>
                <w:lang w:eastAsia="lv-LV"/>
              </w:rPr>
            </w:pPr>
            <w:r w:rsidRPr="00C42973">
              <w:rPr>
                <w:rFonts w:eastAsia="Times New Roman"/>
                <w:b/>
                <w:bCs/>
                <w:sz w:val="24"/>
                <w:szCs w:val="24"/>
                <w:lang w:eastAsia="lv-LV"/>
              </w:rPr>
              <w:t>II. Tiesību akta projekta ietekme uz sabiedrību</w:t>
            </w:r>
            <w:r w:rsidRPr="00C42973">
              <w:rPr>
                <w:b/>
                <w:bCs/>
                <w:sz w:val="24"/>
                <w:szCs w:val="24"/>
                <w:shd w:val="clear" w:color="auto" w:fill="FFFFFF"/>
              </w:rPr>
              <w:t>, tautsaimniecības attīstību un administratīvo slogu</w:t>
            </w:r>
          </w:p>
        </w:tc>
      </w:tr>
      <w:tr w:rsidR="00C42973" w:rsidRPr="00C42973" w:rsidTr="002B3E74">
        <w:tc>
          <w:tcPr>
            <w:tcW w:w="151" w:type="pct"/>
            <w:tcBorders>
              <w:top w:val="outset" w:sz="6" w:space="0" w:color="auto"/>
              <w:left w:val="outset" w:sz="6" w:space="0" w:color="auto"/>
              <w:bottom w:val="outset" w:sz="6" w:space="0" w:color="auto"/>
              <w:right w:val="outset" w:sz="6" w:space="0" w:color="auto"/>
            </w:tcBorders>
          </w:tcPr>
          <w:p w:rsidR="00565A60" w:rsidRPr="00C42973" w:rsidRDefault="003F1D89" w:rsidP="002B3E74">
            <w:pPr>
              <w:spacing w:line="240" w:lineRule="auto"/>
              <w:rPr>
                <w:rFonts w:eastAsia="Times New Roman"/>
                <w:sz w:val="24"/>
                <w:szCs w:val="24"/>
                <w:lang w:eastAsia="lv-LV"/>
              </w:rPr>
            </w:pPr>
            <w:r w:rsidRPr="00C42973">
              <w:rPr>
                <w:rFonts w:eastAsia="Times New Roman"/>
                <w:sz w:val="24"/>
                <w:szCs w:val="24"/>
                <w:lang w:eastAsia="lv-LV"/>
              </w:rPr>
              <w:t>11.</w:t>
            </w:r>
          </w:p>
        </w:tc>
        <w:tc>
          <w:tcPr>
            <w:tcW w:w="1526"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18"/>
              <w:rPr>
                <w:rFonts w:eastAsia="Times New Roman"/>
                <w:sz w:val="24"/>
                <w:szCs w:val="24"/>
                <w:lang w:eastAsia="lv-LV"/>
              </w:rPr>
            </w:pPr>
            <w:r w:rsidRPr="00C42973">
              <w:rPr>
                <w:sz w:val="24"/>
                <w:szCs w:val="24"/>
                <w:shd w:val="clear" w:color="auto" w:fill="FFFFFF"/>
              </w:rPr>
              <w:t xml:space="preserve">Sabiedrības </w:t>
            </w:r>
            <w:proofErr w:type="spellStart"/>
            <w:r w:rsidRPr="00C42973">
              <w:rPr>
                <w:sz w:val="24"/>
                <w:szCs w:val="24"/>
                <w:shd w:val="clear" w:color="auto" w:fill="FFFFFF"/>
              </w:rPr>
              <w:t>mērķgrupas</w:t>
            </w:r>
            <w:proofErr w:type="spellEnd"/>
            <w:r w:rsidRPr="00C42973">
              <w:rPr>
                <w:sz w:val="24"/>
                <w:szCs w:val="24"/>
                <w:shd w:val="clear" w:color="auto" w:fill="FFFFFF"/>
              </w:rPr>
              <w:t>, kuras tiesiskais regulējums ietekmē vai varētu ietekmēt</w:t>
            </w:r>
          </w:p>
        </w:tc>
        <w:tc>
          <w:tcPr>
            <w:tcW w:w="3323" w:type="pct"/>
            <w:tcBorders>
              <w:top w:val="outset" w:sz="6" w:space="0" w:color="auto"/>
              <w:left w:val="outset" w:sz="6" w:space="0" w:color="auto"/>
              <w:bottom w:val="outset" w:sz="6" w:space="0" w:color="auto"/>
              <w:right w:val="outset" w:sz="6" w:space="0" w:color="auto"/>
            </w:tcBorders>
          </w:tcPr>
          <w:p w:rsidR="00A572BB" w:rsidRPr="00C42973" w:rsidRDefault="00DF0CD9" w:rsidP="002B3E74">
            <w:pPr>
              <w:spacing w:line="240" w:lineRule="auto"/>
              <w:ind w:firstLine="0"/>
              <w:rPr>
                <w:rFonts w:eastAsia="Times New Roman"/>
                <w:sz w:val="24"/>
                <w:szCs w:val="24"/>
                <w:lang w:eastAsia="lv-LV"/>
              </w:rPr>
            </w:pPr>
            <w:r w:rsidRPr="00C42973">
              <w:rPr>
                <w:rFonts w:eastAsia="Times New Roman"/>
                <w:sz w:val="24"/>
                <w:szCs w:val="24"/>
                <w:lang w:eastAsia="lv-LV"/>
              </w:rPr>
              <w:t>Noteikumu projekts attiecas uz taksometru uzņēmumu īpašniekiem</w:t>
            </w:r>
            <w:r w:rsidR="00331DF7" w:rsidRPr="00C42973">
              <w:rPr>
                <w:rFonts w:eastAsia="Times New Roman"/>
                <w:sz w:val="24"/>
                <w:szCs w:val="24"/>
                <w:lang w:eastAsia="lv-LV"/>
              </w:rPr>
              <w:t xml:space="preserve"> un vieglo automobiļu iznomātājiem</w:t>
            </w:r>
            <w:r w:rsidRPr="00C42973">
              <w:rPr>
                <w:rFonts w:eastAsia="Times New Roman"/>
                <w:sz w:val="24"/>
                <w:szCs w:val="24"/>
                <w:lang w:eastAsia="lv-LV"/>
              </w:rPr>
              <w:t>.</w:t>
            </w:r>
          </w:p>
        </w:tc>
      </w:tr>
      <w:tr w:rsidR="00C42973" w:rsidRPr="00C42973" w:rsidTr="002B3E74">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C42973" w:rsidRDefault="003F1D89" w:rsidP="002B3E74">
            <w:pPr>
              <w:spacing w:line="240" w:lineRule="auto"/>
              <w:rPr>
                <w:rFonts w:eastAsia="Times New Roman"/>
                <w:sz w:val="24"/>
                <w:szCs w:val="24"/>
                <w:lang w:eastAsia="lv-LV"/>
              </w:rPr>
            </w:pPr>
            <w:r w:rsidRPr="00C42973">
              <w:rPr>
                <w:rFonts w:eastAsia="Times New Roman"/>
                <w:sz w:val="24"/>
                <w:szCs w:val="24"/>
                <w:lang w:eastAsia="lv-LV"/>
              </w:rPr>
              <w:t>22.</w:t>
            </w:r>
          </w:p>
        </w:tc>
        <w:tc>
          <w:tcPr>
            <w:tcW w:w="1526" w:type="pct"/>
            <w:tcBorders>
              <w:top w:val="outset" w:sz="6" w:space="0" w:color="auto"/>
              <w:left w:val="outset" w:sz="6" w:space="0" w:color="auto"/>
              <w:bottom w:val="outset" w:sz="6" w:space="0" w:color="auto"/>
              <w:right w:val="outset" w:sz="6" w:space="0" w:color="auto"/>
            </w:tcBorders>
            <w:shd w:val="clear" w:color="auto" w:fill="FFFFFF"/>
          </w:tcPr>
          <w:p w:rsidR="00565A60" w:rsidRPr="00C42973" w:rsidRDefault="00565A60" w:rsidP="002B3E74">
            <w:pPr>
              <w:spacing w:line="240" w:lineRule="auto"/>
              <w:ind w:firstLine="18"/>
              <w:rPr>
                <w:rFonts w:eastAsia="Times New Roman"/>
                <w:sz w:val="24"/>
                <w:szCs w:val="24"/>
                <w:lang w:eastAsia="lv-LV"/>
              </w:rPr>
            </w:pPr>
            <w:r w:rsidRPr="00C42973">
              <w:rPr>
                <w:sz w:val="24"/>
                <w:szCs w:val="24"/>
                <w:shd w:val="clear" w:color="auto" w:fill="FFFFFF"/>
              </w:rPr>
              <w:t>Tiesiskā regulējuma ietekme uz tautsaimniecību un administratīvo slogu</w:t>
            </w:r>
          </w:p>
        </w:tc>
        <w:tc>
          <w:tcPr>
            <w:tcW w:w="3323" w:type="pct"/>
            <w:tcBorders>
              <w:top w:val="outset" w:sz="6" w:space="0" w:color="auto"/>
              <w:left w:val="outset" w:sz="6" w:space="0" w:color="auto"/>
              <w:bottom w:val="outset" w:sz="6" w:space="0" w:color="auto"/>
              <w:right w:val="outset" w:sz="6" w:space="0" w:color="auto"/>
            </w:tcBorders>
            <w:shd w:val="clear" w:color="auto" w:fill="FFFFFF"/>
          </w:tcPr>
          <w:p w:rsidR="00415BF6" w:rsidRPr="00C42973" w:rsidRDefault="00DF0CD9"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Taksometru uzņēmēji drīkstēs izmantot citu personu īpašumā esošus transportlīdzekļus tikai uz nomas līguma pamata, </w:t>
            </w:r>
            <w:r w:rsidR="00AB04BE" w:rsidRPr="00C42973">
              <w:rPr>
                <w:rFonts w:eastAsia="Times New Roman"/>
                <w:sz w:val="24"/>
                <w:szCs w:val="24"/>
                <w:lang w:eastAsia="lv-LV"/>
              </w:rPr>
              <w:t>tādejādi tiks mazināts</w:t>
            </w:r>
            <w:r w:rsidR="004F0579" w:rsidRPr="00C42973">
              <w:rPr>
                <w:rFonts w:eastAsia="Times New Roman"/>
                <w:sz w:val="24"/>
                <w:szCs w:val="24"/>
                <w:lang w:eastAsia="lv-LV"/>
              </w:rPr>
              <w:t xml:space="preserve"> negodīgās konkurences</w:t>
            </w:r>
            <w:r w:rsidR="00AB04BE" w:rsidRPr="00C42973">
              <w:rPr>
                <w:rFonts w:eastAsia="Times New Roman"/>
                <w:sz w:val="24"/>
                <w:szCs w:val="24"/>
                <w:lang w:eastAsia="lv-LV"/>
              </w:rPr>
              <w:t xml:space="preserve"> risks</w:t>
            </w:r>
            <w:r w:rsidR="004F0579" w:rsidRPr="00C42973">
              <w:rPr>
                <w:rFonts w:eastAsia="Times New Roman"/>
                <w:sz w:val="24"/>
                <w:szCs w:val="24"/>
                <w:lang w:eastAsia="lv-LV"/>
              </w:rPr>
              <w:t xml:space="preserve"> un</w:t>
            </w:r>
            <w:r w:rsidR="00AB04BE" w:rsidRPr="00C42973">
              <w:rPr>
                <w:rFonts w:eastAsia="Times New Roman"/>
                <w:sz w:val="24"/>
                <w:szCs w:val="24"/>
                <w:lang w:eastAsia="lv-LV"/>
              </w:rPr>
              <w:t xml:space="preserve"> novērsta</w:t>
            </w:r>
            <w:r w:rsidR="004F0579" w:rsidRPr="00C42973">
              <w:rPr>
                <w:rFonts w:eastAsia="Times New Roman"/>
                <w:sz w:val="24"/>
                <w:szCs w:val="24"/>
                <w:lang w:eastAsia="lv-LV"/>
              </w:rPr>
              <w:t xml:space="preserve"> izvair</w:t>
            </w:r>
            <w:r w:rsidR="00AB04BE" w:rsidRPr="00C42973">
              <w:rPr>
                <w:rFonts w:eastAsia="Times New Roman"/>
                <w:sz w:val="24"/>
                <w:szCs w:val="24"/>
                <w:lang w:eastAsia="lv-LV"/>
              </w:rPr>
              <w:t>īšanās no nodokļu nomaksas</w:t>
            </w:r>
            <w:r w:rsidR="004F0579" w:rsidRPr="00C42973">
              <w:rPr>
                <w:rFonts w:eastAsia="Times New Roman"/>
                <w:sz w:val="24"/>
                <w:szCs w:val="24"/>
                <w:lang w:eastAsia="lv-LV"/>
              </w:rPr>
              <w:t>.</w:t>
            </w:r>
          </w:p>
        </w:tc>
      </w:tr>
      <w:tr w:rsidR="00C42973" w:rsidRPr="00C42973" w:rsidTr="002B3E74">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C42973" w:rsidRDefault="00565A60" w:rsidP="002B3E74">
            <w:pPr>
              <w:spacing w:line="240" w:lineRule="auto"/>
              <w:rPr>
                <w:rFonts w:eastAsia="Times New Roman"/>
                <w:sz w:val="24"/>
                <w:szCs w:val="24"/>
                <w:lang w:eastAsia="lv-LV"/>
              </w:rPr>
            </w:pPr>
            <w:r w:rsidRPr="00C42973">
              <w:rPr>
                <w:rFonts w:eastAsia="Times New Roman"/>
                <w:sz w:val="24"/>
                <w:szCs w:val="24"/>
                <w:lang w:eastAsia="lv-LV"/>
              </w:rPr>
              <w:t>3</w:t>
            </w:r>
            <w:r w:rsidR="003F1D89" w:rsidRPr="00C42973">
              <w:rPr>
                <w:rFonts w:eastAsia="Times New Roman"/>
                <w:sz w:val="24"/>
                <w:szCs w:val="24"/>
                <w:lang w:eastAsia="lv-LV"/>
              </w:rPr>
              <w:t>3</w:t>
            </w:r>
            <w:r w:rsidRPr="00C42973">
              <w:rPr>
                <w:rFonts w:eastAsia="Times New Roman"/>
                <w:sz w:val="24"/>
                <w:szCs w:val="24"/>
                <w:lang w:eastAsia="lv-LV"/>
              </w:rPr>
              <w:t>.</w:t>
            </w:r>
          </w:p>
        </w:tc>
        <w:tc>
          <w:tcPr>
            <w:tcW w:w="1526" w:type="pct"/>
            <w:tcBorders>
              <w:top w:val="outset" w:sz="6" w:space="0" w:color="auto"/>
              <w:left w:val="outset" w:sz="6" w:space="0" w:color="auto"/>
              <w:bottom w:val="outset" w:sz="6" w:space="0" w:color="auto"/>
              <w:right w:val="outset" w:sz="6" w:space="0" w:color="auto"/>
            </w:tcBorders>
            <w:shd w:val="clear" w:color="auto" w:fill="FFFFFF"/>
          </w:tcPr>
          <w:p w:rsidR="00565A60" w:rsidRPr="00C42973" w:rsidRDefault="00565A60" w:rsidP="002B3E74">
            <w:pPr>
              <w:spacing w:line="240" w:lineRule="auto"/>
              <w:ind w:firstLine="18"/>
              <w:rPr>
                <w:rFonts w:eastAsia="Times New Roman"/>
                <w:sz w:val="24"/>
                <w:szCs w:val="24"/>
                <w:lang w:eastAsia="lv-LV"/>
              </w:rPr>
            </w:pPr>
            <w:r w:rsidRPr="00C42973">
              <w:rPr>
                <w:sz w:val="24"/>
                <w:szCs w:val="24"/>
                <w:shd w:val="clear" w:color="auto" w:fill="FFFFFF"/>
              </w:rPr>
              <w:t>Administratīvo izmaksu monetārs novērtējums</w:t>
            </w:r>
          </w:p>
        </w:tc>
        <w:tc>
          <w:tcPr>
            <w:tcW w:w="3323" w:type="pct"/>
            <w:tcBorders>
              <w:top w:val="outset" w:sz="6" w:space="0" w:color="auto"/>
              <w:left w:val="outset" w:sz="6" w:space="0" w:color="auto"/>
              <w:bottom w:val="outset" w:sz="6" w:space="0" w:color="auto"/>
              <w:right w:val="outset" w:sz="6" w:space="0" w:color="auto"/>
            </w:tcBorders>
            <w:shd w:val="clear" w:color="auto" w:fill="FFFFFF"/>
          </w:tcPr>
          <w:p w:rsidR="00565A60" w:rsidRPr="00C42973" w:rsidRDefault="00AB04BE" w:rsidP="002B3E74">
            <w:pPr>
              <w:spacing w:line="240" w:lineRule="auto"/>
              <w:ind w:firstLine="0"/>
              <w:rPr>
                <w:rFonts w:eastAsia="Times New Roman"/>
                <w:sz w:val="24"/>
                <w:szCs w:val="24"/>
                <w:lang w:eastAsia="lv-LV"/>
              </w:rPr>
            </w:pPr>
            <w:r w:rsidRPr="00C42973">
              <w:rPr>
                <w:rFonts w:eastAsia="Times New Roman"/>
                <w:sz w:val="24"/>
                <w:szCs w:val="24"/>
                <w:lang w:eastAsia="lv-LV"/>
              </w:rPr>
              <w:t>Projekts šo jomu neskar.</w:t>
            </w:r>
          </w:p>
        </w:tc>
      </w:tr>
      <w:tr w:rsidR="00565A60" w:rsidRPr="00C42973" w:rsidTr="002B3E74">
        <w:tc>
          <w:tcPr>
            <w:tcW w:w="151"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rPr>
                <w:rFonts w:eastAsia="Times New Roman"/>
                <w:sz w:val="24"/>
                <w:szCs w:val="24"/>
                <w:lang w:eastAsia="lv-LV"/>
              </w:rPr>
            </w:pPr>
            <w:r w:rsidRPr="00C42973">
              <w:rPr>
                <w:rFonts w:eastAsia="Times New Roman"/>
                <w:sz w:val="24"/>
                <w:szCs w:val="24"/>
                <w:lang w:eastAsia="lv-LV"/>
              </w:rPr>
              <w:t>4</w:t>
            </w:r>
            <w:r w:rsidR="003F1D89" w:rsidRPr="00C42973">
              <w:rPr>
                <w:rFonts w:eastAsia="Times New Roman"/>
                <w:sz w:val="24"/>
                <w:szCs w:val="24"/>
                <w:lang w:eastAsia="lv-LV"/>
              </w:rPr>
              <w:t>4</w:t>
            </w:r>
            <w:r w:rsidRPr="00C42973">
              <w:rPr>
                <w:rFonts w:eastAsia="Times New Roman"/>
                <w:sz w:val="24"/>
                <w:szCs w:val="24"/>
                <w:lang w:eastAsia="lv-LV"/>
              </w:rPr>
              <w:t>.</w:t>
            </w:r>
          </w:p>
        </w:tc>
        <w:tc>
          <w:tcPr>
            <w:tcW w:w="1526"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lang w:eastAsia="lv-LV"/>
              </w:rPr>
              <w:t>Cita informācija</w:t>
            </w:r>
          </w:p>
        </w:tc>
        <w:tc>
          <w:tcPr>
            <w:tcW w:w="3323"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lang w:eastAsia="lv-LV"/>
              </w:rPr>
              <w:t>Nav</w:t>
            </w:r>
            <w:r w:rsidR="003F1D89" w:rsidRPr="00C42973">
              <w:rPr>
                <w:rFonts w:eastAsia="Times New Roman"/>
                <w:sz w:val="24"/>
                <w:szCs w:val="24"/>
                <w:lang w:eastAsia="lv-LV"/>
              </w:rPr>
              <w:t>.</w:t>
            </w:r>
          </w:p>
        </w:tc>
      </w:tr>
    </w:tbl>
    <w:p w:rsidR="000B6A04" w:rsidRPr="00C42973" w:rsidRDefault="000B6A04" w:rsidP="002B3E74">
      <w:pPr>
        <w:spacing w:line="240" w:lineRule="auto"/>
        <w:ind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9"/>
        <w:gridCol w:w="6237"/>
      </w:tblGrid>
      <w:tr w:rsidR="00C42973" w:rsidRPr="00C42973" w:rsidTr="00F0273B">
        <w:trPr>
          <w:trHeight w:val="421"/>
        </w:trPr>
        <w:tc>
          <w:tcPr>
            <w:tcW w:w="9356" w:type="dxa"/>
            <w:gridSpan w:val="2"/>
            <w:vAlign w:val="center"/>
          </w:tcPr>
          <w:p w:rsidR="00F0273B" w:rsidRPr="00C42973" w:rsidRDefault="00F0273B" w:rsidP="002B3E74">
            <w:pPr>
              <w:pStyle w:val="naisnod"/>
              <w:spacing w:before="0" w:beforeAutospacing="0" w:after="0" w:afterAutospacing="0"/>
              <w:ind w:left="57" w:right="57"/>
              <w:jc w:val="center"/>
            </w:pPr>
            <w:r w:rsidRPr="00C42973">
              <w:rPr>
                <w:b/>
              </w:rPr>
              <w:t>VI. Sabiedrības līdzdalība un komunikācijas aktivitātes</w:t>
            </w:r>
          </w:p>
        </w:tc>
      </w:tr>
      <w:tr w:rsidR="00C42973" w:rsidRPr="00C42973" w:rsidTr="002B3E74">
        <w:trPr>
          <w:trHeight w:val="553"/>
        </w:trPr>
        <w:tc>
          <w:tcPr>
            <w:tcW w:w="3119" w:type="dxa"/>
          </w:tcPr>
          <w:p w:rsidR="00F0273B" w:rsidRPr="00C42973" w:rsidRDefault="00F0273B" w:rsidP="002B3E74">
            <w:pPr>
              <w:tabs>
                <w:tab w:val="left" w:pos="170"/>
              </w:tabs>
              <w:spacing w:line="240" w:lineRule="auto"/>
              <w:ind w:left="57" w:right="57" w:firstLine="46"/>
              <w:rPr>
                <w:sz w:val="24"/>
                <w:szCs w:val="24"/>
                <w:lang w:eastAsia="lv-LV"/>
              </w:rPr>
            </w:pPr>
            <w:r w:rsidRPr="00C42973">
              <w:rPr>
                <w:sz w:val="24"/>
                <w:szCs w:val="24"/>
                <w:lang w:eastAsia="lv-LV"/>
              </w:rPr>
              <w:lastRenderedPageBreak/>
              <w:t>Plānotās sabiedrības līdzdalības un komunikācijas aktivitātes saistībā ar projektu</w:t>
            </w:r>
          </w:p>
        </w:tc>
        <w:tc>
          <w:tcPr>
            <w:tcW w:w="6237" w:type="dxa"/>
          </w:tcPr>
          <w:p w:rsidR="00F0273B" w:rsidRPr="00C42973" w:rsidRDefault="00F0273B" w:rsidP="002B3E74">
            <w:pPr>
              <w:shd w:val="clear" w:color="auto" w:fill="FFFFFF"/>
              <w:spacing w:line="240" w:lineRule="auto"/>
              <w:ind w:left="47" w:firstLine="0"/>
              <w:rPr>
                <w:sz w:val="24"/>
                <w:szCs w:val="24"/>
                <w:lang w:eastAsia="lv-LV"/>
              </w:rPr>
            </w:pPr>
            <w:r w:rsidRPr="00C42973">
              <w:rPr>
                <w:rFonts w:eastAsia="Times New Roman"/>
                <w:sz w:val="24"/>
                <w:szCs w:val="24"/>
                <w:lang w:eastAsia="lv-LV"/>
              </w:rPr>
              <w:t>Paziņojums par līdzdalības iespējām likumprojekta izstrādes procesā ievietots Satiksmes min</w:t>
            </w:r>
            <w:r w:rsidR="00FB030D" w:rsidRPr="00C42973">
              <w:rPr>
                <w:rFonts w:eastAsia="Times New Roman"/>
                <w:sz w:val="24"/>
                <w:szCs w:val="24"/>
                <w:lang w:eastAsia="lv-LV"/>
              </w:rPr>
              <w:t xml:space="preserve">istrijas </w:t>
            </w:r>
            <w:r w:rsidR="00AB04BE" w:rsidRPr="00C42973">
              <w:rPr>
                <w:rFonts w:eastAsia="Times New Roman"/>
                <w:sz w:val="24"/>
                <w:szCs w:val="24"/>
                <w:lang w:eastAsia="lv-LV"/>
              </w:rPr>
              <w:t xml:space="preserve">tīmekļa vietnē </w:t>
            </w:r>
            <w:r w:rsidR="00FB030D" w:rsidRPr="00C42973">
              <w:rPr>
                <w:rFonts w:eastAsia="Times New Roman"/>
                <w:sz w:val="24"/>
                <w:szCs w:val="24"/>
                <w:lang w:eastAsia="lv-LV"/>
              </w:rPr>
              <w:t>2016.gada 19.augustā</w:t>
            </w:r>
            <w:r w:rsidRPr="00C42973">
              <w:rPr>
                <w:rFonts w:eastAsia="Times New Roman"/>
                <w:sz w:val="24"/>
                <w:szCs w:val="24"/>
                <w:lang w:eastAsia="lv-LV"/>
              </w:rPr>
              <w:t>.</w:t>
            </w:r>
          </w:p>
        </w:tc>
      </w:tr>
      <w:tr w:rsidR="00C42973" w:rsidRPr="00C42973" w:rsidTr="002B3E74">
        <w:trPr>
          <w:trHeight w:val="339"/>
        </w:trPr>
        <w:tc>
          <w:tcPr>
            <w:tcW w:w="3119" w:type="dxa"/>
          </w:tcPr>
          <w:p w:rsidR="00F0273B" w:rsidRPr="00C42973" w:rsidRDefault="00F0273B" w:rsidP="002B3E74">
            <w:pPr>
              <w:spacing w:line="240" w:lineRule="auto"/>
              <w:ind w:left="57" w:right="57" w:firstLine="46"/>
              <w:rPr>
                <w:sz w:val="24"/>
                <w:szCs w:val="24"/>
                <w:lang w:eastAsia="lv-LV"/>
              </w:rPr>
            </w:pPr>
            <w:r w:rsidRPr="00C42973">
              <w:rPr>
                <w:sz w:val="24"/>
                <w:szCs w:val="24"/>
                <w:lang w:eastAsia="lv-LV"/>
              </w:rPr>
              <w:t>Sabiedrības līdzdalība projekta izstrādē</w:t>
            </w:r>
          </w:p>
        </w:tc>
        <w:tc>
          <w:tcPr>
            <w:tcW w:w="6237" w:type="dxa"/>
          </w:tcPr>
          <w:p w:rsidR="00F0273B" w:rsidRPr="00C42973" w:rsidRDefault="00A23125" w:rsidP="002B3E74">
            <w:pPr>
              <w:shd w:val="clear" w:color="auto" w:fill="FFFFFF"/>
              <w:spacing w:line="240" w:lineRule="auto"/>
              <w:ind w:left="47" w:firstLine="0"/>
              <w:rPr>
                <w:sz w:val="24"/>
                <w:szCs w:val="24"/>
              </w:rPr>
            </w:pPr>
            <w:r w:rsidRPr="00C42973">
              <w:rPr>
                <w:sz w:val="24"/>
                <w:szCs w:val="24"/>
                <w:lang w:eastAsia="lv-LV"/>
              </w:rPr>
              <w:t>Atbilstoši Ministru kabineta 2009.gada 25.augusta noteikumu Nr.970 „Sabiedrības līdzdalības kārtība attīstības plānošanas procesā” 7.4.</w:t>
            </w:r>
            <w:r w:rsidRPr="00C42973">
              <w:rPr>
                <w:sz w:val="24"/>
                <w:szCs w:val="24"/>
                <w:vertAlign w:val="superscript"/>
                <w:lang w:eastAsia="lv-LV"/>
              </w:rPr>
              <w:t>1</w:t>
            </w:r>
            <w:r w:rsidRPr="00C42973">
              <w:rPr>
                <w:sz w:val="24"/>
                <w:szCs w:val="24"/>
                <w:lang w:eastAsia="lv-LV"/>
              </w:rPr>
              <w:t xml:space="preserve"> apakšpunktam, sabiedrībai tika dota iespēja rakstiski sniegt viedokli par noteikumu projektu tā izstrādes stadijā.</w:t>
            </w:r>
          </w:p>
        </w:tc>
      </w:tr>
      <w:tr w:rsidR="00C42973" w:rsidRPr="00C42973" w:rsidTr="002B3E74">
        <w:trPr>
          <w:trHeight w:val="476"/>
        </w:trPr>
        <w:tc>
          <w:tcPr>
            <w:tcW w:w="3119" w:type="dxa"/>
          </w:tcPr>
          <w:p w:rsidR="00F0273B" w:rsidRPr="00C42973" w:rsidRDefault="00F0273B" w:rsidP="002B3E74">
            <w:pPr>
              <w:spacing w:line="240" w:lineRule="auto"/>
              <w:ind w:left="57" w:right="57" w:firstLine="46"/>
              <w:rPr>
                <w:sz w:val="24"/>
                <w:szCs w:val="24"/>
                <w:lang w:eastAsia="lv-LV"/>
              </w:rPr>
            </w:pPr>
            <w:r w:rsidRPr="00C42973">
              <w:rPr>
                <w:sz w:val="24"/>
                <w:szCs w:val="24"/>
                <w:lang w:eastAsia="lv-LV"/>
              </w:rPr>
              <w:t>Sabiedrības līdzdalības rezultāti</w:t>
            </w:r>
          </w:p>
        </w:tc>
        <w:tc>
          <w:tcPr>
            <w:tcW w:w="6237" w:type="dxa"/>
          </w:tcPr>
          <w:p w:rsidR="00F0273B" w:rsidRPr="00C42973" w:rsidRDefault="00C90B42" w:rsidP="002B3E74">
            <w:pPr>
              <w:shd w:val="clear" w:color="auto" w:fill="FFFFFF"/>
              <w:spacing w:line="240" w:lineRule="auto"/>
              <w:ind w:left="47" w:firstLine="0"/>
              <w:rPr>
                <w:sz w:val="24"/>
                <w:szCs w:val="24"/>
                <w:lang w:eastAsia="lv-LV"/>
              </w:rPr>
            </w:pPr>
            <w:r w:rsidRPr="00C42973">
              <w:rPr>
                <w:sz w:val="24"/>
                <w:szCs w:val="24"/>
                <w:lang w:eastAsia="lv-LV"/>
              </w:rPr>
              <w:t>Sabiedrības atsauksmes nav saņemtas.</w:t>
            </w:r>
          </w:p>
        </w:tc>
      </w:tr>
      <w:tr w:rsidR="00F0273B" w:rsidRPr="00C42973" w:rsidTr="002B3E74">
        <w:trPr>
          <w:trHeight w:val="246"/>
        </w:trPr>
        <w:tc>
          <w:tcPr>
            <w:tcW w:w="3119" w:type="dxa"/>
          </w:tcPr>
          <w:p w:rsidR="00F0273B" w:rsidRPr="00C42973" w:rsidRDefault="00F0273B" w:rsidP="002B3E74">
            <w:pPr>
              <w:spacing w:line="240" w:lineRule="auto"/>
              <w:ind w:left="57" w:right="57" w:firstLine="46"/>
              <w:rPr>
                <w:sz w:val="24"/>
                <w:szCs w:val="24"/>
                <w:lang w:eastAsia="lv-LV"/>
              </w:rPr>
            </w:pPr>
            <w:r w:rsidRPr="00C42973">
              <w:rPr>
                <w:sz w:val="24"/>
                <w:szCs w:val="24"/>
                <w:lang w:eastAsia="lv-LV"/>
              </w:rPr>
              <w:t>Cita informācija</w:t>
            </w:r>
          </w:p>
        </w:tc>
        <w:tc>
          <w:tcPr>
            <w:tcW w:w="6237" w:type="dxa"/>
          </w:tcPr>
          <w:p w:rsidR="00F0273B" w:rsidRPr="00C42973" w:rsidRDefault="00F0273B" w:rsidP="002B3E74">
            <w:pPr>
              <w:spacing w:line="240" w:lineRule="auto"/>
              <w:ind w:left="47" w:right="57" w:firstLine="0"/>
              <w:rPr>
                <w:sz w:val="24"/>
                <w:szCs w:val="24"/>
                <w:lang w:eastAsia="lv-LV"/>
              </w:rPr>
            </w:pPr>
            <w:r w:rsidRPr="00C42973">
              <w:rPr>
                <w:sz w:val="24"/>
                <w:szCs w:val="24"/>
              </w:rPr>
              <w:t>Nav.</w:t>
            </w:r>
          </w:p>
        </w:tc>
      </w:tr>
    </w:tbl>
    <w:p w:rsidR="000B6A04" w:rsidRPr="00C42973" w:rsidRDefault="000B6A04" w:rsidP="002B3E74">
      <w:pPr>
        <w:spacing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
        <w:gridCol w:w="2746"/>
        <w:gridCol w:w="6179"/>
      </w:tblGrid>
      <w:tr w:rsidR="00C42973" w:rsidRPr="00C42973"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jc w:val="center"/>
              <w:rPr>
                <w:rFonts w:eastAsia="Times New Roman"/>
                <w:b/>
                <w:bCs/>
                <w:sz w:val="24"/>
                <w:szCs w:val="24"/>
                <w:lang w:eastAsia="lv-LV"/>
              </w:rPr>
            </w:pPr>
            <w:r w:rsidRPr="00C42973">
              <w:rPr>
                <w:rFonts w:eastAsia="Times New Roman"/>
                <w:b/>
                <w:bCs/>
                <w:sz w:val="24"/>
                <w:szCs w:val="24"/>
                <w:lang w:eastAsia="lv-LV"/>
              </w:rPr>
              <w:t>VII. Tiesību akta projekta izpildes nodrošināšana un tās ietekme uz institūcijām</w:t>
            </w:r>
          </w:p>
        </w:tc>
      </w:tr>
      <w:tr w:rsidR="00C42973" w:rsidRPr="00C42973" w:rsidTr="002B3E74">
        <w:trPr>
          <w:trHeight w:val="487"/>
        </w:trPr>
        <w:tc>
          <w:tcPr>
            <w:tcW w:w="200" w:type="pct"/>
            <w:tcBorders>
              <w:top w:val="outset" w:sz="6" w:space="0" w:color="auto"/>
              <w:left w:val="outset" w:sz="6" w:space="0" w:color="auto"/>
              <w:bottom w:val="outset" w:sz="6" w:space="0" w:color="auto"/>
              <w:right w:val="outset" w:sz="6" w:space="0" w:color="auto"/>
            </w:tcBorders>
          </w:tcPr>
          <w:p w:rsidR="00565A60" w:rsidRPr="00C42973" w:rsidRDefault="00DA5F33" w:rsidP="002B3E74">
            <w:pPr>
              <w:spacing w:line="240" w:lineRule="auto"/>
              <w:rPr>
                <w:rFonts w:eastAsia="Times New Roman"/>
                <w:sz w:val="24"/>
                <w:szCs w:val="24"/>
                <w:lang w:eastAsia="lv-LV"/>
              </w:rPr>
            </w:pPr>
            <w:r w:rsidRPr="00C42973">
              <w:rPr>
                <w:rFonts w:eastAsia="Times New Roman"/>
                <w:sz w:val="24"/>
                <w:szCs w:val="24"/>
                <w:lang w:eastAsia="lv-LV"/>
              </w:rPr>
              <w:t>11.</w:t>
            </w:r>
          </w:p>
        </w:tc>
        <w:tc>
          <w:tcPr>
            <w:tcW w:w="1477"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lang w:eastAsia="lv-LV"/>
              </w:rPr>
              <w:t>Projekta izpildē iesaistītās institūcijas</w:t>
            </w:r>
          </w:p>
        </w:tc>
        <w:tc>
          <w:tcPr>
            <w:tcW w:w="3323" w:type="pct"/>
            <w:tcBorders>
              <w:top w:val="outset" w:sz="6" w:space="0" w:color="auto"/>
              <w:left w:val="outset" w:sz="6" w:space="0" w:color="auto"/>
              <w:bottom w:val="outset" w:sz="6" w:space="0" w:color="auto"/>
              <w:right w:val="outset" w:sz="6" w:space="0" w:color="auto"/>
            </w:tcBorders>
          </w:tcPr>
          <w:p w:rsidR="00565A60" w:rsidRPr="00C42973" w:rsidRDefault="00AB04BE" w:rsidP="002B3E74">
            <w:pPr>
              <w:spacing w:line="240" w:lineRule="auto"/>
              <w:ind w:firstLine="0"/>
              <w:rPr>
                <w:rFonts w:eastAsia="Times New Roman"/>
                <w:sz w:val="24"/>
                <w:szCs w:val="24"/>
                <w:highlight w:val="yellow"/>
                <w:lang w:eastAsia="lv-LV"/>
              </w:rPr>
            </w:pPr>
            <w:r w:rsidRPr="00C42973">
              <w:rPr>
                <w:rFonts w:eastAsia="Times New Roman"/>
                <w:sz w:val="24"/>
                <w:szCs w:val="24"/>
                <w:lang w:eastAsia="lv-LV"/>
              </w:rPr>
              <w:t>Valsts ieņēmumu dienests, pašvaldību kontroles dienesti.</w:t>
            </w:r>
          </w:p>
        </w:tc>
      </w:tr>
      <w:tr w:rsidR="00C42973" w:rsidRPr="00C42973" w:rsidTr="002B3E74">
        <w:trPr>
          <w:trHeight w:val="1947"/>
        </w:trPr>
        <w:tc>
          <w:tcPr>
            <w:tcW w:w="200" w:type="pct"/>
            <w:tcBorders>
              <w:top w:val="outset" w:sz="6" w:space="0" w:color="auto"/>
              <w:left w:val="outset" w:sz="6" w:space="0" w:color="auto"/>
              <w:bottom w:val="outset" w:sz="6" w:space="0" w:color="auto"/>
              <w:right w:val="outset" w:sz="6" w:space="0" w:color="auto"/>
            </w:tcBorders>
          </w:tcPr>
          <w:p w:rsidR="00565A60" w:rsidRPr="00C42973" w:rsidRDefault="00DA5F33" w:rsidP="002B3E74">
            <w:pPr>
              <w:spacing w:line="240" w:lineRule="auto"/>
              <w:rPr>
                <w:rFonts w:eastAsia="Times New Roman"/>
                <w:sz w:val="24"/>
                <w:szCs w:val="24"/>
                <w:lang w:eastAsia="lv-LV"/>
              </w:rPr>
            </w:pPr>
            <w:r w:rsidRPr="00C42973">
              <w:rPr>
                <w:rFonts w:eastAsia="Times New Roman"/>
                <w:sz w:val="24"/>
                <w:szCs w:val="24"/>
                <w:lang w:eastAsia="lv-LV"/>
              </w:rPr>
              <w:t>22.</w:t>
            </w:r>
          </w:p>
        </w:tc>
        <w:tc>
          <w:tcPr>
            <w:tcW w:w="1477"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shd w:val="clear" w:color="auto" w:fill="FFFFFF"/>
                <w:lang w:eastAsia="lv-LV"/>
              </w:rPr>
              <w:t>Projekta izpildes ietekme uz pārvaldes funkcijām un institucionālo struktūru.</w:t>
            </w:r>
          </w:p>
          <w:p w:rsidR="00565A60" w:rsidRPr="00C42973" w:rsidRDefault="00565A60" w:rsidP="002B3E74">
            <w:pPr>
              <w:shd w:val="clear" w:color="auto" w:fill="FFFFFF"/>
              <w:spacing w:line="240" w:lineRule="auto"/>
              <w:ind w:firstLine="0"/>
              <w:rPr>
                <w:rFonts w:eastAsia="Times New Roman"/>
                <w:sz w:val="24"/>
                <w:szCs w:val="24"/>
                <w:lang w:eastAsia="lv-LV"/>
              </w:rPr>
            </w:pPr>
            <w:r w:rsidRPr="00C42973">
              <w:rPr>
                <w:rFonts w:eastAsia="Times New Roman"/>
                <w:sz w:val="24"/>
                <w:szCs w:val="24"/>
                <w:lang w:eastAsia="lv-LV"/>
              </w:rPr>
              <w:t>Jaunu institūciju izveide, esošu institūciju likvidācija vai reorganizācija, to ietekme uz institūcijas cilvēkresursiem</w:t>
            </w:r>
          </w:p>
        </w:tc>
        <w:tc>
          <w:tcPr>
            <w:tcW w:w="3323" w:type="pct"/>
            <w:tcBorders>
              <w:top w:val="outset" w:sz="6" w:space="0" w:color="auto"/>
              <w:left w:val="outset" w:sz="6" w:space="0" w:color="auto"/>
              <w:bottom w:val="outset" w:sz="6" w:space="0" w:color="auto"/>
              <w:right w:val="outset" w:sz="6" w:space="0" w:color="auto"/>
            </w:tcBorders>
          </w:tcPr>
          <w:p w:rsidR="000E0DD1" w:rsidRPr="00C42973" w:rsidRDefault="000E0DD1" w:rsidP="002B3E74">
            <w:pPr>
              <w:spacing w:line="240" w:lineRule="auto"/>
              <w:ind w:firstLine="0"/>
              <w:rPr>
                <w:rFonts w:eastAsia="Times New Roman"/>
                <w:sz w:val="24"/>
                <w:szCs w:val="24"/>
                <w:lang w:eastAsia="lv-LV"/>
              </w:rPr>
            </w:pPr>
            <w:r w:rsidRPr="00C42973">
              <w:rPr>
                <w:rFonts w:eastAsia="Times New Roman"/>
                <w:sz w:val="24"/>
                <w:szCs w:val="24"/>
                <w:lang w:eastAsia="lv-LV"/>
              </w:rPr>
              <w:t>Projekta izpilde neietekmēs pārvaldes funkcijas.</w:t>
            </w:r>
          </w:p>
          <w:p w:rsidR="00565A60" w:rsidRPr="00C42973" w:rsidRDefault="000E0DD1" w:rsidP="002B3E74">
            <w:pPr>
              <w:spacing w:line="240" w:lineRule="auto"/>
              <w:ind w:firstLine="0"/>
              <w:rPr>
                <w:rFonts w:eastAsia="Times New Roman"/>
                <w:sz w:val="24"/>
                <w:szCs w:val="24"/>
                <w:lang w:eastAsia="lv-LV"/>
              </w:rPr>
            </w:pPr>
            <w:r w:rsidRPr="00C42973">
              <w:rPr>
                <w:rFonts w:eastAsia="Times New Roman"/>
                <w:sz w:val="24"/>
                <w:szCs w:val="24"/>
                <w:lang w:eastAsia="lv-LV"/>
              </w:rPr>
              <w:t>Projekta īstenošana tiks veikta esošo cilvēkresursu ietvaros. Saistībā ar Projekta izpildi nebūs nepieciešams veidot jaunas institūcijas vai likvidēt vai reorganizēt esošās. </w:t>
            </w:r>
          </w:p>
        </w:tc>
      </w:tr>
      <w:tr w:rsidR="00C42973" w:rsidRPr="00C42973" w:rsidTr="002B3E74">
        <w:trPr>
          <w:trHeight w:val="336"/>
        </w:trPr>
        <w:tc>
          <w:tcPr>
            <w:tcW w:w="200"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rPr>
                <w:rFonts w:eastAsia="Times New Roman"/>
                <w:sz w:val="24"/>
                <w:szCs w:val="24"/>
                <w:lang w:eastAsia="lv-LV"/>
              </w:rPr>
            </w:pPr>
            <w:r w:rsidRPr="00C42973">
              <w:rPr>
                <w:rFonts w:eastAsia="Times New Roman"/>
                <w:sz w:val="24"/>
                <w:szCs w:val="24"/>
                <w:lang w:eastAsia="lv-LV"/>
              </w:rPr>
              <w:t>3</w:t>
            </w:r>
            <w:r w:rsidR="00DA5F33" w:rsidRPr="00C42973">
              <w:rPr>
                <w:rFonts w:eastAsia="Times New Roman"/>
                <w:sz w:val="24"/>
                <w:szCs w:val="24"/>
                <w:lang w:eastAsia="lv-LV"/>
              </w:rPr>
              <w:t>3.</w:t>
            </w:r>
          </w:p>
        </w:tc>
        <w:tc>
          <w:tcPr>
            <w:tcW w:w="1477"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lang w:eastAsia="lv-LV"/>
              </w:rPr>
              <w:t>Cita informācija</w:t>
            </w:r>
          </w:p>
        </w:tc>
        <w:tc>
          <w:tcPr>
            <w:tcW w:w="3323" w:type="pct"/>
            <w:tcBorders>
              <w:top w:val="outset" w:sz="6" w:space="0" w:color="auto"/>
              <w:left w:val="outset" w:sz="6" w:space="0" w:color="auto"/>
              <w:bottom w:val="outset" w:sz="6" w:space="0" w:color="auto"/>
              <w:right w:val="outset" w:sz="6" w:space="0" w:color="auto"/>
            </w:tcBorders>
          </w:tcPr>
          <w:p w:rsidR="00565A60" w:rsidRPr="00C42973" w:rsidRDefault="00565A60" w:rsidP="002B3E74">
            <w:pPr>
              <w:spacing w:line="240" w:lineRule="auto"/>
              <w:ind w:firstLine="0"/>
              <w:rPr>
                <w:rFonts w:eastAsia="Times New Roman"/>
                <w:sz w:val="24"/>
                <w:szCs w:val="24"/>
                <w:lang w:eastAsia="lv-LV"/>
              </w:rPr>
            </w:pPr>
            <w:r w:rsidRPr="00C42973">
              <w:rPr>
                <w:rFonts w:eastAsia="Times New Roman"/>
                <w:sz w:val="24"/>
                <w:szCs w:val="24"/>
                <w:lang w:eastAsia="lv-LV"/>
              </w:rPr>
              <w:t>Nav</w:t>
            </w:r>
            <w:r w:rsidR="00DA5F33" w:rsidRPr="00C42973">
              <w:rPr>
                <w:rFonts w:eastAsia="Times New Roman"/>
                <w:sz w:val="24"/>
                <w:szCs w:val="24"/>
                <w:lang w:eastAsia="lv-LV"/>
              </w:rPr>
              <w:t>.</w:t>
            </w:r>
          </w:p>
        </w:tc>
      </w:tr>
    </w:tbl>
    <w:p w:rsidR="001756C1" w:rsidRPr="00C42973" w:rsidRDefault="00AB04BE" w:rsidP="002B3E74">
      <w:pPr>
        <w:spacing w:line="240" w:lineRule="auto"/>
        <w:ind w:firstLine="0"/>
        <w:rPr>
          <w:sz w:val="24"/>
          <w:szCs w:val="24"/>
        </w:rPr>
      </w:pPr>
      <w:r w:rsidRPr="00C42973">
        <w:rPr>
          <w:sz w:val="24"/>
          <w:szCs w:val="24"/>
        </w:rPr>
        <w:t>Anotācijas III, IV un V sadaļa – projekts šīs jomas neskar.</w:t>
      </w:r>
    </w:p>
    <w:p w:rsidR="002B1291" w:rsidRPr="00C42973" w:rsidRDefault="002B1291" w:rsidP="002B3E74">
      <w:pPr>
        <w:spacing w:line="240" w:lineRule="auto"/>
        <w:ind w:firstLine="0"/>
        <w:rPr>
          <w:sz w:val="24"/>
          <w:szCs w:val="24"/>
        </w:rPr>
      </w:pPr>
    </w:p>
    <w:p w:rsidR="00AB04BE" w:rsidRPr="00C42973" w:rsidRDefault="00AB04BE" w:rsidP="002B3E74">
      <w:pPr>
        <w:spacing w:line="240" w:lineRule="auto"/>
        <w:ind w:firstLine="0"/>
        <w:rPr>
          <w:sz w:val="24"/>
          <w:szCs w:val="24"/>
        </w:rPr>
      </w:pPr>
    </w:p>
    <w:p w:rsidR="003228D7" w:rsidRPr="00C42973" w:rsidRDefault="003228D7" w:rsidP="002B3E74">
      <w:pPr>
        <w:spacing w:line="240" w:lineRule="auto"/>
        <w:ind w:firstLine="0"/>
        <w:rPr>
          <w:sz w:val="24"/>
          <w:szCs w:val="24"/>
        </w:rPr>
      </w:pPr>
      <w:r w:rsidRPr="00C42973">
        <w:rPr>
          <w:sz w:val="24"/>
          <w:szCs w:val="24"/>
        </w:rPr>
        <w:t xml:space="preserve">Iesniedzējs: </w:t>
      </w:r>
    </w:p>
    <w:p w:rsidR="003228D7" w:rsidRPr="00C42973" w:rsidRDefault="003228D7" w:rsidP="002B3E74">
      <w:pPr>
        <w:spacing w:line="240" w:lineRule="auto"/>
        <w:ind w:firstLine="0"/>
        <w:rPr>
          <w:sz w:val="24"/>
          <w:szCs w:val="24"/>
        </w:rPr>
      </w:pPr>
      <w:r w:rsidRPr="00C42973">
        <w:rPr>
          <w:sz w:val="24"/>
          <w:szCs w:val="24"/>
        </w:rPr>
        <w:t>Satiksmes ministrs</w:t>
      </w:r>
      <w:r w:rsidRPr="00C42973">
        <w:rPr>
          <w:sz w:val="24"/>
          <w:szCs w:val="24"/>
        </w:rPr>
        <w:tab/>
      </w:r>
      <w:r w:rsidRPr="00C42973">
        <w:rPr>
          <w:sz w:val="24"/>
          <w:szCs w:val="24"/>
        </w:rPr>
        <w:tab/>
      </w:r>
      <w:r w:rsidRPr="00C42973">
        <w:rPr>
          <w:sz w:val="24"/>
          <w:szCs w:val="24"/>
        </w:rPr>
        <w:tab/>
      </w:r>
      <w:r w:rsidRPr="00C42973">
        <w:rPr>
          <w:sz w:val="24"/>
          <w:szCs w:val="24"/>
        </w:rPr>
        <w:tab/>
      </w:r>
      <w:r w:rsidRPr="00C42973">
        <w:rPr>
          <w:sz w:val="24"/>
          <w:szCs w:val="24"/>
        </w:rPr>
        <w:tab/>
      </w:r>
      <w:r w:rsidRPr="00C42973">
        <w:rPr>
          <w:sz w:val="24"/>
          <w:szCs w:val="24"/>
        </w:rPr>
        <w:tab/>
      </w:r>
      <w:r w:rsidRPr="00C42973">
        <w:rPr>
          <w:sz w:val="24"/>
          <w:szCs w:val="24"/>
        </w:rPr>
        <w:tab/>
      </w:r>
      <w:r w:rsidRPr="00C42973">
        <w:rPr>
          <w:sz w:val="24"/>
          <w:szCs w:val="24"/>
        </w:rPr>
        <w:tab/>
      </w:r>
      <w:r w:rsidRPr="00C42973">
        <w:rPr>
          <w:sz w:val="24"/>
          <w:szCs w:val="24"/>
        </w:rPr>
        <w:tab/>
      </w:r>
      <w:proofErr w:type="spellStart"/>
      <w:r w:rsidRPr="00C42973">
        <w:rPr>
          <w:sz w:val="24"/>
          <w:szCs w:val="24"/>
        </w:rPr>
        <w:t>U.Augulis</w:t>
      </w:r>
      <w:proofErr w:type="spellEnd"/>
    </w:p>
    <w:p w:rsidR="003228D7" w:rsidRPr="00C42973" w:rsidRDefault="003228D7" w:rsidP="002B3E74">
      <w:pPr>
        <w:spacing w:line="240" w:lineRule="auto"/>
        <w:ind w:firstLine="0"/>
        <w:rPr>
          <w:sz w:val="24"/>
          <w:szCs w:val="24"/>
        </w:rPr>
      </w:pPr>
    </w:p>
    <w:p w:rsidR="002B1291" w:rsidRPr="00C42973" w:rsidRDefault="002B1291" w:rsidP="002B3E74">
      <w:pPr>
        <w:spacing w:line="240" w:lineRule="auto"/>
        <w:ind w:firstLine="0"/>
        <w:rPr>
          <w:sz w:val="24"/>
          <w:szCs w:val="24"/>
        </w:rPr>
      </w:pPr>
    </w:p>
    <w:p w:rsidR="0089322A" w:rsidRPr="00C42973" w:rsidRDefault="0089322A" w:rsidP="002B3E74">
      <w:pPr>
        <w:spacing w:line="240" w:lineRule="auto"/>
        <w:ind w:firstLine="0"/>
        <w:rPr>
          <w:rFonts w:eastAsia="Times New Roman"/>
          <w:sz w:val="24"/>
          <w:szCs w:val="24"/>
          <w:lang w:eastAsia="lv-LV"/>
        </w:rPr>
      </w:pPr>
      <w:r w:rsidRPr="00C42973">
        <w:rPr>
          <w:rFonts w:eastAsia="Times New Roman"/>
          <w:sz w:val="24"/>
          <w:szCs w:val="24"/>
          <w:lang w:eastAsia="lv-LV"/>
        </w:rPr>
        <w:t xml:space="preserve">Vīza: Valsts sekretārs </w:t>
      </w:r>
      <w:r w:rsidRPr="00C42973">
        <w:rPr>
          <w:rFonts w:eastAsia="Times New Roman"/>
          <w:sz w:val="24"/>
          <w:szCs w:val="24"/>
          <w:lang w:eastAsia="lv-LV"/>
        </w:rPr>
        <w:tab/>
        <w:t xml:space="preserve">       </w:t>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r>
      <w:r w:rsidRPr="00C42973">
        <w:rPr>
          <w:rFonts w:eastAsia="Times New Roman"/>
          <w:sz w:val="24"/>
          <w:szCs w:val="24"/>
          <w:lang w:eastAsia="lv-LV"/>
        </w:rPr>
        <w:tab/>
        <w:t>K.Ozoliņš</w:t>
      </w:r>
    </w:p>
    <w:p w:rsidR="00E76C69" w:rsidRPr="00C42973" w:rsidRDefault="00E76C69" w:rsidP="002B3E74">
      <w:pPr>
        <w:pStyle w:val="Header"/>
        <w:spacing w:line="240" w:lineRule="auto"/>
        <w:ind w:firstLine="0"/>
        <w:rPr>
          <w:sz w:val="24"/>
          <w:szCs w:val="24"/>
          <w:lang w:val="lv-LV"/>
        </w:rPr>
      </w:pPr>
    </w:p>
    <w:p w:rsidR="002B1291" w:rsidRPr="00C42973" w:rsidRDefault="002B1291" w:rsidP="002B3E74">
      <w:pPr>
        <w:pStyle w:val="Header"/>
        <w:spacing w:line="240" w:lineRule="auto"/>
        <w:ind w:firstLine="0"/>
        <w:rPr>
          <w:sz w:val="24"/>
          <w:szCs w:val="24"/>
          <w:lang w:val="lv-LV"/>
        </w:rPr>
      </w:pPr>
    </w:p>
    <w:p w:rsidR="00ED7815" w:rsidRPr="00C42973" w:rsidRDefault="000B6A04" w:rsidP="002B3E74">
      <w:pPr>
        <w:spacing w:line="240" w:lineRule="auto"/>
        <w:ind w:firstLine="0"/>
        <w:rPr>
          <w:sz w:val="20"/>
          <w:szCs w:val="20"/>
        </w:rPr>
      </w:pPr>
      <w:r w:rsidRPr="00C42973">
        <w:rPr>
          <w:sz w:val="20"/>
          <w:szCs w:val="20"/>
        </w:rPr>
        <w:t>31.01.2017</w:t>
      </w:r>
      <w:r w:rsidR="00BC58FA" w:rsidRPr="00C42973">
        <w:rPr>
          <w:sz w:val="20"/>
          <w:szCs w:val="20"/>
        </w:rPr>
        <w:t>.</w:t>
      </w:r>
    </w:p>
    <w:p w:rsidR="002B1291" w:rsidRPr="00C42973" w:rsidRDefault="00172564" w:rsidP="002B3E74">
      <w:pPr>
        <w:spacing w:line="240" w:lineRule="auto"/>
        <w:ind w:firstLine="0"/>
        <w:rPr>
          <w:sz w:val="20"/>
          <w:szCs w:val="20"/>
        </w:rPr>
      </w:pPr>
      <w:r>
        <w:rPr>
          <w:sz w:val="20"/>
          <w:szCs w:val="20"/>
        </w:rPr>
        <w:t>1156</w:t>
      </w:r>
      <w:bookmarkStart w:id="0" w:name="_GoBack"/>
      <w:bookmarkEnd w:id="0"/>
    </w:p>
    <w:p w:rsidR="00D9115A" w:rsidRPr="00C42973" w:rsidRDefault="00D34D55" w:rsidP="002B3E74">
      <w:pPr>
        <w:spacing w:line="240" w:lineRule="auto"/>
        <w:ind w:firstLine="0"/>
        <w:rPr>
          <w:sz w:val="20"/>
          <w:szCs w:val="20"/>
          <w:lang w:val="de-DE"/>
        </w:rPr>
      </w:pPr>
      <w:proofErr w:type="spellStart"/>
      <w:r w:rsidRPr="00C42973">
        <w:rPr>
          <w:sz w:val="20"/>
          <w:szCs w:val="20"/>
          <w:lang w:val="de-DE"/>
        </w:rPr>
        <w:t>Ž.Butāns</w:t>
      </w:r>
      <w:proofErr w:type="spellEnd"/>
      <w:r w:rsidRPr="00C42973">
        <w:rPr>
          <w:sz w:val="20"/>
          <w:szCs w:val="20"/>
          <w:lang w:val="de-DE"/>
        </w:rPr>
        <w:t>, 67028326</w:t>
      </w:r>
    </w:p>
    <w:p w:rsidR="00C70784" w:rsidRPr="00C42973" w:rsidRDefault="00172564" w:rsidP="002B3E74">
      <w:pPr>
        <w:spacing w:line="240" w:lineRule="auto"/>
        <w:ind w:firstLine="0"/>
        <w:rPr>
          <w:sz w:val="20"/>
          <w:szCs w:val="20"/>
          <w:lang w:val="de-DE"/>
        </w:rPr>
      </w:pPr>
      <w:hyperlink r:id="rId8" w:history="1">
        <w:r w:rsidR="000E0DD1" w:rsidRPr="00C42973">
          <w:rPr>
            <w:rStyle w:val="Hyperlink"/>
            <w:color w:val="auto"/>
            <w:sz w:val="20"/>
            <w:szCs w:val="20"/>
            <w:lang w:val="de-DE"/>
          </w:rPr>
          <w:t>Zans.Butans@sam.gov.lv</w:t>
        </w:r>
      </w:hyperlink>
      <w:r w:rsidR="000E0DD1" w:rsidRPr="00C42973">
        <w:rPr>
          <w:sz w:val="20"/>
          <w:szCs w:val="20"/>
          <w:lang w:val="de-DE"/>
        </w:rPr>
        <w:t xml:space="preserve"> </w:t>
      </w:r>
    </w:p>
    <w:sectPr w:rsidR="00C70784" w:rsidRPr="00C42973" w:rsidSect="00E75E1C">
      <w:headerReference w:type="default" r:id="rId9"/>
      <w:footerReference w:type="default" r:id="rId10"/>
      <w:footerReference w:type="first" r:id="rId11"/>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1B" w:rsidRDefault="00B63D1B" w:rsidP="00E65F54">
      <w:pPr>
        <w:spacing w:line="240" w:lineRule="auto"/>
      </w:pPr>
      <w:r>
        <w:separator/>
      </w:r>
    </w:p>
  </w:endnote>
  <w:endnote w:type="continuationSeparator" w:id="0">
    <w:p w:rsidR="00B63D1B" w:rsidRDefault="00B63D1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A8" w:rsidRDefault="004404A8" w:rsidP="00CE0D9B">
    <w:pPr>
      <w:pStyle w:val="Header"/>
      <w:spacing w:line="240" w:lineRule="auto"/>
      <w:ind w:firstLine="0"/>
      <w:rPr>
        <w:sz w:val="20"/>
        <w:szCs w:val="20"/>
        <w:lang w:val="lv-LV"/>
      </w:rPr>
    </w:pPr>
    <w:r w:rsidRPr="006E43B0">
      <w:rPr>
        <w:sz w:val="20"/>
        <w:szCs w:val="20"/>
      </w:rPr>
      <w:t>SAMAnot_</w:t>
    </w:r>
    <w:r w:rsidR="000B6A04">
      <w:rPr>
        <w:sz w:val="20"/>
        <w:szCs w:val="20"/>
        <w:lang w:val="lv-LV"/>
      </w:rPr>
      <w:t>310117</w:t>
    </w:r>
    <w:r w:rsidRPr="006E43B0">
      <w:rPr>
        <w:sz w:val="20"/>
        <w:szCs w:val="20"/>
      </w:rPr>
      <w:t>_</w:t>
    </w:r>
    <w:r>
      <w:rPr>
        <w:sz w:val="20"/>
        <w:szCs w:val="20"/>
        <w:lang w:val="lv-LV"/>
      </w:rPr>
      <w:t>339</w:t>
    </w:r>
    <w:r w:rsidRPr="004404A8">
      <w:rPr>
        <w:sz w:val="20"/>
        <w:szCs w:val="20"/>
        <w:lang w:val="lv-LV"/>
      </w:rPr>
      <w:t>; Ministru kabineta noteikumu projekta “</w:t>
    </w:r>
    <w:r w:rsidR="000528FB" w:rsidRPr="004404A8">
      <w:rPr>
        <w:sz w:val="20"/>
        <w:szCs w:val="20"/>
        <w:lang w:val="lv-LV"/>
      </w:rPr>
      <w:t>Grozījum</w:t>
    </w:r>
    <w:r w:rsidR="000528FB">
      <w:rPr>
        <w:sz w:val="20"/>
        <w:szCs w:val="20"/>
        <w:lang w:val="lv-LV"/>
      </w:rPr>
      <w:t>i</w:t>
    </w:r>
    <w:r w:rsidR="000528FB" w:rsidRPr="004404A8">
      <w:rPr>
        <w:sz w:val="20"/>
        <w:szCs w:val="20"/>
        <w:lang w:val="lv-LV"/>
      </w:rPr>
      <w:t xml:space="preserve"> </w:t>
    </w:r>
    <w:r w:rsidRPr="004404A8">
      <w:rPr>
        <w:sz w:val="20"/>
        <w:szCs w:val="20"/>
        <w:lang w:val="lv-LV"/>
      </w:rPr>
      <w:t xml:space="preserve">Ministru kabineta 2005.gada 17.maija noteikumos Nr.339 „Kārtība, kādā atļauts veikt pasažieru un kravas komercpārvadājumus ar citu personu īpašumā esošiem autotransporta līdzekļiem”” sākotnējās ietekmes novērtējuma ziņojums (anotācija) </w:t>
    </w:r>
  </w:p>
  <w:p w:rsidR="004404A8" w:rsidRPr="004404A8" w:rsidRDefault="004404A8" w:rsidP="004404A8">
    <w:pPr>
      <w:pStyle w:val="Header"/>
      <w:spacing w:line="240" w:lineRule="auto"/>
      <w:ind w:firstLine="0"/>
      <w:jc w:val="center"/>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A8" w:rsidRPr="004404A8" w:rsidRDefault="0073691D" w:rsidP="00CE0D9B">
    <w:pPr>
      <w:pStyle w:val="Header"/>
      <w:spacing w:line="240" w:lineRule="auto"/>
      <w:ind w:firstLine="0"/>
      <w:rPr>
        <w:sz w:val="20"/>
        <w:szCs w:val="20"/>
        <w:lang w:val="lv-LV"/>
      </w:rPr>
    </w:pPr>
    <w:r w:rsidRPr="006E43B0">
      <w:rPr>
        <w:sz w:val="20"/>
        <w:szCs w:val="20"/>
      </w:rPr>
      <w:t>SAMAnot_</w:t>
    </w:r>
    <w:r w:rsidR="000B6A04">
      <w:rPr>
        <w:sz w:val="20"/>
        <w:szCs w:val="20"/>
        <w:lang w:val="lv-LV"/>
      </w:rPr>
      <w:t>310117</w:t>
    </w:r>
    <w:r w:rsidRPr="006E43B0">
      <w:rPr>
        <w:sz w:val="20"/>
        <w:szCs w:val="20"/>
      </w:rPr>
      <w:t>_</w:t>
    </w:r>
    <w:r w:rsidR="004404A8">
      <w:rPr>
        <w:sz w:val="20"/>
        <w:szCs w:val="20"/>
        <w:lang w:val="lv-LV"/>
      </w:rPr>
      <w:t>339</w:t>
    </w:r>
    <w:r w:rsidRPr="004404A8">
      <w:rPr>
        <w:sz w:val="20"/>
        <w:szCs w:val="20"/>
        <w:lang w:val="lv-LV"/>
      </w:rPr>
      <w:t xml:space="preserve">; </w:t>
    </w:r>
    <w:r w:rsidR="004404A8" w:rsidRPr="004404A8">
      <w:rPr>
        <w:sz w:val="20"/>
        <w:szCs w:val="20"/>
        <w:lang w:val="lv-LV"/>
      </w:rPr>
      <w:t>Ministru kabineta noteikumu projekta “</w:t>
    </w:r>
    <w:r w:rsidR="000528FB" w:rsidRPr="004404A8">
      <w:rPr>
        <w:sz w:val="20"/>
        <w:szCs w:val="20"/>
        <w:lang w:val="lv-LV"/>
      </w:rPr>
      <w:t>Grozījum</w:t>
    </w:r>
    <w:r w:rsidR="000528FB">
      <w:rPr>
        <w:sz w:val="20"/>
        <w:szCs w:val="20"/>
        <w:lang w:val="lv-LV"/>
      </w:rPr>
      <w:t xml:space="preserve">i </w:t>
    </w:r>
    <w:r w:rsidR="004404A8" w:rsidRPr="004404A8">
      <w:rPr>
        <w:sz w:val="20"/>
        <w:szCs w:val="20"/>
        <w:lang w:val="lv-LV"/>
      </w:rPr>
      <w:t xml:space="preserve">Ministru kabineta 2005.gada 17.maija noteikumos Nr.339 „Kārtība, kādā atļauts veikt pasažieru un kravas komercpārvadājumus ar citu personu īpašumā esošiem autotransporta līdzekļiem”” sākotnējās ietekmes novērtējuma ziņojums (anotācija) </w:t>
    </w:r>
  </w:p>
  <w:p w:rsidR="008D49A8" w:rsidRDefault="008D49A8" w:rsidP="002233D1">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1B" w:rsidRDefault="00B63D1B" w:rsidP="00E65F54">
      <w:pPr>
        <w:spacing w:line="240" w:lineRule="auto"/>
      </w:pPr>
      <w:r>
        <w:separator/>
      </w:r>
    </w:p>
  </w:footnote>
  <w:footnote w:type="continuationSeparator" w:id="0">
    <w:p w:rsidR="00B63D1B" w:rsidRDefault="00B63D1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A8" w:rsidRPr="00EC3264" w:rsidRDefault="008D49A8"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172564">
      <w:rPr>
        <w:noProof/>
        <w:sz w:val="24"/>
        <w:szCs w:val="24"/>
      </w:rPr>
      <w:t>4</w:t>
    </w:r>
    <w:r w:rsidRPr="00EC3264">
      <w:rPr>
        <w:sz w:val="24"/>
        <w:szCs w:val="24"/>
      </w:rPr>
      <w:fldChar w:fldCharType="end"/>
    </w:r>
  </w:p>
  <w:p w:rsidR="008D49A8" w:rsidRDefault="008D4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7">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5"/>
  </w:num>
  <w:num w:numId="6">
    <w:abstractNumId w:val="3"/>
  </w:num>
  <w:num w:numId="7">
    <w:abstractNumId w:val="2"/>
  </w:num>
  <w:num w:numId="8">
    <w:abstractNumId w:val="4"/>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Brice">
    <w15:presenceInfo w15:providerId="AD" w15:userId="S-1-5-21-2347098994-292127957-656167012-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C13"/>
    <w:rsid w:val="0004524B"/>
    <w:rsid w:val="00046838"/>
    <w:rsid w:val="000528FB"/>
    <w:rsid w:val="0005496F"/>
    <w:rsid w:val="00057BDD"/>
    <w:rsid w:val="000644D9"/>
    <w:rsid w:val="00065316"/>
    <w:rsid w:val="0007035E"/>
    <w:rsid w:val="00072B33"/>
    <w:rsid w:val="000731CA"/>
    <w:rsid w:val="000811EA"/>
    <w:rsid w:val="000811EB"/>
    <w:rsid w:val="000817E8"/>
    <w:rsid w:val="00082546"/>
    <w:rsid w:val="000871D1"/>
    <w:rsid w:val="00090F95"/>
    <w:rsid w:val="00091C3F"/>
    <w:rsid w:val="00092521"/>
    <w:rsid w:val="00094458"/>
    <w:rsid w:val="0009792C"/>
    <w:rsid w:val="000B5EAE"/>
    <w:rsid w:val="000B6A04"/>
    <w:rsid w:val="000B7125"/>
    <w:rsid w:val="000B7137"/>
    <w:rsid w:val="000B73D9"/>
    <w:rsid w:val="000C0933"/>
    <w:rsid w:val="000C0A47"/>
    <w:rsid w:val="000C6F5D"/>
    <w:rsid w:val="000E0DD1"/>
    <w:rsid w:val="000E2ACD"/>
    <w:rsid w:val="000E3463"/>
    <w:rsid w:val="000E4244"/>
    <w:rsid w:val="000E65C2"/>
    <w:rsid w:val="000F18CF"/>
    <w:rsid w:val="000F4276"/>
    <w:rsid w:val="00100A62"/>
    <w:rsid w:val="00103B16"/>
    <w:rsid w:val="00104DA1"/>
    <w:rsid w:val="00106E68"/>
    <w:rsid w:val="00113F71"/>
    <w:rsid w:val="00120400"/>
    <w:rsid w:val="00121D05"/>
    <w:rsid w:val="00132665"/>
    <w:rsid w:val="0013713D"/>
    <w:rsid w:val="00137889"/>
    <w:rsid w:val="00144578"/>
    <w:rsid w:val="00153721"/>
    <w:rsid w:val="00154BD3"/>
    <w:rsid w:val="001565BE"/>
    <w:rsid w:val="00167D64"/>
    <w:rsid w:val="00172564"/>
    <w:rsid w:val="001756C1"/>
    <w:rsid w:val="0017730B"/>
    <w:rsid w:val="001821D5"/>
    <w:rsid w:val="001844CC"/>
    <w:rsid w:val="00194540"/>
    <w:rsid w:val="00196E92"/>
    <w:rsid w:val="001A6267"/>
    <w:rsid w:val="001B2758"/>
    <w:rsid w:val="001B46BB"/>
    <w:rsid w:val="001C22EA"/>
    <w:rsid w:val="001C43A8"/>
    <w:rsid w:val="001C45B4"/>
    <w:rsid w:val="001C5087"/>
    <w:rsid w:val="001C622E"/>
    <w:rsid w:val="001C7DE8"/>
    <w:rsid w:val="001D35B7"/>
    <w:rsid w:val="001D4D97"/>
    <w:rsid w:val="001D751A"/>
    <w:rsid w:val="001E2C99"/>
    <w:rsid w:val="001E685A"/>
    <w:rsid w:val="001E6D57"/>
    <w:rsid w:val="001F4FE8"/>
    <w:rsid w:val="001F6E1F"/>
    <w:rsid w:val="00200A42"/>
    <w:rsid w:val="00200D00"/>
    <w:rsid w:val="002037EC"/>
    <w:rsid w:val="0020543F"/>
    <w:rsid w:val="0020589F"/>
    <w:rsid w:val="00206099"/>
    <w:rsid w:val="00212ED9"/>
    <w:rsid w:val="00215002"/>
    <w:rsid w:val="00215E13"/>
    <w:rsid w:val="00217B63"/>
    <w:rsid w:val="00217BF3"/>
    <w:rsid w:val="002214EB"/>
    <w:rsid w:val="002233D1"/>
    <w:rsid w:val="00223621"/>
    <w:rsid w:val="00227D24"/>
    <w:rsid w:val="002303FF"/>
    <w:rsid w:val="002333FB"/>
    <w:rsid w:val="00234574"/>
    <w:rsid w:val="00235F3B"/>
    <w:rsid w:val="00242995"/>
    <w:rsid w:val="002431F8"/>
    <w:rsid w:val="002466F7"/>
    <w:rsid w:val="00250B33"/>
    <w:rsid w:val="002540F6"/>
    <w:rsid w:val="00254547"/>
    <w:rsid w:val="00254AAA"/>
    <w:rsid w:val="00254E6C"/>
    <w:rsid w:val="00261B2A"/>
    <w:rsid w:val="00262925"/>
    <w:rsid w:val="00263A8B"/>
    <w:rsid w:val="00265844"/>
    <w:rsid w:val="0027189F"/>
    <w:rsid w:val="00273D03"/>
    <w:rsid w:val="002747E2"/>
    <w:rsid w:val="002809D5"/>
    <w:rsid w:val="00282B1B"/>
    <w:rsid w:val="00283578"/>
    <w:rsid w:val="002837AD"/>
    <w:rsid w:val="002851C8"/>
    <w:rsid w:val="00290F63"/>
    <w:rsid w:val="0029220D"/>
    <w:rsid w:val="00295637"/>
    <w:rsid w:val="00296A71"/>
    <w:rsid w:val="002A1834"/>
    <w:rsid w:val="002A2DD8"/>
    <w:rsid w:val="002A469E"/>
    <w:rsid w:val="002A7BF3"/>
    <w:rsid w:val="002A7F33"/>
    <w:rsid w:val="002B1291"/>
    <w:rsid w:val="002B3E74"/>
    <w:rsid w:val="002B51C7"/>
    <w:rsid w:val="002B6AB8"/>
    <w:rsid w:val="002C009C"/>
    <w:rsid w:val="002C0F60"/>
    <w:rsid w:val="002C5EB8"/>
    <w:rsid w:val="002C6400"/>
    <w:rsid w:val="002D15A8"/>
    <w:rsid w:val="002D2B96"/>
    <w:rsid w:val="002D728B"/>
    <w:rsid w:val="002E1768"/>
    <w:rsid w:val="002E3B98"/>
    <w:rsid w:val="002E455A"/>
    <w:rsid w:val="002E61AA"/>
    <w:rsid w:val="002F07D2"/>
    <w:rsid w:val="002F0B7B"/>
    <w:rsid w:val="002F6A56"/>
    <w:rsid w:val="00300778"/>
    <w:rsid w:val="0030455F"/>
    <w:rsid w:val="00304890"/>
    <w:rsid w:val="00306EE9"/>
    <w:rsid w:val="00307249"/>
    <w:rsid w:val="003145B5"/>
    <w:rsid w:val="003228D7"/>
    <w:rsid w:val="00327496"/>
    <w:rsid w:val="00331DF7"/>
    <w:rsid w:val="00332E7D"/>
    <w:rsid w:val="0033385E"/>
    <w:rsid w:val="0033460F"/>
    <w:rsid w:val="00336770"/>
    <w:rsid w:val="003374B6"/>
    <w:rsid w:val="00337AF8"/>
    <w:rsid w:val="0034130D"/>
    <w:rsid w:val="003421DD"/>
    <w:rsid w:val="00344EA8"/>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85095"/>
    <w:rsid w:val="003909D9"/>
    <w:rsid w:val="00394245"/>
    <w:rsid w:val="00397388"/>
    <w:rsid w:val="003A031D"/>
    <w:rsid w:val="003A1BFD"/>
    <w:rsid w:val="003A6B56"/>
    <w:rsid w:val="003B3844"/>
    <w:rsid w:val="003B3C1D"/>
    <w:rsid w:val="003B45E7"/>
    <w:rsid w:val="003C121F"/>
    <w:rsid w:val="003C642C"/>
    <w:rsid w:val="003C6EA6"/>
    <w:rsid w:val="003D297A"/>
    <w:rsid w:val="003D3728"/>
    <w:rsid w:val="003E0CDA"/>
    <w:rsid w:val="003E307C"/>
    <w:rsid w:val="003E3B79"/>
    <w:rsid w:val="003E602E"/>
    <w:rsid w:val="003E68F2"/>
    <w:rsid w:val="003F1D89"/>
    <w:rsid w:val="003F2380"/>
    <w:rsid w:val="003F4D96"/>
    <w:rsid w:val="003F4ED0"/>
    <w:rsid w:val="00406E66"/>
    <w:rsid w:val="00410D4D"/>
    <w:rsid w:val="0041464B"/>
    <w:rsid w:val="00415BF6"/>
    <w:rsid w:val="00416B05"/>
    <w:rsid w:val="0041753B"/>
    <w:rsid w:val="00417C06"/>
    <w:rsid w:val="00420397"/>
    <w:rsid w:val="00421370"/>
    <w:rsid w:val="00421A23"/>
    <w:rsid w:val="0042467D"/>
    <w:rsid w:val="00431AE8"/>
    <w:rsid w:val="004326C0"/>
    <w:rsid w:val="004371C5"/>
    <w:rsid w:val="004404A8"/>
    <w:rsid w:val="00442FDA"/>
    <w:rsid w:val="004440D0"/>
    <w:rsid w:val="00445038"/>
    <w:rsid w:val="0044594E"/>
    <w:rsid w:val="0044656D"/>
    <w:rsid w:val="00447B00"/>
    <w:rsid w:val="00451C61"/>
    <w:rsid w:val="00454938"/>
    <w:rsid w:val="00461A29"/>
    <w:rsid w:val="0046255E"/>
    <w:rsid w:val="00465D49"/>
    <w:rsid w:val="00466EF2"/>
    <w:rsid w:val="00470868"/>
    <w:rsid w:val="00472466"/>
    <w:rsid w:val="0047322B"/>
    <w:rsid w:val="004841AD"/>
    <w:rsid w:val="004845B5"/>
    <w:rsid w:val="00485803"/>
    <w:rsid w:val="004871FD"/>
    <w:rsid w:val="00490361"/>
    <w:rsid w:val="004912C2"/>
    <w:rsid w:val="004915D7"/>
    <w:rsid w:val="00497897"/>
    <w:rsid w:val="004A018D"/>
    <w:rsid w:val="004A3F9E"/>
    <w:rsid w:val="004A4E04"/>
    <w:rsid w:val="004B14CA"/>
    <w:rsid w:val="004C296D"/>
    <w:rsid w:val="004C7023"/>
    <w:rsid w:val="004D4E32"/>
    <w:rsid w:val="004D7D18"/>
    <w:rsid w:val="004E361D"/>
    <w:rsid w:val="004F0579"/>
    <w:rsid w:val="004F1323"/>
    <w:rsid w:val="004F28B8"/>
    <w:rsid w:val="004F4EAC"/>
    <w:rsid w:val="004F588E"/>
    <w:rsid w:val="004F65D4"/>
    <w:rsid w:val="004F660C"/>
    <w:rsid w:val="005039DC"/>
    <w:rsid w:val="005041E5"/>
    <w:rsid w:val="0051025E"/>
    <w:rsid w:val="00511577"/>
    <w:rsid w:val="00516FF1"/>
    <w:rsid w:val="00522578"/>
    <w:rsid w:val="005233DD"/>
    <w:rsid w:val="00524009"/>
    <w:rsid w:val="0052568E"/>
    <w:rsid w:val="00526B88"/>
    <w:rsid w:val="00530ADF"/>
    <w:rsid w:val="00530FB0"/>
    <w:rsid w:val="0053226D"/>
    <w:rsid w:val="0053423A"/>
    <w:rsid w:val="00536A82"/>
    <w:rsid w:val="0053723B"/>
    <w:rsid w:val="00537C34"/>
    <w:rsid w:val="00543626"/>
    <w:rsid w:val="00546A6C"/>
    <w:rsid w:val="005471B7"/>
    <w:rsid w:val="005541CA"/>
    <w:rsid w:val="0055456B"/>
    <w:rsid w:val="00555AEB"/>
    <w:rsid w:val="00556218"/>
    <w:rsid w:val="00560DB5"/>
    <w:rsid w:val="00561401"/>
    <w:rsid w:val="005617B7"/>
    <w:rsid w:val="00565A60"/>
    <w:rsid w:val="005673AF"/>
    <w:rsid w:val="005735CF"/>
    <w:rsid w:val="00575883"/>
    <w:rsid w:val="00576EE3"/>
    <w:rsid w:val="00577110"/>
    <w:rsid w:val="00577F34"/>
    <w:rsid w:val="0058026D"/>
    <w:rsid w:val="0058192B"/>
    <w:rsid w:val="00585852"/>
    <w:rsid w:val="00592BE9"/>
    <w:rsid w:val="005932EF"/>
    <w:rsid w:val="005949C4"/>
    <w:rsid w:val="005A0227"/>
    <w:rsid w:val="005A0CBE"/>
    <w:rsid w:val="005A7805"/>
    <w:rsid w:val="005B4A6C"/>
    <w:rsid w:val="005B7EFB"/>
    <w:rsid w:val="005C2A2A"/>
    <w:rsid w:val="005D74D9"/>
    <w:rsid w:val="005E44FB"/>
    <w:rsid w:val="005E5719"/>
    <w:rsid w:val="005F687C"/>
    <w:rsid w:val="0060264C"/>
    <w:rsid w:val="00603695"/>
    <w:rsid w:val="00604FB9"/>
    <w:rsid w:val="0060734C"/>
    <w:rsid w:val="00610D38"/>
    <w:rsid w:val="00611E43"/>
    <w:rsid w:val="006156A2"/>
    <w:rsid w:val="00617949"/>
    <w:rsid w:val="006220E9"/>
    <w:rsid w:val="00624F74"/>
    <w:rsid w:val="006317B0"/>
    <w:rsid w:val="00640BDB"/>
    <w:rsid w:val="00641EC6"/>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642A"/>
    <w:rsid w:val="006A384F"/>
    <w:rsid w:val="006A49EB"/>
    <w:rsid w:val="006B266A"/>
    <w:rsid w:val="006C6148"/>
    <w:rsid w:val="006D6063"/>
    <w:rsid w:val="006D731E"/>
    <w:rsid w:val="006E0766"/>
    <w:rsid w:val="006E3E1A"/>
    <w:rsid w:val="006E43B0"/>
    <w:rsid w:val="006F2B79"/>
    <w:rsid w:val="006F3D21"/>
    <w:rsid w:val="007013E3"/>
    <w:rsid w:val="00705240"/>
    <w:rsid w:val="007100D7"/>
    <w:rsid w:val="00716594"/>
    <w:rsid w:val="00721B24"/>
    <w:rsid w:val="00730838"/>
    <w:rsid w:val="00730FCA"/>
    <w:rsid w:val="007311AC"/>
    <w:rsid w:val="00731329"/>
    <w:rsid w:val="0073167E"/>
    <w:rsid w:val="007319CE"/>
    <w:rsid w:val="007323E8"/>
    <w:rsid w:val="0073691D"/>
    <w:rsid w:val="00742BBC"/>
    <w:rsid w:val="007521C4"/>
    <w:rsid w:val="00752546"/>
    <w:rsid w:val="00752DE7"/>
    <w:rsid w:val="00755FD8"/>
    <w:rsid w:val="00757000"/>
    <w:rsid w:val="00760E39"/>
    <w:rsid w:val="00761F47"/>
    <w:rsid w:val="007670B6"/>
    <w:rsid w:val="00767A00"/>
    <w:rsid w:val="00772BFD"/>
    <w:rsid w:val="007749B3"/>
    <w:rsid w:val="007869C6"/>
    <w:rsid w:val="00790A91"/>
    <w:rsid w:val="00792FC8"/>
    <w:rsid w:val="00793312"/>
    <w:rsid w:val="007972DF"/>
    <w:rsid w:val="00797874"/>
    <w:rsid w:val="007A058F"/>
    <w:rsid w:val="007A3A6B"/>
    <w:rsid w:val="007A47F0"/>
    <w:rsid w:val="007A5EC4"/>
    <w:rsid w:val="007B1107"/>
    <w:rsid w:val="007B3FBD"/>
    <w:rsid w:val="007C60A2"/>
    <w:rsid w:val="007D25E0"/>
    <w:rsid w:val="007D2BD8"/>
    <w:rsid w:val="007D3BDD"/>
    <w:rsid w:val="007D436B"/>
    <w:rsid w:val="007D6C45"/>
    <w:rsid w:val="007D72A7"/>
    <w:rsid w:val="007E584B"/>
    <w:rsid w:val="007E7B2C"/>
    <w:rsid w:val="007F13ED"/>
    <w:rsid w:val="007F24E7"/>
    <w:rsid w:val="007F6E77"/>
    <w:rsid w:val="007F72DB"/>
    <w:rsid w:val="0080047B"/>
    <w:rsid w:val="008054E3"/>
    <w:rsid w:val="008057EB"/>
    <w:rsid w:val="00813249"/>
    <w:rsid w:val="00814A31"/>
    <w:rsid w:val="00822C66"/>
    <w:rsid w:val="00824E89"/>
    <w:rsid w:val="008348EB"/>
    <w:rsid w:val="00850835"/>
    <w:rsid w:val="00851025"/>
    <w:rsid w:val="00852D5C"/>
    <w:rsid w:val="0085373E"/>
    <w:rsid w:val="00862725"/>
    <w:rsid w:val="008655A1"/>
    <w:rsid w:val="008738A7"/>
    <w:rsid w:val="008775A9"/>
    <w:rsid w:val="0089232A"/>
    <w:rsid w:val="008928B8"/>
    <w:rsid w:val="0089322A"/>
    <w:rsid w:val="008953D8"/>
    <w:rsid w:val="008977AB"/>
    <w:rsid w:val="008A2811"/>
    <w:rsid w:val="008A4766"/>
    <w:rsid w:val="008A67C3"/>
    <w:rsid w:val="008B6754"/>
    <w:rsid w:val="008B7EC5"/>
    <w:rsid w:val="008D49A8"/>
    <w:rsid w:val="008D4DE2"/>
    <w:rsid w:val="008D6AB8"/>
    <w:rsid w:val="008E4E9E"/>
    <w:rsid w:val="008E68B0"/>
    <w:rsid w:val="008F5B48"/>
    <w:rsid w:val="00902794"/>
    <w:rsid w:val="00903C74"/>
    <w:rsid w:val="009106B5"/>
    <w:rsid w:val="00914EFB"/>
    <w:rsid w:val="00916A24"/>
    <w:rsid w:val="00917BBF"/>
    <w:rsid w:val="00922598"/>
    <w:rsid w:val="00926532"/>
    <w:rsid w:val="009275DC"/>
    <w:rsid w:val="00931E20"/>
    <w:rsid w:val="0093215D"/>
    <w:rsid w:val="0093386C"/>
    <w:rsid w:val="00935D6F"/>
    <w:rsid w:val="00935D89"/>
    <w:rsid w:val="009408B0"/>
    <w:rsid w:val="00942126"/>
    <w:rsid w:val="00942893"/>
    <w:rsid w:val="00943212"/>
    <w:rsid w:val="00943543"/>
    <w:rsid w:val="00946CDB"/>
    <w:rsid w:val="0094736D"/>
    <w:rsid w:val="009521B0"/>
    <w:rsid w:val="00952205"/>
    <w:rsid w:val="00952457"/>
    <w:rsid w:val="00953537"/>
    <w:rsid w:val="00953C84"/>
    <w:rsid w:val="009676F1"/>
    <w:rsid w:val="009701EF"/>
    <w:rsid w:val="009704D9"/>
    <w:rsid w:val="00974550"/>
    <w:rsid w:val="0097625F"/>
    <w:rsid w:val="00977F04"/>
    <w:rsid w:val="00982781"/>
    <w:rsid w:val="00982C07"/>
    <w:rsid w:val="00986FAE"/>
    <w:rsid w:val="009936D0"/>
    <w:rsid w:val="00993A9C"/>
    <w:rsid w:val="00993BE7"/>
    <w:rsid w:val="009A1558"/>
    <w:rsid w:val="009A4122"/>
    <w:rsid w:val="009A778F"/>
    <w:rsid w:val="009B1CB5"/>
    <w:rsid w:val="009B5208"/>
    <w:rsid w:val="009B5923"/>
    <w:rsid w:val="009C6045"/>
    <w:rsid w:val="009C7F10"/>
    <w:rsid w:val="009D46CC"/>
    <w:rsid w:val="009D69C0"/>
    <w:rsid w:val="009D7082"/>
    <w:rsid w:val="009E03C2"/>
    <w:rsid w:val="009E101E"/>
    <w:rsid w:val="009E19D5"/>
    <w:rsid w:val="009E3D75"/>
    <w:rsid w:val="009F18C2"/>
    <w:rsid w:val="009F4147"/>
    <w:rsid w:val="009F7B02"/>
    <w:rsid w:val="00A019F3"/>
    <w:rsid w:val="00A058C7"/>
    <w:rsid w:val="00A05F81"/>
    <w:rsid w:val="00A11733"/>
    <w:rsid w:val="00A12482"/>
    <w:rsid w:val="00A15C53"/>
    <w:rsid w:val="00A23125"/>
    <w:rsid w:val="00A24F5C"/>
    <w:rsid w:val="00A32835"/>
    <w:rsid w:val="00A34AA8"/>
    <w:rsid w:val="00A34AF9"/>
    <w:rsid w:val="00A353AC"/>
    <w:rsid w:val="00A40449"/>
    <w:rsid w:val="00A42A7F"/>
    <w:rsid w:val="00A43B7C"/>
    <w:rsid w:val="00A5078D"/>
    <w:rsid w:val="00A55E62"/>
    <w:rsid w:val="00A572BB"/>
    <w:rsid w:val="00A627FD"/>
    <w:rsid w:val="00A709EF"/>
    <w:rsid w:val="00A735AC"/>
    <w:rsid w:val="00A74BC3"/>
    <w:rsid w:val="00A752CE"/>
    <w:rsid w:val="00A7679F"/>
    <w:rsid w:val="00A77950"/>
    <w:rsid w:val="00A81D77"/>
    <w:rsid w:val="00A845A3"/>
    <w:rsid w:val="00A8691B"/>
    <w:rsid w:val="00A978C4"/>
    <w:rsid w:val="00AA3B39"/>
    <w:rsid w:val="00AA51A1"/>
    <w:rsid w:val="00AA5D4F"/>
    <w:rsid w:val="00AB04BE"/>
    <w:rsid w:val="00AB1FEA"/>
    <w:rsid w:val="00AB4718"/>
    <w:rsid w:val="00AC2F0C"/>
    <w:rsid w:val="00AD0B44"/>
    <w:rsid w:val="00AD480C"/>
    <w:rsid w:val="00AD7E63"/>
    <w:rsid w:val="00AE1EBA"/>
    <w:rsid w:val="00AF0449"/>
    <w:rsid w:val="00B035C8"/>
    <w:rsid w:val="00B05E5C"/>
    <w:rsid w:val="00B07575"/>
    <w:rsid w:val="00B077FE"/>
    <w:rsid w:val="00B12EDC"/>
    <w:rsid w:val="00B14909"/>
    <w:rsid w:val="00B15A28"/>
    <w:rsid w:val="00B20340"/>
    <w:rsid w:val="00B21DCB"/>
    <w:rsid w:val="00B23981"/>
    <w:rsid w:val="00B24E1D"/>
    <w:rsid w:val="00B26ACC"/>
    <w:rsid w:val="00B30FC5"/>
    <w:rsid w:val="00B3107E"/>
    <w:rsid w:val="00B31A92"/>
    <w:rsid w:val="00B32110"/>
    <w:rsid w:val="00B36B77"/>
    <w:rsid w:val="00B47594"/>
    <w:rsid w:val="00B54810"/>
    <w:rsid w:val="00B57D0A"/>
    <w:rsid w:val="00B627D9"/>
    <w:rsid w:val="00B63D1B"/>
    <w:rsid w:val="00B70E76"/>
    <w:rsid w:val="00B71704"/>
    <w:rsid w:val="00B71C57"/>
    <w:rsid w:val="00B72EF3"/>
    <w:rsid w:val="00B7345C"/>
    <w:rsid w:val="00B809BB"/>
    <w:rsid w:val="00B82ED3"/>
    <w:rsid w:val="00B85AD9"/>
    <w:rsid w:val="00B90012"/>
    <w:rsid w:val="00B90527"/>
    <w:rsid w:val="00B91243"/>
    <w:rsid w:val="00B944A2"/>
    <w:rsid w:val="00B94B45"/>
    <w:rsid w:val="00B94DED"/>
    <w:rsid w:val="00B95008"/>
    <w:rsid w:val="00BA1CDF"/>
    <w:rsid w:val="00BA211B"/>
    <w:rsid w:val="00BA5FD8"/>
    <w:rsid w:val="00BB24D3"/>
    <w:rsid w:val="00BB4740"/>
    <w:rsid w:val="00BB47F6"/>
    <w:rsid w:val="00BB5DC5"/>
    <w:rsid w:val="00BB614F"/>
    <w:rsid w:val="00BB634E"/>
    <w:rsid w:val="00BB6943"/>
    <w:rsid w:val="00BC42AF"/>
    <w:rsid w:val="00BC4DB1"/>
    <w:rsid w:val="00BC58FA"/>
    <w:rsid w:val="00BD0068"/>
    <w:rsid w:val="00BD3D70"/>
    <w:rsid w:val="00BD6C37"/>
    <w:rsid w:val="00BE0015"/>
    <w:rsid w:val="00BE0F36"/>
    <w:rsid w:val="00BF154C"/>
    <w:rsid w:val="00BF5860"/>
    <w:rsid w:val="00C051DD"/>
    <w:rsid w:val="00C1785E"/>
    <w:rsid w:val="00C17EEB"/>
    <w:rsid w:val="00C21DB8"/>
    <w:rsid w:val="00C23DE7"/>
    <w:rsid w:val="00C25EDD"/>
    <w:rsid w:val="00C33366"/>
    <w:rsid w:val="00C371A7"/>
    <w:rsid w:val="00C37DE5"/>
    <w:rsid w:val="00C421EA"/>
    <w:rsid w:val="00C42973"/>
    <w:rsid w:val="00C44696"/>
    <w:rsid w:val="00C45F6D"/>
    <w:rsid w:val="00C50BA1"/>
    <w:rsid w:val="00C5184F"/>
    <w:rsid w:val="00C52753"/>
    <w:rsid w:val="00C52B93"/>
    <w:rsid w:val="00C56055"/>
    <w:rsid w:val="00C610A5"/>
    <w:rsid w:val="00C610AC"/>
    <w:rsid w:val="00C61183"/>
    <w:rsid w:val="00C638AC"/>
    <w:rsid w:val="00C6428F"/>
    <w:rsid w:val="00C66C7A"/>
    <w:rsid w:val="00C70784"/>
    <w:rsid w:val="00C779F7"/>
    <w:rsid w:val="00C81E24"/>
    <w:rsid w:val="00C84CA4"/>
    <w:rsid w:val="00C85DB5"/>
    <w:rsid w:val="00C86270"/>
    <w:rsid w:val="00C90B42"/>
    <w:rsid w:val="00C91F08"/>
    <w:rsid w:val="00C9413E"/>
    <w:rsid w:val="00C949CE"/>
    <w:rsid w:val="00C95367"/>
    <w:rsid w:val="00CA1E38"/>
    <w:rsid w:val="00CA2557"/>
    <w:rsid w:val="00CA30FE"/>
    <w:rsid w:val="00CA5942"/>
    <w:rsid w:val="00CA731A"/>
    <w:rsid w:val="00CB096F"/>
    <w:rsid w:val="00CB5598"/>
    <w:rsid w:val="00CB6491"/>
    <w:rsid w:val="00CB7274"/>
    <w:rsid w:val="00CC171D"/>
    <w:rsid w:val="00CC1A72"/>
    <w:rsid w:val="00CC1DF9"/>
    <w:rsid w:val="00CC2264"/>
    <w:rsid w:val="00CC5878"/>
    <w:rsid w:val="00CC666B"/>
    <w:rsid w:val="00CD1EA6"/>
    <w:rsid w:val="00CD33BF"/>
    <w:rsid w:val="00CE0D9B"/>
    <w:rsid w:val="00CE2351"/>
    <w:rsid w:val="00CE3764"/>
    <w:rsid w:val="00CE5C9C"/>
    <w:rsid w:val="00CE6B1B"/>
    <w:rsid w:val="00CF0DA0"/>
    <w:rsid w:val="00CF56A5"/>
    <w:rsid w:val="00D04AD8"/>
    <w:rsid w:val="00D12520"/>
    <w:rsid w:val="00D13CFB"/>
    <w:rsid w:val="00D14EA7"/>
    <w:rsid w:val="00D15B00"/>
    <w:rsid w:val="00D25960"/>
    <w:rsid w:val="00D25AD0"/>
    <w:rsid w:val="00D26C65"/>
    <w:rsid w:val="00D30722"/>
    <w:rsid w:val="00D332B2"/>
    <w:rsid w:val="00D33E56"/>
    <w:rsid w:val="00D34D55"/>
    <w:rsid w:val="00D36A3E"/>
    <w:rsid w:val="00D459C4"/>
    <w:rsid w:val="00D47195"/>
    <w:rsid w:val="00D47E55"/>
    <w:rsid w:val="00D5047C"/>
    <w:rsid w:val="00D56FCA"/>
    <w:rsid w:val="00D6577B"/>
    <w:rsid w:val="00D65F78"/>
    <w:rsid w:val="00D66FFB"/>
    <w:rsid w:val="00D70F78"/>
    <w:rsid w:val="00D72098"/>
    <w:rsid w:val="00D72C12"/>
    <w:rsid w:val="00D74BCF"/>
    <w:rsid w:val="00D77031"/>
    <w:rsid w:val="00D824FA"/>
    <w:rsid w:val="00D8350C"/>
    <w:rsid w:val="00D8690E"/>
    <w:rsid w:val="00D87BA2"/>
    <w:rsid w:val="00D9115A"/>
    <w:rsid w:val="00D92789"/>
    <w:rsid w:val="00D97A6A"/>
    <w:rsid w:val="00DA0A52"/>
    <w:rsid w:val="00DA544E"/>
    <w:rsid w:val="00DA5F33"/>
    <w:rsid w:val="00DA78F5"/>
    <w:rsid w:val="00DA7B1B"/>
    <w:rsid w:val="00DB3BA3"/>
    <w:rsid w:val="00DC0BAA"/>
    <w:rsid w:val="00DC2F9A"/>
    <w:rsid w:val="00DC5001"/>
    <w:rsid w:val="00DC5074"/>
    <w:rsid w:val="00DE4A48"/>
    <w:rsid w:val="00DE51F2"/>
    <w:rsid w:val="00DE6125"/>
    <w:rsid w:val="00DE70B6"/>
    <w:rsid w:val="00DE7B00"/>
    <w:rsid w:val="00DE7D65"/>
    <w:rsid w:val="00DF0CD9"/>
    <w:rsid w:val="00DF51FD"/>
    <w:rsid w:val="00DF7ACA"/>
    <w:rsid w:val="00E032B5"/>
    <w:rsid w:val="00E06AF7"/>
    <w:rsid w:val="00E07995"/>
    <w:rsid w:val="00E135D7"/>
    <w:rsid w:val="00E213EF"/>
    <w:rsid w:val="00E2383E"/>
    <w:rsid w:val="00E2510F"/>
    <w:rsid w:val="00E262F4"/>
    <w:rsid w:val="00E274DE"/>
    <w:rsid w:val="00E311FC"/>
    <w:rsid w:val="00E33D2F"/>
    <w:rsid w:val="00E35600"/>
    <w:rsid w:val="00E50DCA"/>
    <w:rsid w:val="00E516A0"/>
    <w:rsid w:val="00E51785"/>
    <w:rsid w:val="00E5263A"/>
    <w:rsid w:val="00E52886"/>
    <w:rsid w:val="00E603C2"/>
    <w:rsid w:val="00E65F54"/>
    <w:rsid w:val="00E728B4"/>
    <w:rsid w:val="00E75E1C"/>
    <w:rsid w:val="00E76369"/>
    <w:rsid w:val="00E76C69"/>
    <w:rsid w:val="00E771C6"/>
    <w:rsid w:val="00E7724F"/>
    <w:rsid w:val="00E8189D"/>
    <w:rsid w:val="00E85CA1"/>
    <w:rsid w:val="00E93554"/>
    <w:rsid w:val="00E94604"/>
    <w:rsid w:val="00E95347"/>
    <w:rsid w:val="00E95983"/>
    <w:rsid w:val="00E96EB2"/>
    <w:rsid w:val="00EA45E0"/>
    <w:rsid w:val="00EB0C72"/>
    <w:rsid w:val="00EB3D42"/>
    <w:rsid w:val="00EB5D56"/>
    <w:rsid w:val="00EC0B24"/>
    <w:rsid w:val="00EC0D70"/>
    <w:rsid w:val="00EC17EB"/>
    <w:rsid w:val="00EC20CA"/>
    <w:rsid w:val="00EC3264"/>
    <w:rsid w:val="00EC6D3A"/>
    <w:rsid w:val="00ED1308"/>
    <w:rsid w:val="00ED7815"/>
    <w:rsid w:val="00EE0D7C"/>
    <w:rsid w:val="00EE3FEE"/>
    <w:rsid w:val="00EE47F2"/>
    <w:rsid w:val="00EE71C3"/>
    <w:rsid w:val="00EF04CF"/>
    <w:rsid w:val="00EF1B68"/>
    <w:rsid w:val="00EF6728"/>
    <w:rsid w:val="00F02168"/>
    <w:rsid w:val="00F0219F"/>
    <w:rsid w:val="00F0273B"/>
    <w:rsid w:val="00F04A69"/>
    <w:rsid w:val="00F05C71"/>
    <w:rsid w:val="00F14F86"/>
    <w:rsid w:val="00F1660A"/>
    <w:rsid w:val="00F20C93"/>
    <w:rsid w:val="00F261EB"/>
    <w:rsid w:val="00F467EA"/>
    <w:rsid w:val="00F478D0"/>
    <w:rsid w:val="00F51F60"/>
    <w:rsid w:val="00F53085"/>
    <w:rsid w:val="00F531B1"/>
    <w:rsid w:val="00F60D0B"/>
    <w:rsid w:val="00F65AEA"/>
    <w:rsid w:val="00F742B4"/>
    <w:rsid w:val="00F77785"/>
    <w:rsid w:val="00F77F1C"/>
    <w:rsid w:val="00F82EC6"/>
    <w:rsid w:val="00F9137E"/>
    <w:rsid w:val="00F947FC"/>
    <w:rsid w:val="00F94EBA"/>
    <w:rsid w:val="00F96C5E"/>
    <w:rsid w:val="00FA048F"/>
    <w:rsid w:val="00FA06E6"/>
    <w:rsid w:val="00FA42A5"/>
    <w:rsid w:val="00FA5938"/>
    <w:rsid w:val="00FA5BB3"/>
    <w:rsid w:val="00FA6A40"/>
    <w:rsid w:val="00FB030D"/>
    <w:rsid w:val="00FB7000"/>
    <w:rsid w:val="00FB756F"/>
    <w:rsid w:val="00FC160A"/>
    <w:rsid w:val="00FC2928"/>
    <w:rsid w:val="00FC387F"/>
    <w:rsid w:val="00FC68F8"/>
    <w:rsid w:val="00FD02AC"/>
    <w:rsid w:val="00FD0D3B"/>
    <w:rsid w:val="00FD366B"/>
    <w:rsid w:val="00FD40A7"/>
    <w:rsid w:val="00FD4DEE"/>
    <w:rsid w:val="00FD500E"/>
    <w:rsid w:val="00FD7DA6"/>
    <w:rsid w:val="00FE4BFE"/>
    <w:rsid w:val="00FE6CD3"/>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988">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48925560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901208472">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03405267">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s.Butans@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SAMAnot_09032016_sabtrans_prec</Template>
  <TotalTime>96</TotalTime>
  <Pages>4</Pages>
  <Words>6122</Words>
  <Characters>3490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2005.gada 17.maija noteikumos Nr.339 „Kārtība, kādā atļauts veikt pasažieru un kravas komercpārvadājumus ar citu personu īpašumā esošiem autotransporta līdzekļiem”” sākotnējās ietekmes novē</vt:lpstr>
      <vt:lpstr>Likumprojekta „Grozījums Sabiedriskā transporta pakalpojumu likumā” sākotnējās ietekmes novērtējuma ziņojums (anotācija)</vt:lpstr>
    </vt:vector>
  </TitlesOfParts>
  <Company>Satiksmes ministrija</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17.maija noteikumos Nr.339 „Kārtība, kādā atļauts veikt pasažieru un kravas komercpārvadājumus ar citu personu īpašumā esošiem autotransporta līdzekļiem”” sākotnējās ietekmes novērtējuma ziņojums (anotācija)</dc:title>
  <dc:subject>anotācija</dc:subject>
  <dc:creator>Zans.Butans@sam.gov.lv</dc:creator>
  <cp:lastModifiedBy>Žans Butāns</cp:lastModifiedBy>
  <cp:revision>21</cp:revision>
  <cp:lastPrinted>2017-02-08T12:47:00Z</cp:lastPrinted>
  <dcterms:created xsi:type="dcterms:W3CDTF">2016-09-23T08:28:00Z</dcterms:created>
  <dcterms:modified xsi:type="dcterms:W3CDTF">2017-02-08T12:53:00Z</dcterms:modified>
</cp:coreProperties>
</file>