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1D99" w14:textId="77777777" w:rsidR="00DF342A" w:rsidRDefault="00DF342A" w:rsidP="00DF342A">
      <w:pPr>
        <w:spacing w:after="120" w:line="240" w:lineRule="auto"/>
        <w:jc w:val="right"/>
        <w:rPr>
          <w:rFonts w:cs="Times New Roman"/>
          <w:sz w:val="24"/>
          <w:szCs w:val="24"/>
          <w:lang w:val="en-US"/>
        </w:rPr>
      </w:pPr>
      <w:bookmarkStart w:id="0" w:name="_GoBack"/>
      <w:bookmarkEnd w:id="0"/>
      <w:r>
        <w:rPr>
          <w:rFonts w:cs="Times New Roman"/>
          <w:sz w:val="24"/>
          <w:szCs w:val="24"/>
          <w:lang w:val="en-US"/>
        </w:rPr>
        <w:t>Draft</w:t>
      </w:r>
    </w:p>
    <w:p w14:paraId="44DFA243" w14:textId="542D3A9E"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AGREEMENT</w:t>
      </w:r>
    </w:p>
    <w:p w14:paraId="5260B33D" w14:textId="77777777"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BETWEEN</w:t>
      </w:r>
    </w:p>
    <w:p w14:paraId="5BF62D5A" w14:textId="77777777" w:rsidR="0067684F" w:rsidRPr="00E254A6" w:rsidRDefault="0067684F" w:rsidP="0067684F">
      <w:pPr>
        <w:spacing w:after="120" w:line="240" w:lineRule="auto"/>
        <w:jc w:val="center"/>
        <w:rPr>
          <w:rFonts w:cs="Times New Roman"/>
          <w:sz w:val="24"/>
          <w:szCs w:val="24"/>
          <w:lang w:val="en-US"/>
        </w:rPr>
      </w:pPr>
      <w:r w:rsidRPr="00E254A6">
        <w:rPr>
          <w:rFonts w:cs="Times New Roman"/>
          <w:sz w:val="24"/>
          <w:szCs w:val="24"/>
          <w:lang w:val="en-US"/>
        </w:rPr>
        <w:t xml:space="preserve">THE </w:t>
      </w:r>
      <w:r>
        <w:rPr>
          <w:rFonts w:cs="Times New Roman"/>
          <w:sz w:val="24"/>
          <w:szCs w:val="24"/>
          <w:lang w:val="en-US"/>
        </w:rPr>
        <w:t xml:space="preserve">GOVERNMENT OF THE </w:t>
      </w:r>
      <w:r w:rsidRPr="00E254A6">
        <w:rPr>
          <w:rFonts w:cs="Times New Roman"/>
          <w:sz w:val="24"/>
          <w:szCs w:val="24"/>
          <w:lang w:val="en-US"/>
        </w:rPr>
        <w:t>REPUBLIC OF LATVIA</w:t>
      </w:r>
    </w:p>
    <w:p w14:paraId="62C90F43" w14:textId="0E6E0CE1"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THE</w:t>
      </w:r>
      <w:r w:rsidR="006B074B">
        <w:rPr>
          <w:rFonts w:cs="Times New Roman"/>
          <w:sz w:val="24"/>
          <w:szCs w:val="24"/>
          <w:lang w:val="en-US"/>
        </w:rPr>
        <w:t xml:space="preserve"> GOVERNMENT OF THE</w:t>
      </w:r>
      <w:r w:rsidRPr="00E254A6">
        <w:rPr>
          <w:rFonts w:cs="Times New Roman"/>
          <w:sz w:val="24"/>
          <w:szCs w:val="24"/>
          <w:lang w:val="en-US"/>
        </w:rPr>
        <w:t xml:space="preserve"> REPUBLIC OF ESTONIA,</w:t>
      </w:r>
    </w:p>
    <w:p w14:paraId="0D0924E6" w14:textId="77777777"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AND</w:t>
      </w:r>
    </w:p>
    <w:p w14:paraId="32D94061" w14:textId="66763662"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 xml:space="preserve">THE </w:t>
      </w:r>
      <w:r w:rsidR="006B074B">
        <w:rPr>
          <w:rFonts w:cs="Times New Roman"/>
          <w:sz w:val="24"/>
          <w:szCs w:val="24"/>
          <w:lang w:val="en-US"/>
        </w:rPr>
        <w:t xml:space="preserve">GOVERNMENT OF THE </w:t>
      </w:r>
      <w:r w:rsidRPr="00E254A6">
        <w:rPr>
          <w:rFonts w:cs="Times New Roman"/>
          <w:sz w:val="24"/>
          <w:szCs w:val="24"/>
          <w:lang w:val="en-US"/>
        </w:rPr>
        <w:t>REPUBLIC OF LITHUANIA</w:t>
      </w:r>
    </w:p>
    <w:p w14:paraId="5387A540" w14:textId="77777777"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ON</w:t>
      </w:r>
    </w:p>
    <w:p w14:paraId="15DB6431" w14:textId="77777777" w:rsidR="00E254A6" w:rsidRPr="00E254A6" w:rsidRDefault="00E254A6" w:rsidP="00E254A6">
      <w:pPr>
        <w:spacing w:after="120" w:line="240" w:lineRule="auto"/>
        <w:jc w:val="center"/>
        <w:rPr>
          <w:rFonts w:cs="Times New Roman"/>
          <w:sz w:val="24"/>
          <w:szCs w:val="24"/>
          <w:lang w:val="en-US"/>
        </w:rPr>
      </w:pPr>
      <w:r w:rsidRPr="00E254A6">
        <w:rPr>
          <w:rFonts w:cs="Times New Roman"/>
          <w:sz w:val="24"/>
          <w:szCs w:val="24"/>
          <w:lang w:val="en-US"/>
        </w:rPr>
        <w:t>THE DEVELOPMENT OF THE RAIL BALTIC/RAIL BALTICA RAILWAY CONNECTION</w:t>
      </w:r>
    </w:p>
    <w:p w14:paraId="1C9F5A69" w14:textId="3A809A9D" w:rsidR="00E254A6" w:rsidRPr="00E254A6" w:rsidRDefault="0067684F" w:rsidP="00E254A6">
      <w:pPr>
        <w:spacing w:after="120" w:line="240" w:lineRule="auto"/>
        <w:jc w:val="both"/>
        <w:rPr>
          <w:rFonts w:cs="Times New Roman"/>
          <w:sz w:val="24"/>
          <w:szCs w:val="24"/>
          <w:lang w:val="en-US"/>
        </w:rPr>
      </w:pPr>
      <w:r>
        <w:rPr>
          <w:rFonts w:cs="Times New Roman"/>
          <w:sz w:val="24"/>
          <w:szCs w:val="24"/>
          <w:lang w:val="en-US"/>
        </w:rPr>
        <w:t>T</w:t>
      </w:r>
      <w:r w:rsidRPr="00E254A6">
        <w:rPr>
          <w:rFonts w:cs="Times New Roman"/>
          <w:sz w:val="24"/>
          <w:szCs w:val="24"/>
          <w:lang w:val="en-US"/>
        </w:rPr>
        <w:t xml:space="preserve">he </w:t>
      </w:r>
      <w:r w:rsidRPr="006B074B">
        <w:rPr>
          <w:rFonts w:cs="Times New Roman"/>
          <w:sz w:val="24"/>
          <w:szCs w:val="24"/>
          <w:lang w:val="en-US"/>
        </w:rPr>
        <w:t xml:space="preserve">Government of the </w:t>
      </w:r>
      <w:r w:rsidRPr="00E254A6">
        <w:rPr>
          <w:rFonts w:cs="Times New Roman"/>
          <w:sz w:val="24"/>
          <w:szCs w:val="24"/>
          <w:lang w:val="en-US"/>
        </w:rPr>
        <w:t>Republic of Latvia</w:t>
      </w:r>
      <w:r>
        <w:rPr>
          <w:rFonts w:cs="Times New Roman"/>
          <w:sz w:val="24"/>
          <w:szCs w:val="24"/>
          <w:lang w:val="en-US"/>
        </w:rPr>
        <w:t>, t</w:t>
      </w:r>
      <w:r w:rsidR="00E254A6" w:rsidRPr="00E254A6">
        <w:rPr>
          <w:rFonts w:cs="Times New Roman"/>
          <w:sz w:val="24"/>
          <w:szCs w:val="24"/>
          <w:lang w:val="en-US"/>
        </w:rPr>
        <w:t xml:space="preserve">he </w:t>
      </w:r>
      <w:r w:rsidR="006B074B">
        <w:rPr>
          <w:rFonts w:cs="Times New Roman"/>
          <w:sz w:val="24"/>
          <w:szCs w:val="24"/>
          <w:lang w:val="en-US"/>
        </w:rPr>
        <w:t xml:space="preserve">Government of the </w:t>
      </w:r>
      <w:r w:rsidR="00E254A6" w:rsidRPr="00E254A6">
        <w:rPr>
          <w:rFonts w:cs="Times New Roman"/>
          <w:sz w:val="24"/>
          <w:szCs w:val="24"/>
          <w:lang w:val="en-US"/>
        </w:rPr>
        <w:t xml:space="preserve">Republic of Estonia and the </w:t>
      </w:r>
      <w:r w:rsidR="006B074B" w:rsidRPr="006B074B">
        <w:rPr>
          <w:rFonts w:cs="Times New Roman"/>
          <w:sz w:val="24"/>
          <w:szCs w:val="24"/>
          <w:lang w:val="en-US"/>
        </w:rPr>
        <w:t xml:space="preserve">Government of the </w:t>
      </w:r>
      <w:r w:rsidR="00E254A6" w:rsidRPr="00E254A6">
        <w:rPr>
          <w:rFonts w:cs="Times New Roman"/>
          <w:sz w:val="24"/>
          <w:szCs w:val="24"/>
          <w:lang w:val="en-US"/>
        </w:rPr>
        <w:t>Republic of Lithuania, hereinafter referred to as “the Parties”,</w:t>
      </w:r>
    </w:p>
    <w:p w14:paraId="285C20DF"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Desiring to fully integrate the Baltic States and their capitals into the European Union railway system and the trans-European transport network (TEN-T),</w:t>
      </w:r>
    </w:p>
    <w:p w14:paraId="7165E3B9" w14:textId="63BD56EF" w:rsidR="00E254A6" w:rsidRPr="00E254A6" w:rsidRDefault="00E254A6" w:rsidP="00067506">
      <w:pPr>
        <w:pStyle w:val="doc-ti"/>
        <w:jc w:val="both"/>
        <w:rPr>
          <w:lang w:val="en-US"/>
        </w:rPr>
      </w:pPr>
      <w:r w:rsidRPr="00FF4057">
        <w:rPr>
          <w:b w:val="0"/>
          <w:lang w:val="en-US"/>
        </w:rPr>
        <w:t xml:space="preserve">Emphasizing their common objective to develop the project of common interest (as defined in </w:t>
      </w:r>
      <w:r w:rsidR="00067506" w:rsidRPr="00FF4057">
        <w:rPr>
          <w:b w:val="0"/>
        </w:rPr>
        <w:t xml:space="preserve">Regulation (EU) No 1316/2013 of the European Parliament and of the Council of 11 </w:t>
      </w:r>
      <w:r w:rsidR="00FF4057">
        <w:rPr>
          <w:b w:val="0"/>
        </w:rPr>
        <w:t xml:space="preserve">December 2013 </w:t>
      </w:r>
      <w:r w:rsidR="00F83EB9">
        <w:rPr>
          <w:b w:val="0"/>
        </w:rPr>
        <w:t>e</w:t>
      </w:r>
      <w:r w:rsidR="00FF4057">
        <w:rPr>
          <w:b w:val="0"/>
        </w:rPr>
        <w:t>stablishing the Connecting Europe F</w:t>
      </w:r>
      <w:r w:rsidR="00067506" w:rsidRPr="00FF4057">
        <w:rPr>
          <w:b w:val="0"/>
        </w:rPr>
        <w:t>acility, amending Regulation (EU) No 913/2010 and repealing Regulations (EC) No 680/2007 and (EC) No 67/2010</w:t>
      </w:r>
      <w:r w:rsidRPr="00FF4057">
        <w:rPr>
          <w:b w:val="0"/>
          <w:lang w:val="en-US"/>
        </w:rPr>
        <w:t xml:space="preserve">) Rail Baltic/Rail </w:t>
      </w:r>
      <w:proofErr w:type="spellStart"/>
      <w:r w:rsidRPr="00FF4057">
        <w:rPr>
          <w:b w:val="0"/>
          <w:lang w:val="en-US"/>
        </w:rPr>
        <w:t>Baltica</w:t>
      </w:r>
      <w:proofErr w:type="spellEnd"/>
      <w:r w:rsidRPr="00FF4057">
        <w:rPr>
          <w:b w:val="0"/>
          <w:lang w:val="en-US"/>
        </w:rPr>
        <w:t xml:space="preserve"> that is of</w:t>
      </w:r>
      <w:r w:rsidRPr="00067506">
        <w:rPr>
          <w:b w:val="0"/>
          <w:lang w:val="en-US"/>
        </w:rPr>
        <w:t xml:space="preserve"> a considerable strategic and economic importance to their citizens and economies,</w:t>
      </w:r>
    </w:p>
    <w:p w14:paraId="6CDE32CE"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Acknowledging the need to agree upon the strategic timeframe for the development and completion of the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railway,</w:t>
      </w:r>
    </w:p>
    <w:p w14:paraId="234FF9C1"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Taking into consideration the Shareholders’ Agreement relating to the Joint Venture RB Rail AS between OÜ Rail Baltic Estonia, SIA “</w:t>
      </w:r>
      <w:proofErr w:type="spellStart"/>
      <w:r w:rsidRPr="00E254A6">
        <w:rPr>
          <w:rFonts w:cs="Times New Roman"/>
          <w:sz w:val="24"/>
          <w:szCs w:val="24"/>
          <w:lang w:val="en-US"/>
        </w:rPr>
        <w:t>Eiropas</w:t>
      </w:r>
      <w:proofErr w:type="spellEnd"/>
      <w:r w:rsidRPr="00E254A6">
        <w:rPr>
          <w:rFonts w:cs="Times New Roman"/>
          <w:sz w:val="24"/>
          <w:szCs w:val="24"/>
          <w:lang w:val="en-US"/>
        </w:rPr>
        <w:t xml:space="preserve"> dzelzceļa </w:t>
      </w:r>
      <w:proofErr w:type="spellStart"/>
      <w:r w:rsidRPr="00E254A6">
        <w:rPr>
          <w:rFonts w:cs="Times New Roman"/>
          <w:sz w:val="24"/>
          <w:szCs w:val="24"/>
          <w:lang w:val="en-US"/>
        </w:rPr>
        <w:t>līnijas</w:t>
      </w:r>
      <w:proofErr w:type="spellEnd"/>
      <w:r w:rsidRPr="00E254A6">
        <w:rPr>
          <w:rFonts w:cs="Times New Roman"/>
          <w:sz w:val="24"/>
          <w:szCs w:val="24"/>
          <w:lang w:val="en-US"/>
        </w:rPr>
        <w:t xml:space="preserve">” and UAB “Rail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w:t>
      </w:r>
      <w:proofErr w:type="spellStart"/>
      <w:r w:rsidRPr="00E254A6">
        <w:rPr>
          <w:rFonts w:cs="Times New Roman"/>
          <w:sz w:val="24"/>
          <w:szCs w:val="24"/>
          <w:lang w:val="en-US"/>
        </w:rPr>
        <w:t>statyba</w:t>
      </w:r>
      <w:proofErr w:type="spellEnd"/>
      <w:r w:rsidRPr="00E254A6">
        <w:rPr>
          <w:rFonts w:cs="Times New Roman"/>
          <w:sz w:val="24"/>
          <w:szCs w:val="24"/>
          <w:lang w:val="en-US"/>
        </w:rPr>
        <w:t>” from 28 October 2014,</w:t>
      </w:r>
    </w:p>
    <w:p w14:paraId="4E2D30C3" w14:textId="71BCF2C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Acknowledging that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project has been hitherto co-financed from the European Union sources with intensity in the order of 85% and assuming that a similar support rate will be applied in relation to the project’s implementation in the future - given the strategic importance of the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project to the region and the </w:t>
      </w:r>
      <w:r w:rsidRPr="00FF4057">
        <w:rPr>
          <w:rFonts w:cs="Times New Roman"/>
          <w:sz w:val="24"/>
          <w:szCs w:val="24"/>
          <w:lang w:val="en-US"/>
        </w:rPr>
        <w:t>E</w:t>
      </w:r>
      <w:r w:rsidR="00067506" w:rsidRPr="00FF4057">
        <w:rPr>
          <w:rFonts w:cs="Times New Roman"/>
          <w:sz w:val="24"/>
          <w:szCs w:val="24"/>
          <w:lang w:val="en-US"/>
        </w:rPr>
        <w:t>uropean Union</w:t>
      </w:r>
      <w:r w:rsidRPr="00E254A6">
        <w:rPr>
          <w:rFonts w:cs="Times New Roman"/>
          <w:sz w:val="24"/>
          <w:szCs w:val="24"/>
          <w:lang w:val="en-US"/>
        </w:rPr>
        <w:t xml:space="preserve"> transport network, as well as the Single European Market – and jointly encouraging the European Union institutions to envisage a long-term financing horizon for such priority projects as soon as possible,</w:t>
      </w:r>
    </w:p>
    <w:p w14:paraId="36B485E7" w14:textId="44EFEDF3"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Recalling the objective of the European Union to develop trans-European transport networks including the </w:t>
      </w:r>
      <w:r w:rsidRPr="00A2600E">
        <w:rPr>
          <w:rFonts w:cs="Times New Roman"/>
          <w:sz w:val="24"/>
          <w:szCs w:val="24"/>
          <w:lang w:val="en-US"/>
        </w:rPr>
        <w:t>North Sea – Baltic Core Network Corridor</w:t>
      </w:r>
      <w:r w:rsidRPr="00E254A6">
        <w:rPr>
          <w:rFonts w:cs="Times New Roman"/>
          <w:sz w:val="24"/>
          <w:szCs w:val="24"/>
          <w:lang w:val="en-US"/>
        </w:rPr>
        <w:t xml:space="preserve"> which the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railway is part of,</w:t>
      </w:r>
    </w:p>
    <w:p w14:paraId="4681B952" w14:textId="78BAA1F8"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Emphasizing the importance to adjust regulatory and cooperation framework </w:t>
      </w:r>
      <w:r w:rsidRPr="00E02513">
        <w:rPr>
          <w:rFonts w:cs="Times New Roman"/>
          <w:sz w:val="24"/>
          <w:szCs w:val="24"/>
          <w:lang w:val="en-US"/>
        </w:rPr>
        <w:t>within the Parties</w:t>
      </w:r>
      <w:r w:rsidRPr="00E254A6">
        <w:rPr>
          <w:rFonts w:cs="Times New Roman"/>
          <w:sz w:val="24"/>
          <w:szCs w:val="24"/>
          <w:lang w:val="en-US"/>
        </w:rPr>
        <w:t xml:space="preserve"> in order to facilitate the efficient use of the future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railway connection,</w:t>
      </w:r>
    </w:p>
    <w:p w14:paraId="79AF66C9" w14:textId="2AE493AB"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lastRenderedPageBreak/>
        <w:t xml:space="preserve">Continue to promote the integration of the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project, all project partners and route in the relevant multilateral cooperation frameworks, such as North Sea</w:t>
      </w:r>
      <w:r w:rsidR="00F83EB9">
        <w:rPr>
          <w:rFonts w:cs="Times New Roman"/>
          <w:sz w:val="24"/>
          <w:szCs w:val="24"/>
          <w:lang w:val="en-US"/>
        </w:rPr>
        <w:t xml:space="preserve"> – </w:t>
      </w:r>
      <w:r w:rsidRPr="00E254A6">
        <w:rPr>
          <w:rFonts w:cs="Times New Roman"/>
          <w:sz w:val="24"/>
          <w:szCs w:val="24"/>
          <w:lang w:val="en-US"/>
        </w:rPr>
        <w:t>Baltic rail freight corridor, but not limited to,</w:t>
      </w:r>
    </w:p>
    <w:p w14:paraId="590731B7" w14:textId="1E01C23E"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Acknowledging that the section of the railway from the Lithuanian-Polish border to Warsaw is historically with</w:t>
      </w:r>
      <w:r w:rsidR="00B83FA3">
        <w:rPr>
          <w:rFonts w:cs="Times New Roman"/>
          <w:sz w:val="24"/>
          <w:szCs w:val="24"/>
          <w:lang w:val="en-US"/>
        </w:rPr>
        <w:t xml:space="preserve"> </w:t>
      </w:r>
      <w:r w:rsidRPr="00E254A6">
        <w:rPr>
          <w:rFonts w:cs="Times New Roman"/>
          <w:sz w:val="24"/>
          <w:szCs w:val="24"/>
          <w:lang w:val="en-US"/>
        </w:rPr>
        <w:t>1435 mm standard gauge, but requires an upgrade of technical parameters for the purposes of interoperability of the line across the North Sea</w:t>
      </w:r>
      <w:r w:rsidR="00F83EB9">
        <w:rPr>
          <w:rFonts w:cs="Times New Roman"/>
          <w:sz w:val="24"/>
          <w:szCs w:val="24"/>
          <w:lang w:val="en-US"/>
        </w:rPr>
        <w:t xml:space="preserve"> – </w:t>
      </w:r>
      <w:r w:rsidRPr="00E254A6">
        <w:rPr>
          <w:rFonts w:cs="Times New Roman"/>
          <w:sz w:val="24"/>
          <w:szCs w:val="24"/>
          <w:lang w:val="en-US"/>
        </w:rPr>
        <w:t xml:space="preserve">Baltic Core Network corridor, </w:t>
      </w:r>
    </w:p>
    <w:p w14:paraId="040B2DB3" w14:textId="3C565875"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Reaffirming their commitment to ensure an open and transparent implementation of the project and a proactive engagement and cooperation with the relevant national supreme audit institutions and official </w:t>
      </w:r>
      <w:r w:rsidRPr="00FF4057">
        <w:rPr>
          <w:rFonts w:cs="Times New Roman"/>
          <w:sz w:val="24"/>
          <w:szCs w:val="24"/>
          <w:lang w:val="en-US"/>
        </w:rPr>
        <w:t>E</w:t>
      </w:r>
      <w:r w:rsidR="00067506" w:rsidRPr="00FF4057">
        <w:rPr>
          <w:rFonts w:cs="Times New Roman"/>
          <w:sz w:val="24"/>
          <w:szCs w:val="24"/>
          <w:lang w:val="en-US"/>
        </w:rPr>
        <w:t xml:space="preserve">uropean </w:t>
      </w:r>
      <w:r w:rsidRPr="00FF4057">
        <w:rPr>
          <w:rFonts w:cs="Times New Roman"/>
          <w:sz w:val="24"/>
          <w:szCs w:val="24"/>
          <w:lang w:val="en-US"/>
        </w:rPr>
        <w:t>U</w:t>
      </w:r>
      <w:r w:rsidR="00067506" w:rsidRPr="00FF4057">
        <w:rPr>
          <w:rFonts w:cs="Times New Roman"/>
          <w:sz w:val="24"/>
          <w:szCs w:val="24"/>
          <w:lang w:val="en-US"/>
        </w:rPr>
        <w:t>nion</w:t>
      </w:r>
      <w:r w:rsidR="00706359" w:rsidRPr="00FF4057">
        <w:rPr>
          <w:rFonts w:cs="Times New Roman"/>
          <w:sz w:val="24"/>
          <w:szCs w:val="24"/>
          <w:lang w:val="en-US"/>
        </w:rPr>
        <w:t xml:space="preserve"> and E</w:t>
      </w:r>
      <w:r w:rsidR="00067506" w:rsidRPr="00FF4057">
        <w:rPr>
          <w:rFonts w:cs="Times New Roman"/>
          <w:sz w:val="24"/>
          <w:szCs w:val="24"/>
          <w:lang w:val="en-US"/>
        </w:rPr>
        <w:t xml:space="preserve">uropean </w:t>
      </w:r>
      <w:r w:rsidR="00706359" w:rsidRPr="00FF4057">
        <w:rPr>
          <w:rFonts w:cs="Times New Roman"/>
          <w:sz w:val="24"/>
          <w:szCs w:val="24"/>
          <w:lang w:val="en-US"/>
        </w:rPr>
        <w:t>U</w:t>
      </w:r>
      <w:r w:rsidR="00067506" w:rsidRPr="00FF4057">
        <w:rPr>
          <w:rFonts w:cs="Times New Roman"/>
          <w:sz w:val="24"/>
          <w:szCs w:val="24"/>
          <w:lang w:val="en-US"/>
        </w:rPr>
        <w:t>nion</w:t>
      </w:r>
      <w:r w:rsidR="00706359">
        <w:rPr>
          <w:rFonts w:cs="Times New Roman"/>
          <w:sz w:val="24"/>
          <w:szCs w:val="24"/>
          <w:lang w:val="en-US"/>
        </w:rPr>
        <w:t xml:space="preserve"> funds</w:t>
      </w:r>
      <w:r w:rsidRPr="00E254A6">
        <w:rPr>
          <w:rFonts w:cs="Times New Roman"/>
          <w:sz w:val="24"/>
          <w:szCs w:val="24"/>
          <w:lang w:val="en-US"/>
        </w:rPr>
        <w:t xml:space="preserve"> auditing institutions based on international auditing standards and assure that those audit institutions do not have any restrictions to audit the project activities.</w:t>
      </w:r>
    </w:p>
    <w:p w14:paraId="3BE4D4F0" w14:textId="77777777" w:rsidR="00D674AE"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Have agreed as follows:</w:t>
      </w:r>
    </w:p>
    <w:p w14:paraId="7AE42242" w14:textId="77777777" w:rsidR="00067506" w:rsidRDefault="00067506" w:rsidP="00E254A6">
      <w:pPr>
        <w:spacing w:after="120" w:line="240" w:lineRule="auto"/>
        <w:jc w:val="center"/>
        <w:rPr>
          <w:rFonts w:cs="Times New Roman"/>
          <w:b/>
          <w:sz w:val="24"/>
          <w:szCs w:val="24"/>
          <w:lang w:val="en-US"/>
        </w:rPr>
      </w:pPr>
    </w:p>
    <w:p w14:paraId="54C9DBC5"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1</w:t>
      </w:r>
    </w:p>
    <w:p w14:paraId="5F00F393"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Scope and the purpose of the Agreement</w:t>
      </w:r>
    </w:p>
    <w:p w14:paraId="428D3488" w14:textId="3BF37134" w:rsidR="00E254A6" w:rsidRPr="00A2600E" w:rsidRDefault="00EA54B5" w:rsidP="00E254A6">
      <w:pPr>
        <w:spacing w:after="120" w:line="240" w:lineRule="auto"/>
        <w:jc w:val="both"/>
        <w:rPr>
          <w:rFonts w:cs="Times New Roman"/>
          <w:sz w:val="24"/>
          <w:szCs w:val="24"/>
          <w:lang w:val="en-US"/>
        </w:rPr>
      </w:pPr>
      <w:r>
        <w:rPr>
          <w:rFonts w:cs="Times New Roman"/>
          <w:sz w:val="24"/>
          <w:szCs w:val="24"/>
          <w:lang w:val="en-US"/>
        </w:rPr>
        <w:t>The purpose of the</w:t>
      </w:r>
      <w:r w:rsidR="00E254A6" w:rsidRPr="00E254A6">
        <w:rPr>
          <w:rFonts w:cs="Times New Roman"/>
          <w:sz w:val="24"/>
          <w:szCs w:val="24"/>
          <w:lang w:val="en-US"/>
        </w:rPr>
        <w:t xml:space="preserve"> Agreement is to ensure the completion and functionality of an effective fa</w:t>
      </w:r>
      <w:r w:rsidR="00A2600E">
        <w:rPr>
          <w:rFonts w:cs="Times New Roman"/>
          <w:sz w:val="24"/>
          <w:szCs w:val="24"/>
          <w:lang w:val="en-US"/>
        </w:rPr>
        <w:t>st conventional European gauge r</w:t>
      </w:r>
      <w:r w:rsidR="00E254A6" w:rsidRPr="00A2600E">
        <w:rPr>
          <w:rFonts w:cs="Times New Roman"/>
          <w:sz w:val="24"/>
          <w:szCs w:val="24"/>
          <w:lang w:val="en-US"/>
        </w:rPr>
        <w:t>ailway,</w:t>
      </w:r>
      <w:r w:rsidR="00E254A6" w:rsidRPr="00E254A6">
        <w:rPr>
          <w:rFonts w:cs="Times New Roman"/>
          <w:sz w:val="24"/>
          <w:szCs w:val="24"/>
          <w:lang w:val="en-US"/>
        </w:rPr>
        <w:t xml:space="preserve"> built as a project of common interest according to the common technical parameters, for passengers and freight transport on a </w:t>
      </w:r>
      <w:r w:rsidR="00F83EB9">
        <w:rPr>
          <w:rFonts w:cs="Times New Roman"/>
          <w:sz w:val="24"/>
          <w:szCs w:val="24"/>
          <w:lang w:val="en-US"/>
        </w:rPr>
        <w:t>r</w:t>
      </w:r>
      <w:r w:rsidR="00E254A6" w:rsidRPr="00E254A6">
        <w:rPr>
          <w:rFonts w:cs="Times New Roman"/>
          <w:sz w:val="24"/>
          <w:szCs w:val="24"/>
          <w:lang w:val="en-US"/>
        </w:rPr>
        <w:t xml:space="preserve">oute as part of the TEN-T Network </w:t>
      </w:r>
      <w:r w:rsidR="00E254A6" w:rsidRPr="00A2600E">
        <w:rPr>
          <w:rFonts w:cs="Times New Roman"/>
          <w:sz w:val="24"/>
          <w:szCs w:val="24"/>
          <w:lang w:val="en-US"/>
        </w:rPr>
        <w:t>North Sea – Baltic Core Network Corridor.</w:t>
      </w:r>
    </w:p>
    <w:p w14:paraId="4BC25FDB" w14:textId="77777777" w:rsidR="00067506" w:rsidRDefault="00067506" w:rsidP="00E254A6">
      <w:pPr>
        <w:spacing w:after="120" w:line="240" w:lineRule="auto"/>
        <w:jc w:val="center"/>
        <w:rPr>
          <w:rFonts w:cs="Times New Roman"/>
          <w:b/>
          <w:sz w:val="24"/>
          <w:szCs w:val="24"/>
          <w:lang w:val="en-US"/>
        </w:rPr>
      </w:pPr>
    </w:p>
    <w:p w14:paraId="3E250EFC"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2</w:t>
      </w:r>
    </w:p>
    <w:p w14:paraId="2EBCC1A0"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Definitions</w:t>
      </w:r>
    </w:p>
    <w:p w14:paraId="077AFAF1" w14:textId="32C5E635" w:rsidR="00A2600E" w:rsidRPr="00A2600E" w:rsidRDefault="00EA54B5" w:rsidP="00E254A6">
      <w:pPr>
        <w:spacing w:after="120" w:line="240" w:lineRule="auto"/>
        <w:jc w:val="both"/>
        <w:rPr>
          <w:rFonts w:cs="Times New Roman"/>
          <w:sz w:val="24"/>
          <w:szCs w:val="24"/>
        </w:rPr>
      </w:pPr>
      <w:r>
        <w:rPr>
          <w:rFonts w:cs="Times New Roman"/>
          <w:sz w:val="24"/>
          <w:szCs w:val="24"/>
          <w:lang w:val="en-US"/>
        </w:rPr>
        <w:t>For the purposes of the</w:t>
      </w:r>
      <w:r w:rsidR="00A2600E" w:rsidRPr="00C84A80">
        <w:rPr>
          <w:rFonts w:cs="Times New Roman"/>
          <w:sz w:val="24"/>
          <w:szCs w:val="24"/>
          <w:lang w:val="en-US"/>
        </w:rPr>
        <w:t xml:space="preserve"> </w:t>
      </w:r>
      <w:r w:rsidR="00A2600E">
        <w:rPr>
          <w:rFonts w:cs="Times New Roman"/>
          <w:sz w:val="24"/>
          <w:szCs w:val="24"/>
          <w:lang w:val="en-US"/>
        </w:rPr>
        <w:t>Agreement</w:t>
      </w:r>
      <w:r w:rsidR="00A2600E" w:rsidRPr="00C84A80">
        <w:rPr>
          <w:rFonts w:cs="Times New Roman"/>
          <w:sz w:val="24"/>
          <w:szCs w:val="24"/>
          <w:lang w:val="en-US"/>
        </w:rPr>
        <w:t xml:space="preserve">, unless the context </w:t>
      </w:r>
      <w:r>
        <w:rPr>
          <w:rFonts w:cs="Times New Roman"/>
          <w:sz w:val="24"/>
          <w:szCs w:val="24"/>
          <w:lang w:val="en-US"/>
        </w:rPr>
        <w:t>of the</w:t>
      </w:r>
      <w:r w:rsidR="003D033F">
        <w:rPr>
          <w:rFonts w:cs="Times New Roman"/>
          <w:sz w:val="24"/>
          <w:szCs w:val="24"/>
          <w:lang w:val="en-US"/>
        </w:rPr>
        <w:t xml:space="preserve"> Agreement </w:t>
      </w:r>
      <w:r w:rsidR="00A2600E" w:rsidRPr="00C84A80">
        <w:rPr>
          <w:rFonts w:cs="Times New Roman"/>
          <w:sz w:val="24"/>
          <w:szCs w:val="24"/>
          <w:lang w:val="en-US"/>
        </w:rPr>
        <w:t>otherwise requires:</w:t>
      </w:r>
    </w:p>
    <w:p w14:paraId="1A5CD611" w14:textId="7299F916"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a) “railway” means </w:t>
      </w:r>
      <w:r w:rsidRPr="00706359">
        <w:rPr>
          <w:rFonts w:cs="Times New Roman"/>
          <w:sz w:val="24"/>
          <w:szCs w:val="24"/>
          <w:lang w:val="en-US"/>
        </w:rPr>
        <w:t>new</w:t>
      </w:r>
      <w:r w:rsidR="00706359">
        <w:rPr>
          <w:rFonts w:cs="Times New Roman"/>
          <w:sz w:val="24"/>
          <w:szCs w:val="24"/>
          <w:lang w:val="en-US"/>
        </w:rPr>
        <w:t xml:space="preserve"> </w:t>
      </w:r>
      <w:r w:rsidRPr="00E254A6">
        <w:rPr>
          <w:rFonts w:cs="Times New Roman"/>
          <w:sz w:val="24"/>
          <w:szCs w:val="24"/>
          <w:lang w:val="en-US"/>
        </w:rPr>
        <w:t>fast conventional double track electrified railway line with the maximum design speed of 240 km/h and European standard gauge (1435 mm) on the route to be completed in accordance with uniform technical parameters based on the Technical Specifications for Interoperability, as defined in the relevant legal acts of the European Union ;</w:t>
      </w:r>
    </w:p>
    <w:p w14:paraId="768D13D4"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b) “project coordinator” means the joint venture RB Rail AS established on 28 October 2014 in the Republic of Latvia for the purpose of completing the railway and developing the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project, whose main business is the design, construction and marketing (including branding) of the railway;</w:t>
      </w:r>
    </w:p>
    <w:p w14:paraId="1D3E9B10" w14:textId="1439074E"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c) “route” shall be from Tallinn through </w:t>
      </w:r>
      <w:proofErr w:type="spellStart"/>
      <w:r w:rsidRPr="00E254A6">
        <w:rPr>
          <w:rFonts w:cs="Times New Roman"/>
          <w:sz w:val="24"/>
          <w:szCs w:val="24"/>
          <w:lang w:val="en-US"/>
        </w:rPr>
        <w:t>Pärnu</w:t>
      </w:r>
      <w:proofErr w:type="spellEnd"/>
      <w:r w:rsidRPr="00E254A6">
        <w:rPr>
          <w:rFonts w:cs="Times New Roman"/>
          <w:sz w:val="24"/>
          <w:szCs w:val="24"/>
          <w:lang w:val="en-US"/>
        </w:rPr>
        <w:t>-Riga-</w:t>
      </w:r>
      <w:proofErr w:type="spellStart"/>
      <w:r w:rsidRPr="00E254A6">
        <w:rPr>
          <w:rFonts w:cs="Times New Roman"/>
          <w:sz w:val="24"/>
          <w:szCs w:val="24"/>
          <w:lang w:val="en-US"/>
        </w:rPr>
        <w:t>Panevezys</w:t>
      </w:r>
      <w:proofErr w:type="spellEnd"/>
      <w:r w:rsidRPr="00E254A6">
        <w:rPr>
          <w:rFonts w:cs="Times New Roman"/>
          <w:sz w:val="24"/>
          <w:szCs w:val="24"/>
          <w:lang w:val="en-US"/>
        </w:rPr>
        <w:t>-Kaunas to Lithuanian-Polish state border with a connection of Vilnius-</w:t>
      </w:r>
      <w:r w:rsidR="00A2600E">
        <w:rPr>
          <w:rFonts w:cs="Times New Roman"/>
          <w:sz w:val="24"/>
          <w:szCs w:val="24"/>
          <w:lang w:val="en-US"/>
        </w:rPr>
        <w:t>Kaunas as a part of the railway;</w:t>
      </w:r>
      <w:r w:rsidRPr="00E254A6">
        <w:rPr>
          <w:rFonts w:cs="Times New Roman"/>
          <w:sz w:val="24"/>
          <w:szCs w:val="24"/>
          <w:lang w:val="en-US"/>
        </w:rPr>
        <w:t xml:space="preserve"> </w:t>
      </w:r>
    </w:p>
    <w:p w14:paraId="05CF6FC9" w14:textId="6AD9EE96"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d) “infrastructure manager” means a body or bodies as defined in the Directive 2012/34/EU of the European Parliament and of the Council of 21 November 2012 establishing a single European railway area</w:t>
      </w:r>
      <w:r w:rsidR="00A2600E">
        <w:rPr>
          <w:rFonts w:cs="Times New Roman"/>
          <w:sz w:val="24"/>
          <w:szCs w:val="24"/>
          <w:lang w:val="en-US"/>
        </w:rPr>
        <w:t>;</w:t>
      </w:r>
      <w:r w:rsidRPr="00E254A6">
        <w:rPr>
          <w:rFonts w:cs="Times New Roman"/>
          <w:sz w:val="24"/>
          <w:szCs w:val="24"/>
          <w:lang w:val="en-US"/>
        </w:rPr>
        <w:t xml:space="preserve"> </w:t>
      </w:r>
    </w:p>
    <w:p w14:paraId="020023A0" w14:textId="7B55873C"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lastRenderedPageBreak/>
        <w:t>e) “railway infrastructure” means railway infrastructure as defined in the Directive 2012/34/EU of the European Parliament and of the Council of 21 November 2012 establishing a single European railway area.</w:t>
      </w:r>
    </w:p>
    <w:p w14:paraId="203FD45B" w14:textId="2A797464" w:rsidR="00067506" w:rsidRDefault="00067506" w:rsidP="00E254A6">
      <w:pPr>
        <w:spacing w:after="120" w:line="240" w:lineRule="auto"/>
        <w:jc w:val="center"/>
        <w:rPr>
          <w:rFonts w:cs="Times New Roman"/>
          <w:b/>
          <w:sz w:val="24"/>
          <w:szCs w:val="24"/>
          <w:lang w:val="en-US"/>
        </w:rPr>
      </w:pPr>
    </w:p>
    <w:p w14:paraId="1072FA52" w14:textId="77777777" w:rsidR="00EB28EA" w:rsidRDefault="00EB28EA" w:rsidP="00E254A6">
      <w:pPr>
        <w:spacing w:after="120" w:line="240" w:lineRule="auto"/>
        <w:jc w:val="center"/>
        <w:rPr>
          <w:rFonts w:cs="Times New Roman"/>
          <w:b/>
          <w:sz w:val="24"/>
          <w:szCs w:val="24"/>
          <w:lang w:val="en-US"/>
        </w:rPr>
      </w:pPr>
    </w:p>
    <w:p w14:paraId="5A636E0A"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3</w:t>
      </w:r>
    </w:p>
    <w:p w14:paraId="33816953"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Completion of the railway connection</w:t>
      </w:r>
    </w:p>
    <w:p w14:paraId="118338F3" w14:textId="5051B78E" w:rsidR="0067684F"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The Parties aim to ensure completion and functionality of the railway by 2025 in order to commence its operation by 2026.</w:t>
      </w:r>
    </w:p>
    <w:p w14:paraId="5BAD3E67" w14:textId="77777777" w:rsidR="00067506" w:rsidRDefault="00067506" w:rsidP="00EB28EA">
      <w:pPr>
        <w:spacing w:after="120" w:line="240" w:lineRule="auto"/>
        <w:rPr>
          <w:rFonts w:cs="Times New Roman"/>
          <w:b/>
          <w:sz w:val="24"/>
          <w:szCs w:val="24"/>
          <w:lang w:val="en-US"/>
        </w:rPr>
      </w:pPr>
    </w:p>
    <w:p w14:paraId="06A67475"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4</w:t>
      </w:r>
    </w:p>
    <w:p w14:paraId="3ACE635A"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Preparation for construction</w:t>
      </w:r>
    </w:p>
    <w:p w14:paraId="1AC64C0A" w14:textId="129D6098"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1. The Parties commit to support, in cooperation with the project coordinator, the completion of all studies and other preparatory activities necessary for a timely start of the construction works. The preparatory activities shall include, in particular:</w:t>
      </w:r>
    </w:p>
    <w:p w14:paraId="445FD507"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a) the spatial planning of the route area;</w:t>
      </w:r>
    </w:p>
    <w:p w14:paraId="2B7C4CA1"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b) performing of necessary feasibility, environmental and other studies;</w:t>
      </w:r>
    </w:p>
    <w:p w14:paraId="5A948338" w14:textId="47B106FA"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c) the completion of all necessary documentation, including the preliminary and technical design, of all necessary infrastructure in order to construct the railway </w:t>
      </w:r>
      <w:r w:rsidRPr="00E02513">
        <w:rPr>
          <w:rFonts w:cs="Times New Roman"/>
          <w:sz w:val="24"/>
          <w:szCs w:val="24"/>
          <w:lang w:val="en-US"/>
        </w:rPr>
        <w:t xml:space="preserve">in the territories of the </w:t>
      </w:r>
      <w:r w:rsidR="00E02513" w:rsidRPr="00E02513">
        <w:rPr>
          <w:rFonts w:cs="Times New Roman"/>
          <w:sz w:val="24"/>
          <w:szCs w:val="24"/>
          <w:lang w:val="en-US"/>
        </w:rPr>
        <w:t xml:space="preserve">States represented by the </w:t>
      </w:r>
      <w:r w:rsidRPr="00E02513">
        <w:rPr>
          <w:rFonts w:cs="Times New Roman"/>
          <w:sz w:val="24"/>
          <w:szCs w:val="24"/>
          <w:lang w:val="en-US"/>
        </w:rPr>
        <w:t>Parties</w:t>
      </w:r>
      <w:r w:rsidRPr="00E254A6">
        <w:rPr>
          <w:rFonts w:cs="Times New Roman"/>
          <w:sz w:val="24"/>
          <w:szCs w:val="24"/>
          <w:lang w:val="en-US"/>
        </w:rPr>
        <w:t>.</w:t>
      </w:r>
    </w:p>
    <w:p w14:paraId="0E7AE72B" w14:textId="0C7F0D9B" w:rsidR="00E254A6" w:rsidRPr="00E254A6" w:rsidRDefault="00A2600E" w:rsidP="00E254A6">
      <w:pPr>
        <w:spacing w:after="120" w:line="240" w:lineRule="auto"/>
        <w:jc w:val="both"/>
        <w:rPr>
          <w:rFonts w:cs="Times New Roman"/>
          <w:sz w:val="24"/>
          <w:szCs w:val="24"/>
          <w:lang w:val="en-US"/>
        </w:rPr>
      </w:pPr>
      <w:r>
        <w:rPr>
          <w:rFonts w:cs="Times New Roman"/>
          <w:sz w:val="24"/>
          <w:szCs w:val="24"/>
          <w:lang w:val="en-US"/>
        </w:rPr>
        <w:t>2. The P</w:t>
      </w:r>
      <w:r w:rsidR="00E254A6" w:rsidRPr="00A2600E">
        <w:rPr>
          <w:rFonts w:cs="Times New Roman"/>
          <w:sz w:val="24"/>
          <w:szCs w:val="24"/>
          <w:lang w:val="en-US"/>
        </w:rPr>
        <w:t>arties</w:t>
      </w:r>
      <w:r w:rsidR="00E254A6" w:rsidRPr="00E254A6">
        <w:rPr>
          <w:rFonts w:cs="Times New Roman"/>
          <w:sz w:val="24"/>
          <w:szCs w:val="24"/>
          <w:lang w:val="en-US"/>
        </w:rPr>
        <w:t xml:space="preserve"> support establishment of a contracting framework and common tendering guidelines, based on best procurement, including joint procurement, practices according to </w:t>
      </w:r>
      <w:r w:rsidR="00153782">
        <w:rPr>
          <w:rFonts w:cs="Times New Roman"/>
          <w:sz w:val="24"/>
          <w:szCs w:val="24"/>
          <w:lang w:val="en-US"/>
        </w:rPr>
        <w:t xml:space="preserve">law of the </w:t>
      </w:r>
      <w:r w:rsidR="00E254A6" w:rsidRPr="00FF4057">
        <w:rPr>
          <w:rFonts w:cs="Times New Roman"/>
          <w:sz w:val="24"/>
          <w:szCs w:val="24"/>
          <w:lang w:val="en-US"/>
        </w:rPr>
        <w:t>E</w:t>
      </w:r>
      <w:r w:rsidR="00067506" w:rsidRPr="00FF4057">
        <w:rPr>
          <w:rFonts w:cs="Times New Roman"/>
          <w:sz w:val="24"/>
          <w:szCs w:val="24"/>
          <w:lang w:val="en-US"/>
        </w:rPr>
        <w:t xml:space="preserve">uropean </w:t>
      </w:r>
      <w:r w:rsidR="00E254A6" w:rsidRPr="00FF4057">
        <w:rPr>
          <w:rFonts w:cs="Times New Roman"/>
          <w:sz w:val="24"/>
          <w:szCs w:val="24"/>
          <w:lang w:val="en-US"/>
        </w:rPr>
        <w:t>U</w:t>
      </w:r>
      <w:r w:rsidR="00067506" w:rsidRPr="00FF4057">
        <w:rPr>
          <w:rFonts w:cs="Times New Roman"/>
          <w:sz w:val="24"/>
          <w:szCs w:val="24"/>
          <w:lang w:val="en-US"/>
        </w:rPr>
        <w:t>nion</w:t>
      </w:r>
      <w:r w:rsidR="00E254A6" w:rsidRPr="00E254A6">
        <w:rPr>
          <w:rFonts w:cs="Times New Roman"/>
          <w:sz w:val="24"/>
          <w:szCs w:val="24"/>
          <w:lang w:val="en-US"/>
        </w:rPr>
        <w:t xml:space="preserve"> and agreements </w:t>
      </w:r>
      <w:r w:rsidR="00153782">
        <w:rPr>
          <w:rFonts w:cs="Times New Roman"/>
          <w:sz w:val="24"/>
          <w:szCs w:val="24"/>
          <w:lang w:val="en-US"/>
        </w:rPr>
        <w:t xml:space="preserve">concluded </w:t>
      </w:r>
      <w:r w:rsidR="00E254A6" w:rsidRPr="00E254A6">
        <w:rPr>
          <w:rFonts w:cs="Times New Roman"/>
          <w:sz w:val="24"/>
          <w:szCs w:val="24"/>
          <w:lang w:val="en-US"/>
        </w:rPr>
        <w:t xml:space="preserve">by </w:t>
      </w:r>
      <w:r w:rsidR="00AE2CBE">
        <w:rPr>
          <w:rFonts w:cs="Times New Roman"/>
          <w:sz w:val="24"/>
          <w:szCs w:val="24"/>
          <w:lang w:val="en-US"/>
        </w:rPr>
        <w:t xml:space="preserve">the </w:t>
      </w:r>
      <w:r w:rsidR="00E254A6" w:rsidRPr="00E254A6">
        <w:rPr>
          <w:rFonts w:cs="Times New Roman"/>
          <w:sz w:val="24"/>
          <w:szCs w:val="24"/>
          <w:lang w:val="en-US"/>
        </w:rPr>
        <w:t xml:space="preserve">Parties. </w:t>
      </w:r>
    </w:p>
    <w:p w14:paraId="1C031EB6" w14:textId="6AE783FF" w:rsidR="00E254A6" w:rsidRPr="00E254A6" w:rsidRDefault="00A2600E" w:rsidP="00E254A6">
      <w:pPr>
        <w:spacing w:after="120" w:line="240" w:lineRule="auto"/>
        <w:jc w:val="both"/>
        <w:rPr>
          <w:rFonts w:cs="Times New Roman"/>
          <w:sz w:val="24"/>
          <w:szCs w:val="24"/>
          <w:lang w:val="en-US"/>
        </w:rPr>
      </w:pPr>
      <w:r>
        <w:rPr>
          <w:rFonts w:cs="Times New Roman"/>
          <w:sz w:val="24"/>
          <w:szCs w:val="24"/>
          <w:lang w:val="en-US"/>
        </w:rPr>
        <w:t>3. The P</w:t>
      </w:r>
      <w:r w:rsidR="00E254A6" w:rsidRPr="00A2600E">
        <w:rPr>
          <w:rFonts w:cs="Times New Roman"/>
          <w:sz w:val="24"/>
          <w:szCs w:val="24"/>
          <w:lang w:val="en-US"/>
        </w:rPr>
        <w:t>arties</w:t>
      </w:r>
      <w:r w:rsidR="00E254A6" w:rsidRPr="00E254A6">
        <w:rPr>
          <w:rFonts w:cs="Times New Roman"/>
          <w:sz w:val="24"/>
          <w:szCs w:val="24"/>
          <w:lang w:val="en-US"/>
        </w:rPr>
        <w:t xml:space="preserve"> support establishing common technical guidelines for design and construction of the railway in view of compliance with Technical Specifications for Interoperability.</w:t>
      </w:r>
    </w:p>
    <w:p w14:paraId="32E0230B" w14:textId="77777777" w:rsidR="00067506" w:rsidRDefault="00067506" w:rsidP="00E254A6">
      <w:pPr>
        <w:spacing w:after="120" w:line="240" w:lineRule="auto"/>
        <w:jc w:val="center"/>
        <w:rPr>
          <w:rFonts w:cs="Times New Roman"/>
          <w:b/>
          <w:sz w:val="24"/>
          <w:szCs w:val="24"/>
          <w:lang w:val="en-US"/>
        </w:rPr>
      </w:pPr>
    </w:p>
    <w:p w14:paraId="3EBDE789"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5</w:t>
      </w:r>
    </w:p>
    <w:p w14:paraId="16684E2F"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The role of the project coordinator</w:t>
      </w:r>
    </w:p>
    <w:p w14:paraId="3A8C2BA1"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The preparatory activities and the construction of the railway until its completion and achieving full technical functionality shall be coordinated by the project coordinator.</w:t>
      </w:r>
    </w:p>
    <w:p w14:paraId="2E728F10" w14:textId="77777777" w:rsidR="00E254A6" w:rsidRPr="00E254A6" w:rsidRDefault="00E254A6" w:rsidP="00E254A6">
      <w:pPr>
        <w:spacing w:after="120" w:line="240" w:lineRule="auto"/>
        <w:jc w:val="center"/>
        <w:rPr>
          <w:rFonts w:cs="Times New Roman"/>
          <w:b/>
          <w:sz w:val="24"/>
          <w:szCs w:val="24"/>
          <w:lang w:val="en-US"/>
        </w:rPr>
      </w:pPr>
    </w:p>
    <w:p w14:paraId="6EFF48CE"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6</w:t>
      </w:r>
    </w:p>
    <w:p w14:paraId="5298EE76"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Cooperation with other countries and with the European Commission</w:t>
      </w:r>
    </w:p>
    <w:p w14:paraId="500106CC" w14:textId="7777777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The Parties shall fully cooperate and exchange information with the European Commission and undertake all reasonable measures for a continuous involvement of and cooperation with the Republic of Poland and the Republic of Finland in the development of the railway with a view to remove the bottlenecks in TEN-T core network and to </w:t>
      </w:r>
      <w:r w:rsidRPr="00E254A6">
        <w:rPr>
          <w:rFonts w:cs="Times New Roman"/>
          <w:sz w:val="24"/>
          <w:szCs w:val="24"/>
          <w:lang w:val="en-US"/>
        </w:rPr>
        <w:lastRenderedPageBreak/>
        <w:t xml:space="preserve">ensure interoperability, harmonization of technical standards, as well as to provide the conditions for the best use of railway infrastructure and for improving commercialization of railway service market.  </w:t>
      </w:r>
    </w:p>
    <w:p w14:paraId="39D5148F" w14:textId="64B02C2B" w:rsidR="00067506" w:rsidRDefault="00067506" w:rsidP="00E254A6">
      <w:pPr>
        <w:spacing w:after="120" w:line="240" w:lineRule="auto"/>
        <w:jc w:val="center"/>
        <w:rPr>
          <w:rFonts w:cs="Times New Roman"/>
          <w:b/>
          <w:sz w:val="24"/>
          <w:szCs w:val="24"/>
          <w:lang w:val="en-US"/>
        </w:rPr>
      </w:pPr>
    </w:p>
    <w:p w14:paraId="559B6475" w14:textId="77777777" w:rsidR="00EB28EA" w:rsidRDefault="00EB28EA" w:rsidP="00E254A6">
      <w:pPr>
        <w:spacing w:after="120" w:line="240" w:lineRule="auto"/>
        <w:jc w:val="center"/>
        <w:rPr>
          <w:rFonts w:cs="Times New Roman"/>
          <w:b/>
          <w:sz w:val="24"/>
          <w:szCs w:val="24"/>
          <w:lang w:val="en-US"/>
        </w:rPr>
      </w:pPr>
    </w:p>
    <w:p w14:paraId="526EA975"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7</w:t>
      </w:r>
    </w:p>
    <w:p w14:paraId="7A67D62D"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Ownership of land and infrastructure</w:t>
      </w:r>
    </w:p>
    <w:p w14:paraId="7C907308" w14:textId="2D2B203F"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1. The </w:t>
      </w:r>
      <w:r w:rsidR="00E60E6E">
        <w:rPr>
          <w:rFonts w:cs="Times New Roman"/>
          <w:sz w:val="24"/>
          <w:szCs w:val="24"/>
          <w:lang w:val="en-US"/>
        </w:rPr>
        <w:t>State of the Party within whose</w:t>
      </w:r>
      <w:r w:rsidR="00E02513" w:rsidRPr="00E02513">
        <w:rPr>
          <w:rFonts w:cs="Times New Roman"/>
          <w:sz w:val="24"/>
          <w:szCs w:val="24"/>
          <w:lang w:val="en-US"/>
        </w:rPr>
        <w:t xml:space="preserve"> </w:t>
      </w:r>
      <w:r w:rsidRPr="00E02513">
        <w:rPr>
          <w:rFonts w:cs="Times New Roman"/>
          <w:sz w:val="24"/>
          <w:szCs w:val="24"/>
          <w:lang w:val="en-US"/>
        </w:rPr>
        <w:t>territory</w:t>
      </w:r>
      <w:r w:rsidRPr="00E254A6">
        <w:rPr>
          <w:rFonts w:cs="Times New Roman"/>
          <w:sz w:val="24"/>
          <w:szCs w:val="24"/>
          <w:lang w:val="en-US"/>
        </w:rPr>
        <w:t xml:space="preserve"> the part of the </w:t>
      </w:r>
      <w:r w:rsidR="00AE2CBE">
        <w:rPr>
          <w:rFonts w:cs="Times New Roman"/>
          <w:sz w:val="24"/>
          <w:szCs w:val="24"/>
          <w:lang w:val="en-US"/>
        </w:rPr>
        <w:t>p</w:t>
      </w:r>
      <w:r w:rsidRPr="00E254A6">
        <w:rPr>
          <w:rFonts w:cs="Times New Roman"/>
          <w:sz w:val="24"/>
          <w:szCs w:val="24"/>
          <w:lang w:val="en-US"/>
        </w:rPr>
        <w:t>roject’s infrastructure and land related to that infrastructure is located shall own that part of the railway infrastructure.</w:t>
      </w:r>
    </w:p>
    <w:p w14:paraId="4C99EF52" w14:textId="66F329B2"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2. The Parties agree that land and infrastructure shall be made available for use by nominated infrastructure manager(s).</w:t>
      </w:r>
    </w:p>
    <w:p w14:paraId="487EE88B" w14:textId="19938714"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3. Infrastructure manager(s) will be granted access to related service facilities.</w:t>
      </w:r>
    </w:p>
    <w:p w14:paraId="3E8296CE" w14:textId="77777777" w:rsidR="00067506" w:rsidRDefault="00067506" w:rsidP="00E254A6">
      <w:pPr>
        <w:spacing w:after="120" w:line="240" w:lineRule="auto"/>
        <w:jc w:val="center"/>
        <w:rPr>
          <w:rFonts w:cs="Times New Roman"/>
          <w:b/>
          <w:sz w:val="24"/>
          <w:szCs w:val="24"/>
          <w:lang w:val="en-US"/>
        </w:rPr>
      </w:pPr>
    </w:p>
    <w:p w14:paraId="47ABE879"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8</w:t>
      </w:r>
    </w:p>
    <w:p w14:paraId="29024AD7"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The laws and regulations</w:t>
      </w:r>
    </w:p>
    <w:p w14:paraId="57FDEEA0" w14:textId="6F382D8D" w:rsidR="00E254A6" w:rsidRPr="00E254A6" w:rsidRDefault="00E60E6E" w:rsidP="00E254A6">
      <w:pPr>
        <w:spacing w:after="120" w:line="240" w:lineRule="auto"/>
        <w:jc w:val="both"/>
        <w:rPr>
          <w:rFonts w:cs="Times New Roman"/>
          <w:sz w:val="24"/>
          <w:szCs w:val="24"/>
          <w:lang w:val="en-US"/>
        </w:rPr>
      </w:pPr>
      <w:r>
        <w:rPr>
          <w:rFonts w:cs="Times New Roman"/>
          <w:sz w:val="24"/>
          <w:szCs w:val="24"/>
          <w:lang w:val="en-US"/>
        </w:rPr>
        <w:t>1. In the application of the</w:t>
      </w:r>
      <w:r w:rsidR="00E254A6" w:rsidRPr="00E254A6">
        <w:rPr>
          <w:rFonts w:cs="Times New Roman"/>
          <w:sz w:val="24"/>
          <w:szCs w:val="24"/>
          <w:lang w:val="en-US"/>
        </w:rPr>
        <w:t xml:space="preserve"> Agreement, any matters </w:t>
      </w:r>
      <w:r w:rsidR="00153782">
        <w:rPr>
          <w:rFonts w:cs="Times New Roman"/>
          <w:sz w:val="24"/>
          <w:szCs w:val="24"/>
          <w:lang w:val="en-US"/>
        </w:rPr>
        <w:t xml:space="preserve">not dealt with herein </w:t>
      </w:r>
      <w:r w:rsidR="00E254A6" w:rsidRPr="00E254A6">
        <w:rPr>
          <w:rFonts w:cs="Times New Roman"/>
          <w:sz w:val="24"/>
          <w:szCs w:val="24"/>
          <w:lang w:val="en-US"/>
        </w:rPr>
        <w:t>shall be regulated by the law of the European Union, national laws and regulations of the Parties, and agreements concluded between them.</w:t>
      </w:r>
    </w:p>
    <w:p w14:paraId="43B845C5" w14:textId="21C591CF"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2. The specific provisions set out in the Agreement are without prejudice to </w:t>
      </w:r>
      <w:r w:rsidRPr="00FF4057">
        <w:rPr>
          <w:rFonts w:cs="Times New Roman"/>
          <w:sz w:val="24"/>
          <w:szCs w:val="24"/>
          <w:lang w:val="en-US"/>
        </w:rPr>
        <w:t>E</w:t>
      </w:r>
      <w:r w:rsidR="00067506" w:rsidRPr="00FF4057">
        <w:rPr>
          <w:rFonts w:cs="Times New Roman"/>
          <w:sz w:val="24"/>
          <w:szCs w:val="24"/>
          <w:lang w:val="en-US"/>
        </w:rPr>
        <w:t xml:space="preserve">uropean </w:t>
      </w:r>
      <w:r w:rsidRPr="00FF4057">
        <w:rPr>
          <w:rFonts w:cs="Times New Roman"/>
          <w:sz w:val="24"/>
          <w:szCs w:val="24"/>
          <w:lang w:val="en-US"/>
        </w:rPr>
        <w:t>U</w:t>
      </w:r>
      <w:r w:rsidR="00067506" w:rsidRPr="00FF4057">
        <w:rPr>
          <w:rFonts w:cs="Times New Roman"/>
          <w:sz w:val="24"/>
          <w:szCs w:val="24"/>
          <w:lang w:val="en-US"/>
        </w:rPr>
        <w:t>nion</w:t>
      </w:r>
      <w:r w:rsidRPr="00E254A6">
        <w:rPr>
          <w:rFonts w:cs="Times New Roman"/>
          <w:sz w:val="24"/>
          <w:szCs w:val="24"/>
          <w:lang w:val="en-US"/>
        </w:rPr>
        <w:t xml:space="preserve"> law concerning rail market opening, access to railway infrastructure, railway interoperability, safety and other relevant areas.</w:t>
      </w:r>
    </w:p>
    <w:p w14:paraId="0F5961A6" w14:textId="627EEA3A"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3. The Parties shall inform each other of any significant change in their national laws and regulations that would affect th</w:t>
      </w:r>
      <w:r w:rsidR="00E60E6E">
        <w:rPr>
          <w:rFonts w:cs="Times New Roman"/>
          <w:sz w:val="24"/>
          <w:szCs w:val="24"/>
          <w:lang w:val="en-US"/>
        </w:rPr>
        <w:t>e application of the</w:t>
      </w:r>
      <w:r w:rsidRPr="00E254A6">
        <w:rPr>
          <w:rFonts w:cs="Times New Roman"/>
          <w:sz w:val="24"/>
          <w:szCs w:val="24"/>
          <w:lang w:val="en-US"/>
        </w:rPr>
        <w:t xml:space="preserve"> Agreement.</w:t>
      </w:r>
    </w:p>
    <w:p w14:paraId="1D0325AE" w14:textId="77777777" w:rsidR="00067506" w:rsidRDefault="00067506" w:rsidP="00E254A6">
      <w:pPr>
        <w:spacing w:after="120" w:line="240" w:lineRule="auto"/>
        <w:jc w:val="center"/>
        <w:rPr>
          <w:rFonts w:cs="Times New Roman"/>
          <w:b/>
          <w:sz w:val="24"/>
          <w:szCs w:val="24"/>
          <w:lang w:val="en-US"/>
        </w:rPr>
      </w:pPr>
    </w:p>
    <w:p w14:paraId="7303D0ED"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9</w:t>
      </w:r>
    </w:p>
    <w:p w14:paraId="74731A11" w14:textId="1292DB6F"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 xml:space="preserve">Access to </w:t>
      </w:r>
      <w:r w:rsidR="000E1233" w:rsidRPr="00E02513">
        <w:rPr>
          <w:rFonts w:cs="Times New Roman"/>
          <w:b/>
          <w:sz w:val="24"/>
          <w:szCs w:val="24"/>
          <w:lang w:val="en-US"/>
        </w:rPr>
        <w:t xml:space="preserve">European standard gauge (1435 mm) </w:t>
      </w:r>
      <w:r w:rsidRPr="00E254A6">
        <w:rPr>
          <w:rFonts w:cs="Times New Roman"/>
          <w:b/>
          <w:sz w:val="24"/>
          <w:szCs w:val="24"/>
          <w:lang w:val="en-US"/>
        </w:rPr>
        <w:t>railway infrastructure</w:t>
      </w:r>
    </w:p>
    <w:p w14:paraId="7EBBF5AF" w14:textId="760CCCB2"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1. A coordinated approach to regulatory framework shall be taken through the cooperation between national regulatory bodies and the national safety authorities, in order to enhance their coordination and align the impact of their decisions. </w:t>
      </w:r>
    </w:p>
    <w:p w14:paraId="0BCD2FFE" w14:textId="6415B515"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2. A coordinated approach shall be taken concerning access to railway infrastructure and services, including levying of charges for the use of railway infrastructure and allocation of railway infrastructure capacity, and traffic management.</w:t>
      </w:r>
    </w:p>
    <w:p w14:paraId="59B6C8A9" w14:textId="5DC9A5E5"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3. </w:t>
      </w:r>
      <w:r w:rsidR="00F83EB9">
        <w:rPr>
          <w:rFonts w:cs="Times New Roman"/>
          <w:sz w:val="24"/>
          <w:szCs w:val="24"/>
          <w:lang w:val="en-US"/>
        </w:rPr>
        <w:t xml:space="preserve">The </w:t>
      </w:r>
      <w:r w:rsidRPr="00E254A6">
        <w:rPr>
          <w:rFonts w:cs="Times New Roman"/>
          <w:sz w:val="24"/>
          <w:szCs w:val="24"/>
          <w:lang w:val="en-US"/>
        </w:rPr>
        <w:t xml:space="preserve">Parties commit to ensure that the most effective and feasible infrastructure management with a view but not limited to aspects mentioned in </w:t>
      </w:r>
      <w:r w:rsidR="00F83EB9">
        <w:rPr>
          <w:rFonts w:cs="Times New Roman"/>
          <w:sz w:val="24"/>
          <w:szCs w:val="24"/>
          <w:lang w:val="en-US"/>
        </w:rPr>
        <w:t>paragraph 2 of this Article</w:t>
      </w:r>
      <w:r w:rsidRPr="00E254A6">
        <w:rPr>
          <w:rFonts w:cs="Times New Roman"/>
          <w:sz w:val="24"/>
          <w:szCs w:val="24"/>
          <w:lang w:val="en-US"/>
        </w:rPr>
        <w:t xml:space="preserve"> is achieved and infrastructure manager(s) determined in a joint and timely manner to build confidence and achieve continuous engagement of project of common interest institutional partners and contribute to long-term feasibility of the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railway.</w:t>
      </w:r>
    </w:p>
    <w:p w14:paraId="2140F032" w14:textId="77777777" w:rsidR="00067506" w:rsidRDefault="00067506" w:rsidP="00E254A6">
      <w:pPr>
        <w:spacing w:after="120" w:line="240" w:lineRule="auto"/>
        <w:jc w:val="center"/>
        <w:rPr>
          <w:rFonts w:cs="Times New Roman"/>
          <w:b/>
          <w:sz w:val="24"/>
          <w:szCs w:val="24"/>
          <w:lang w:val="en-US"/>
        </w:rPr>
      </w:pPr>
    </w:p>
    <w:p w14:paraId="543CEDBC"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10</w:t>
      </w:r>
    </w:p>
    <w:p w14:paraId="4079262E"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Jurisdiction</w:t>
      </w:r>
    </w:p>
    <w:p w14:paraId="02BA873C" w14:textId="475BC4F9" w:rsidR="00E254A6" w:rsidRPr="00E254A6" w:rsidRDefault="00E60E6E" w:rsidP="00E254A6">
      <w:pPr>
        <w:spacing w:after="120" w:line="240" w:lineRule="auto"/>
        <w:jc w:val="both"/>
        <w:rPr>
          <w:rFonts w:cs="Times New Roman"/>
          <w:sz w:val="24"/>
          <w:szCs w:val="24"/>
          <w:lang w:val="en-US"/>
        </w:rPr>
      </w:pPr>
      <w:r>
        <w:rPr>
          <w:rFonts w:cs="Times New Roman"/>
          <w:sz w:val="24"/>
          <w:szCs w:val="24"/>
          <w:lang w:val="en-US"/>
        </w:rPr>
        <w:t>The</w:t>
      </w:r>
      <w:r w:rsidR="00E254A6" w:rsidRPr="00E254A6">
        <w:rPr>
          <w:rFonts w:cs="Times New Roman"/>
          <w:sz w:val="24"/>
          <w:szCs w:val="24"/>
          <w:lang w:val="en-US"/>
        </w:rPr>
        <w:t xml:space="preserve"> Agreement shall not affect the exercise </w:t>
      </w:r>
      <w:r w:rsidR="00E02513">
        <w:rPr>
          <w:rFonts w:cs="Times New Roman"/>
          <w:sz w:val="24"/>
          <w:szCs w:val="24"/>
          <w:lang w:val="en-US"/>
        </w:rPr>
        <w:t xml:space="preserve">of the jurisdiction of the States </w:t>
      </w:r>
      <w:r w:rsidR="00F83EB9">
        <w:rPr>
          <w:rFonts w:cs="Times New Roman"/>
          <w:sz w:val="24"/>
          <w:szCs w:val="24"/>
          <w:lang w:val="en-US"/>
        </w:rPr>
        <w:t>of</w:t>
      </w:r>
      <w:r w:rsidR="00E254A6" w:rsidRPr="00E254A6">
        <w:rPr>
          <w:rFonts w:cs="Times New Roman"/>
          <w:sz w:val="24"/>
          <w:szCs w:val="24"/>
          <w:lang w:val="en-US"/>
        </w:rPr>
        <w:t xml:space="preserve"> </w:t>
      </w:r>
      <w:r w:rsidR="00E254A6" w:rsidRPr="00E02513">
        <w:rPr>
          <w:rFonts w:cs="Times New Roman"/>
          <w:sz w:val="24"/>
          <w:szCs w:val="24"/>
          <w:lang w:val="en-US"/>
        </w:rPr>
        <w:t>the Parties within</w:t>
      </w:r>
      <w:r w:rsidR="00E254A6" w:rsidRPr="00E254A6">
        <w:rPr>
          <w:rFonts w:cs="Times New Roman"/>
          <w:sz w:val="24"/>
          <w:szCs w:val="24"/>
          <w:lang w:val="en-US"/>
        </w:rPr>
        <w:t xml:space="preserve"> their territories.  </w:t>
      </w:r>
    </w:p>
    <w:p w14:paraId="534B7AAA" w14:textId="77777777" w:rsidR="00067506" w:rsidRDefault="00067506" w:rsidP="00E254A6">
      <w:pPr>
        <w:spacing w:after="120" w:line="240" w:lineRule="auto"/>
        <w:jc w:val="center"/>
        <w:rPr>
          <w:rFonts w:cs="Times New Roman"/>
          <w:b/>
          <w:sz w:val="24"/>
          <w:szCs w:val="24"/>
          <w:lang w:val="en-US"/>
        </w:rPr>
      </w:pPr>
    </w:p>
    <w:p w14:paraId="48E2B814"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11</w:t>
      </w:r>
    </w:p>
    <w:p w14:paraId="3CBCA259"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Financing</w:t>
      </w:r>
    </w:p>
    <w:p w14:paraId="2BACFAF6" w14:textId="18278446"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1. The ultimate recipients of the European Union support shall be </w:t>
      </w:r>
      <w:r w:rsidRPr="00E02513">
        <w:rPr>
          <w:rFonts w:cs="Times New Roman"/>
          <w:sz w:val="24"/>
          <w:szCs w:val="24"/>
          <w:lang w:val="en-US"/>
        </w:rPr>
        <w:t>the Parties</w:t>
      </w:r>
      <w:r w:rsidRPr="00E254A6">
        <w:rPr>
          <w:rFonts w:cs="Times New Roman"/>
          <w:sz w:val="24"/>
          <w:szCs w:val="24"/>
          <w:lang w:val="en-US"/>
        </w:rPr>
        <w:t>.</w:t>
      </w:r>
    </w:p>
    <w:p w14:paraId="262485E9" w14:textId="5923E648"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2. The Parties shall seek support at the highest permissible European Union co-financing rates according to the provisions of the relevant source of financing.</w:t>
      </w:r>
    </w:p>
    <w:p w14:paraId="62320D9D" w14:textId="16EBD257"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3. </w:t>
      </w:r>
      <w:r w:rsidR="00F83EB9">
        <w:rPr>
          <w:rFonts w:cs="Times New Roman"/>
          <w:sz w:val="24"/>
          <w:szCs w:val="24"/>
          <w:lang w:val="en-US"/>
        </w:rPr>
        <w:t xml:space="preserve">The </w:t>
      </w:r>
      <w:r w:rsidRPr="00E254A6">
        <w:rPr>
          <w:rFonts w:cs="Times New Roman"/>
          <w:sz w:val="24"/>
          <w:szCs w:val="24"/>
          <w:lang w:val="en-US"/>
        </w:rPr>
        <w:t xml:space="preserve">Parties agree on the connection of Vilnius-Kaunas as part of the railway's route in order to interconnect all the </w:t>
      </w:r>
      <w:r w:rsidRPr="00E02513">
        <w:rPr>
          <w:rFonts w:cs="Times New Roman"/>
          <w:sz w:val="24"/>
          <w:szCs w:val="24"/>
          <w:lang w:val="en-US"/>
        </w:rPr>
        <w:t xml:space="preserve">capitals of the </w:t>
      </w:r>
      <w:r w:rsidR="00E02513" w:rsidRPr="00E02513">
        <w:rPr>
          <w:rFonts w:cs="Times New Roman"/>
          <w:sz w:val="24"/>
          <w:szCs w:val="24"/>
          <w:lang w:val="en-US"/>
        </w:rPr>
        <w:t xml:space="preserve">States </w:t>
      </w:r>
      <w:r w:rsidR="00AE2CBE">
        <w:rPr>
          <w:rFonts w:cs="Times New Roman"/>
          <w:sz w:val="24"/>
          <w:szCs w:val="24"/>
          <w:lang w:val="en-US"/>
        </w:rPr>
        <w:t xml:space="preserve">of </w:t>
      </w:r>
      <w:r w:rsidR="00E02513" w:rsidRPr="00E02513">
        <w:rPr>
          <w:rFonts w:cs="Times New Roman"/>
          <w:sz w:val="24"/>
          <w:szCs w:val="24"/>
          <w:lang w:val="en-US"/>
        </w:rPr>
        <w:t xml:space="preserve">the </w:t>
      </w:r>
      <w:r w:rsidRPr="00E02513">
        <w:rPr>
          <w:rFonts w:cs="Times New Roman"/>
          <w:sz w:val="24"/>
          <w:szCs w:val="24"/>
          <w:lang w:val="en-US"/>
        </w:rPr>
        <w:t>Parties and to deploy joint efforts to achieve the eligibility of the Vilnius-Kaunas connection</w:t>
      </w:r>
      <w:r w:rsidRPr="00E254A6">
        <w:rPr>
          <w:rFonts w:cs="Times New Roman"/>
          <w:sz w:val="24"/>
          <w:szCs w:val="24"/>
          <w:lang w:val="en-US"/>
        </w:rPr>
        <w:t xml:space="preserve"> for European Union support under Connecting Europe Facility or equivalent financing instrument, bearing in mind that the construction of this section will be phased in such a way that the entire </w:t>
      </w:r>
      <w:r w:rsidR="00AE2CBE">
        <w:rPr>
          <w:rFonts w:cs="Times New Roman"/>
          <w:sz w:val="24"/>
          <w:szCs w:val="24"/>
          <w:lang w:val="en-US"/>
        </w:rPr>
        <w:t>p</w:t>
      </w:r>
      <w:r w:rsidRPr="00E254A6">
        <w:rPr>
          <w:rFonts w:cs="Times New Roman"/>
          <w:sz w:val="24"/>
          <w:szCs w:val="24"/>
          <w:lang w:val="en-US"/>
        </w:rPr>
        <w:t>roject would not be delayed or stopped.</w:t>
      </w:r>
    </w:p>
    <w:p w14:paraId="3541354D" w14:textId="6FF114B7" w:rsidR="00E254A6" w:rsidRPr="00E254A6" w:rsidRDefault="00A2600E" w:rsidP="00E254A6">
      <w:pPr>
        <w:spacing w:after="120" w:line="240" w:lineRule="auto"/>
        <w:jc w:val="both"/>
        <w:rPr>
          <w:rFonts w:cs="Times New Roman"/>
          <w:sz w:val="24"/>
          <w:szCs w:val="24"/>
          <w:lang w:val="en-US"/>
        </w:rPr>
      </w:pPr>
      <w:r>
        <w:rPr>
          <w:rFonts w:cs="Times New Roman"/>
          <w:sz w:val="24"/>
          <w:szCs w:val="24"/>
          <w:lang w:val="en-US"/>
        </w:rPr>
        <w:t>4</w:t>
      </w:r>
      <w:r w:rsidR="00A27459">
        <w:rPr>
          <w:rFonts w:cs="Times New Roman"/>
          <w:sz w:val="24"/>
          <w:szCs w:val="24"/>
          <w:lang w:val="en-US"/>
        </w:rPr>
        <w:t>.</w:t>
      </w:r>
      <w:r>
        <w:rPr>
          <w:rFonts w:cs="Times New Roman"/>
          <w:sz w:val="24"/>
          <w:szCs w:val="24"/>
          <w:lang w:val="en-US"/>
        </w:rPr>
        <w:t xml:space="preserve"> The </w:t>
      </w:r>
      <w:r w:rsidRPr="00A27459">
        <w:rPr>
          <w:rFonts w:cs="Times New Roman"/>
          <w:sz w:val="24"/>
          <w:szCs w:val="24"/>
          <w:lang w:val="en-US"/>
        </w:rPr>
        <w:t>P</w:t>
      </w:r>
      <w:r w:rsidR="00E254A6" w:rsidRPr="00A27459">
        <w:rPr>
          <w:rFonts w:cs="Times New Roman"/>
          <w:sz w:val="24"/>
          <w:szCs w:val="24"/>
          <w:lang w:val="en-US"/>
        </w:rPr>
        <w:t>arties</w:t>
      </w:r>
      <w:r w:rsidR="00E254A6" w:rsidRPr="00E254A6">
        <w:rPr>
          <w:rFonts w:cs="Times New Roman"/>
          <w:sz w:val="24"/>
          <w:szCs w:val="24"/>
          <w:lang w:val="en-US"/>
        </w:rPr>
        <w:t xml:space="preserve"> may co-finance directly from national resources the activities implemented by the </w:t>
      </w:r>
      <w:r w:rsidR="00AE2CBE">
        <w:rPr>
          <w:rFonts w:cs="Times New Roman"/>
          <w:sz w:val="24"/>
          <w:szCs w:val="24"/>
          <w:lang w:val="en-US"/>
        </w:rPr>
        <w:t>p</w:t>
      </w:r>
      <w:r w:rsidR="00E254A6" w:rsidRPr="00E254A6">
        <w:rPr>
          <w:rFonts w:cs="Times New Roman"/>
          <w:sz w:val="24"/>
          <w:szCs w:val="24"/>
          <w:lang w:val="en-US"/>
        </w:rPr>
        <w:t>roject coordinator.</w:t>
      </w:r>
    </w:p>
    <w:p w14:paraId="11ADB70F" w14:textId="77777777" w:rsidR="00067506" w:rsidRDefault="00067506" w:rsidP="00E254A6">
      <w:pPr>
        <w:spacing w:after="120" w:line="240" w:lineRule="auto"/>
        <w:jc w:val="center"/>
        <w:rPr>
          <w:rFonts w:cs="Times New Roman"/>
          <w:b/>
          <w:sz w:val="24"/>
          <w:szCs w:val="24"/>
          <w:lang w:val="en-US"/>
        </w:rPr>
      </w:pPr>
    </w:p>
    <w:p w14:paraId="21A688B7"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12</w:t>
      </w:r>
    </w:p>
    <w:p w14:paraId="0CD7A1BC"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Settlement of disputes</w:t>
      </w:r>
    </w:p>
    <w:p w14:paraId="47646730" w14:textId="734564A5"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Disputes between the Parties concerning the inter</w:t>
      </w:r>
      <w:r w:rsidR="00E60E6E">
        <w:rPr>
          <w:rFonts w:cs="Times New Roman"/>
          <w:sz w:val="24"/>
          <w:szCs w:val="24"/>
          <w:lang w:val="en-US"/>
        </w:rPr>
        <w:t>pretation or application of the</w:t>
      </w:r>
      <w:r w:rsidRPr="00E254A6">
        <w:rPr>
          <w:rFonts w:cs="Times New Roman"/>
          <w:sz w:val="24"/>
          <w:szCs w:val="24"/>
          <w:lang w:val="en-US"/>
        </w:rPr>
        <w:t xml:space="preserve"> Agreement shall be resolved</w:t>
      </w:r>
      <w:r w:rsidR="00A05F96">
        <w:rPr>
          <w:rFonts w:cs="Times New Roman"/>
          <w:sz w:val="24"/>
          <w:szCs w:val="24"/>
          <w:lang w:val="en-US"/>
        </w:rPr>
        <w:t xml:space="preserve"> by negotiations and consultations between the Parties</w:t>
      </w:r>
      <w:r w:rsidRPr="00E254A6">
        <w:rPr>
          <w:rFonts w:cs="Times New Roman"/>
          <w:sz w:val="24"/>
          <w:szCs w:val="24"/>
          <w:lang w:val="en-US"/>
        </w:rPr>
        <w:t>.</w:t>
      </w:r>
    </w:p>
    <w:p w14:paraId="5054721F" w14:textId="77777777" w:rsidR="00067506" w:rsidRDefault="00067506" w:rsidP="00E254A6">
      <w:pPr>
        <w:spacing w:after="120" w:line="240" w:lineRule="auto"/>
        <w:jc w:val="center"/>
        <w:rPr>
          <w:rFonts w:cs="Times New Roman"/>
          <w:b/>
          <w:sz w:val="24"/>
          <w:szCs w:val="24"/>
          <w:lang w:val="en-US"/>
        </w:rPr>
      </w:pPr>
    </w:p>
    <w:p w14:paraId="71D7779F"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13</w:t>
      </w:r>
    </w:p>
    <w:p w14:paraId="72151122"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Depositary</w:t>
      </w:r>
    </w:p>
    <w:p w14:paraId="2D3F47A7" w14:textId="4E714D28"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1. The Government of the Republic of </w:t>
      </w:r>
      <w:r w:rsidR="00240BAB">
        <w:rPr>
          <w:rFonts w:cs="Times New Roman"/>
          <w:sz w:val="24"/>
          <w:szCs w:val="24"/>
          <w:lang w:val="en-US"/>
        </w:rPr>
        <w:t>Latvia</w:t>
      </w:r>
      <w:r w:rsidR="00240BAB" w:rsidRPr="00E254A6">
        <w:rPr>
          <w:rFonts w:cs="Times New Roman"/>
          <w:sz w:val="24"/>
          <w:szCs w:val="24"/>
          <w:lang w:val="en-US"/>
        </w:rPr>
        <w:t xml:space="preserve"> </w:t>
      </w:r>
      <w:r w:rsidRPr="00E254A6">
        <w:rPr>
          <w:rFonts w:cs="Times New Roman"/>
          <w:sz w:val="24"/>
          <w:szCs w:val="24"/>
          <w:lang w:val="en-US"/>
        </w:rPr>
        <w:t>sha</w:t>
      </w:r>
      <w:r w:rsidR="00EA54B5">
        <w:rPr>
          <w:rFonts w:cs="Times New Roman"/>
          <w:sz w:val="24"/>
          <w:szCs w:val="24"/>
          <w:lang w:val="en-US"/>
        </w:rPr>
        <w:t>ll act as the depositary of the</w:t>
      </w:r>
      <w:r w:rsidRPr="00E254A6">
        <w:rPr>
          <w:rFonts w:cs="Times New Roman"/>
          <w:sz w:val="24"/>
          <w:szCs w:val="24"/>
          <w:lang w:val="en-US"/>
        </w:rPr>
        <w:t xml:space="preserve"> Agreement.</w:t>
      </w:r>
    </w:p>
    <w:p w14:paraId="6FACA6B6" w14:textId="6F10E151"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2. The Depositary shall inform the Parties of the date of entry int</w:t>
      </w:r>
      <w:r w:rsidR="00EA54B5">
        <w:rPr>
          <w:rFonts w:cs="Times New Roman"/>
          <w:sz w:val="24"/>
          <w:szCs w:val="24"/>
          <w:lang w:val="en-US"/>
        </w:rPr>
        <w:t>o force of the</w:t>
      </w:r>
      <w:r w:rsidR="0067684F">
        <w:rPr>
          <w:rFonts w:cs="Times New Roman"/>
          <w:sz w:val="24"/>
          <w:szCs w:val="24"/>
          <w:lang w:val="en-US"/>
        </w:rPr>
        <w:t xml:space="preserve"> Agreement or </w:t>
      </w:r>
      <w:r w:rsidRPr="00E254A6">
        <w:rPr>
          <w:rFonts w:cs="Times New Roman"/>
          <w:sz w:val="24"/>
          <w:szCs w:val="24"/>
          <w:lang w:val="en-US"/>
        </w:rPr>
        <w:t>any amendments thereto</w:t>
      </w:r>
      <w:r w:rsidR="0067684F">
        <w:rPr>
          <w:rFonts w:cs="Times New Roman"/>
          <w:sz w:val="24"/>
          <w:szCs w:val="24"/>
          <w:lang w:val="en-US"/>
        </w:rPr>
        <w:t xml:space="preserve">, as well as of any </w:t>
      </w:r>
      <w:r w:rsidRPr="00E254A6">
        <w:rPr>
          <w:rFonts w:cs="Times New Roman"/>
          <w:sz w:val="24"/>
          <w:szCs w:val="24"/>
          <w:lang w:val="en-US"/>
        </w:rPr>
        <w:t>withdrawal r</w:t>
      </w:r>
      <w:r w:rsidR="0067684F">
        <w:rPr>
          <w:rFonts w:cs="Times New Roman"/>
          <w:sz w:val="24"/>
          <w:szCs w:val="24"/>
          <w:lang w:val="en-US"/>
        </w:rPr>
        <w:t>eferred to in Articles 14</w:t>
      </w:r>
      <w:r w:rsidRPr="00E254A6">
        <w:rPr>
          <w:rFonts w:cs="Times New Roman"/>
          <w:sz w:val="24"/>
          <w:szCs w:val="24"/>
          <w:lang w:val="en-US"/>
        </w:rPr>
        <w:t>.</w:t>
      </w:r>
    </w:p>
    <w:p w14:paraId="4D84742D" w14:textId="77777777" w:rsidR="00E254A6" w:rsidRPr="00E254A6" w:rsidRDefault="00E254A6" w:rsidP="00E254A6">
      <w:pPr>
        <w:spacing w:after="120" w:line="240" w:lineRule="auto"/>
        <w:jc w:val="center"/>
        <w:rPr>
          <w:rFonts w:cs="Times New Roman"/>
          <w:b/>
          <w:sz w:val="24"/>
          <w:szCs w:val="24"/>
          <w:lang w:val="en-US"/>
        </w:rPr>
      </w:pPr>
    </w:p>
    <w:p w14:paraId="6D69B717"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ARTICLE 14</w:t>
      </w:r>
    </w:p>
    <w:p w14:paraId="0BA1D7E8" w14:textId="77777777" w:rsidR="00E254A6" w:rsidRPr="00E254A6" w:rsidRDefault="00E254A6" w:rsidP="00E254A6">
      <w:pPr>
        <w:spacing w:after="120" w:line="240" w:lineRule="auto"/>
        <w:jc w:val="center"/>
        <w:rPr>
          <w:rFonts w:cs="Times New Roman"/>
          <w:b/>
          <w:sz w:val="24"/>
          <w:szCs w:val="24"/>
          <w:lang w:val="en-US"/>
        </w:rPr>
      </w:pPr>
      <w:r w:rsidRPr="00E254A6">
        <w:rPr>
          <w:rFonts w:cs="Times New Roman"/>
          <w:b/>
          <w:sz w:val="24"/>
          <w:szCs w:val="24"/>
          <w:lang w:val="en-US"/>
        </w:rPr>
        <w:t>Entry into force, amendments, duration and withdrawal</w:t>
      </w:r>
    </w:p>
    <w:p w14:paraId="5AE49E25" w14:textId="3501F2D3"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1. The Agreement shall enter into force on the date of receipt by the Depositary of the last written notification by the Parties </w:t>
      </w:r>
      <w:r w:rsidR="00A05F96">
        <w:rPr>
          <w:rFonts w:cs="Times New Roman"/>
          <w:sz w:val="24"/>
          <w:szCs w:val="24"/>
          <w:lang w:val="en-US"/>
        </w:rPr>
        <w:t xml:space="preserve">through diplomatic channels </w:t>
      </w:r>
      <w:r w:rsidRPr="00E254A6">
        <w:rPr>
          <w:rFonts w:cs="Times New Roman"/>
          <w:sz w:val="24"/>
          <w:szCs w:val="24"/>
          <w:lang w:val="en-US"/>
        </w:rPr>
        <w:t xml:space="preserve">confirming that the national legal procedures </w:t>
      </w:r>
      <w:r w:rsidR="00EA54B5">
        <w:rPr>
          <w:rFonts w:cs="Times New Roman"/>
          <w:sz w:val="24"/>
          <w:szCs w:val="24"/>
          <w:lang w:val="en-US"/>
        </w:rPr>
        <w:t>for the entry into force of the</w:t>
      </w:r>
      <w:r w:rsidRPr="00E254A6">
        <w:rPr>
          <w:rFonts w:cs="Times New Roman"/>
          <w:sz w:val="24"/>
          <w:szCs w:val="24"/>
          <w:lang w:val="en-US"/>
        </w:rPr>
        <w:t xml:space="preserve"> Agreement have been completed. </w:t>
      </w:r>
    </w:p>
    <w:p w14:paraId="0F93DA7F" w14:textId="506F07EE"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lastRenderedPageBreak/>
        <w:t>2. The Agreement may be amended by the mutual written consent of the Parties. The amendments shall enter into force according to the procedure set forth in paragraph 1 of this Article.</w:t>
      </w:r>
    </w:p>
    <w:p w14:paraId="3631E093" w14:textId="4407E576"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3. </w:t>
      </w:r>
      <w:r w:rsidR="00AE2CBE">
        <w:rPr>
          <w:rFonts w:cs="Times New Roman"/>
          <w:sz w:val="24"/>
          <w:szCs w:val="24"/>
          <w:lang w:val="en-US"/>
        </w:rPr>
        <w:t xml:space="preserve">The </w:t>
      </w:r>
      <w:r w:rsidRPr="00E254A6">
        <w:rPr>
          <w:rFonts w:cs="Times New Roman"/>
          <w:sz w:val="24"/>
          <w:szCs w:val="24"/>
          <w:lang w:val="en-US"/>
        </w:rPr>
        <w:t xml:space="preserve">Parties, maintaining commitment to realize Rail Baltic/Rail </w:t>
      </w:r>
      <w:proofErr w:type="spellStart"/>
      <w:r w:rsidRPr="00E254A6">
        <w:rPr>
          <w:rFonts w:cs="Times New Roman"/>
          <w:sz w:val="24"/>
          <w:szCs w:val="24"/>
          <w:lang w:val="en-US"/>
        </w:rPr>
        <w:t>Baltica</w:t>
      </w:r>
      <w:proofErr w:type="spellEnd"/>
      <w:r w:rsidRPr="00E254A6">
        <w:rPr>
          <w:rFonts w:cs="Times New Roman"/>
          <w:sz w:val="24"/>
          <w:szCs w:val="24"/>
          <w:lang w:val="en-US"/>
        </w:rPr>
        <w:t xml:space="preserve"> project in full, shall have a right to review their commitments to finance and complete the project by the date as referred in Article 3 in case long-term financing availability to the project of common interest is significantly reduced severely influencing feasibility of the project or in case of unforeseeable exception</w:t>
      </w:r>
      <w:r w:rsidR="00A2600E">
        <w:rPr>
          <w:rFonts w:cs="Times New Roman"/>
          <w:sz w:val="24"/>
          <w:szCs w:val="24"/>
          <w:lang w:val="en-US"/>
        </w:rPr>
        <w:t xml:space="preserve">al situation or event beyond </w:t>
      </w:r>
      <w:r w:rsidR="00A2600E" w:rsidRPr="00A2600E">
        <w:rPr>
          <w:rFonts w:cs="Times New Roman"/>
          <w:sz w:val="24"/>
          <w:szCs w:val="24"/>
          <w:lang w:val="en-US"/>
        </w:rPr>
        <w:t xml:space="preserve">a </w:t>
      </w:r>
      <w:r w:rsidR="00A2600E">
        <w:rPr>
          <w:rFonts w:cs="Times New Roman"/>
          <w:sz w:val="24"/>
          <w:szCs w:val="24"/>
          <w:lang w:val="en-US"/>
        </w:rPr>
        <w:t>P</w:t>
      </w:r>
      <w:r w:rsidRPr="00A2600E">
        <w:rPr>
          <w:rFonts w:cs="Times New Roman"/>
          <w:sz w:val="24"/>
          <w:szCs w:val="24"/>
          <w:lang w:val="en-US"/>
        </w:rPr>
        <w:t>art</w:t>
      </w:r>
      <w:r w:rsidR="00AE2CBE">
        <w:rPr>
          <w:rFonts w:cs="Times New Roman"/>
          <w:sz w:val="24"/>
          <w:szCs w:val="24"/>
          <w:lang w:val="en-US"/>
        </w:rPr>
        <w:t>y</w:t>
      </w:r>
      <w:r w:rsidRPr="00A2600E">
        <w:rPr>
          <w:rFonts w:cs="Times New Roman"/>
          <w:sz w:val="24"/>
          <w:szCs w:val="24"/>
          <w:lang w:val="en-US"/>
        </w:rPr>
        <w:t>’</w:t>
      </w:r>
      <w:r w:rsidR="00AE2CBE">
        <w:rPr>
          <w:rFonts w:cs="Times New Roman"/>
          <w:sz w:val="24"/>
          <w:szCs w:val="24"/>
          <w:lang w:val="en-US"/>
        </w:rPr>
        <w:t>s</w:t>
      </w:r>
      <w:r w:rsidRPr="00E254A6">
        <w:rPr>
          <w:rFonts w:cs="Times New Roman"/>
          <w:sz w:val="24"/>
          <w:szCs w:val="24"/>
          <w:lang w:val="en-US"/>
        </w:rPr>
        <w:t xml:space="preserve"> control, which prevents them from fulfilling their obligations under the Agreement, which was not attributable to error or negligence on their part and which proves to be inevitable in spite of exercising all due diligence (“Force majeure”).</w:t>
      </w:r>
    </w:p>
    <w:p w14:paraId="32814836" w14:textId="1EAC807F"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4</w:t>
      </w:r>
      <w:r w:rsidR="00AE2CBE">
        <w:rPr>
          <w:rFonts w:cs="Times New Roman"/>
          <w:sz w:val="24"/>
          <w:szCs w:val="24"/>
          <w:lang w:val="en-US"/>
        </w:rPr>
        <w:t>.</w:t>
      </w:r>
      <w:r w:rsidRPr="00E254A6">
        <w:rPr>
          <w:rFonts w:cs="Times New Roman"/>
          <w:sz w:val="24"/>
          <w:szCs w:val="24"/>
          <w:lang w:val="en-US"/>
        </w:rPr>
        <w:t xml:space="preserve"> The Agreement shall remain in force for an indefinite period of time. Any Party may withdraw from the Agreement</w:t>
      </w:r>
      <w:r w:rsidR="00D713E5">
        <w:rPr>
          <w:rFonts w:cs="Times New Roman"/>
          <w:sz w:val="24"/>
          <w:szCs w:val="24"/>
          <w:lang w:val="en-US"/>
        </w:rPr>
        <w:t xml:space="preserve">, </w:t>
      </w:r>
      <w:r w:rsidR="00D713E5" w:rsidRPr="00D713E5">
        <w:rPr>
          <w:rFonts w:cs="Times New Roman"/>
          <w:sz w:val="24"/>
          <w:szCs w:val="24"/>
          <w:lang w:val="en-US"/>
        </w:rPr>
        <w:t xml:space="preserve">subject to </w:t>
      </w:r>
      <w:r w:rsidR="00AE2CBE">
        <w:rPr>
          <w:rFonts w:cs="Times New Roman"/>
          <w:sz w:val="24"/>
          <w:szCs w:val="24"/>
          <w:lang w:val="en-US"/>
        </w:rPr>
        <w:t xml:space="preserve">paragraph 3 of this </w:t>
      </w:r>
      <w:r w:rsidR="00D713E5" w:rsidRPr="00D713E5">
        <w:rPr>
          <w:rFonts w:cs="Times New Roman"/>
          <w:sz w:val="24"/>
          <w:szCs w:val="24"/>
          <w:lang w:val="en-US"/>
        </w:rPr>
        <w:t>Article</w:t>
      </w:r>
      <w:r w:rsidR="00AE2CBE">
        <w:rPr>
          <w:rFonts w:cs="Times New Roman"/>
          <w:sz w:val="24"/>
          <w:szCs w:val="24"/>
          <w:lang w:val="en-US"/>
        </w:rPr>
        <w:t xml:space="preserve"> </w:t>
      </w:r>
      <w:r w:rsidRPr="00E254A6">
        <w:rPr>
          <w:rFonts w:cs="Times New Roman"/>
          <w:sz w:val="24"/>
          <w:szCs w:val="24"/>
          <w:lang w:val="en-US"/>
        </w:rPr>
        <w:t>by giving a written notification thereof to the Depositary</w:t>
      </w:r>
      <w:r w:rsidR="00A05F96">
        <w:rPr>
          <w:rFonts w:cs="Times New Roman"/>
          <w:sz w:val="24"/>
          <w:szCs w:val="24"/>
          <w:lang w:val="en-US"/>
        </w:rPr>
        <w:t xml:space="preserve"> through diplomatic channels</w:t>
      </w:r>
      <w:r w:rsidRPr="00E254A6">
        <w:rPr>
          <w:rFonts w:cs="Times New Roman"/>
          <w:sz w:val="24"/>
          <w:szCs w:val="24"/>
          <w:lang w:val="en-US"/>
        </w:rPr>
        <w:t>. The withdrawal shall take effect six months after the date of receipt by the Depositary of such notification.</w:t>
      </w:r>
    </w:p>
    <w:p w14:paraId="0CCB84DB" w14:textId="77777777" w:rsidR="00067506" w:rsidRDefault="00067506" w:rsidP="00E254A6">
      <w:pPr>
        <w:spacing w:after="120" w:line="240" w:lineRule="auto"/>
        <w:jc w:val="center"/>
        <w:rPr>
          <w:rFonts w:cs="Times New Roman"/>
          <w:b/>
          <w:sz w:val="24"/>
          <w:szCs w:val="24"/>
          <w:lang w:val="en-US"/>
        </w:rPr>
      </w:pPr>
    </w:p>
    <w:p w14:paraId="6E3931B3" w14:textId="31ACBD69" w:rsidR="00E254A6" w:rsidRPr="00E254A6" w:rsidRDefault="00E254A6" w:rsidP="00E254A6">
      <w:pPr>
        <w:spacing w:after="120" w:line="240" w:lineRule="auto"/>
        <w:jc w:val="both"/>
        <w:rPr>
          <w:rFonts w:cs="Times New Roman"/>
          <w:sz w:val="24"/>
          <w:szCs w:val="24"/>
          <w:lang w:val="en-US"/>
        </w:rPr>
      </w:pPr>
      <w:r w:rsidRPr="00E254A6">
        <w:rPr>
          <w:rFonts w:cs="Times New Roman"/>
          <w:sz w:val="24"/>
          <w:szCs w:val="24"/>
          <w:lang w:val="en-US"/>
        </w:rPr>
        <w:t xml:space="preserve">In witness whereof, the undersigned </w:t>
      </w:r>
      <w:r w:rsidR="00EA54B5">
        <w:rPr>
          <w:rFonts w:cs="Times New Roman"/>
          <w:sz w:val="24"/>
          <w:szCs w:val="24"/>
          <w:lang w:val="en-US"/>
        </w:rPr>
        <w:t>duly authorized have signed the</w:t>
      </w:r>
      <w:r w:rsidRPr="00E254A6">
        <w:rPr>
          <w:rFonts w:cs="Times New Roman"/>
          <w:sz w:val="24"/>
          <w:szCs w:val="24"/>
          <w:lang w:val="en-US"/>
        </w:rPr>
        <w:t xml:space="preserve"> Agreement. </w:t>
      </w:r>
    </w:p>
    <w:p w14:paraId="233495AB" w14:textId="3BA99914" w:rsidR="00E254A6" w:rsidRDefault="009D509B" w:rsidP="00E254A6">
      <w:pPr>
        <w:spacing w:after="120" w:line="240" w:lineRule="auto"/>
        <w:jc w:val="both"/>
        <w:rPr>
          <w:rFonts w:cs="Times New Roman"/>
          <w:sz w:val="24"/>
          <w:szCs w:val="24"/>
          <w:lang w:val="en-US"/>
        </w:rPr>
      </w:pPr>
      <w:r>
        <w:rPr>
          <w:rFonts w:cs="Times New Roman"/>
          <w:sz w:val="24"/>
          <w:szCs w:val="24"/>
          <w:lang w:val="en-US"/>
        </w:rPr>
        <w:t>Done at … on … 2017</w:t>
      </w:r>
      <w:r w:rsidR="00E254A6" w:rsidRPr="00E254A6">
        <w:rPr>
          <w:rFonts w:cs="Times New Roman"/>
          <w:sz w:val="24"/>
          <w:szCs w:val="24"/>
          <w:lang w:val="en-US"/>
        </w:rPr>
        <w:t xml:space="preserve"> in a single copy in the Estonian, Latvian, Lithuanian and English languages, all texts being equally authentic, which shall be deposited into the archives of the Depositary. The Depositary shall transmit certified copies of the Agreement to all Parties. In case of divergence of interpretation, the text in the English language shall prevail.</w:t>
      </w:r>
    </w:p>
    <w:p w14:paraId="335E7B7E" w14:textId="77777777" w:rsidR="00E254A6" w:rsidRPr="00E254A6" w:rsidRDefault="00E254A6" w:rsidP="00E254A6">
      <w:pPr>
        <w:spacing w:after="120" w:line="240" w:lineRule="auto"/>
        <w:jc w:val="both"/>
        <w:rPr>
          <w:rFonts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E254A6" w:rsidRPr="00E254A6" w14:paraId="29BAC966" w14:textId="77777777" w:rsidTr="00E254A6">
        <w:trPr>
          <w:trHeight w:val="617"/>
        </w:trPr>
        <w:tc>
          <w:tcPr>
            <w:tcW w:w="2840" w:type="dxa"/>
          </w:tcPr>
          <w:p w14:paraId="4AB4575B" w14:textId="032C2AAB" w:rsidR="00E254A6" w:rsidRPr="00E254A6" w:rsidRDefault="00E254A6" w:rsidP="00E254A6">
            <w:pPr>
              <w:spacing w:after="120"/>
              <w:rPr>
                <w:rFonts w:cs="Times New Roman"/>
                <w:sz w:val="24"/>
                <w:szCs w:val="24"/>
                <w:lang w:val="en-US"/>
              </w:rPr>
            </w:pPr>
            <w:r w:rsidRPr="00E254A6">
              <w:rPr>
                <w:rFonts w:cs="Times New Roman"/>
                <w:sz w:val="24"/>
                <w:szCs w:val="24"/>
                <w:lang w:val="en-US"/>
              </w:rPr>
              <w:t xml:space="preserve">For the </w:t>
            </w:r>
            <w:r w:rsidR="000861A0">
              <w:rPr>
                <w:rFonts w:cs="Times New Roman"/>
                <w:sz w:val="24"/>
                <w:szCs w:val="24"/>
                <w:lang w:val="en-US"/>
              </w:rPr>
              <w:t xml:space="preserve">Government of the </w:t>
            </w:r>
            <w:r w:rsidRPr="00E254A6">
              <w:rPr>
                <w:rFonts w:cs="Times New Roman"/>
                <w:sz w:val="24"/>
                <w:szCs w:val="24"/>
                <w:lang w:val="en-US"/>
              </w:rPr>
              <w:t xml:space="preserve">Republic of </w:t>
            </w:r>
            <w:r w:rsidR="0067684F">
              <w:rPr>
                <w:rFonts w:cs="Times New Roman"/>
                <w:sz w:val="24"/>
                <w:szCs w:val="24"/>
                <w:lang w:val="en-US"/>
              </w:rPr>
              <w:t>Latvia</w:t>
            </w:r>
          </w:p>
        </w:tc>
        <w:tc>
          <w:tcPr>
            <w:tcW w:w="2841" w:type="dxa"/>
          </w:tcPr>
          <w:p w14:paraId="17A4DD3F" w14:textId="6B8FA4B0" w:rsidR="00E254A6" w:rsidRPr="00E254A6" w:rsidRDefault="00E254A6" w:rsidP="0067684F">
            <w:pPr>
              <w:rPr>
                <w:rFonts w:cs="Times New Roman"/>
                <w:sz w:val="24"/>
                <w:szCs w:val="24"/>
                <w:lang w:val="en-US"/>
              </w:rPr>
            </w:pPr>
            <w:r w:rsidRPr="00E254A6">
              <w:rPr>
                <w:rFonts w:cs="Times New Roman"/>
                <w:sz w:val="24"/>
                <w:szCs w:val="24"/>
                <w:lang w:val="en-US"/>
              </w:rPr>
              <w:t>For the</w:t>
            </w:r>
            <w:r w:rsidR="000861A0">
              <w:t xml:space="preserve"> </w:t>
            </w:r>
            <w:r w:rsidR="000861A0" w:rsidRPr="000861A0">
              <w:rPr>
                <w:rFonts w:cs="Times New Roman"/>
                <w:sz w:val="24"/>
                <w:szCs w:val="24"/>
                <w:lang w:val="en-US"/>
              </w:rPr>
              <w:t>Government of the</w:t>
            </w:r>
            <w:r w:rsidRPr="00E254A6">
              <w:rPr>
                <w:rFonts w:cs="Times New Roman"/>
                <w:sz w:val="24"/>
                <w:szCs w:val="24"/>
                <w:lang w:val="en-US"/>
              </w:rPr>
              <w:t xml:space="preserve"> Republic of </w:t>
            </w:r>
            <w:r w:rsidR="0067684F">
              <w:rPr>
                <w:rFonts w:cs="Times New Roman"/>
                <w:sz w:val="24"/>
                <w:szCs w:val="24"/>
                <w:lang w:val="en-US"/>
              </w:rPr>
              <w:t>Estonia</w:t>
            </w:r>
          </w:p>
        </w:tc>
        <w:tc>
          <w:tcPr>
            <w:tcW w:w="2841" w:type="dxa"/>
          </w:tcPr>
          <w:p w14:paraId="2AC8748F" w14:textId="2D63BFEE" w:rsidR="00E254A6" w:rsidRPr="00E254A6" w:rsidRDefault="00E254A6" w:rsidP="00E254A6">
            <w:pPr>
              <w:spacing w:after="120"/>
              <w:rPr>
                <w:rFonts w:cs="Times New Roman"/>
                <w:sz w:val="24"/>
                <w:szCs w:val="24"/>
                <w:lang w:val="en-US"/>
              </w:rPr>
            </w:pPr>
            <w:r w:rsidRPr="00E254A6">
              <w:rPr>
                <w:rFonts w:cs="Times New Roman"/>
                <w:sz w:val="24"/>
                <w:szCs w:val="24"/>
                <w:lang w:val="en-US"/>
              </w:rPr>
              <w:t>For the</w:t>
            </w:r>
            <w:r w:rsidR="000861A0">
              <w:t xml:space="preserve"> </w:t>
            </w:r>
            <w:r w:rsidR="000861A0" w:rsidRPr="000861A0">
              <w:rPr>
                <w:rFonts w:cs="Times New Roman"/>
                <w:sz w:val="24"/>
                <w:szCs w:val="24"/>
                <w:lang w:val="en-US"/>
              </w:rPr>
              <w:t>Government of the</w:t>
            </w:r>
            <w:r w:rsidRPr="00E254A6">
              <w:rPr>
                <w:rFonts w:cs="Times New Roman"/>
                <w:sz w:val="24"/>
                <w:szCs w:val="24"/>
                <w:lang w:val="en-US"/>
              </w:rPr>
              <w:t xml:space="preserve"> Republic of Lithuania</w:t>
            </w:r>
          </w:p>
          <w:p w14:paraId="672C4E0A" w14:textId="77777777" w:rsidR="00E254A6" w:rsidRPr="00E254A6" w:rsidRDefault="00E254A6" w:rsidP="00E254A6">
            <w:pPr>
              <w:spacing w:after="120"/>
              <w:rPr>
                <w:rFonts w:cs="Times New Roman"/>
                <w:sz w:val="24"/>
                <w:szCs w:val="24"/>
                <w:lang w:val="en-US"/>
              </w:rPr>
            </w:pPr>
          </w:p>
        </w:tc>
      </w:tr>
    </w:tbl>
    <w:p w14:paraId="7DCD19E1" w14:textId="77777777" w:rsidR="00E254A6" w:rsidRDefault="00E254A6" w:rsidP="00E254A6">
      <w:pPr>
        <w:spacing w:after="120" w:line="240" w:lineRule="auto"/>
        <w:jc w:val="both"/>
        <w:rPr>
          <w:rFonts w:cs="Times New Roman"/>
          <w:sz w:val="24"/>
          <w:szCs w:val="24"/>
          <w:lang w:val="en-US"/>
        </w:rPr>
      </w:pPr>
    </w:p>
    <w:p w14:paraId="4A916A9A" w14:textId="77777777" w:rsidR="00DF342A" w:rsidRDefault="00DF342A" w:rsidP="00E254A6">
      <w:pPr>
        <w:spacing w:after="120" w:line="240" w:lineRule="auto"/>
        <w:jc w:val="both"/>
        <w:rPr>
          <w:rFonts w:cs="Times New Roman"/>
          <w:sz w:val="24"/>
          <w:szCs w:val="24"/>
          <w:lang w:val="en-US"/>
        </w:rPr>
      </w:pPr>
    </w:p>
    <w:p w14:paraId="45E96F48" w14:textId="77777777" w:rsidR="00DF342A" w:rsidRPr="009A4E8F" w:rsidRDefault="00DF342A" w:rsidP="00DF342A">
      <w:pPr>
        <w:tabs>
          <w:tab w:val="left" w:pos="7513"/>
        </w:tabs>
        <w:spacing w:after="0" w:line="240" w:lineRule="auto"/>
        <w:jc w:val="both"/>
        <w:rPr>
          <w:rFonts w:eastAsia="Times New Roman" w:cs="Times New Roman"/>
          <w:sz w:val="24"/>
          <w:szCs w:val="24"/>
          <w:lang w:eastAsia="lv-LV"/>
        </w:rPr>
      </w:pPr>
      <w:proofErr w:type="spellStart"/>
      <w:r w:rsidRPr="000456AE">
        <w:rPr>
          <w:rFonts w:cs="Times New Roman"/>
          <w:sz w:val="24"/>
          <w:szCs w:val="24"/>
          <w:lang w:val="en-US"/>
        </w:rPr>
        <w:t>Iesniedzējs</w:t>
      </w:r>
      <w:proofErr w:type="spellEnd"/>
      <w:r w:rsidRPr="000456AE">
        <w:rPr>
          <w:rFonts w:cs="Times New Roman"/>
          <w:sz w:val="24"/>
          <w:szCs w:val="24"/>
          <w:lang w:val="en-US"/>
        </w:rPr>
        <w:t xml:space="preserve">: </w:t>
      </w:r>
      <w:r w:rsidRPr="009A4E8F">
        <w:rPr>
          <w:rFonts w:eastAsia="Times New Roman" w:cs="Times New Roman"/>
          <w:sz w:val="24"/>
          <w:szCs w:val="24"/>
          <w:lang w:eastAsia="lv-LV"/>
        </w:rPr>
        <w:t>Satiksmes ministra vietā</w:t>
      </w:r>
    </w:p>
    <w:p w14:paraId="275EFAE5" w14:textId="77777777" w:rsidR="00DF342A" w:rsidRPr="009A4E8F" w:rsidRDefault="00DF342A" w:rsidP="00DF342A">
      <w:pPr>
        <w:tabs>
          <w:tab w:val="left" w:pos="7230"/>
        </w:tabs>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                  </w:t>
      </w:r>
      <w:r w:rsidRPr="009A4E8F">
        <w:rPr>
          <w:rFonts w:eastAsia="Times New Roman" w:cs="Times New Roman"/>
          <w:sz w:val="24"/>
          <w:szCs w:val="24"/>
          <w:lang w:eastAsia="lv-LV"/>
        </w:rPr>
        <w:t>aizsardzības ministrs</w:t>
      </w:r>
      <w:r w:rsidRPr="009A4E8F">
        <w:rPr>
          <w:rFonts w:eastAsia="Times New Roman" w:cs="Times New Roman"/>
          <w:sz w:val="24"/>
          <w:szCs w:val="24"/>
          <w:lang w:eastAsia="lv-LV"/>
        </w:rPr>
        <w:tab/>
        <w:t xml:space="preserve">R. </w:t>
      </w:r>
      <w:proofErr w:type="spellStart"/>
      <w:r w:rsidRPr="009A4E8F">
        <w:rPr>
          <w:rFonts w:eastAsia="Times New Roman" w:cs="Times New Roman"/>
          <w:sz w:val="24"/>
          <w:szCs w:val="24"/>
          <w:lang w:eastAsia="lv-LV"/>
        </w:rPr>
        <w:t>Bergmanis</w:t>
      </w:r>
      <w:proofErr w:type="spellEnd"/>
    </w:p>
    <w:p w14:paraId="01CBDF96" w14:textId="77777777" w:rsidR="00DF342A" w:rsidRPr="009A4E8F" w:rsidRDefault="00DF342A" w:rsidP="00DF342A">
      <w:pPr>
        <w:spacing w:after="0" w:line="240" w:lineRule="auto"/>
        <w:jc w:val="both"/>
        <w:rPr>
          <w:rFonts w:eastAsia="Times New Roman" w:cs="Times New Roman"/>
          <w:sz w:val="24"/>
          <w:szCs w:val="24"/>
          <w:lang w:eastAsia="lv-LV"/>
        </w:rPr>
      </w:pPr>
    </w:p>
    <w:p w14:paraId="054D4068" w14:textId="77777777" w:rsidR="00DF342A" w:rsidRPr="000456AE" w:rsidRDefault="00DF342A" w:rsidP="00DF342A">
      <w:pPr>
        <w:spacing w:after="120" w:line="240" w:lineRule="auto"/>
        <w:jc w:val="both"/>
        <w:rPr>
          <w:rFonts w:cs="Times New Roman"/>
          <w:sz w:val="24"/>
          <w:szCs w:val="24"/>
          <w:lang w:val="en-US"/>
        </w:rPr>
      </w:pPr>
      <w:r>
        <w:rPr>
          <w:rFonts w:cs="Times New Roman"/>
          <w:sz w:val="24"/>
          <w:szCs w:val="24"/>
          <w:lang w:val="en-US"/>
        </w:rPr>
        <w:tab/>
      </w:r>
      <w:r>
        <w:rPr>
          <w:rFonts w:cs="Times New Roman"/>
          <w:sz w:val="24"/>
          <w:szCs w:val="24"/>
          <w:lang w:val="en-US"/>
        </w:rPr>
        <w:tab/>
      </w:r>
      <w:r>
        <w:rPr>
          <w:rFonts w:cs="Times New Roman"/>
          <w:sz w:val="24"/>
          <w:szCs w:val="24"/>
          <w:lang w:val="en-US"/>
        </w:rPr>
        <w:tab/>
      </w:r>
    </w:p>
    <w:p w14:paraId="7FAC9120" w14:textId="77777777" w:rsidR="00DF342A" w:rsidRPr="00EB1424" w:rsidRDefault="00DF342A" w:rsidP="00DF342A">
      <w:pPr>
        <w:spacing w:after="0" w:line="240" w:lineRule="auto"/>
        <w:jc w:val="both"/>
        <w:rPr>
          <w:rFonts w:eastAsia="Times New Roman" w:cs="Times New Roman"/>
          <w:sz w:val="24"/>
          <w:szCs w:val="24"/>
          <w:lang w:eastAsia="lv-LV"/>
        </w:rPr>
      </w:pPr>
      <w:proofErr w:type="spellStart"/>
      <w:r w:rsidRPr="000456AE">
        <w:rPr>
          <w:rFonts w:cs="Times New Roman"/>
          <w:sz w:val="24"/>
          <w:szCs w:val="24"/>
          <w:lang w:val="en-US"/>
        </w:rPr>
        <w:t>Vīza</w:t>
      </w:r>
      <w:proofErr w:type="spellEnd"/>
      <w:r w:rsidRPr="000456AE">
        <w:rPr>
          <w:rFonts w:cs="Times New Roman"/>
          <w:sz w:val="24"/>
          <w:szCs w:val="24"/>
          <w:lang w:val="en-US"/>
        </w:rPr>
        <w:t xml:space="preserve">: </w:t>
      </w:r>
      <w:r w:rsidRPr="00EB1424">
        <w:rPr>
          <w:rFonts w:eastAsia="Times New Roman" w:cs="Times New Roman"/>
          <w:sz w:val="24"/>
          <w:szCs w:val="24"/>
          <w:lang w:eastAsia="lv-LV"/>
        </w:rPr>
        <w:t xml:space="preserve">Valsts sekretāra vietā – </w:t>
      </w:r>
    </w:p>
    <w:p w14:paraId="1A486412" w14:textId="77777777" w:rsidR="00DF342A" w:rsidRPr="00EB1424" w:rsidRDefault="00DF342A" w:rsidP="00DF342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         </w:t>
      </w:r>
      <w:r w:rsidRPr="00EB1424">
        <w:rPr>
          <w:rFonts w:eastAsia="Times New Roman" w:cs="Times New Roman"/>
          <w:sz w:val="24"/>
          <w:szCs w:val="24"/>
          <w:lang w:eastAsia="lv-LV"/>
        </w:rPr>
        <w:t xml:space="preserve">Valsts sekretāra vietniece </w:t>
      </w:r>
      <w:r w:rsidRPr="00EB1424">
        <w:rPr>
          <w:rFonts w:eastAsia="Times New Roman" w:cs="Times New Roman"/>
          <w:sz w:val="24"/>
          <w:szCs w:val="24"/>
          <w:lang w:eastAsia="lv-LV"/>
        </w:rPr>
        <w:tab/>
      </w:r>
      <w:r w:rsidRPr="00EB1424">
        <w:rPr>
          <w:rFonts w:eastAsia="Times New Roman" w:cs="Times New Roman"/>
          <w:sz w:val="24"/>
          <w:szCs w:val="24"/>
          <w:lang w:eastAsia="lv-LV"/>
        </w:rPr>
        <w:tab/>
      </w:r>
      <w:r w:rsidRPr="00EB1424">
        <w:rPr>
          <w:rFonts w:eastAsia="Times New Roman" w:cs="Times New Roman"/>
          <w:sz w:val="24"/>
          <w:szCs w:val="24"/>
          <w:lang w:eastAsia="lv-LV"/>
        </w:rPr>
        <w:tab/>
      </w:r>
      <w:r w:rsidRPr="00EB1424">
        <w:rPr>
          <w:rFonts w:eastAsia="Times New Roman" w:cs="Times New Roman"/>
          <w:sz w:val="24"/>
          <w:szCs w:val="24"/>
          <w:lang w:eastAsia="lv-LV"/>
        </w:rPr>
        <w:tab/>
      </w:r>
      <w:r w:rsidRPr="00EB1424">
        <w:rPr>
          <w:rFonts w:eastAsia="Times New Roman" w:cs="Times New Roman"/>
          <w:sz w:val="24"/>
          <w:szCs w:val="24"/>
          <w:lang w:eastAsia="lv-LV"/>
        </w:rPr>
        <w:tab/>
        <w:t xml:space="preserve">           </w:t>
      </w:r>
      <w:proofErr w:type="spellStart"/>
      <w:r w:rsidRPr="00EB1424">
        <w:rPr>
          <w:rFonts w:eastAsia="Times New Roman" w:cs="Times New Roman"/>
          <w:sz w:val="24"/>
          <w:szCs w:val="24"/>
          <w:lang w:eastAsia="lv-LV"/>
        </w:rPr>
        <w:t>Dž.Innusa</w:t>
      </w:r>
      <w:proofErr w:type="spellEnd"/>
    </w:p>
    <w:p w14:paraId="6633C481" w14:textId="77777777" w:rsidR="00DF342A" w:rsidRPr="00EB1424" w:rsidRDefault="00DF342A" w:rsidP="00DF342A">
      <w:pPr>
        <w:spacing w:after="0" w:line="240" w:lineRule="auto"/>
        <w:jc w:val="both"/>
        <w:rPr>
          <w:rFonts w:eastAsia="Times New Roman" w:cs="Times New Roman"/>
          <w:sz w:val="24"/>
          <w:szCs w:val="24"/>
          <w:lang w:eastAsia="lv-LV"/>
        </w:rPr>
      </w:pPr>
    </w:p>
    <w:p w14:paraId="6B066B04" w14:textId="77777777" w:rsidR="00DF342A" w:rsidRDefault="00DF342A" w:rsidP="00DF342A">
      <w:pPr>
        <w:spacing w:after="0" w:line="240" w:lineRule="auto"/>
        <w:jc w:val="both"/>
        <w:rPr>
          <w:rFonts w:cs="Times New Roman"/>
          <w:sz w:val="20"/>
          <w:szCs w:val="20"/>
          <w:lang w:val="en-US"/>
        </w:rPr>
      </w:pPr>
    </w:p>
    <w:p w14:paraId="704476B4" w14:textId="77777777" w:rsidR="00DF342A" w:rsidRDefault="00DF342A" w:rsidP="00DF342A">
      <w:pPr>
        <w:spacing w:after="0" w:line="240" w:lineRule="auto"/>
        <w:jc w:val="both"/>
        <w:rPr>
          <w:rFonts w:cs="Times New Roman"/>
          <w:sz w:val="20"/>
          <w:szCs w:val="20"/>
          <w:lang w:val="en-US"/>
        </w:rPr>
      </w:pPr>
    </w:p>
    <w:p w14:paraId="0D8ADA25" w14:textId="77777777" w:rsidR="00DF342A" w:rsidRPr="00D53014" w:rsidRDefault="00DF342A" w:rsidP="00DF342A">
      <w:pPr>
        <w:spacing w:after="0" w:line="240" w:lineRule="auto"/>
        <w:jc w:val="both"/>
        <w:rPr>
          <w:rFonts w:cs="Times New Roman"/>
          <w:sz w:val="20"/>
          <w:szCs w:val="20"/>
          <w:lang w:val="en-US"/>
        </w:rPr>
      </w:pPr>
      <w:proofErr w:type="gramStart"/>
      <w:r>
        <w:rPr>
          <w:rFonts w:cs="Times New Roman"/>
          <w:sz w:val="20"/>
          <w:szCs w:val="20"/>
          <w:lang w:val="en-US"/>
        </w:rPr>
        <w:t>23</w:t>
      </w:r>
      <w:r w:rsidRPr="00D53014">
        <w:rPr>
          <w:rFonts w:cs="Times New Roman"/>
          <w:sz w:val="20"/>
          <w:szCs w:val="20"/>
          <w:lang w:val="en-US"/>
        </w:rPr>
        <w:t>.01.2017.</w:t>
      </w:r>
      <w:proofErr w:type="gramEnd"/>
    </w:p>
    <w:p w14:paraId="22DF6F92" w14:textId="77777777" w:rsidR="00DF342A" w:rsidRDefault="00DF342A" w:rsidP="00DF342A">
      <w:pPr>
        <w:spacing w:after="0" w:line="240" w:lineRule="auto"/>
        <w:jc w:val="both"/>
        <w:rPr>
          <w:rFonts w:cs="Times New Roman"/>
          <w:sz w:val="20"/>
          <w:szCs w:val="20"/>
          <w:lang w:val="en-US"/>
        </w:rPr>
      </w:pPr>
      <w:r>
        <w:rPr>
          <w:rFonts w:cs="Times New Roman"/>
          <w:sz w:val="20"/>
          <w:szCs w:val="20"/>
          <w:lang w:val="en-US"/>
        </w:rPr>
        <w:t>1964</w:t>
      </w:r>
    </w:p>
    <w:p w14:paraId="70C7FB5E" w14:textId="77777777" w:rsidR="00DF342A" w:rsidRPr="00D53014" w:rsidRDefault="00DF342A" w:rsidP="00DF342A">
      <w:pPr>
        <w:spacing w:after="0" w:line="240" w:lineRule="auto"/>
        <w:jc w:val="both"/>
        <w:rPr>
          <w:rFonts w:cs="Times New Roman"/>
          <w:sz w:val="20"/>
          <w:szCs w:val="20"/>
          <w:lang w:val="en-US"/>
        </w:rPr>
      </w:pPr>
      <w:proofErr w:type="spellStart"/>
      <w:r w:rsidRPr="00D53014">
        <w:rPr>
          <w:rFonts w:cs="Times New Roman"/>
          <w:sz w:val="20"/>
          <w:szCs w:val="20"/>
          <w:lang w:val="en-US"/>
        </w:rPr>
        <w:t>P.Markēvičs</w:t>
      </w:r>
      <w:proofErr w:type="spellEnd"/>
    </w:p>
    <w:p w14:paraId="4303425B" w14:textId="77777777" w:rsidR="00DF342A" w:rsidRPr="00D53014" w:rsidRDefault="00DF342A" w:rsidP="00DF342A">
      <w:pPr>
        <w:spacing w:after="0" w:line="240" w:lineRule="auto"/>
        <w:jc w:val="both"/>
        <w:rPr>
          <w:rFonts w:cs="Times New Roman"/>
          <w:sz w:val="20"/>
          <w:szCs w:val="20"/>
          <w:lang w:val="en-US"/>
        </w:rPr>
      </w:pPr>
      <w:r w:rsidRPr="00D53014">
        <w:rPr>
          <w:rFonts w:cs="Times New Roman"/>
          <w:sz w:val="20"/>
          <w:szCs w:val="20"/>
          <w:lang w:val="en-US"/>
        </w:rPr>
        <w:t xml:space="preserve">67028192, </w:t>
      </w:r>
      <w:hyperlink r:id="rId7" w:history="1">
        <w:r w:rsidRPr="00D53014">
          <w:rPr>
            <w:rStyle w:val="Hyperlink"/>
            <w:rFonts w:cs="Times New Roman"/>
            <w:sz w:val="20"/>
            <w:szCs w:val="20"/>
            <w:lang w:val="en-US"/>
          </w:rPr>
          <w:t>patriks.markevics@sam.gov.lv</w:t>
        </w:r>
      </w:hyperlink>
    </w:p>
    <w:p w14:paraId="6F15649D" w14:textId="77777777" w:rsidR="00DF342A" w:rsidRPr="00D53014" w:rsidRDefault="00DF342A" w:rsidP="00DF342A">
      <w:pPr>
        <w:spacing w:after="0" w:line="240" w:lineRule="auto"/>
        <w:jc w:val="both"/>
        <w:rPr>
          <w:rFonts w:cs="Times New Roman"/>
          <w:sz w:val="20"/>
          <w:szCs w:val="20"/>
          <w:lang w:val="en-US"/>
        </w:rPr>
      </w:pPr>
    </w:p>
    <w:p w14:paraId="22C1C6C9" w14:textId="77777777" w:rsidR="00DF342A" w:rsidRPr="00D53014" w:rsidRDefault="00DF342A" w:rsidP="00DF342A">
      <w:pPr>
        <w:spacing w:after="0" w:line="240" w:lineRule="auto"/>
        <w:jc w:val="both"/>
        <w:rPr>
          <w:rFonts w:cs="Times New Roman"/>
          <w:sz w:val="20"/>
          <w:szCs w:val="20"/>
          <w:lang w:val="en-US"/>
        </w:rPr>
      </w:pPr>
      <w:proofErr w:type="spellStart"/>
      <w:r w:rsidRPr="00D53014">
        <w:rPr>
          <w:rFonts w:cs="Times New Roman"/>
          <w:sz w:val="20"/>
          <w:szCs w:val="20"/>
          <w:lang w:val="en-US"/>
        </w:rPr>
        <w:t>A.Driksna</w:t>
      </w:r>
      <w:proofErr w:type="spellEnd"/>
    </w:p>
    <w:p w14:paraId="47B36E96" w14:textId="6951CC9D" w:rsidR="00DF342A" w:rsidRPr="00E02513" w:rsidRDefault="00DF342A" w:rsidP="00DF342A">
      <w:pPr>
        <w:spacing w:after="0" w:line="240" w:lineRule="auto"/>
        <w:jc w:val="both"/>
        <w:rPr>
          <w:rFonts w:cs="Times New Roman"/>
          <w:sz w:val="24"/>
          <w:szCs w:val="24"/>
          <w:lang w:val="en-US"/>
        </w:rPr>
      </w:pPr>
      <w:r w:rsidRPr="00D53014">
        <w:rPr>
          <w:rFonts w:cs="Times New Roman"/>
          <w:sz w:val="20"/>
          <w:szCs w:val="20"/>
          <w:lang w:val="en-US"/>
        </w:rPr>
        <w:t xml:space="preserve">66954240, </w:t>
      </w:r>
      <w:hyperlink r:id="rId8" w:history="1">
        <w:r w:rsidRPr="003945DE">
          <w:rPr>
            <w:rStyle w:val="Hyperlink"/>
            <w:rFonts w:cs="Times New Roman"/>
            <w:sz w:val="20"/>
            <w:szCs w:val="20"/>
            <w:lang w:val="en-US"/>
          </w:rPr>
          <w:t>Agnis.driksna@edzl.lv</w:t>
        </w:r>
      </w:hyperlink>
    </w:p>
    <w:sectPr w:rsidR="00DF342A" w:rsidRPr="00E02513" w:rsidSect="00E60E6E">
      <w:footerReference w:type="default" r:id="rId9"/>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C458" w14:textId="77777777" w:rsidR="00E67C00" w:rsidRDefault="00E67C00" w:rsidP="0067684F">
      <w:pPr>
        <w:spacing w:after="0" w:line="240" w:lineRule="auto"/>
      </w:pPr>
      <w:r>
        <w:separator/>
      </w:r>
    </w:p>
  </w:endnote>
  <w:endnote w:type="continuationSeparator" w:id="0">
    <w:p w14:paraId="2AA7E7F7" w14:textId="77777777" w:rsidR="00E67C00" w:rsidRDefault="00E67C00" w:rsidP="0067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48B45" w14:textId="4AE59FD5" w:rsidR="00EB28EA" w:rsidRDefault="00EB28EA" w:rsidP="00EB28EA">
    <w:pPr>
      <w:pStyle w:val="Footer"/>
    </w:pPr>
    <w:r w:rsidRPr="00EB28EA">
      <w:t xml:space="preserve"> </w:t>
    </w:r>
  </w:p>
  <w:sdt>
    <w:sdtPr>
      <w:id w:val="-2022761045"/>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53BF9843" w14:textId="6905ADAC" w:rsidR="00EB28EA" w:rsidRPr="00F90FD3" w:rsidRDefault="00EB28EA" w:rsidP="00EB28EA">
            <w:pPr>
              <w:pStyle w:val="Footer"/>
              <w:rPr>
                <w:sz w:val="20"/>
                <w:szCs w:val="20"/>
              </w:rPr>
            </w:pPr>
            <w:r>
              <w:rPr>
                <w:sz w:val="20"/>
                <w:szCs w:val="20"/>
              </w:rPr>
              <w:t>SAM</w:t>
            </w:r>
            <w:r w:rsidR="00CB26BD">
              <w:rPr>
                <w:sz w:val="20"/>
                <w:szCs w:val="20"/>
              </w:rPr>
              <w:t>ss</w:t>
            </w:r>
            <w:r>
              <w:rPr>
                <w:sz w:val="20"/>
                <w:szCs w:val="20"/>
              </w:rPr>
              <w:t>_</w:t>
            </w:r>
            <w:r w:rsidR="00DF342A">
              <w:rPr>
                <w:sz w:val="20"/>
                <w:szCs w:val="20"/>
              </w:rPr>
              <w:t>23</w:t>
            </w:r>
            <w:r>
              <w:rPr>
                <w:sz w:val="20"/>
                <w:szCs w:val="20"/>
              </w:rPr>
              <w:t>0117_RB_Ligums</w:t>
            </w:r>
            <w:r w:rsidRPr="0067684F">
              <w:rPr>
                <w:sz w:val="20"/>
                <w:szCs w:val="20"/>
              </w:rPr>
              <w:t xml:space="preserve">; “Par Latvijas Republikas valdības, Igaunijas Republikas valdības un Lietuvas Republikas valdības līgumu par </w:t>
            </w:r>
            <w:proofErr w:type="spellStart"/>
            <w:r w:rsidRPr="0067684F">
              <w:rPr>
                <w:sz w:val="20"/>
                <w:szCs w:val="20"/>
              </w:rPr>
              <w:t>Rail</w:t>
            </w:r>
            <w:proofErr w:type="spellEnd"/>
            <w:r w:rsidRPr="0067684F">
              <w:rPr>
                <w:sz w:val="20"/>
                <w:szCs w:val="20"/>
              </w:rPr>
              <w:t xml:space="preserve"> </w:t>
            </w:r>
            <w:proofErr w:type="spellStart"/>
            <w:r w:rsidRPr="0067684F">
              <w:rPr>
                <w:sz w:val="20"/>
                <w:szCs w:val="20"/>
              </w:rPr>
              <w:t>Baltic</w:t>
            </w:r>
            <w:proofErr w:type="spellEnd"/>
            <w:r w:rsidRPr="0067684F">
              <w:rPr>
                <w:sz w:val="20"/>
                <w:szCs w:val="20"/>
              </w:rPr>
              <w:t>/</w:t>
            </w:r>
            <w:proofErr w:type="spellStart"/>
            <w:r w:rsidRPr="0067684F">
              <w:rPr>
                <w:sz w:val="20"/>
                <w:szCs w:val="20"/>
              </w:rPr>
              <w:t>Rail</w:t>
            </w:r>
            <w:proofErr w:type="spellEnd"/>
            <w:r w:rsidRPr="0067684F">
              <w:rPr>
                <w:sz w:val="20"/>
                <w:szCs w:val="20"/>
              </w:rPr>
              <w:t xml:space="preserve"> </w:t>
            </w:r>
            <w:proofErr w:type="spellStart"/>
            <w:r w:rsidRPr="0067684F">
              <w:rPr>
                <w:sz w:val="20"/>
                <w:szCs w:val="20"/>
              </w:rPr>
              <w:t>Baltica</w:t>
            </w:r>
            <w:proofErr w:type="spellEnd"/>
            <w:r w:rsidRPr="0067684F">
              <w:rPr>
                <w:sz w:val="20"/>
                <w:szCs w:val="20"/>
              </w:rPr>
              <w:t xml:space="preserve"> dzelzceļa savienojuma izveidi”</w:t>
            </w:r>
          </w:p>
          <w:p w14:paraId="78412FA8" w14:textId="6D090BCA" w:rsidR="00EB28EA" w:rsidRPr="00DF342A" w:rsidRDefault="00EB28EA" w:rsidP="00EB28EA">
            <w:pPr>
              <w:pStyle w:val="Footer"/>
              <w:jc w:val="right"/>
              <w:rPr>
                <w:sz w:val="20"/>
                <w:szCs w:val="20"/>
              </w:rPr>
            </w:pPr>
            <w:r w:rsidRPr="00DF342A">
              <w:rPr>
                <w:bCs/>
                <w:sz w:val="20"/>
                <w:szCs w:val="20"/>
              </w:rPr>
              <w:fldChar w:fldCharType="begin"/>
            </w:r>
            <w:r w:rsidRPr="00DF342A">
              <w:rPr>
                <w:bCs/>
                <w:sz w:val="20"/>
                <w:szCs w:val="20"/>
              </w:rPr>
              <w:instrText xml:space="preserve"> PAGE </w:instrText>
            </w:r>
            <w:r w:rsidRPr="00DF342A">
              <w:rPr>
                <w:bCs/>
                <w:sz w:val="20"/>
                <w:szCs w:val="20"/>
              </w:rPr>
              <w:fldChar w:fldCharType="separate"/>
            </w:r>
            <w:r w:rsidR="00CB26BD">
              <w:rPr>
                <w:bCs/>
                <w:noProof/>
                <w:sz w:val="20"/>
                <w:szCs w:val="20"/>
              </w:rPr>
              <w:t>6</w:t>
            </w:r>
            <w:r w:rsidRPr="00DF342A">
              <w:rPr>
                <w:bCs/>
                <w:sz w:val="20"/>
                <w:szCs w:val="20"/>
              </w:rPr>
              <w:fldChar w:fldCharType="end"/>
            </w:r>
            <w:r w:rsidRPr="00DF342A">
              <w:rPr>
                <w:sz w:val="20"/>
                <w:szCs w:val="20"/>
              </w:rPr>
              <w:t xml:space="preserve"> - </w:t>
            </w:r>
            <w:r w:rsidRPr="00DF342A">
              <w:rPr>
                <w:bCs/>
                <w:sz w:val="20"/>
                <w:szCs w:val="20"/>
              </w:rPr>
              <w:fldChar w:fldCharType="begin"/>
            </w:r>
            <w:r w:rsidRPr="00DF342A">
              <w:rPr>
                <w:bCs/>
                <w:sz w:val="20"/>
                <w:szCs w:val="20"/>
              </w:rPr>
              <w:instrText xml:space="preserve"> NUMPAGES  </w:instrText>
            </w:r>
            <w:r w:rsidRPr="00DF342A">
              <w:rPr>
                <w:bCs/>
                <w:sz w:val="20"/>
                <w:szCs w:val="20"/>
              </w:rPr>
              <w:fldChar w:fldCharType="separate"/>
            </w:r>
            <w:r w:rsidR="00CB26BD">
              <w:rPr>
                <w:bCs/>
                <w:noProof/>
                <w:sz w:val="20"/>
                <w:szCs w:val="20"/>
              </w:rPr>
              <w:t>6</w:t>
            </w:r>
            <w:r w:rsidRPr="00DF342A">
              <w:rPr>
                <w:bCs/>
                <w:sz w:val="20"/>
                <w:szCs w:val="20"/>
              </w:rPr>
              <w:fldChar w:fldCharType="end"/>
            </w:r>
          </w:p>
        </w:sdtContent>
      </w:sdt>
    </w:sdtContent>
  </w:sdt>
  <w:p w14:paraId="77CE40C1" w14:textId="77777777" w:rsidR="00EB28EA" w:rsidRPr="0067684F" w:rsidRDefault="00EB28EA" w:rsidP="00EB28EA">
    <w:pPr>
      <w:pStyle w:val="Footer"/>
      <w:rPr>
        <w:sz w:val="20"/>
        <w:szCs w:val="20"/>
      </w:rPr>
    </w:pPr>
  </w:p>
  <w:p w14:paraId="20053B13" w14:textId="6122E838" w:rsidR="00F90FD3" w:rsidRPr="00F90FD3" w:rsidRDefault="00F90FD3" w:rsidP="00F90FD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96A42" w14:textId="77777777" w:rsidR="00E67C00" w:rsidRDefault="00E67C00" w:rsidP="0067684F">
      <w:pPr>
        <w:spacing w:after="0" w:line="240" w:lineRule="auto"/>
      </w:pPr>
      <w:r>
        <w:separator/>
      </w:r>
    </w:p>
  </w:footnote>
  <w:footnote w:type="continuationSeparator" w:id="0">
    <w:p w14:paraId="1F703122" w14:textId="77777777" w:rsidR="00E67C00" w:rsidRDefault="00E67C00" w:rsidP="00676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A6"/>
    <w:rsid w:val="00024AE1"/>
    <w:rsid w:val="00067506"/>
    <w:rsid w:val="000861A0"/>
    <w:rsid w:val="00095CCD"/>
    <w:rsid w:val="000B115B"/>
    <w:rsid w:val="000E1233"/>
    <w:rsid w:val="00153782"/>
    <w:rsid w:val="001E2D24"/>
    <w:rsid w:val="001E4E27"/>
    <w:rsid w:val="00240BAB"/>
    <w:rsid w:val="002A3D56"/>
    <w:rsid w:val="00350609"/>
    <w:rsid w:val="003D033F"/>
    <w:rsid w:val="004153C8"/>
    <w:rsid w:val="00471D6F"/>
    <w:rsid w:val="004818A5"/>
    <w:rsid w:val="006563E5"/>
    <w:rsid w:val="0067684F"/>
    <w:rsid w:val="00690465"/>
    <w:rsid w:val="006B074B"/>
    <w:rsid w:val="00706359"/>
    <w:rsid w:val="00747123"/>
    <w:rsid w:val="00751B70"/>
    <w:rsid w:val="00757B86"/>
    <w:rsid w:val="00766DA7"/>
    <w:rsid w:val="00774809"/>
    <w:rsid w:val="007F3562"/>
    <w:rsid w:val="008717D3"/>
    <w:rsid w:val="008A33DD"/>
    <w:rsid w:val="008D1409"/>
    <w:rsid w:val="009D509B"/>
    <w:rsid w:val="009E27C2"/>
    <w:rsid w:val="00A05F96"/>
    <w:rsid w:val="00A2600E"/>
    <w:rsid w:val="00A27459"/>
    <w:rsid w:val="00A855BD"/>
    <w:rsid w:val="00AE2CBE"/>
    <w:rsid w:val="00B83FA3"/>
    <w:rsid w:val="00BF2EFF"/>
    <w:rsid w:val="00BF5C5D"/>
    <w:rsid w:val="00C251AF"/>
    <w:rsid w:val="00C4643D"/>
    <w:rsid w:val="00CB26BD"/>
    <w:rsid w:val="00D674AE"/>
    <w:rsid w:val="00D713E5"/>
    <w:rsid w:val="00DC22B5"/>
    <w:rsid w:val="00DF342A"/>
    <w:rsid w:val="00DF3A8B"/>
    <w:rsid w:val="00DF7EF4"/>
    <w:rsid w:val="00E02513"/>
    <w:rsid w:val="00E254A6"/>
    <w:rsid w:val="00E549F0"/>
    <w:rsid w:val="00E60E6E"/>
    <w:rsid w:val="00E67C00"/>
    <w:rsid w:val="00EA54B5"/>
    <w:rsid w:val="00EB28EA"/>
    <w:rsid w:val="00EF505D"/>
    <w:rsid w:val="00F14896"/>
    <w:rsid w:val="00F2262B"/>
    <w:rsid w:val="00F54D22"/>
    <w:rsid w:val="00F83EB9"/>
    <w:rsid w:val="00F90FD3"/>
    <w:rsid w:val="00FA44DA"/>
    <w:rsid w:val="00FA5FE2"/>
    <w:rsid w:val="00FC0852"/>
    <w:rsid w:val="00FC3756"/>
    <w:rsid w:val="00FF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D24"/>
    <w:rPr>
      <w:sz w:val="16"/>
      <w:szCs w:val="16"/>
    </w:rPr>
  </w:style>
  <w:style w:type="paragraph" w:styleId="CommentText">
    <w:name w:val="annotation text"/>
    <w:basedOn w:val="Normal"/>
    <w:link w:val="CommentTextChar"/>
    <w:uiPriority w:val="99"/>
    <w:semiHidden/>
    <w:unhideWhenUsed/>
    <w:rsid w:val="001E2D24"/>
    <w:pPr>
      <w:spacing w:line="240" w:lineRule="auto"/>
    </w:pPr>
    <w:rPr>
      <w:sz w:val="20"/>
      <w:szCs w:val="20"/>
    </w:rPr>
  </w:style>
  <w:style w:type="character" w:customStyle="1" w:styleId="CommentTextChar">
    <w:name w:val="Comment Text Char"/>
    <w:basedOn w:val="DefaultParagraphFont"/>
    <w:link w:val="CommentText"/>
    <w:uiPriority w:val="99"/>
    <w:semiHidden/>
    <w:rsid w:val="001E2D24"/>
    <w:rPr>
      <w:sz w:val="20"/>
      <w:szCs w:val="20"/>
    </w:rPr>
  </w:style>
  <w:style w:type="paragraph" w:styleId="CommentSubject">
    <w:name w:val="annotation subject"/>
    <w:basedOn w:val="CommentText"/>
    <w:next w:val="CommentText"/>
    <w:link w:val="CommentSubjectChar"/>
    <w:uiPriority w:val="99"/>
    <w:semiHidden/>
    <w:unhideWhenUsed/>
    <w:rsid w:val="001E2D24"/>
    <w:rPr>
      <w:b/>
      <w:bCs/>
    </w:rPr>
  </w:style>
  <w:style w:type="character" w:customStyle="1" w:styleId="CommentSubjectChar">
    <w:name w:val="Comment Subject Char"/>
    <w:basedOn w:val="CommentTextChar"/>
    <w:link w:val="CommentSubject"/>
    <w:uiPriority w:val="99"/>
    <w:semiHidden/>
    <w:rsid w:val="001E2D24"/>
    <w:rPr>
      <w:b/>
      <w:bCs/>
      <w:sz w:val="20"/>
      <w:szCs w:val="20"/>
    </w:rPr>
  </w:style>
  <w:style w:type="paragraph" w:styleId="BalloonText">
    <w:name w:val="Balloon Text"/>
    <w:basedOn w:val="Normal"/>
    <w:link w:val="BalloonTextChar"/>
    <w:uiPriority w:val="99"/>
    <w:semiHidden/>
    <w:unhideWhenUsed/>
    <w:rsid w:val="001E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24"/>
    <w:rPr>
      <w:rFonts w:ascii="Tahoma" w:hAnsi="Tahoma" w:cs="Tahoma"/>
      <w:sz w:val="16"/>
      <w:szCs w:val="16"/>
    </w:rPr>
  </w:style>
  <w:style w:type="paragraph" w:customStyle="1" w:styleId="doc-ti">
    <w:name w:val="doc-ti"/>
    <w:basedOn w:val="Normal"/>
    <w:rsid w:val="00067506"/>
    <w:pPr>
      <w:spacing w:before="240" w:after="120" w:line="240" w:lineRule="auto"/>
      <w:jc w:val="center"/>
    </w:pPr>
    <w:rPr>
      <w:rFonts w:eastAsia="Times New Roman" w:cs="Times New Roman"/>
      <w:b/>
      <w:bCs/>
      <w:sz w:val="24"/>
      <w:szCs w:val="24"/>
      <w:lang w:val="lt-LT" w:eastAsia="lt-LT"/>
    </w:rPr>
  </w:style>
  <w:style w:type="paragraph" w:styleId="Header">
    <w:name w:val="header"/>
    <w:basedOn w:val="Normal"/>
    <w:link w:val="HeaderChar"/>
    <w:uiPriority w:val="99"/>
    <w:unhideWhenUsed/>
    <w:rsid w:val="006768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684F"/>
  </w:style>
  <w:style w:type="paragraph" w:styleId="Footer">
    <w:name w:val="footer"/>
    <w:basedOn w:val="Normal"/>
    <w:link w:val="FooterChar"/>
    <w:uiPriority w:val="99"/>
    <w:unhideWhenUsed/>
    <w:rsid w:val="006768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684F"/>
  </w:style>
  <w:style w:type="character" w:styleId="Hyperlink">
    <w:name w:val="Hyperlink"/>
    <w:basedOn w:val="DefaultParagraphFont"/>
    <w:uiPriority w:val="99"/>
    <w:unhideWhenUsed/>
    <w:rsid w:val="00DF3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D24"/>
    <w:rPr>
      <w:sz w:val="16"/>
      <w:szCs w:val="16"/>
    </w:rPr>
  </w:style>
  <w:style w:type="paragraph" w:styleId="CommentText">
    <w:name w:val="annotation text"/>
    <w:basedOn w:val="Normal"/>
    <w:link w:val="CommentTextChar"/>
    <w:uiPriority w:val="99"/>
    <w:semiHidden/>
    <w:unhideWhenUsed/>
    <w:rsid w:val="001E2D24"/>
    <w:pPr>
      <w:spacing w:line="240" w:lineRule="auto"/>
    </w:pPr>
    <w:rPr>
      <w:sz w:val="20"/>
      <w:szCs w:val="20"/>
    </w:rPr>
  </w:style>
  <w:style w:type="character" w:customStyle="1" w:styleId="CommentTextChar">
    <w:name w:val="Comment Text Char"/>
    <w:basedOn w:val="DefaultParagraphFont"/>
    <w:link w:val="CommentText"/>
    <w:uiPriority w:val="99"/>
    <w:semiHidden/>
    <w:rsid w:val="001E2D24"/>
    <w:rPr>
      <w:sz w:val="20"/>
      <w:szCs w:val="20"/>
    </w:rPr>
  </w:style>
  <w:style w:type="paragraph" w:styleId="CommentSubject">
    <w:name w:val="annotation subject"/>
    <w:basedOn w:val="CommentText"/>
    <w:next w:val="CommentText"/>
    <w:link w:val="CommentSubjectChar"/>
    <w:uiPriority w:val="99"/>
    <w:semiHidden/>
    <w:unhideWhenUsed/>
    <w:rsid w:val="001E2D24"/>
    <w:rPr>
      <w:b/>
      <w:bCs/>
    </w:rPr>
  </w:style>
  <w:style w:type="character" w:customStyle="1" w:styleId="CommentSubjectChar">
    <w:name w:val="Comment Subject Char"/>
    <w:basedOn w:val="CommentTextChar"/>
    <w:link w:val="CommentSubject"/>
    <w:uiPriority w:val="99"/>
    <w:semiHidden/>
    <w:rsid w:val="001E2D24"/>
    <w:rPr>
      <w:b/>
      <w:bCs/>
      <w:sz w:val="20"/>
      <w:szCs w:val="20"/>
    </w:rPr>
  </w:style>
  <w:style w:type="paragraph" w:styleId="BalloonText">
    <w:name w:val="Balloon Text"/>
    <w:basedOn w:val="Normal"/>
    <w:link w:val="BalloonTextChar"/>
    <w:uiPriority w:val="99"/>
    <w:semiHidden/>
    <w:unhideWhenUsed/>
    <w:rsid w:val="001E2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24"/>
    <w:rPr>
      <w:rFonts w:ascii="Tahoma" w:hAnsi="Tahoma" w:cs="Tahoma"/>
      <w:sz w:val="16"/>
      <w:szCs w:val="16"/>
    </w:rPr>
  </w:style>
  <w:style w:type="paragraph" w:customStyle="1" w:styleId="doc-ti">
    <w:name w:val="doc-ti"/>
    <w:basedOn w:val="Normal"/>
    <w:rsid w:val="00067506"/>
    <w:pPr>
      <w:spacing w:before="240" w:after="120" w:line="240" w:lineRule="auto"/>
      <w:jc w:val="center"/>
    </w:pPr>
    <w:rPr>
      <w:rFonts w:eastAsia="Times New Roman" w:cs="Times New Roman"/>
      <w:b/>
      <w:bCs/>
      <w:sz w:val="24"/>
      <w:szCs w:val="24"/>
      <w:lang w:val="lt-LT" w:eastAsia="lt-LT"/>
    </w:rPr>
  </w:style>
  <w:style w:type="paragraph" w:styleId="Header">
    <w:name w:val="header"/>
    <w:basedOn w:val="Normal"/>
    <w:link w:val="HeaderChar"/>
    <w:uiPriority w:val="99"/>
    <w:unhideWhenUsed/>
    <w:rsid w:val="006768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684F"/>
  </w:style>
  <w:style w:type="paragraph" w:styleId="Footer">
    <w:name w:val="footer"/>
    <w:basedOn w:val="Normal"/>
    <w:link w:val="FooterChar"/>
    <w:uiPriority w:val="99"/>
    <w:unhideWhenUsed/>
    <w:rsid w:val="006768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684F"/>
  </w:style>
  <w:style w:type="character" w:styleId="Hyperlink">
    <w:name w:val="Hyperlink"/>
    <w:basedOn w:val="DefaultParagraphFont"/>
    <w:uiPriority w:val="99"/>
    <w:unhideWhenUsed/>
    <w:rsid w:val="00DF3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s.driksna@edzl.lv" TargetMode="External"/><Relationship Id="rId3" Type="http://schemas.openxmlformats.org/officeDocument/2006/relationships/settings" Target="settings.xml"/><Relationship Id="rId7" Type="http://schemas.openxmlformats.org/officeDocument/2006/relationships/hyperlink" Target="mailto:patriks.markevics@s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8410</Words>
  <Characters>4795</Characters>
  <Application>Microsoft Office Word</Application>
  <DocSecurity>0</DocSecurity>
  <Lines>39</Lines>
  <Paragraphs>26</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Pavadinimas</vt:lpstr>
      </vt:variant>
      <vt:variant>
        <vt:i4>1</vt:i4>
      </vt:variant>
    </vt:vector>
  </HeadingPairs>
  <TitlesOfParts>
    <vt:vector size="4" baseType="lpstr">
      <vt:lpstr>Starpvaldību līgums LATVIJAS REBUBLIKAS VALDĪBAS,IGAUNIJAS REPUBLIKAS VALDĪBASUNLIETUVAS REPUBLIKAS VALDĪBASLĪGUMSPARRAIL BALTIC/ RAIL BALTICA DZELZCEĻA SAVIENOJUMA IZVEIDI</vt:lpstr>
      <vt:lpstr>Starpvaldību līgums LATVIJAS REBUBLIKAS VALDĪBAS,IGAUNIJAS REPUBLIKAS VALDĪBASUNLIETUVAS REPUBLIKAS VALDĪBASLĪGUMSPARRAIL BALTIC/ RAIL BALTICA DZELZCEĻA SAVIENOJUMA IZVEIDI</vt:lpstr>
      <vt:lpstr/>
      <vt:lpstr/>
    </vt:vector>
  </TitlesOfParts>
  <Company>Satiksmes ministrija</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LATVIJAS REBUBLIKAS VALDĪBAS,IGAUNIJAS REPUBLIKAS VALDĪBAS UN LIETUVAS REPUBLIKAS VALDĪBASLĪGUMS PAR RAIL BALTIC/ RAIL BALTICA DZELZCEĻA SAVIENOJUMA IZVEIDI</dc:title>
  <dc:subject>Līgums angļu valodā</dc:subject>
  <dc:creator>Patriks Markevičs</dc:creator>
  <dc:description>Patriks.Markevics@sam.gov.lv</dc:description>
  <cp:lastModifiedBy>Olga Artemjeva</cp:lastModifiedBy>
  <cp:revision>7</cp:revision>
  <cp:lastPrinted>2017-01-10T12:34:00Z</cp:lastPrinted>
  <dcterms:created xsi:type="dcterms:W3CDTF">2017-01-23T11:49:00Z</dcterms:created>
  <dcterms:modified xsi:type="dcterms:W3CDTF">2017-01-24T08:45:00Z</dcterms:modified>
</cp:coreProperties>
</file>