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857C" w14:textId="77777777" w:rsidR="008F3144" w:rsidRDefault="008F3144" w:rsidP="00072AB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591857E" w14:textId="77777777" w:rsidR="00050975" w:rsidRPr="00D1645B" w:rsidRDefault="00050975" w:rsidP="00072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F4AE4" w14:textId="22438EE6" w:rsidR="00072AB1" w:rsidRPr="00466768" w:rsidRDefault="00072AB1" w:rsidP="00072AB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 xml:space="preserve">. gada </w:t>
      </w:r>
      <w:r w:rsidR="00F72DAE">
        <w:rPr>
          <w:rFonts w:ascii="Times New Roman" w:hAnsi="Times New Roman"/>
          <w:sz w:val="28"/>
          <w:szCs w:val="28"/>
        </w:rPr>
        <w:t>7. februārī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F72DAE">
        <w:rPr>
          <w:rFonts w:ascii="Times New Roman" w:hAnsi="Times New Roman"/>
          <w:sz w:val="28"/>
          <w:szCs w:val="28"/>
        </w:rPr>
        <w:t> 55</w:t>
      </w:r>
      <w:bookmarkStart w:id="0" w:name="_GoBack"/>
      <w:bookmarkEnd w:id="0"/>
    </w:p>
    <w:p w14:paraId="10F8CE2B" w14:textId="4323BC9C" w:rsidR="00072AB1" w:rsidRPr="00466768" w:rsidRDefault="00F72DAE" w:rsidP="00072AB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 6 16.</w:t>
      </w:r>
      <w:r w:rsidR="00072AB1" w:rsidRPr="00466768">
        <w:rPr>
          <w:rFonts w:ascii="Times New Roman" w:hAnsi="Times New Roman"/>
          <w:sz w:val="28"/>
          <w:szCs w:val="28"/>
        </w:rPr>
        <w:t> §)</w:t>
      </w:r>
    </w:p>
    <w:p w14:paraId="35918582" w14:textId="77777777" w:rsidR="00D62E8E" w:rsidRPr="00CF5D74" w:rsidRDefault="00D62E8E" w:rsidP="00E71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B08F0" w14:textId="77777777" w:rsidR="00DF44FD" w:rsidRDefault="00E71B07" w:rsidP="00E71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45B">
        <w:rPr>
          <w:rFonts w:ascii="Times New Roman" w:hAnsi="Times New Roman"/>
          <w:b/>
          <w:sz w:val="28"/>
          <w:szCs w:val="28"/>
        </w:rPr>
        <w:t xml:space="preserve">Grozījumi Tiesu varas un tiesībaizsardzības iestāžu darbinieku cilvēkresursu kapacitātes stiprināšanas un kompetenču </w:t>
      </w:r>
    </w:p>
    <w:p w14:paraId="35918583" w14:textId="5E029D4D" w:rsidR="00E71B07" w:rsidRPr="00D1645B" w:rsidRDefault="00E71B07" w:rsidP="00E71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45B">
        <w:rPr>
          <w:rFonts w:ascii="Times New Roman" w:hAnsi="Times New Roman"/>
          <w:b/>
          <w:sz w:val="28"/>
          <w:szCs w:val="28"/>
        </w:rPr>
        <w:t>attīstīšanas plānā 2015</w:t>
      </w:r>
      <w:r w:rsidR="002A5080" w:rsidRPr="00D1645B">
        <w:rPr>
          <w:rFonts w:ascii="Times New Roman" w:hAnsi="Times New Roman"/>
          <w:b/>
          <w:sz w:val="28"/>
          <w:szCs w:val="28"/>
        </w:rPr>
        <w:t>.</w:t>
      </w:r>
      <w:r w:rsidR="002A5080">
        <w:rPr>
          <w:rFonts w:ascii="Times New Roman" w:hAnsi="Times New Roman"/>
          <w:b/>
          <w:sz w:val="28"/>
          <w:szCs w:val="28"/>
        </w:rPr>
        <w:t>–</w:t>
      </w:r>
      <w:r w:rsidRPr="00D1645B">
        <w:rPr>
          <w:rFonts w:ascii="Times New Roman" w:hAnsi="Times New Roman"/>
          <w:b/>
          <w:sz w:val="28"/>
          <w:szCs w:val="28"/>
        </w:rPr>
        <w:t>2020.</w:t>
      </w:r>
      <w:r w:rsidR="00050975">
        <w:rPr>
          <w:rFonts w:ascii="Times New Roman" w:hAnsi="Times New Roman"/>
          <w:b/>
          <w:sz w:val="28"/>
          <w:szCs w:val="28"/>
        </w:rPr>
        <w:t> </w:t>
      </w:r>
      <w:r w:rsidRPr="00D1645B">
        <w:rPr>
          <w:rFonts w:ascii="Times New Roman" w:hAnsi="Times New Roman"/>
          <w:b/>
          <w:sz w:val="28"/>
          <w:szCs w:val="28"/>
        </w:rPr>
        <w:t>gadam</w:t>
      </w:r>
    </w:p>
    <w:p w14:paraId="35918584" w14:textId="77777777" w:rsidR="00E71B07" w:rsidRPr="00D1645B" w:rsidRDefault="00E71B07" w:rsidP="008C1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918586" w14:textId="25598311" w:rsidR="00A309D5" w:rsidRPr="00D1645B" w:rsidRDefault="00312601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0A24">
        <w:rPr>
          <w:rFonts w:ascii="Times New Roman" w:hAnsi="Times New Roman"/>
          <w:sz w:val="28"/>
          <w:szCs w:val="28"/>
        </w:rPr>
        <w:t>. </w:t>
      </w:r>
      <w:r w:rsidR="00E71B07" w:rsidRPr="00250A24">
        <w:rPr>
          <w:rFonts w:ascii="Times New Roman" w:hAnsi="Times New Roman"/>
          <w:sz w:val="28"/>
          <w:szCs w:val="28"/>
        </w:rPr>
        <w:t>Izdarīt Tiesu varas un tiesībaizsardzības iestāžu darbinieku cilvēkresursu kapacitātes stiprināšanas un kompetenču attīstīšanas plānā 2015.</w:t>
      </w:r>
      <w:r w:rsidR="00250A24" w:rsidRPr="00250A24">
        <w:rPr>
          <w:rFonts w:ascii="Times New Roman" w:hAnsi="Times New Roman"/>
          <w:sz w:val="28"/>
          <w:szCs w:val="28"/>
        </w:rPr>
        <w:t>–</w:t>
      </w:r>
      <w:r w:rsidR="00E71B07" w:rsidRPr="00250A24">
        <w:rPr>
          <w:rFonts w:ascii="Times New Roman" w:hAnsi="Times New Roman"/>
          <w:sz w:val="28"/>
          <w:szCs w:val="28"/>
        </w:rPr>
        <w:t>2020.</w:t>
      </w:r>
      <w:r w:rsidR="00250A24" w:rsidRPr="00250A24">
        <w:rPr>
          <w:rFonts w:ascii="Times New Roman" w:hAnsi="Times New Roman"/>
          <w:sz w:val="28"/>
          <w:szCs w:val="28"/>
        </w:rPr>
        <w:t> </w:t>
      </w:r>
      <w:r w:rsidR="00E71B07" w:rsidRPr="00250A24">
        <w:rPr>
          <w:rFonts w:ascii="Times New Roman" w:hAnsi="Times New Roman"/>
          <w:sz w:val="28"/>
          <w:szCs w:val="28"/>
        </w:rPr>
        <w:t>gadam (apstiprināts ar Ministru kabineta 2015.</w:t>
      </w:r>
      <w:r w:rsidR="00250A24" w:rsidRPr="00250A24">
        <w:rPr>
          <w:rFonts w:ascii="Times New Roman" w:hAnsi="Times New Roman"/>
          <w:sz w:val="28"/>
          <w:szCs w:val="28"/>
        </w:rPr>
        <w:t> </w:t>
      </w:r>
      <w:r w:rsidR="00E71B07" w:rsidRPr="00250A24">
        <w:rPr>
          <w:rFonts w:ascii="Times New Roman" w:hAnsi="Times New Roman"/>
          <w:sz w:val="28"/>
          <w:szCs w:val="28"/>
        </w:rPr>
        <w:t>gada 9.</w:t>
      </w:r>
      <w:r w:rsidR="00250A24" w:rsidRPr="00250A24">
        <w:rPr>
          <w:rFonts w:ascii="Times New Roman" w:hAnsi="Times New Roman"/>
          <w:sz w:val="28"/>
          <w:szCs w:val="28"/>
        </w:rPr>
        <w:t> </w:t>
      </w:r>
      <w:r w:rsidR="00E71B07" w:rsidRPr="00250A24">
        <w:rPr>
          <w:rFonts w:ascii="Times New Roman" w:hAnsi="Times New Roman"/>
          <w:sz w:val="28"/>
          <w:szCs w:val="28"/>
        </w:rPr>
        <w:t>marta rīkojumu Nr.</w:t>
      </w:r>
      <w:r w:rsidR="00250A24" w:rsidRPr="00250A24">
        <w:rPr>
          <w:rFonts w:ascii="Times New Roman" w:hAnsi="Times New Roman"/>
          <w:sz w:val="28"/>
          <w:szCs w:val="28"/>
        </w:rPr>
        <w:t> </w:t>
      </w:r>
      <w:r w:rsidR="00E71B07" w:rsidRPr="00250A24">
        <w:rPr>
          <w:rFonts w:ascii="Times New Roman" w:hAnsi="Times New Roman"/>
          <w:sz w:val="28"/>
          <w:szCs w:val="28"/>
        </w:rPr>
        <w:t xml:space="preserve">115 </w:t>
      </w:r>
      <w:r w:rsidR="00BF0A9C">
        <w:rPr>
          <w:rFonts w:ascii="Times New Roman" w:hAnsi="Times New Roman"/>
          <w:sz w:val="28"/>
          <w:szCs w:val="28"/>
        </w:rPr>
        <w:t>"</w:t>
      </w:r>
      <w:r w:rsidR="00E71B07" w:rsidRPr="00250A24">
        <w:rPr>
          <w:rFonts w:ascii="Times New Roman" w:hAnsi="Times New Roman"/>
          <w:sz w:val="28"/>
          <w:szCs w:val="28"/>
        </w:rPr>
        <w:t>Par tiesu varas un tiesībaizsardzības iestāžu darbinieku cilvēkresursu kapacitātes stiprināšanas un kompetenču attīstīšanas plānu 2015.</w:t>
      </w:r>
      <w:r w:rsidR="00250A24" w:rsidRPr="00250A24">
        <w:rPr>
          <w:rFonts w:ascii="Times New Roman" w:hAnsi="Times New Roman"/>
          <w:sz w:val="28"/>
          <w:szCs w:val="28"/>
        </w:rPr>
        <w:t>–</w:t>
      </w:r>
      <w:r w:rsidR="00E71B07" w:rsidRPr="00250A24">
        <w:rPr>
          <w:rFonts w:ascii="Times New Roman" w:hAnsi="Times New Roman"/>
          <w:sz w:val="28"/>
          <w:szCs w:val="28"/>
        </w:rPr>
        <w:t>2020.</w:t>
      </w:r>
      <w:r w:rsidR="00250A24" w:rsidRPr="00250A24">
        <w:rPr>
          <w:rFonts w:ascii="Times New Roman" w:hAnsi="Times New Roman"/>
          <w:sz w:val="28"/>
          <w:szCs w:val="28"/>
        </w:rPr>
        <w:t> </w:t>
      </w:r>
      <w:r w:rsidR="00E71B07" w:rsidRPr="00250A24">
        <w:rPr>
          <w:rFonts w:ascii="Times New Roman" w:hAnsi="Times New Roman"/>
          <w:sz w:val="28"/>
          <w:szCs w:val="28"/>
        </w:rPr>
        <w:t>gadam</w:t>
      </w:r>
      <w:r w:rsidR="00BF0A9C">
        <w:rPr>
          <w:rFonts w:ascii="Times New Roman" w:hAnsi="Times New Roman"/>
          <w:sz w:val="28"/>
          <w:szCs w:val="28"/>
        </w:rPr>
        <w:t>"</w:t>
      </w:r>
      <w:r w:rsidR="00250A24" w:rsidRPr="00250A24">
        <w:rPr>
          <w:rFonts w:ascii="Times New Roman" w:hAnsi="Times New Roman"/>
          <w:sz w:val="28"/>
          <w:szCs w:val="28"/>
        </w:rPr>
        <w:t>)</w:t>
      </w:r>
      <w:r w:rsidR="00E71B07" w:rsidRPr="00250A24">
        <w:rPr>
          <w:rFonts w:ascii="Times New Roman" w:hAnsi="Times New Roman"/>
          <w:sz w:val="28"/>
          <w:szCs w:val="28"/>
        </w:rPr>
        <w:t xml:space="preserve"> (Latvijas Vēstnesis, 2015, 50.</w:t>
      </w:r>
      <w:r w:rsidR="00250A24" w:rsidRPr="00250A24">
        <w:rPr>
          <w:rFonts w:ascii="Times New Roman" w:hAnsi="Times New Roman"/>
          <w:sz w:val="28"/>
          <w:szCs w:val="28"/>
        </w:rPr>
        <w:t>, 168., 189. </w:t>
      </w:r>
      <w:r w:rsidR="00E71B07" w:rsidRPr="00250A24">
        <w:rPr>
          <w:rFonts w:ascii="Times New Roman" w:hAnsi="Times New Roman"/>
          <w:sz w:val="28"/>
          <w:szCs w:val="28"/>
        </w:rPr>
        <w:t>nr.) šādus grozījumus:</w:t>
      </w:r>
    </w:p>
    <w:p w14:paraId="35918587" w14:textId="756D9FE7" w:rsidR="00703692" w:rsidRPr="00041E2C" w:rsidRDefault="00703692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p</w:t>
      </w:r>
      <w:r w:rsidR="00A0703C" w:rsidRPr="00703692">
        <w:rPr>
          <w:rFonts w:ascii="Times New Roman" w:hAnsi="Times New Roman"/>
          <w:sz w:val="28"/>
          <w:szCs w:val="28"/>
        </w:rPr>
        <w:t xml:space="preserve">apildināt sadaļu </w:t>
      </w:r>
      <w:r w:rsidR="00BF0A9C">
        <w:rPr>
          <w:rFonts w:ascii="Times New Roman" w:hAnsi="Times New Roman"/>
          <w:sz w:val="28"/>
          <w:szCs w:val="28"/>
        </w:rPr>
        <w:t>"</w:t>
      </w:r>
      <w:r w:rsidR="00510E25" w:rsidRPr="008C1B14">
        <w:rPr>
          <w:rFonts w:ascii="Times New Roman" w:hAnsi="Times New Roman"/>
          <w:sz w:val="28"/>
          <w:szCs w:val="28"/>
        </w:rPr>
        <w:t>Lietotie saīsinājumi</w:t>
      </w:r>
      <w:r w:rsidR="00BF0A9C">
        <w:rPr>
          <w:rFonts w:ascii="Times New Roman" w:hAnsi="Times New Roman"/>
          <w:sz w:val="28"/>
          <w:szCs w:val="28"/>
        </w:rPr>
        <w:t>"</w:t>
      </w:r>
      <w:r w:rsidR="00A0703C" w:rsidRPr="00703692">
        <w:rPr>
          <w:rFonts w:ascii="Times New Roman" w:hAnsi="Times New Roman"/>
          <w:sz w:val="28"/>
          <w:szCs w:val="28"/>
        </w:rPr>
        <w:t xml:space="preserve"> </w:t>
      </w:r>
      <w:r w:rsidR="008E1B98">
        <w:rPr>
          <w:rFonts w:ascii="Times New Roman" w:hAnsi="Times New Roman"/>
          <w:sz w:val="28"/>
          <w:szCs w:val="28"/>
        </w:rPr>
        <w:t xml:space="preserve">aiz vārdiem un skaitļiem </w:t>
      </w:r>
      <w:r w:rsidR="008E1B98" w:rsidRPr="00041E2C">
        <w:rPr>
          <w:rFonts w:ascii="Times New Roman" w:hAnsi="Times New Roman"/>
          <w:sz w:val="28"/>
          <w:szCs w:val="28"/>
        </w:rPr>
        <w:t>"</w:t>
      </w:r>
      <w:r w:rsidR="008E1B98" w:rsidRPr="00041E2C">
        <w:rPr>
          <w:rFonts w:ascii="Times New Roman" w:hAnsi="Times New Roman"/>
          <w:sz w:val="28"/>
          <w:szCs w:val="28"/>
          <w:shd w:val="clear" w:color="auto" w:fill="FFFFFF"/>
        </w:rPr>
        <w:t>plāns 2015.–2020. gadam"</w:t>
      </w:r>
      <w:r w:rsidR="008E1B98" w:rsidRPr="00041E2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703C" w:rsidRPr="00041E2C">
        <w:rPr>
          <w:rFonts w:ascii="Times New Roman" w:hAnsi="Times New Roman"/>
          <w:sz w:val="28"/>
          <w:szCs w:val="28"/>
        </w:rPr>
        <w:t xml:space="preserve">ar </w:t>
      </w:r>
      <w:r w:rsidR="00172440" w:rsidRPr="00041E2C">
        <w:rPr>
          <w:rFonts w:ascii="Times New Roman" w:hAnsi="Times New Roman"/>
          <w:sz w:val="28"/>
          <w:szCs w:val="28"/>
        </w:rPr>
        <w:t>tekstu šādā redakcijā</w:t>
      </w:r>
      <w:r w:rsidRPr="00041E2C">
        <w:rPr>
          <w:rFonts w:ascii="Times New Roman" w:hAnsi="Times New Roman"/>
          <w:sz w:val="28"/>
          <w:szCs w:val="28"/>
        </w:rPr>
        <w:t>:</w:t>
      </w:r>
    </w:p>
    <w:p w14:paraId="7605F2D2" w14:textId="77777777" w:rsidR="00DF44FD" w:rsidRDefault="00DF44FD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918588" w14:textId="5C3C5D7A" w:rsidR="00703692" w:rsidRDefault="00BF0A9C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0703C" w:rsidRPr="00703692">
        <w:rPr>
          <w:rFonts w:ascii="Times New Roman" w:hAnsi="Times New Roman"/>
          <w:sz w:val="28"/>
          <w:szCs w:val="28"/>
        </w:rPr>
        <w:t xml:space="preserve">KNAB </w:t>
      </w:r>
      <w:r w:rsidR="008E1B98">
        <w:rPr>
          <w:rFonts w:ascii="Times New Roman" w:hAnsi="Times New Roman"/>
          <w:sz w:val="28"/>
          <w:szCs w:val="28"/>
        </w:rPr>
        <w:tab/>
      </w:r>
      <w:r w:rsidR="00A0703C" w:rsidRPr="00703692">
        <w:rPr>
          <w:rFonts w:ascii="Times New Roman" w:hAnsi="Times New Roman"/>
          <w:sz w:val="28"/>
          <w:szCs w:val="28"/>
        </w:rPr>
        <w:t xml:space="preserve">Korupcijas novēršanas un apkarošanas </w:t>
      </w:r>
      <w:r w:rsidR="008D2BC9">
        <w:rPr>
          <w:rFonts w:ascii="Times New Roman" w:hAnsi="Times New Roman"/>
          <w:sz w:val="28"/>
          <w:szCs w:val="28"/>
        </w:rPr>
        <w:t>birojs</w:t>
      </w:r>
    </w:p>
    <w:p w14:paraId="35918589" w14:textId="732EB90E" w:rsidR="00703692" w:rsidRDefault="004448BD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MNA</w:t>
      </w:r>
      <w:r w:rsidR="00A0703C" w:rsidRPr="00703692">
        <w:rPr>
          <w:rFonts w:ascii="Times New Roman" w:hAnsi="Times New Roman"/>
          <w:sz w:val="28"/>
          <w:szCs w:val="28"/>
        </w:rPr>
        <w:t xml:space="preserve"> </w:t>
      </w:r>
      <w:r w:rsidR="008E1B98">
        <w:rPr>
          <w:rFonts w:ascii="Times New Roman" w:hAnsi="Times New Roman"/>
          <w:sz w:val="28"/>
          <w:szCs w:val="28"/>
        </w:rPr>
        <w:tab/>
      </w:r>
      <w:r w:rsidR="008E1B98">
        <w:rPr>
          <w:rFonts w:ascii="Times New Roman" w:hAnsi="Times New Roman"/>
          <w:sz w:val="28"/>
          <w:szCs w:val="28"/>
        </w:rPr>
        <w:tab/>
      </w:r>
      <w:r w:rsidR="00A0703C" w:rsidRPr="00703692">
        <w:rPr>
          <w:rFonts w:ascii="Times New Roman" w:hAnsi="Times New Roman"/>
          <w:sz w:val="28"/>
          <w:szCs w:val="28"/>
        </w:rPr>
        <w:t>Maksātnespējas administrācija</w:t>
      </w:r>
    </w:p>
    <w:p w14:paraId="3591858A" w14:textId="21EA6614" w:rsidR="00A0703C" w:rsidRPr="00A0703C" w:rsidRDefault="004448BD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</w:t>
      </w:r>
      <w:r w:rsidR="008E1B98">
        <w:rPr>
          <w:rFonts w:ascii="Times New Roman" w:hAnsi="Times New Roman"/>
          <w:sz w:val="28"/>
          <w:szCs w:val="28"/>
        </w:rPr>
        <w:tab/>
      </w:r>
      <w:r w:rsidR="008E1B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</w:t>
      </w:r>
      <w:r w:rsidR="00A0703C" w:rsidRPr="00703692">
        <w:rPr>
          <w:rFonts w:ascii="Times New Roman" w:hAnsi="Times New Roman"/>
          <w:sz w:val="28"/>
          <w:szCs w:val="28"/>
        </w:rPr>
        <w:t>ugstākā tiesa</w:t>
      </w:r>
      <w:r w:rsidR="00BF0A9C">
        <w:rPr>
          <w:rFonts w:ascii="Times New Roman" w:hAnsi="Times New Roman"/>
          <w:sz w:val="28"/>
          <w:szCs w:val="28"/>
        </w:rPr>
        <w:t>"</w:t>
      </w:r>
      <w:r w:rsidR="00703692">
        <w:rPr>
          <w:rFonts w:ascii="Times New Roman" w:hAnsi="Times New Roman"/>
          <w:sz w:val="28"/>
          <w:szCs w:val="28"/>
        </w:rPr>
        <w:t>;</w:t>
      </w:r>
    </w:p>
    <w:p w14:paraId="3591858B" w14:textId="77777777" w:rsidR="00A0703C" w:rsidRPr="00A0703C" w:rsidRDefault="00A0703C" w:rsidP="00DF44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591858C" w14:textId="77777777" w:rsidR="00E71B07" w:rsidRPr="008C1B14" w:rsidRDefault="00312601" w:rsidP="00DF44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E6592B" w:rsidRPr="008C1B14">
        <w:rPr>
          <w:rFonts w:ascii="Times New Roman" w:hAnsi="Times New Roman"/>
          <w:sz w:val="28"/>
          <w:szCs w:val="28"/>
        </w:rPr>
        <w:t>i</w:t>
      </w:r>
      <w:r w:rsidR="00A309D5" w:rsidRPr="008C1B14">
        <w:rPr>
          <w:rFonts w:ascii="Times New Roman" w:hAnsi="Times New Roman"/>
          <w:sz w:val="28"/>
          <w:szCs w:val="28"/>
        </w:rPr>
        <w:t>zteikt III</w:t>
      </w:r>
      <w:r w:rsidR="00250A24">
        <w:rPr>
          <w:rFonts w:ascii="Times New Roman" w:hAnsi="Times New Roman"/>
          <w:sz w:val="28"/>
          <w:szCs w:val="28"/>
        </w:rPr>
        <w:t> </w:t>
      </w:r>
      <w:r w:rsidR="00A309D5" w:rsidRPr="008C1B14">
        <w:rPr>
          <w:rFonts w:ascii="Times New Roman" w:hAnsi="Times New Roman"/>
          <w:sz w:val="28"/>
          <w:szCs w:val="28"/>
        </w:rPr>
        <w:t>sadaļu šādā redakcijā:</w:t>
      </w:r>
    </w:p>
    <w:p w14:paraId="3591858D" w14:textId="77777777" w:rsidR="00C36582" w:rsidRDefault="00C36582" w:rsidP="00DF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91858E" w14:textId="29077214" w:rsidR="00C36582" w:rsidRPr="00C36582" w:rsidRDefault="00BF0A9C" w:rsidP="00DF4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36582" w:rsidRPr="00C36582">
        <w:rPr>
          <w:rFonts w:ascii="Times New Roman" w:hAnsi="Times New Roman"/>
          <w:b/>
          <w:sz w:val="28"/>
          <w:szCs w:val="28"/>
        </w:rPr>
        <w:t>III</w:t>
      </w:r>
      <w:r w:rsidR="006C71E2">
        <w:rPr>
          <w:rFonts w:ascii="Times New Roman" w:hAnsi="Times New Roman"/>
          <w:b/>
          <w:sz w:val="28"/>
          <w:szCs w:val="28"/>
        </w:rPr>
        <w:t>.</w:t>
      </w:r>
      <w:r w:rsidR="00C36582" w:rsidRPr="00C36582">
        <w:rPr>
          <w:rFonts w:ascii="Times New Roman" w:hAnsi="Times New Roman"/>
          <w:b/>
          <w:sz w:val="28"/>
          <w:szCs w:val="28"/>
        </w:rPr>
        <w:t xml:space="preserve"> Veicamie uzdevumi</w:t>
      </w:r>
    </w:p>
    <w:p w14:paraId="3591858F" w14:textId="77777777" w:rsidR="00C36582" w:rsidRDefault="00C36582" w:rsidP="00C3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21"/>
        <w:gridCol w:w="47"/>
        <w:gridCol w:w="1796"/>
        <w:gridCol w:w="1701"/>
        <w:gridCol w:w="141"/>
        <w:gridCol w:w="48"/>
        <w:gridCol w:w="1228"/>
        <w:gridCol w:w="284"/>
        <w:gridCol w:w="47"/>
        <w:gridCol w:w="1228"/>
      </w:tblGrid>
      <w:tr w:rsidR="00C36582" w14:paraId="35918593" w14:textId="77777777" w:rsidTr="008E1B98">
        <w:trPr>
          <w:trHeight w:val="872"/>
        </w:trPr>
        <w:tc>
          <w:tcPr>
            <w:tcW w:w="3119" w:type="dxa"/>
            <w:gridSpan w:val="3"/>
          </w:tcPr>
          <w:p w14:paraId="35918590" w14:textId="77777777" w:rsidR="00C36582" w:rsidRDefault="00C36582" w:rsidP="008C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Plāna mērķis</w:t>
            </w:r>
          </w:p>
          <w:p w14:paraId="35918591" w14:textId="77777777" w:rsidR="00C36582" w:rsidRDefault="00C36582" w:rsidP="00C36582">
            <w:pPr>
              <w:spacing w:after="0" w:line="240" w:lineRule="auto"/>
              <w:ind w:left="99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3" w:type="dxa"/>
            <w:gridSpan w:val="8"/>
            <w:shd w:val="clear" w:color="auto" w:fill="auto"/>
          </w:tcPr>
          <w:p w14:paraId="35918592" w14:textId="71FDDC71" w:rsidR="00C36582" w:rsidRDefault="00C36582" w:rsidP="008E1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Īstenot cilvēkresursu kapacitātes stiprināšanu tiesu varā, tād</w:t>
            </w:r>
            <w:r w:rsidR="00B641C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ē</w:t>
            </w: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jādi nodrošinot ātrāku, kvalitatīvāku lietu izskatīšanu</w:t>
            </w:r>
            <w:r w:rsidR="00B3561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lai sekmē</w:t>
            </w:r>
            <w:r w:rsidR="00041E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tu</w:t>
            </w: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k</w:t>
            </w:r>
            <w:r w:rsidR="00041E2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omercdarbības vides uzlabošanu</w:t>
            </w:r>
          </w:p>
        </w:tc>
      </w:tr>
      <w:tr w:rsidR="00C36582" w14:paraId="3591859A" w14:textId="77777777" w:rsidTr="008E1B98">
        <w:trPr>
          <w:trHeight w:val="410"/>
        </w:trPr>
        <w:tc>
          <w:tcPr>
            <w:tcW w:w="3119" w:type="dxa"/>
            <w:gridSpan w:val="3"/>
          </w:tcPr>
          <w:p w14:paraId="35918594" w14:textId="77777777" w:rsidR="00C36582" w:rsidRDefault="00C36582" w:rsidP="00C36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Politikas rezultāts/-i</w:t>
            </w:r>
          </w:p>
          <w:p w14:paraId="35918595" w14:textId="77777777" w:rsidR="00C36582" w:rsidRDefault="00C36582" w:rsidP="00250A24">
            <w:pPr>
              <w:spacing w:after="0" w:line="240" w:lineRule="auto"/>
              <w:ind w:left="99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3" w:type="dxa"/>
            <w:gridSpan w:val="8"/>
            <w:shd w:val="clear" w:color="auto" w:fill="auto"/>
          </w:tcPr>
          <w:p w14:paraId="35918596" w14:textId="2BB2D1F9" w:rsidR="00C36582" w:rsidRPr="003E3A9C" w:rsidRDefault="008E1B98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1. 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Veicināta sabiedrības uzticēšanās tiesu varai </w:t>
            </w:r>
            <w:proofErr w:type="gramStart"/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D2B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s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abiedrības daļas</w:t>
            </w:r>
            <w:r w:rsidR="008D2BC9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īpatsvars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 k</w:t>
            </w:r>
            <w:r w:rsidR="008D2BC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ura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pilnībā vai daļēji uzticas tiesām (%): 2022.</w:t>
            </w:r>
            <w:r w:rsidR="00CD7FF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9E0B4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adā</w:t>
            </w:r>
            <w:r w:rsidR="009E0B4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41E2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50)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5918597" w14:textId="062DFF79" w:rsidR="00C36582" w:rsidRPr="003E3A9C" w:rsidRDefault="008E1B98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2. 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Celta tiesnešu un tiesas darbinieku kompetence </w:t>
            </w:r>
            <w:proofErr w:type="gramStart"/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D2B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tcelto tiesas lēmumu īpatsvars (procesuālo pārkāpumu dēļ)</w:t>
            </w:r>
            <w:r w:rsidR="009E0B4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(%): 2022.</w:t>
            </w:r>
            <w:r w:rsidR="00CD7F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 </w:t>
            </w:r>
            <w:r w:rsidR="009E0B4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g</w:t>
            </w:r>
            <w:r w:rsidR="009E0B4C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adā</w:t>
            </w:r>
            <w:r w:rsidR="009E0B4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41E2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– 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).</w:t>
            </w:r>
          </w:p>
          <w:p w14:paraId="35918598" w14:textId="2DAE7969" w:rsidR="00C36582" w:rsidRPr="003E3A9C" w:rsidRDefault="008E1B98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3. </w:t>
            </w:r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Uzlabotas tiesiskās sadarbības, svešvalodu, IKT prasmes, izpratne par tiesu ekspertīžu jomu, ES tiesībām, cilvēktiesībām </w:t>
            </w:r>
            <w:proofErr w:type="gramStart"/>
            <w:r w:rsidR="00C36582" w:rsidRPr="003E3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D2B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t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iesību aktiem atbilstošu tiesiskās palīdzības lūgumu skaita īpatsvars no kopējā tiesiskās palīdzības lūgumu skaita (%): 2022.</w:t>
            </w:r>
            <w:r w:rsidR="00CD7FF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 </w:t>
            </w:r>
            <w:r w:rsidR="00E3333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g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adā</w:t>
            </w:r>
            <w:r w:rsidR="00E3333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41E2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– </w:t>
            </w:r>
            <w:r w:rsidR="00C36582" w:rsidRPr="003E3A9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95)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5918599" w14:textId="0C7306D9" w:rsidR="00C36582" w:rsidRPr="008C1B14" w:rsidRDefault="008E1B98" w:rsidP="008E1B9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4. </w:t>
            </w:r>
            <w:r w:rsidR="00C36582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Veicināta ADR veidu izmantošana un izpratne par tiem </w:t>
            </w:r>
            <w:proofErr w:type="gramStart"/>
            <w:r w:rsidR="00C36582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C36582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tiesās izskatāmo strīdu izbeigšana</w:t>
            </w:r>
            <w:r w:rsidR="00C50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C36582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izmantojot mediāciju, no </w:t>
            </w:r>
            <w:r w:rsidR="00C36582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tiesām kopējā mediācijai nodoto lietu skaita (%): 2022.</w:t>
            </w:r>
            <w:r w:rsidR="00CD7FF5" w:rsidRPr="008C1B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</w:t>
            </w:r>
            <w:r w:rsidR="00041E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dā</w:t>
            </w:r>
            <w:r w:rsidR="00041E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C71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10)</w:t>
            </w:r>
          </w:p>
        </w:tc>
      </w:tr>
      <w:tr w:rsidR="004372B5" w14:paraId="359185A4" w14:textId="77777777" w:rsidTr="008E1B98">
        <w:trPr>
          <w:trHeight w:val="1125"/>
        </w:trPr>
        <w:tc>
          <w:tcPr>
            <w:tcW w:w="851" w:type="dxa"/>
            <w:vAlign w:val="center"/>
          </w:tcPr>
          <w:p w14:paraId="7696FBEA" w14:textId="77777777" w:rsidR="00041E2C" w:rsidRDefault="00C36582" w:rsidP="008C1B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C1B1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Nr. </w:t>
            </w:r>
          </w:p>
          <w:p w14:paraId="3591859B" w14:textId="194B4263" w:rsidR="00C36582" w:rsidRPr="009E0B4C" w:rsidRDefault="00E6592B" w:rsidP="008C1B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B1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="00C36582" w:rsidRPr="008C1B1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  <w:r w:rsidR="009E0B4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36582" w:rsidRPr="008C1B1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91859C" w14:textId="77777777" w:rsidR="00C36582" w:rsidRDefault="00C36582" w:rsidP="008C1B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Uzdevums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91859D" w14:textId="77777777" w:rsidR="00C36582" w:rsidRDefault="00C36582" w:rsidP="008C1B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Darbības rezultāts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591859E" w14:textId="77777777" w:rsidR="00C36582" w:rsidRPr="003E3A9C" w:rsidRDefault="00C36582" w:rsidP="008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Rezultatīvais</w:t>
            </w:r>
          </w:p>
          <w:p w14:paraId="3591859F" w14:textId="77777777" w:rsidR="00C36582" w:rsidRDefault="00C36582" w:rsidP="008C1B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359185A0" w14:textId="773E8589" w:rsidR="00C36582" w:rsidRDefault="00C36582" w:rsidP="008C1B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Līdzatbil</w:t>
            </w:r>
            <w:r w:rsidR="00041E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softHyphen/>
            </w: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dīgās institūcijas*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9185A1" w14:textId="77777777" w:rsidR="00C36582" w:rsidRPr="003E3A9C" w:rsidRDefault="00C36582" w:rsidP="008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Izpildes termiņš</w:t>
            </w:r>
          </w:p>
          <w:p w14:paraId="359185A3" w14:textId="3495D41A" w:rsidR="00C36582" w:rsidRDefault="00C36582" w:rsidP="0004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(pusgads)</w:t>
            </w:r>
          </w:p>
        </w:tc>
      </w:tr>
      <w:tr w:rsidR="00C36582" w14:paraId="359185A6" w14:textId="77777777" w:rsidTr="008E1B98">
        <w:trPr>
          <w:trHeight w:val="1185"/>
        </w:trPr>
        <w:tc>
          <w:tcPr>
            <w:tcW w:w="9592" w:type="dxa"/>
            <w:gridSpan w:val="11"/>
          </w:tcPr>
          <w:p w14:paraId="359185A5" w14:textId="51851512" w:rsidR="00C36582" w:rsidRDefault="00C36582" w:rsidP="008E1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58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Plānveidīgi nodrošināt tiesu varas un tiesībaizsardzības iestāžu darbiniekiem nepieciešamās zināšanas, prasmes un iemaņas</w:t>
            </w:r>
            <w:r w:rsidRPr="00C36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, izveidojot </w:t>
            </w:r>
            <w:r w:rsidRPr="00C3658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pastāvīgas uz vajadzībām bāzētas apmācību programmas, izdodot rokasgrāmatas, dodoties pieredzes apmaiņas braucienos u</w:t>
            </w:r>
            <w:r w:rsidR="00041E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 </w:t>
            </w:r>
            <w:r w:rsidR="00BF0A9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</w:t>
            </w:r>
            <w:r w:rsidR="00041E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ml.</w:t>
            </w:r>
          </w:p>
        </w:tc>
      </w:tr>
      <w:tr w:rsidR="00B641CD" w:rsidRPr="00D1645B" w14:paraId="359185B5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359185A7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359185A8" w14:textId="4457AA61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Tiesnešu, izmeklētāju, prokuroru un tiesu darbinieku apmācību modeļa institucionālā pilnveidošana (t</w:t>
            </w:r>
            <w:r w:rsidR="00BF0A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s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 e-apmācību vides pilnveide, tiešsaistes apmācības, reģionālās apmācības, specializētās apmācības u</w:t>
            </w:r>
            <w:r w:rsidR="00BF0A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t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ml.) un tehniskās infrastruktūras pilnveide apmācību organizēšanā un nodrošināšanā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359185A9" w14:textId="7556C7F4" w:rsidR="00A309D5" w:rsidRPr="00D1645B" w:rsidRDefault="00A309D5" w:rsidP="00B3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Paaugstinot tiesnešu un tiesu darbinieku, izmeklētāju un prokuroru</w:t>
            </w:r>
            <w:r w:rsidR="008A594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kompetenci, veicināt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ātrāka lietu izmeklēšana un iztiesāšana, lai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sekmē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uzņēmējdarbīb</w:t>
            </w:r>
            <w:r w:rsidR="008E264B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v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ides uzlabošanu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pilnveidota apmācību nodrošināšanas infrastruktūra</w:t>
            </w:r>
            <w:r w:rsidR="00850F8F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kā arī paaugstināt</w:t>
            </w:r>
            <w:r w:rsidR="00633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850F8F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politikas veidotāju u</w:t>
            </w:r>
            <w:r w:rsidR="00633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 politikas ieviesēju 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AA" w14:textId="32273CCC" w:rsidR="00A309D5" w:rsidRPr="00D1645B" w:rsidRDefault="00A309D5" w:rsidP="008E1B98">
            <w:pPr>
              <w:widowControl w:val="0"/>
              <w:tabs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2E634F">
              <w:rPr>
                <w:rFonts w:ascii="Times New Roman" w:hAnsi="Times New Roman"/>
                <w:b/>
                <w:sz w:val="24"/>
                <w:szCs w:val="24"/>
              </w:rPr>
              <w:t>**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="00CE4100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  <w:r w:rsidR="002611B9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(tajā skaitā izmeklētāji – 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prokurori – 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). </w:t>
            </w:r>
          </w:p>
          <w:p w14:paraId="359185AB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Tiesu un tiesībaizsardzības iestāžu aprīkošana ar 19 videokonferences iekārtām.</w:t>
            </w:r>
          </w:p>
          <w:p w14:paraId="359185AC" w14:textId="45225985" w:rsidR="00A309D5" w:rsidRPr="00D1645B" w:rsidRDefault="002E634F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Iegādāta 1 </w:t>
            </w:r>
            <w:proofErr w:type="spellStart"/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videostraumē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šanas</w:t>
            </w:r>
            <w:proofErr w:type="spellEnd"/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iekārta.</w:t>
            </w:r>
          </w:p>
          <w:p w14:paraId="359185AD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Papildināta Tiesu informatīvā sistēma (pilnveidota </w:t>
            </w:r>
            <w:proofErr w:type="spellStart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anonimizētā</w:t>
            </w:r>
            <w:proofErr w:type="spellEnd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tiesu nolēmumu datu bāze, uzlabojot sistēmas ātrdarbību, </w:t>
            </w:r>
            <w:proofErr w:type="spellStart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anonimizēto</w:t>
            </w:r>
            <w:proofErr w:type="spellEnd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nolēmumu kvalitāti, nodrošinot precīzāku </w:t>
            </w:r>
            <w:proofErr w:type="spellStart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anonimizējamā</w:t>
            </w:r>
            <w:proofErr w:type="spellEnd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teksta atpazīšanu, aktualizējot un uzlabojot sistēmā esošos </w:t>
            </w:r>
            <w:proofErr w:type="spellStart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anonimizācijas</w:t>
            </w:r>
            <w:proofErr w:type="spellEnd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šablonu algoritmus)</w:t>
            </w:r>
          </w:p>
          <w:p w14:paraId="359185A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07" w:type="dxa"/>
            <w:gridSpan w:val="4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359185AF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5B0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5B1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5B2" w14:textId="77777777" w:rsidR="00850F8F" w:rsidRDefault="00850F8F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</w:t>
            </w:r>
          </w:p>
          <w:p w14:paraId="359185B3" w14:textId="77777777" w:rsidR="00932238" w:rsidRPr="00D1645B" w:rsidRDefault="00932238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</w:tc>
        <w:tc>
          <w:tcPr>
            <w:tcW w:w="122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359185B4" w14:textId="79862E80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041E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5BC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359185B6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359185B7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tcMar>
              <w:left w:w="57" w:type="dxa"/>
              <w:right w:w="57" w:type="dxa"/>
            </w:tcMar>
          </w:tcPr>
          <w:p w14:paraId="359185B8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B9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Samazinājies civillietu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izskatīšanas ilgums pirmās instances tiesās un apelācijas tiesās (%) – 5</w:t>
            </w:r>
          </w:p>
        </w:tc>
        <w:tc>
          <w:tcPr>
            <w:tcW w:w="1607" w:type="dxa"/>
            <w:gridSpan w:val="4"/>
            <w:vMerge/>
            <w:shd w:val="clear" w:color="auto" w:fill="FFFFFF"/>
            <w:tcMar>
              <w:left w:w="57" w:type="dxa"/>
              <w:right w:w="57" w:type="dxa"/>
            </w:tcMar>
          </w:tcPr>
          <w:p w14:paraId="359185BA" w14:textId="77777777" w:rsidR="00A309D5" w:rsidRPr="00D1645B" w:rsidRDefault="00A309D5" w:rsidP="00C36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359185BB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B641CD" w:rsidRPr="00D1645B" w14:paraId="359185D0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5BD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5B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Apmācību programmas izstrādes, tās satura pilnveidošana starpdisciplināro apmācību nodrošināšanas kontekstā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BF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Tiesnešu, </w:t>
            </w:r>
            <w:r w:rsidR="003330CC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tiesu darbinieku,</w:t>
            </w:r>
            <w:r w:rsidR="003330C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izmeklētāju, prokuroru, zvērinātu tiesu izpildītāju, zvērinātu notāru, zvērinātu advokātu, sertific</w:t>
            </w:r>
            <w:r w:rsidR="0025156B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ētu mediatoru, šķīrējtiesnešu</w:t>
            </w:r>
            <w:r w:rsidR="00B949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25156B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maksātnespējas administratoru</w:t>
            </w:r>
            <w:r w:rsidR="008A594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mācībās ieviests starpdisciplināro </w:t>
            </w:r>
            <w:r w:rsidR="00A3626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mācību princips</w:t>
            </w:r>
            <w:r w:rsidR="00D1391D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kā arī politikas veidotāju, politikas ieviesēju un sociālo partneru kompetences paaugstināšana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C0" w14:textId="7102F5B6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Starpdisciplināru apmācību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programmu skaits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 ne mazāk kā 3</w:t>
            </w:r>
          </w:p>
          <w:p w14:paraId="359185C1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5C2" w14:textId="77777777" w:rsidR="00165C10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</w:p>
          <w:p w14:paraId="359185C3" w14:textId="4FAFF762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760</w:t>
            </w:r>
          </w:p>
          <w:p w14:paraId="359185C4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5C5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5C6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5C7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5C8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LZTIP</w:t>
            </w:r>
          </w:p>
          <w:p w14:paraId="359185C9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LZNP</w:t>
            </w:r>
          </w:p>
          <w:p w14:paraId="359185CA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LZAP</w:t>
            </w:r>
          </w:p>
          <w:p w14:paraId="359185CB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KNAB</w:t>
            </w:r>
          </w:p>
          <w:p w14:paraId="359185CC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MNA</w:t>
            </w:r>
          </w:p>
          <w:p w14:paraId="359185CD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5CE" w14:textId="77777777" w:rsidR="00A309D5" w:rsidRPr="00D1645B" w:rsidRDefault="00850F8F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5CF" w14:textId="2CB23981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5DB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5D1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5D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Svešvalodu (profesionālā svešvaloda un specifiskā valodas terminoloģija) apmācība un to nostiprināšana praksē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D3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Celta tiesnešu, tiesu darbinieku, izmeklētāju, prokuroru, politikas veidotāju</w:t>
            </w:r>
            <w:r w:rsidR="0025156B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politikas ieviesēju un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tiesu ekspertu</w:t>
            </w:r>
            <w:r w:rsidRPr="00D1645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D4" w14:textId="4EBE1C34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570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5D5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5D6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5D7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5D8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  <w:p w14:paraId="359185D9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5DA" w14:textId="6E4CD23A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1913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5E9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5DC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5DD" w14:textId="1429E506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Apmācība starptautiskā tiesisk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aj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 sadarbībā</w:t>
            </w:r>
          </w:p>
          <w:p w14:paraId="359185D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5DF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E0" w14:textId="78F26813" w:rsidR="00A309D5" w:rsidRPr="00D1645B" w:rsidRDefault="00A309D5" w:rsidP="00B3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Paaugstinot tiesu un tiesībsargājošo iestāžu personāla kompetenci, veicināt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ātrāka lietu izmeklēšana un iztiesāšana, lai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sekmē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zņēmējdarbības vides uzlabošanu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E1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ersonu skaits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359185E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tiesneši, tiesu darbinieki, prokurori – 1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330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59185E3" w14:textId="77777777" w:rsidR="00490F61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policijā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143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; </w:t>
            </w:r>
          </w:p>
          <w:p w14:paraId="359185E4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robežsardzē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5E5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5E6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5E7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5E8" w14:textId="2E697A51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5F5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5EA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5EB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Apmācība par ES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tiesību un cilvēktiesību jautājumiem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EC" w14:textId="2F93E752" w:rsidR="00A309D5" w:rsidRPr="00D1645B" w:rsidRDefault="00A309D5" w:rsidP="00B3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Paaugstinot tiesu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un tiesībsargājošo iestāžu personāla kompetenci, veicināt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ātrāka lietu izmeklēšana un iztiesāšana, lai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sekmē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zņēmējdarbības vides uzlabošanu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ED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Apmācīto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personu skaits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359185E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tiesneši, tie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 darbinieki un prokurori – 665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59185EF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policijā</w:t>
            </w:r>
            <w:r w:rsidR="002611B9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143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59185F0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robežsardzē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10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5F1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AT</w:t>
            </w:r>
          </w:p>
          <w:p w14:paraId="359185F2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IeM</w:t>
            </w:r>
          </w:p>
          <w:p w14:paraId="359185F3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5F4" w14:textId="581E0E2D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Regulāri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600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5F6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6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5F7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Judikatūras un vienotas tiesu prakses apkopošana un publicēšana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F8" w14:textId="0F0591E4" w:rsidR="00A309D5" w:rsidRPr="00D1645B" w:rsidRDefault="00A309D5" w:rsidP="00B3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Paaugstinot tiesnešu, tiesu darbinieku, izmeklētāju un prokuroru kompetenci, veicināt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ātrāka lietu izmeklēšana un iztiesāšana, lai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sekmē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</w:t>
            </w:r>
            <w:r w:rsidR="00B3561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uzņēmējdarbības vides uzlabošan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5F9" w14:textId="44F441E1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Judikatūras un 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iesu prakses apkopojumu skaits –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</w:t>
            </w:r>
          </w:p>
          <w:p w14:paraId="359185FA" w14:textId="77777777" w:rsidR="00165C10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5FB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165C10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pmācīto personu skaits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5FC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5FD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5F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5FF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1913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pus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</w:t>
            </w:r>
          </w:p>
        </w:tc>
      </w:tr>
      <w:tr w:rsidR="00B641CD" w:rsidRPr="00D1645B" w14:paraId="3591860D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01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0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IKT apmācību programmas pilnveide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03" w14:textId="1AA7182A" w:rsidR="00A309D5" w:rsidRPr="00D1645B" w:rsidRDefault="00A309D5" w:rsidP="009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Paaugstinot</w:t>
            </w:r>
            <w:r w:rsidR="00B356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tiesnešu, tiesu darbinieku,</w:t>
            </w:r>
            <w:r w:rsidR="008A5941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tiesu ekspertu,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izmeklētāju</w:t>
            </w:r>
            <w:r w:rsidR="008716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prokuroru</w:t>
            </w:r>
            <w:r w:rsidR="008716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E059F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politikas ieviesēju</w:t>
            </w:r>
            <w:r w:rsidR="009F6528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kompetenci</w:t>
            </w:r>
            <w:r w:rsidR="004E059F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kuru pārziņā ir tiesu un tiesu varai piederīgo iestāžu valsts informācijas sistēmu uzturēšana,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veicināt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ātrāka lietu izmeklēšana un iztiesāšana, lai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F6528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sekmē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</w:t>
            </w:r>
            <w:r w:rsidR="009F6528" w:rsidRPr="004E059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zņēmējdarbības vides uzlabošanu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04" w14:textId="69D96BDA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Pilnveidot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 IKT apmācību programmu skaits –</w:t>
            </w:r>
            <w:r w:rsidR="00165C10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</w:t>
            </w:r>
          </w:p>
          <w:p w14:paraId="35918605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606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1330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07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608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609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60A" w14:textId="77777777" w:rsidR="00C53190" w:rsidRPr="00D1645B" w:rsidRDefault="00C5319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  <w:p w14:paraId="3591860B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0C" w14:textId="550B896C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617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0E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0F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Tiesu ekspertu apmācības procesuālajos un praktiskajos jautājumos, kas saistīti ar tiesu ekspertīžu veikšanu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10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Celta tiesu ekspertu 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11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</w:t>
            </w:r>
          </w:p>
          <w:p w14:paraId="3591861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918613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14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615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16" w14:textId="36A3DE69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623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18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9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19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Rokasgrāmatas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izstrāde izmeklētājiem, prokuroriem, tiesnešiem</w:t>
            </w:r>
            <w:r w:rsidR="00BF52CC">
              <w:rPr>
                <w:rFonts w:ascii="Times New Roman" w:hAnsi="Times New Roman"/>
                <w:sz w:val="24"/>
                <w:szCs w:val="24"/>
              </w:rPr>
              <w:t>, tiesu darbiniekiem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par tiesu ekspertīzes praktiskajiem jautājumiem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1A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Celta tiesnešu,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t</w:t>
            </w:r>
            <w:r w:rsidR="0035677B">
              <w:rPr>
                <w:rFonts w:ascii="Times New Roman" w:hAnsi="Times New Roman"/>
                <w:sz w:val="24"/>
                <w:szCs w:val="24"/>
              </w:rPr>
              <w:t>iesu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darbinieku, izmeklētāju un prokuroru 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1B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Izstrādāto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rokasgrāmatu skaits </w:t>
            </w:r>
            <w:r w:rsidR="00165C10" w:rsidRPr="00D1645B"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14:paraId="3591861C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1861D" w14:textId="77777777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1E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IeM</w:t>
            </w:r>
          </w:p>
          <w:p w14:paraId="3591861F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ĢP</w:t>
            </w:r>
          </w:p>
          <w:p w14:paraId="35918620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VTEB</w:t>
            </w:r>
          </w:p>
          <w:p w14:paraId="35918621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22" w14:textId="77777777" w:rsidR="00A309D5" w:rsidRPr="00191356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2018.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pusgads</w:t>
            </w:r>
          </w:p>
        </w:tc>
      </w:tr>
      <w:tr w:rsidR="00B641CD" w:rsidRPr="00D1645B" w14:paraId="3591862D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24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10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25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Apmācības par tiesu ekspertīžu rezultātu interpretēšanu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26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Celta tiesnešu, </w:t>
            </w:r>
            <w:r w:rsidR="004448BD" w:rsidRP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</w:t>
            </w:r>
            <w:r w:rsid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darbinieku, izmeklētāju un prokuroru, tiesu ekspertu 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27" w14:textId="6D04662C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475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28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629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62A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62B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2C" w14:textId="5CD097A6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B641CD" w:rsidRPr="00D1645B" w14:paraId="35918638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2E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11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2F" w14:textId="6077C739" w:rsidR="00A309D5" w:rsidRPr="00D1645B" w:rsidRDefault="00A309D5" w:rsidP="009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Rokasgrāmatu</w:t>
            </w:r>
            <w:r w:rsidR="00871692">
              <w:rPr>
                <w:rFonts w:ascii="Times New Roman" w:hAnsi="Times New Roman"/>
                <w:sz w:val="24"/>
                <w:szCs w:val="24"/>
              </w:rPr>
              <w:t xml:space="preserve"> izstrāde</w:t>
            </w:r>
            <w:r w:rsidR="009F6528">
              <w:rPr>
                <w:rFonts w:ascii="Times New Roman" w:hAnsi="Times New Roman"/>
                <w:sz w:val="24"/>
                <w:szCs w:val="24"/>
              </w:rPr>
              <w:t>:</w:t>
            </w:r>
            <w:r w:rsidR="0087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692" w:rsidRPr="000E1B19">
              <w:rPr>
                <w:rFonts w:ascii="Times New Roman" w:hAnsi="Times New Roman"/>
                <w:sz w:val="24"/>
                <w:szCs w:val="24"/>
              </w:rPr>
              <w:t xml:space="preserve">kā </w:t>
            </w:r>
            <w:r w:rsidR="004E059F" w:rsidRPr="000E1B19">
              <w:rPr>
                <w:rFonts w:ascii="Times New Roman" w:hAnsi="Times New Roman"/>
                <w:sz w:val="24"/>
                <w:szCs w:val="24"/>
              </w:rPr>
              <w:t>sastādāmi</w:t>
            </w:r>
            <w:r w:rsidR="00871692" w:rsidRPr="000E1B19">
              <w:rPr>
                <w:rFonts w:ascii="Times New Roman" w:hAnsi="Times New Roman"/>
                <w:sz w:val="24"/>
                <w:szCs w:val="24"/>
              </w:rPr>
              <w:t xml:space="preserve"> procesuālie dokumenti,</w:t>
            </w:r>
            <w:r w:rsidRPr="000E1B19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iesas procesa vadīšana/jaunā tiesneša un tiesas darbinieka rokasgrāmata, par ECT praksi jautājumā par nosakāmo atlīdzinājuma apmēru, vadlīniju izstrāde attiecībā uz </w:t>
            </w:r>
            <w:r w:rsidR="009F6528" w:rsidRPr="00D1645B">
              <w:rPr>
                <w:rFonts w:ascii="Times New Roman" w:hAnsi="Times New Roman"/>
                <w:sz w:val="24"/>
                <w:szCs w:val="24"/>
              </w:rPr>
              <w:t>problemātiku</w:t>
            </w:r>
            <w:r w:rsidR="009F6528">
              <w:rPr>
                <w:rFonts w:ascii="Times New Roman" w:hAnsi="Times New Roman"/>
                <w:sz w:val="24"/>
                <w:szCs w:val="24"/>
              </w:rPr>
              <w:t>, kas saistīta ar</w:t>
            </w:r>
            <w:r w:rsidR="009F6528" w:rsidRPr="00D1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tiesas spriešan</w:t>
            </w:r>
            <w:r w:rsidR="009F6528">
              <w:rPr>
                <w:rFonts w:ascii="Times New Roman" w:hAnsi="Times New Roman"/>
                <w:sz w:val="24"/>
                <w:szCs w:val="24"/>
              </w:rPr>
              <w:t>u,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BF0A9C">
              <w:rPr>
                <w:rFonts w:ascii="Times New Roman" w:hAnsi="Times New Roman"/>
                <w:sz w:val="24"/>
                <w:szCs w:val="24"/>
              </w:rPr>
              <w:t>. t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ml.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30" w14:textId="77777777" w:rsidR="00A309D5" w:rsidRPr="00D1645B" w:rsidRDefault="00A36261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Celta tiesnešu, </w:t>
            </w:r>
            <w:r w:rsidR="004448BD" w:rsidRPr="004448BD">
              <w:rPr>
                <w:rFonts w:ascii="Times New Roman" w:hAnsi="Times New Roman"/>
                <w:sz w:val="24"/>
                <w:szCs w:val="24"/>
              </w:rPr>
              <w:t>ties</w:t>
            </w:r>
            <w:r w:rsidR="004448BD">
              <w:rPr>
                <w:rFonts w:ascii="Times New Roman" w:hAnsi="Times New Roman"/>
                <w:sz w:val="24"/>
                <w:szCs w:val="24"/>
              </w:rPr>
              <w:t>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darbinieku</w:t>
            </w:r>
            <w:r w:rsidR="00680C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0CE0" w:rsidRPr="000E1B19">
              <w:rPr>
                <w:rFonts w:ascii="Times New Roman" w:hAnsi="Times New Roman"/>
                <w:sz w:val="24"/>
                <w:szCs w:val="24"/>
              </w:rPr>
              <w:t>prokuroru</w:t>
            </w:r>
            <w:r w:rsidR="00871692" w:rsidRPr="000E1B19">
              <w:rPr>
                <w:rFonts w:ascii="Times New Roman" w:hAnsi="Times New Roman"/>
                <w:sz w:val="24"/>
                <w:szCs w:val="24"/>
              </w:rPr>
              <w:t xml:space="preserve"> un izmeklētāju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D5" w:rsidRPr="00D1645B">
              <w:rPr>
                <w:rFonts w:ascii="Times New Roman" w:hAnsi="Times New Roman"/>
                <w:sz w:val="24"/>
                <w:szCs w:val="24"/>
              </w:rPr>
              <w:t>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31" w14:textId="1844F354" w:rsidR="00A309D5" w:rsidRPr="00D1645B" w:rsidRDefault="009F6528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Izstrādāto rokasgrāmatu skaits –</w:t>
            </w:r>
            <w:r w:rsidR="00165C10" w:rsidRPr="00D1645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35918632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18633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</w:t>
            </w:r>
            <w:r w:rsidR="00165C10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 personu skaits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333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34" w14:textId="77777777" w:rsidR="00A309D5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  <w:p w14:paraId="35918635" w14:textId="77777777" w:rsidR="008569D1" w:rsidRPr="000E1B19" w:rsidRDefault="008569D1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ĢP</w:t>
            </w:r>
          </w:p>
          <w:p w14:paraId="35918636" w14:textId="77777777" w:rsidR="00871692" w:rsidRPr="00D1645B" w:rsidRDefault="00871692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IeM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37" w14:textId="77777777" w:rsidR="00A309D5" w:rsidRPr="00191356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2019.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 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pusgads</w:t>
            </w:r>
          </w:p>
        </w:tc>
      </w:tr>
      <w:tr w:rsidR="00B641CD" w:rsidRPr="00D1645B" w14:paraId="35918643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39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3A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Pieredzes apmaiņas vizītes, apgūstot citu </w:t>
            </w:r>
            <w:r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valstu praksi, </w:t>
            </w:r>
            <w:r w:rsidR="00871692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it īpaši</w:t>
            </w:r>
            <w:r w:rsidR="008716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veicinot vienotu tiesību izpratnes veidošanos, tiesību instrumentu apgūšanu un piemērošanu 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3B" w14:textId="77777777" w:rsidR="00A309D5" w:rsidRPr="00D1645B" w:rsidRDefault="0025156B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Paaugstināta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tiesnešu, </w:t>
            </w:r>
            <w:r w:rsidR="00A309D5" w:rsidRP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</w:t>
            </w:r>
            <w:r w:rsid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darbinieku, izmeklētāju, prokuroru, politikas veidotāju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politikas ieviesēju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kompetence</w:t>
            </w:r>
          </w:p>
        </w:tc>
        <w:tc>
          <w:tcPr>
            <w:tcW w:w="1842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3C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</w:t>
            </w:r>
            <w:r w:rsidR="00165C10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 personu skaits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684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60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14:paraId="3591863D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  <w:p w14:paraId="3591863E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ĢP</w:t>
            </w:r>
          </w:p>
          <w:p w14:paraId="3591863F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VTEB</w:t>
            </w:r>
          </w:p>
          <w:p w14:paraId="35918640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641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1228" w:type="dxa"/>
            <w:shd w:val="clear" w:color="auto" w:fill="FFFFFF"/>
            <w:tcMar>
              <w:left w:w="57" w:type="dxa"/>
              <w:right w:w="57" w:type="dxa"/>
            </w:tcMar>
          </w:tcPr>
          <w:p w14:paraId="35918642" w14:textId="2837A67F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Regulāri līdz 2022.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</w:t>
            </w:r>
          </w:p>
        </w:tc>
      </w:tr>
      <w:tr w:rsidR="00A309D5" w:rsidRPr="00D1645B" w14:paraId="35918645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592" w:type="dxa"/>
            <w:gridSpan w:val="11"/>
            <w:shd w:val="clear" w:color="auto" w:fill="FFFFFF"/>
            <w:tcMar>
              <w:left w:w="57" w:type="dxa"/>
              <w:right w:w="57" w:type="dxa"/>
            </w:tcMar>
          </w:tcPr>
          <w:p w14:paraId="35918644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Efektīva cilvēkresursu izmantošana</w:t>
            </w:r>
          </w:p>
        </w:tc>
      </w:tr>
      <w:tr w:rsidR="009F2F65" w:rsidRPr="00D1645B" w14:paraId="3591864D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46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47" w14:textId="2E1952F8" w:rsidR="00A309D5" w:rsidRPr="00D1645B" w:rsidRDefault="00A309D5" w:rsidP="009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Efektīva tiesnešu amata kandidātu atlases un iecelšanas tiesneša amatā procedūra, lai samazinātu laiku, k</w:t>
            </w:r>
            <w:r w:rsidR="009F65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tiesa strādā nepilnā sastāvā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48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Efektivizēts</w:t>
            </w:r>
            <w:proofErr w:type="spellEnd"/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kvalitatīvu cilvēkresursu piesaistes process tiesu varai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49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Izstrādāts un ieviests kompetenču modelis tiesnešiem un tiesu darbiniekiem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4A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  <w:p w14:paraId="3591864B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3"/>
          </w:tcPr>
          <w:p w14:paraId="3591864C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1.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pusgads</w:t>
            </w:r>
          </w:p>
        </w:tc>
      </w:tr>
      <w:tr w:rsidR="009F2F65" w:rsidRPr="00D1645B" w14:paraId="35918657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4E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14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4F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Tiesneša amata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kandidātu un jauno tiesnešu individualizētas apmācības, efektīvāk pievēršoties konkrētās personas apmācību vajadzībām un uzlabojot apmācību procesa kvalitāti, ieviešot tiesneša amata kandidāta vai jaunā tiesneša darbaudzinātāja (mentora) institūtu apmācību procesā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50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Efektivizēts</w:t>
            </w:r>
            <w:proofErr w:type="spellEnd"/>
            <w:r w:rsidRPr="00D1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kvalitatīvu cilvēkresursu piesaistes process tiesu varai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51" w14:textId="15C6E439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Atcelto tiesas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nolēmumu īpatsvars </w:t>
            </w:r>
            <w:proofErr w:type="gramStart"/>
            <w:r w:rsidR="00A36261" w:rsidRPr="00D164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36261" w:rsidRPr="00D1645B">
              <w:rPr>
                <w:rFonts w:ascii="Times New Roman" w:hAnsi="Times New Roman"/>
                <w:sz w:val="24"/>
                <w:szCs w:val="24"/>
              </w:rPr>
              <w:t xml:space="preserve">procesuālo pārkāpumu dēļ </w:t>
            </w:r>
            <w:r w:rsidR="009F6528">
              <w:rPr>
                <w:rFonts w:ascii="Times New Roman" w:hAnsi="Times New Roman"/>
                <w:sz w:val="24"/>
                <w:szCs w:val="24"/>
              </w:rPr>
              <w:t>(%)</w:t>
            </w:r>
            <w:r w:rsidR="00A36261" w:rsidRPr="00D1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– 1</w:t>
            </w:r>
            <w:r w:rsidR="009F6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91865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18653" w14:textId="29CDED83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skaits: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jaunie tiesneši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48, tiesu darbinieki –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114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54" w14:textId="77777777" w:rsidR="00A309D5" w:rsidRPr="00D1645B" w:rsidRDefault="008569D1" w:rsidP="00C3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</w:t>
            </w:r>
          </w:p>
          <w:p w14:paraId="35918655" w14:textId="77777777" w:rsidR="00A309D5" w:rsidRPr="00D1645B" w:rsidRDefault="00A309D5" w:rsidP="00C365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56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Regulāri līdz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9F2F65" w:rsidRPr="00D1645B" w14:paraId="3591865F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58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59" w14:textId="5DF82655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Tiesnešu mentoru (darbaudzinātāju) grupas izveide, kuri tiek sagatavoti darbam ar jaunajiem </w:t>
            </w:r>
            <w:r w:rsidR="00EF1DC4" w:rsidRPr="00D1645B">
              <w:rPr>
                <w:rFonts w:ascii="Times New Roman" w:hAnsi="Times New Roman"/>
                <w:sz w:val="24"/>
                <w:szCs w:val="24"/>
              </w:rPr>
              <w:t xml:space="preserve">kolēģiem, kā arī tiek izveidota </w:t>
            </w:r>
            <w:r w:rsidR="006C71E2">
              <w:rPr>
                <w:rFonts w:ascii="Times New Roman" w:hAnsi="Times New Roman"/>
                <w:sz w:val="24"/>
                <w:szCs w:val="24"/>
              </w:rPr>
              <w:t>mācību programma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, kas ir vērsta uz mentoru prasmju un zināšanu pilnveidošanu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5A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1645B">
              <w:rPr>
                <w:rFonts w:ascii="Times New Roman" w:hAnsi="Times New Roman"/>
                <w:sz w:val="24"/>
                <w:szCs w:val="24"/>
              </w:rPr>
              <w:t>Efektivizēts</w:t>
            </w:r>
            <w:proofErr w:type="spellEnd"/>
            <w:r w:rsidRPr="00D1645B">
              <w:rPr>
                <w:rFonts w:ascii="Times New Roman" w:hAnsi="Times New Roman"/>
                <w:sz w:val="24"/>
                <w:szCs w:val="24"/>
              </w:rPr>
              <w:t xml:space="preserve"> kvalitatīvu cilvēkresursu piesaistes process tiesu varai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5B" w14:textId="6B8F17B5" w:rsidR="00A309D5" w:rsidRPr="00D1645B" w:rsidRDefault="00165C10" w:rsidP="00DB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62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5C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  <w:p w14:paraId="3591865D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5E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Regulāri līdz 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9F2F65" w:rsidRPr="00D1645B" w14:paraId="3591866A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60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16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61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Prasmju pilnveides apmācības, tajā skaitā tiesu priekšsēdētāju apmācības vadības jautājumos, kā arī tiesnešu, tiesu darbinieku apmācības komunikācijā ar masu medijiem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62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Celta tiesnešu, </w:t>
            </w:r>
            <w:r w:rsidRPr="004448BD">
              <w:rPr>
                <w:rFonts w:ascii="Times New Roman" w:hAnsi="Times New Roman"/>
                <w:sz w:val="24"/>
                <w:szCs w:val="24"/>
              </w:rPr>
              <w:t>ties</w:t>
            </w:r>
            <w:r w:rsidR="004448BD">
              <w:rPr>
                <w:rFonts w:ascii="Times New Roman" w:hAnsi="Times New Roman"/>
                <w:sz w:val="24"/>
                <w:szCs w:val="24"/>
              </w:rPr>
              <w:t>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darbinieku, izmeklētāju,</w:t>
            </w:r>
            <w:r w:rsidR="00EF1DC4" w:rsidRPr="00D1645B">
              <w:rPr>
                <w:rFonts w:ascii="Times New Roman" w:hAnsi="Times New Roman"/>
                <w:sz w:val="24"/>
                <w:szCs w:val="24"/>
              </w:rPr>
              <w:t xml:space="preserve"> prokuroru, politikas </w:t>
            </w:r>
            <w:r w:rsidR="008A5941" w:rsidRPr="00D1645B">
              <w:rPr>
                <w:rFonts w:ascii="Times New Roman" w:hAnsi="Times New Roman"/>
                <w:sz w:val="24"/>
                <w:szCs w:val="24"/>
              </w:rPr>
              <w:t>veidotāju</w:t>
            </w:r>
            <w:r w:rsidR="009D29FC" w:rsidRPr="00D1645B">
              <w:rPr>
                <w:rFonts w:ascii="Times New Roman" w:hAnsi="Times New Roman"/>
                <w:sz w:val="24"/>
                <w:szCs w:val="24"/>
              </w:rPr>
              <w:t xml:space="preserve">, politikas ieviesēju </w:t>
            </w:r>
            <w:r w:rsidR="00EF1DC4" w:rsidRPr="00D1645B">
              <w:rPr>
                <w:rFonts w:ascii="Times New Roman" w:hAnsi="Times New Roman"/>
                <w:sz w:val="24"/>
                <w:szCs w:val="24"/>
              </w:rPr>
              <w:t>un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tiesu ekspertu kompetence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63" w14:textId="1264195F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1093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64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IeM</w:t>
            </w:r>
          </w:p>
          <w:p w14:paraId="35918665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ĢP</w:t>
            </w:r>
          </w:p>
          <w:p w14:paraId="35918666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  <w:p w14:paraId="35918667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VTEB</w:t>
            </w:r>
          </w:p>
          <w:p w14:paraId="35918668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TM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69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Regulāri līdz 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9F2F65" w:rsidRPr="00D1645B" w14:paraId="35918671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6B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  <w:r w:rsidR="00CA68C4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6C" w14:textId="4873CC74" w:rsidR="00A309D5" w:rsidRPr="00D1645B" w:rsidRDefault="00DB45F3" w:rsidP="00DB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Tāda 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konsultanta apmācības, kura pienākum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būtu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sniegt atbildes uz uzdotajiem jautā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jumiem par ES tiesībām, izpētīt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attiecīgo ES 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iesību jautājumu vai judikatūru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sniegt cita veida atbalstu tiesnešiem ES tiesību jautājumos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6D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Celta tiesnešu un </w:t>
            </w:r>
            <w:r w:rsidR="004448BD" w:rsidRP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</w:t>
            </w:r>
            <w:r w:rsidR="004448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darbinieku kompetence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6E" w14:textId="05911435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D85C02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67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6F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70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2021.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2.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pusgads</w:t>
            </w:r>
          </w:p>
        </w:tc>
      </w:tr>
      <w:tr w:rsidR="009F2F65" w:rsidRPr="00D1645B" w14:paraId="35918678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72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73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Tiesnešu un tiesas darbinieku iesaistes veicināšana tiesnešu sadarbības tīklā nacionālā un Eiropas līmenī, nodrošinot atbilstošas sagatavošanās apmācības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74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 xml:space="preserve">Celta tiesnešu un </w:t>
            </w:r>
            <w:r w:rsidRPr="004448BD">
              <w:rPr>
                <w:rFonts w:ascii="Times New Roman" w:hAnsi="Times New Roman"/>
                <w:sz w:val="24"/>
                <w:szCs w:val="24"/>
              </w:rPr>
              <w:t>ties</w:t>
            </w:r>
            <w:r w:rsidR="004448BD">
              <w:rPr>
                <w:rFonts w:ascii="Times New Roman" w:hAnsi="Times New Roman"/>
                <w:sz w:val="24"/>
                <w:szCs w:val="24"/>
              </w:rPr>
              <w:t>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darbinieku kompetence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75" w14:textId="25C5D219" w:rsidR="00A309D5" w:rsidRPr="00D1645B" w:rsidRDefault="00165C10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Apmācīto personu skaits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85C02" w:rsidRPr="000E1B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76" w14:textId="77777777" w:rsidR="00A309D5" w:rsidRPr="00D1645B" w:rsidRDefault="00A309D5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77" w14:textId="77777777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Regulāri līdz 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A309D5" w:rsidRPr="00D1645B" w14:paraId="3591867A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592" w:type="dxa"/>
            <w:gridSpan w:val="11"/>
            <w:shd w:val="clear" w:color="auto" w:fill="FFFFFF"/>
            <w:tcMar>
              <w:left w:w="57" w:type="dxa"/>
              <w:right w:w="57" w:type="dxa"/>
            </w:tcMar>
          </w:tcPr>
          <w:p w14:paraId="35918679" w14:textId="77777777" w:rsidR="00A309D5" w:rsidRPr="00D1645B" w:rsidRDefault="00A309D5" w:rsidP="00C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1645B">
              <w:rPr>
                <w:rFonts w:ascii="Times New Roman" w:hAnsi="Times New Roman"/>
                <w:b/>
                <w:sz w:val="24"/>
                <w:szCs w:val="24"/>
              </w:rPr>
              <w:t>Tiesu noslodzes jautājumu risināšana, veicinot alternatīvo domstarpību risināšanas (ADR) veidu izmantošanu</w:t>
            </w:r>
          </w:p>
        </w:tc>
      </w:tr>
      <w:tr w:rsidR="00050975" w:rsidRPr="00D1645B" w14:paraId="35918684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7B" w14:textId="77777777" w:rsidR="00A309D5" w:rsidRPr="00D1645B" w:rsidRDefault="00A309D5" w:rsidP="00C3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19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7C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Veicināt tiesu darbinieku, tiesnešu, izmeklētāju un prokuroru izpratni par mediāciju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7D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Celta tiesnešu,</w:t>
            </w:r>
            <w:r w:rsidR="0085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9D1" w:rsidRPr="004448BD">
              <w:rPr>
                <w:rFonts w:ascii="Times New Roman" w:hAnsi="Times New Roman"/>
                <w:sz w:val="24"/>
                <w:szCs w:val="24"/>
              </w:rPr>
              <w:t>ties</w:t>
            </w:r>
            <w:r w:rsidR="004448BD" w:rsidRPr="004448BD">
              <w:rPr>
                <w:rFonts w:ascii="Times New Roman" w:hAnsi="Times New Roman"/>
                <w:sz w:val="24"/>
                <w:szCs w:val="24"/>
              </w:rPr>
              <w:t>u</w:t>
            </w:r>
            <w:r w:rsidR="008569D1">
              <w:rPr>
                <w:rFonts w:ascii="Times New Roman" w:hAnsi="Times New Roman"/>
                <w:sz w:val="24"/>
                <w:szCs w:val="24"/>
              </w:rPr>
              <w:t xml:space="preserve"> darbinieku, izmeklētāju, 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prokuroru</w:t>
            </w:r>
            <w:r w:rsidR="008569D1">
              <w:rPr>
                <w:rFonts w:ascii="Times New Roman" w:hAnsi="Times New Roman"/>
                <w:sz w:val="24"/>
                <w:szCs w:val="24"/>
              </w:rPr>
              <w:t>, politikas veidotāju un politikas ieviesēju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 xml:space="preserve"> kompetence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7E" w14:textId="77777777" w:rsidR="00A309D5" w:rsidRPr="00D1645B" w:rsidRDefault="00165C10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Apmācīto personu skaits</w:t>
            </w:r>
            <w:r w:rsidR="00D85C02" w:rsidRPr="00D1645B">
              <w:rPr>
                <w:rFonts w:ascii="Times New Roman" w:hAnsi="Times New Roman"/>
                <w:sz w:val="24"/>
                <w:szCs w:val="24"/>
              </w:rPr>
              <w:t xml:space="preserve"> – 475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7F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IeM</w:t>
            </w:r>
          </w:p>
          <w:p w14:paraId="35918680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ĢP</w:t>
            </w:r>
          </w:p>
          <w:p w14:paraId="35918681" w14:textId="77777777" w:rsidR="00A309D5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  <w:p w14:paraId="35918682" w14:textId="77777777" w:rsidR="008569D1" w:rsidRPr="00D1645B" w:rsidRDefault="008569D1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TM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83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Regulāri līdz 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050975" w:rsidRPr="00D1645B" w14:paraId="3591868B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85" w14:textId="77777777" w:rsidR="00A309D5" w:rsidRPr="00D1645B" w:rsidRDefault="00A309D5" w:rsidP="00C3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20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shd w:val="clear" w:color="auto" w:fill="FFFFFF"/>
            <w:tcMar>
              <w:left w:w="57" w:type="dxa"/>
              <w:right w:w="57" w:type="dxa"/>
            </w:tcMar>
          </w:tcPr>
          <w:p w14:paraId="35918686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Stiprināt vispārējās jurisdikcijas tiesu tiesnešu zināšanas par šķīrējtiesas procesu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87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Celta tiesnešu un tiesas darbinieku kompetence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88" w14:textId="77777777" w:rsidR="00A309D5" w:rsidRPr="00D1645B" w:rsidRDefault="00165C10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Apmācīto personu skaits</w:t>
            </w:r>
            <w:r w:rsidR="00A309D5" w:rsidRPr="00D164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D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C02" w:rsidRPr="00D1645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89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8A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Regulāri līdz 2022.</w:t>
            </w:r>
            <w:r w:rsidR="00CD7FF5">
              <w:rPr>
                <w:rFonts w:ascii="Times New Roman" w:hAnsi="Times New Roman"/>
                <w:sz w:val="24"/>
                <w:szCs w:val="24"/>
              </w:rPr>
              <w:t> </w:t>
            </w:r>
            <w:r w:rsidRPr="00D1645B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="00A309D5" w:rsidRPr="00D1645B" w14:paraId="3591868D" w14:textId="77777777" w:rsidTr="008E1B9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592" w:type="dxa"/>
            <w:gridSpan w:val="11"/>
            <w:shd w:val="clear" w:color="auto" w:fill="FFFFFF"/>
            <w:tcMar>
              <w:left w:w="57" w:type="dxa"/>
              <w:right w:w="57" w:type="dxa"/>
            </w:tcMar>
          </w:tcPr>
          <w:p w14:paraId="3591868C" w14:textId="77777777" w:rsidR="00A309D5" w:rsidRPr="00D1645B" w:rsidRDefault="00A309D5" w:rsidP="00C3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b/>
                <w:sz w:val="24"/>
                <w:szCs w:val="24"/>
              </w:rPr>
              <w:t>Uz izvērtējumu balstīta politikas īstenošana un cilvēkresursu attīstības plānošana</w:t>
            </w:r>
          </w:p>
        </w:tc>
      </w:tr>
      <w:tr w:rsidR="00050975" w:rsidRPr="00D1645B" w14:paraId="35918694" w14:textId="77777777" w:rsidTr="00DB45F3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14:paraId="3591868E" w14:textId="77777777" w:rsidR="00A309D5" w:rsidRPr="00D1645B" w:rsidRDefault="00A309D5" w:rsidP="00C3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21</w:t>
            </w:r>
            <w:r w:rsidR="00CA68C4" w:rsidRPr="00D1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14:paraId="3591868F" w14:textId="77777777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Tiesu sistēmas efektivitātes izvērtējums starptautisko ekspertu vērtējumā</w:t>
            </w:r>
          </w:p>
        </w:tc>
        <w:tc>
          <w:tcPr>
            <w:tcW w:w="1796" w:type="dxa"/>
            <w:shd w:val="clear" w:color="auto" w:fill="FFFFFF"/>
            <w:tcMar>
              <w:left w:w="57" w:type="dxa"/>
              <w:right w:w="57" w:type="dxa"/>
            </w:tcMar>
          </w:tcPr>
          <w:p w14:paraId="35918690" w14:textId="5FFA6C33" w:rsidR="00A309D5" w:rsidRPr="00D1645B" w:rsidRDefault="00A309D5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Izvērtēta Latvijas tiesu sistēma un sniegtas rekomendā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cijas tās iespējamai pilnveidei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14:paraId="35918691" w14:textId="547AD026" w:rsidR="00A309D5" w:rsidRPr="00D1645B" w:rsidRDefault="00A309D5" w:rsidP="008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Veikto izvērtējumu </w:t>
            </w:r>
            <w:r w:rsidR="00DB45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skaits –</w:t>
            </w:r>
            <w:r w:rsidR="00165C10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92" w14:textId="77777777" w:rsidR="00A309D5" w:rsidRPr="00D1645B" w:rsidRDefault="00165C10" w:rsidP="008E1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45B">
              <w:rPr>
                <w:rFonts w:ascii="Times New Roman" w:hAnsi="Times New Roman"/>
                <w:sz w:val="24"/>
                <w:szCs w:val="24"/>
              </w:rPr>
              <w:t>TM</w:t>
            </w:r>
          </w:p>
        </w:tc>
        <w:tc>
          <w:tcPr>
            <w:tcW w:w="1559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14:paraId="35918693" w14:textId="77777777" w:rsidR="00A309D5" w:rsidRPr="00191356" w:rsidRDefault="003054F1" w:rsidP="008E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2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CD7F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A309D5" w:rsidRPr="00D164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pusgads </w:t>
            </w:r>
          </w:p>
        </w:tc>
      </w:tr>
    </w:tbl>
    <w:p w14:paraId="35918695" w14:textId="77777777" w:rsidR="00E6592B" w:rsidRDefault="00E6592B" w:rsidP="005F1AE1">
      <w:pPr>
        <w:pStyle w:val="Default"/>
        <w:ind w:right="-1" w:firstLine="709"/>
        <w:jc w:val="both"/>
        <w:rPr>
          <w:rFonts w:eastAsia="Times New Roman"/>
          <w:b/>
          <w:lang w:eastAsia="lv-LV"/>
        </w:rPr>
      </w:pPr>
    </w:p>
    <w:p w14:paraId="2515D14C" w14:textId="30C7D939" w:rsidR="00DB45F3" w:rsidRPr="00DB45F3" w:rsidRDefault="00DB45F3" w:rsidP="005F1AE1">
      <w:pPr>
        <w:pStyle w:val="Default"/>
        <w:ind w:right="-1" w:firstLine="709"/>
        <w:jc w:val="both"/>
        <w:rPr>
          <w:rFonts w:eastAsia="Times New Roman"/>
          <w:lang w:eastAsia="lv-LV"/>
        </w:rPr>
      </w:pPr>
      <w:r w:rsidRPr="00DB45F3">
        <w:rPr>
          <w:rFonts w:eastAsia="Times New Roman"/>
          <w:lang w:eastAsia="lv-LV"/>
        </w:rPr>
        <w:t>Piezīmes.</w:t>
      </w:r>
    </w:p>
    <w:p w14:paraId="35918697" w14:textId="5C0EB65A" w:rsidR="00E6592B" w:rsidRPr="00DB45F3" w:rsidRDefault="001E3062" w:rsidP="00DB45F3">
      <w:pPr>
        <w:pStyle w:val="Default"/>
        <w:ind w:right="-1" w:firstLine="709"/>
        <w:jc w:val="both"/>
        <w:rPr>
          <w:rFonts w:eastAsia="Times New Roman"/>
          <w:lang w:eastAsia="lv-LV"/>
        </w:rPr>
      </w:pPr>
      <w:r w:rsidRPr="00D1645B">
        <w:rPr>
          <w:rFonts w:eastAsia="Times New Roman"/>
          <w:b/>
          <w:lang w:eastAsia="lv-LV"/>
        </w:rPr>
        <w:t>*</w:t>
      </w:r>
      <w:r w:rsidR="00DB45F3">
        <w:rPr>
          <w:rFonts w:eastAsia="Times New Roman"/>
          <w:b/>
          <w:lang w:eastAsia="lv-LV"/>
        </w:rPr>
        <w:t> </w:t>
      </w:r>
      <w:r w:rsidRPr="00D1645B">
        <w:rPr>
          <w:rFonts w:eastAsia="Times New Roman"/>
          <w:lang w:eastAsia="lv-LV"/>
        </w:rPr>
        <w:t xml:space="preserve">Par plāna ieviešanu ir atbildīga Tieslietu ministrija, savukārt par ESF projekta ietvaros plānoto pasākumu ieviešanu </w:t>
      </w:r>
      <w:r w:rsidR="004372B5">
        <w:rPr>
          <w:rFonts w:eastAsia="Times New Roman"/>
          <w:lang w:eastAsia="lv-LV"/>
        </w:rPr>
        <w:t xml:space="preserve">– </w:t>
      </w:r>
      <w:r w:rsidRPr="00D1645B">
        <w:rPr>
          <w:rFonts w:eastAsia="Times New Roman"/>
          <w:lang w:eastAsia="lv-LV"/>
        </w:rPr>
        <w:t>Tiesu administrācija. Līdzatbildīgās institūcijas sniedz nepieciešamo atbalstu Tiesu administrācijai plānā ietverto uzdevumu īstenošanā.</w:t>
      </w:r>
    </w:p>
    <w:p w14:paraId="35918698" w14:textId="6BE9188A" w:rsidR="00050975" w:rsidRPr="00D1645B" w:rsidRDefault="001E3062" w:rsidP="005F1AE1">
      <w:pPr>
        <w:pStyle w:val="Default"/>
        <w:ind w:right="-1" w:firstLine="709"/>
        <w:jc w:val="both"/>
        <w:rPr>
          <w:rFonts w:eastAsia="Times New Roman"/>
          <w:lang w:eastAsia="lv-LV"/>
        </w:rPr>
      </w:pPr>
      <w:r w:rsidRPr="00D1645B">
        <w:rPr>
          <w:rFonts w:eastAsia="Times New Roman"/>
          <w:b/>
          <w:lang w:eastAsia="lv-LV"/>
        </w:rPr>
        <w:t>**</w:t>
      </w:r>
      <w:r w:rsidR="00DB45F3">
        <w:rPr>
          <w:rFonts w:eastAsia="Times New Roman"/>
          <w:b/>
          <w:lang w:eastAsia="lv-LV"/>
        </w:rPr>
        <w:t> </w:t>
      </w:r>
      <w:r w:rsidRPr="00D1645B">
        <w:rPr>
          <w:rFonts w:eastAsia="Times New Roman"/>
          <w:lang w:eastAsia="lv-LV"/>
        </w:rPr>
        <w:t xml:space="preserve">Rādītājs </w:t>
      </w:r>
      <w:r w:rsidR="00BF0A9C">
        <w:rPr>
          <w:rFonts w:eastAsia="Times New Roman"/>
          <w:lang w:eastAsia="lv-LV"/>
        </w:rPr>
        <w:t>"</w:t>
      </w:r>
      <w:r w:rsidRPr="00D1645B">
        <w:rPr>
          <w:rFonts w:eastAsia="Times New Roman"/>
          <w:lang w:eastAsia="lv-LV"/>
        </w:rPr>
        <w:t>apmācīto personu skaits</w:t>
      </w:r>
      <w:r w:rsidR="00BF0A9C">
        <w:rPr>
          <w:rFonts w:eastAsia="Times New Roman"/>
          <w:lang w:eastAsia="lv-LV"/>
        </w:rPr>
        <w:t>"</w:t>
      </w:r>
      <w:r w:rsidR="004E2C5E">
        <w:rPr>
          <w:rFonts w:eastAsia="Times New Roman"/>
          <w:lang w:eastAsia="lv-LV"/>
        </w:rPr>
        <w:t xml:space="preserve"> </w:t>
      </w:r>
      <w:r w:rsidRPr="00D1645B">
        <w:rPr>
          <w:rFonts w:eastAsia="Times New Roman"/>
          <w:lang w:eastAsia="lv-LV"/>
        </w:rPr>
        <w:t>š</w:t>
      </w:r>
      <w:r w:rsidR="004372B5">
        <w:rPr>
          <w:rFonts w:eastAsia="Times New Roman"/>
          <w:lang w:eastAsia="lv-LV"/>
        </w:rPr>
        <w:t>ā</w:t>
      </w:r>
      <w:r w:rsidRPr="00D1645B">
        <w:rPr>
          <w:rFonts w:eastAsia="Times New Roman"/>
          <w:lang w:eastAsia="lv-LV"/>
        </w:rPr>
        <w:t xml:space="preserve"> plāna ietvaros raksturo apmācību apmeklējumu skaitu (nevis unikālo apmācību dalībnieku skaitu), t.</w:t>
      </w:r>
      <w:r w:rsidR="00DB45F3">
        <w:rPr>
          <w:rFonts w:eastAsia="Times New Roman"/>
          <w:lang w:eastAsia="lv-LV"/>
        </w:rPr>
        <w:t> </w:t>
      </w:r>
      <w:r w:rsidRPr="00D1645B">
        <w:rPr>
          <w:rFonts w:eastAsia="Times New Roman"/>
          <w:lang w:eastAsia="lv-LV"/>
        </w:rPr>
        <w:t>i., rādītājs atspoguļo, cik rei</w:t>
      </w:r>
      <w:r w:rsidR="006C71E2">
        <w:rPr>
          <w:rFonts w:eastAsia="Times New Roman"/>
          <w:lang w:eastAsia="lv-LV"/>
        </w:rPr>
        <w:t>žu</w:t>
      </w:r>
      <w:r w:rsidRPr="00D1645B">
        <w:rPr>
          <w:rFonts w:eastAsia="Times New Roman"/>
          <w:lang w:eastAsia="lv-LV"/>
        </w:rPr>
        <w:t xml:space="preserve"> tiesu varas, tiesībaizsardzības iestāžu un tiesu sistēmai piederīgās personas ir piedalījušās tiesīb</w:t>
      </w:r>
      <w:r w:rsidR="00662B1B" w:rsidRPr="00D1645B">
        <w:rPr>
          <w:rFonts w:eastAsia="Times New Roman"/>
          <w:lang w:eastAsia="lv-LV"/>
        </w:rPr>
        <w:t>aizsardzības</w:t>
      </w:r>
      <w:r w:rsidRPr="00D1645B">
        <w:rPr>
          <w:rFonts w:eastAsia="Times New Roman"/>
          <w:lang w:eastAsia="lv-LV"/>
        </w:rPr>
        <w:t xml:space="preserve"> institūciju personāla kompetences paaugstināšanas apmācībās.</w:t>
      </w:r>
      <w:r w:rsidR="00BF0A9C">
        <w:rPr>
          <w:rFonts w:eastAsia="Times New Roman"/>
          <w:lang w:eastAsia="lv-LV"/>
        </w:rPr>
        <w:t>"</w:t>
      </w:r>
      <w:r w:rsidR="00E6592B">
        <w:rPr>
          <w:rFonts w:eastAsia="Times New Roman"/>
          <w:lang w:eastAsia="lv-LV"/>
        </w:rPr>
        <w:t>;</w:t>
      </w:r>
    </w:p>
    <w:p w14:paraId="35918699" w14:textId="77777777" w:rsidR="00974F9D" w:rsidRPr="005F1AE1" w:rsidRDefault="00974F9D" w:rsidP="005F1AE1">
      <w:pPr>
        <w:pStyle w:val="Default"/>
        <w:ind w:right="-1" w:firstLine="709"/>
        <w:jc w:val="both"/>
        <w:rPr>
          <w:sz w:val="28"/>
          <w:szCs w:val="28"/>
        </w:rPr>
      </w:pPr>
    </w:p>
    <w:p w14:paraId="3591869B" w14:textId="5C9C3A3D" w:rsidR="00633E7E" w:rsidRDefault="00312601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75B">
        <w:rPr>
          <w:rFonts w:ascii="Times New Roman" w:hAnsi="Times New Roman"/>
          <w:sz w:val="28"/>
          <w:szCs w:val="28"/>
        </w:rPr>
        <w:t>1.3. </w:t>
      </w:r>
      <w:r w:rsidR="00985BEB">
        <w:rPr>
          <w:rFonts w:ascii="Times New Roman" w:hAnsi="Times New Roman"/>
          <w:sz w:val="28"/>
          <w:szCs w:val="28"/>
        </w:rPr>
        <w:t xml:space="preserve">aizstāt </w:t>
      </w:r>
      <w:r w:rsidR="00B276A3" w:rsidRPr="00ED475B">
        <w:rPr>
          <w:rFonts w:ascii="Times New Roman" w:hAnsi="Times New Roman"/>
          <w:sz w:val="28"/>
          <w:szCs w:val="28"/>
        </w:rPr>
        <w:t>IV</w:t>
      </w:r>
      <w:r w:rsidR="00CD7FF5" w:rsidRPr="00ED475B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sadaļ</w:t>
      </w:r>
      <w:r w:rsidR="00985BEB">
        <w:rPr>
          <w:rFonts w:ascii="Times New Roman" w:hAnsi="Times New Roman"/>
          <w:sz w:val="28"/>
          <w:szCs w:val="28"/>
        </w:rPr>
        <w:t xml:space="preserve">as </w:t>
      </w:r>
      <w:r w:rsidR="00B276A3" w:rsidRPr="00ED475B">
        <w:rPr>
          <w:rFonts w:ascii="Times New Roman" w:hAnsi="Times New Roman"/>
          <w:sz w:val="28"/>
          <w:szCs w:val="28"/>
        </w:rPr>
        <w:t xml:space="preserve">pirmajā rindkopā un otrajā tabulā skaitli </w:t>
      </w:r>
      <w:r w:rsidR="00BF0A9C">
        <w:rPr>
          <w:rFonts w:ascii="Times New Roman" w:hAnsi="Times New Roman"/>
          <w:sz w:val="28"/>
          <w:szCs w:val="28"/>
        </w:rPr>
        <w:t>"</w:t>
      </w:r>
      <w:r w:rsidR="00B276A3" w:rsidRPr="00ED475B">
        <w:rPr>
          <w:rFonts w:ascii="Times New Roman" w:hAnsi="Times New Roman"/>
          <w:sz w:val="28"/>
          <w:szCs w:val="28"/>
        </w:rPr>
        <w:t>11</w:t>
      </w:r>
      <w:r w:rsidR="002F7ED1" w:rsidRPr="005F1AE1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759</w:t>
      </w:r>
      <w:r w:rsidR="002F7ED1" w:rsidRPr="005F1AE1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617</w:t>
      </w:r>
      <w:r w:rsidR="00BF0A9C">
        <w:rPr>
          <w:rFonts w:ascii="Times New Roman" w:hAnsi="Times New Roman"/>
          <w:sz w:val="28"/>
          <w:szCs w:val="28"/>
        </w:rPr>
        <w:t>"</w:t>
      </w:r>
      <w:r w:rsidR="00B276A3" w:rsidRPr="00ED475B">
        <w:rPr>
          <w:rFonts w:ascii="Times New Roman" w:hAnsi="Times New Roman"/>
          <w:sz w:val="28"/>
          <w:szCs w:val="28"/>
        </w:rPr>
        <w:t xml:space="preserve"> ar</w:t>
      </w:r>
      <w:r w:rsidR="004E2C5E" w:rsidRPr="00ED475B">
        <w:rPr>
          <w:rFonts w:ascii="Times New Roman" w:hAnsi="Times New Roman"/>
          <w:sz w:val="28"/>
          <w:szCs w:val="28"/>
        </w:rPr>
        <w:t xml:space="preserve"> skaitli</w:t>
      </w:r>
      <w:r w:rsidR="00B276A3" w:rsidRPr="00ED475B">
        <w:rPr>
          <w:rFonts w:ascii="Times New Roman" w:hAnsi="Times New Roman"/>
          <w:sz w:val="28"/>
          <w:szCs w:val="28"/>
        </w:rPr>
        <w:t xml:space="preserve"> </w:t>
      </w:r>
      <w:r w:rsidR="00BF0A9C">
        <w:rPr>
          <w:rFonts w:ascii="Times New Roman" w:hAnsi="Times New Roman"/>
          <w:sz w:val="28"/>
          <w:szCs w:val="28"/>
        </w:rPr>
        <w:t>"</w:t>
      </w:r>
      <w:r w:rsidR="00B276A3" w:rsidRPr="00ED475B">
        <w:rPr>
          <w:rFonts w:ascii="Times New Roman" w:hAnsi="Times New Roman"/>
          <w:sz w:val="28"/>
          <w:szCs w:val="28"/>
        </w:rPr>
        <w:t>11</w:t>
      </w:r>
      <w:r w:rsidR="002F7ED1" w:rsidRPr="005F1AE1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169</w:t>
      </w:r>
      <w:r w:rsidR="002F7ED1" w:rsidRPr="005F1AE1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393</w:t>
      </w:r>
      <w:r w:rsidR="00BF0A9C">
        <w:rPr>
          <w:rFonts w:ascii="Times New Roman" w:hAnsi="Times New Roman"/>
          <w:sz w:val="28"/>
          <w:szCs w:val="28"/>
        </w:rPr>
        <w:t>"</w:t>
      </w:r>
      <w:r w:rsidR="00DB45F3">
        <w:rPr>
          <w:rFonts w:ascii="Times New Roman" w:hAnsi="Times New Roman"/>
          <w:sz w:val="28"/>
          <w:szCs w:val="28"/>
        </w:rPr>
        <w:t>;</w:t>
      </w:r>
      <w:r w:rsidR="00B276A3" w:rsidRPr="00ED475B">
        <w:rPr>
          <w:rFonts w:ascii="Times New Roman" w:hAnsi="Times New Roman"/>
          <w:sz w:val="28"/>
          <w:szCs w:val="28"/>
        </w:rPr>
        <w:t xml:space="preserve"> </w:t>
      </w:r>
    </w:p>
    <w:p w14:paraId="30105BEB" w14:textId="6E68AC34" w:rsidR="00DB45F3" w:rsidRDefault="00DB45F3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aizstāt </w:t>
      </w:r>
      <w:r w:rsidRPr="00ED475B">
        <w:rPr>
          <w:rFonts w:ascii="Times New Roman" w:hAnsi="Times New Roman"/>
          <w:sz w:val="28"/>
          <w:szCs w:val="28"/>
        </w:rPr>
        <w:t>IV sadaļ</w:t>
      </w:r>
      <w:r>
        <w:rPr>
          <w:rFonts w:ascii="Times New Roman" w:hAnsi="Times New Roman"/>
          <w:sz w:val="28"/>
          <w:szCs w:val="28"/>
        </w:rPr>
        <w:t xml:space="preserve">as </w:t>
      </w:r>
      <w:r w:rsidRPr="00ED475B">
        <w:rPr>
          <w:rFonts w:ascii="Times New Roman" w:hAnsi="Times New Roman"/>
          <w:sz w:val="28"/>
          <w:szCs w:val="28"/>
        </w:rPr>
        <w:t>pirmajā rindkopā un otrajā tabulā</w:t>
      </w:r>
      <w:r w:rsidRPr="00DB45F3">
        <w:rPr>
          <w:rFonts w:ascii="Times New Roman" w:hAnsi="Times New Roman"/>
          <w:sz w:val="28"/>
          <w:szCs w:val="28"/>
        </w:rPr>
        <w:t xml:space="preserve"> </w:t>
      </w:r>
      <w:r w:rsidRPr="00ED475B">
        <w:rPr>
          <w:rFonts w:ascii="Times New Roman" w:hAnsi="Times New Roman"/>
          <w:sz w:val="28"/>
          <w:szCs w:val="28"/>
        </w:rPr>
        <w:t xml:space="preserve">skaitli 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>9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995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674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>9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493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>";</w:t>
      </w:r>
    </w:p>
    <w:p w14:paraId="53A742D2" w14:textId="301CB51F" w:rsidR="00DB45F3" w:rsidRPr="00DF44FD" w:rsidRDefault="00DB45F3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aizstāt </w:t>
      </w:r>
      <w:r w:rsidRPr="00ED475B">
        <w:rPr>
          <w:rFonts w:ascii="Times New Roman" w:hAnsi="Times New Roman"/>
          <w:sz w:val="28"/>
          <w:szCs w:val="28"/>
        </w:rPr>
        <w:t>IV sadaļ</w:t>
      </w:r>
      <w:r>
        <w:rPr>
          <w:rFonts w:ascii="Times New Roman" w:hAnsi="Times New Roman"/>
          <w:sz w:val="28"/>
          <w:szCs w:val="28"/>
        </w:rPr>
        <w:t xml:space="preserve">as </w:t>
      </w:r>
      <w:r w:rsidRPr="00ED475B">
        <w:rPr>
          <w:rFonts w:ascii="Times New Roman" w:hAnsi="Times New Roman"/>
          <w:sz w:val="28"/>
          <w:szCs w:val="28"/>
        </w:rPr>
        <w:t>pirmajā rindkopā un otrajā tabulā</w:t>
      </w:r>
      <w:r w:rsidRPr="00DB45F3">
        <w:rPr>
          <w:rFonts w:ascii="Times New Roman" w:hAnsi="Times New Roman"/>
          <w:sz w:val="28"/>
          <w:szCs w:val="28"/>
        </w:rPr>
        <w:t xml:space="preserve"> </w:t>
      </w:r>
      <w:r w:rsidRPr="00ED475B">
        <w:rPr>
          <w:rFonts w:ascii="Times New Roman" w:hAnsi="Times New Roman"/>
          <w:sz w:val="28"/>
          <w:szCs w:val="28"/>
        </w:rPr>
        <w:t xml:space="preserve">skaitli 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>1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763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943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>1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675</w:t>
      </w:r>
      <w:r w:rsidRPr="005F1AE1">
        <w:rPr>
          <w:rFonts w:ascii="Times New Roman" w:hAnsi="Times New Roman"/>
          <w:sz w:val="28"/>
          <w:szCs w:val="28"/>
        </w:rPr>
        <w:t> </w:t>
      </w:r>
      <w:r w:rsidRPr="00ED475B">
        <w:rPr>
          <w:rFonts w:ascii="Times New Roman" w:hAnsi="Times New Roman"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>"</w:t>
      </w:r>
      <w:r w:rsidRPr="00ED475B">
        <w:rPr>
          <w:rFonts w:ascii="Times New Roman" w:hAnsi="Times New Roman"/>
          <w:sz w:val="28"/>
          <w:szCs w:val="28"/>
        </w:rPr>
        <w:t>;</w:t>
      </w:r>
    </w:p>
    <w:p w14:paraId="3591869D" w14:textId="4E99D39A" w:rsidR="0063537B" w:rsidRPr="00DF44FD" w:rsidRDefault="00FB73DA" w:rsidP="00DF44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75B">
        <w:rPr>
          <w:rFonts w:ascii="Times New Roman" w:hAnsi="Times New Roman"/>
          <w:sz w:val="28"/>
          <w:szCs w:val="28"/>
        </w:rPr>
        <w:lastRenderedPageBreak/>
        <w:t>1.</w:t>
      </w:r>
      <w:r w:rsidR="00DB45F3">
        <w:rPr>
          <w:rFonts w:ascii="Times New Roman" w:hAnsi="Times New Roman"/>
          <w:sz w:val="28"/>
          <w:szCs w:val="28"/>
        </w:rPr>
        <w:t>6</w:t>
      </w:r>
      <w:r w:rsidRPr="00ED475B">
        <w:rPr>
          <w:rFonts w:ascii="Times New Roman" w:hAnsi="Times New Roman"/>
          <w:sz w:val="28"/>
          <w:szCs w:val="28"/>
        </w:rPr>
        <w:t>. </w:t>
      </w:r>
      <w:r w:rsidR="00E6592B" w:rsidRPr="00ED475B">
        <w:rPr>
          <w:rFonts w:ascii="Times New Roman" w:hAnsi="Times New Roman"/>
          <w:sz w:val="28"/>
          <w:szCs w:val="28"/>
        </w:rPr>
        <w:t>a</w:t>
      </w:r>
      <w:r w:rsidR="00B276A3" w:rsidRPr="00ED475B">
        <w:rPr>
          <w:rFonts w:ascii="Times New Roman" w:hAnsi="Times New Roman"/>
          <w:sz w:val="28"/>
          <w:szCs w:val="28"/>
        </w:rPr>
        <w:t>izstāt</w:t>
      </w:r>
      <w:r w:rsidR="00C41B0E" w:rsidRPr="00ED475B">
        <w:rPr>
          <w:rFonts w:ascii="Times New Roman" w:hAnsi="Times New Roman"/>
          <w:sz w:val="28"/>
          <w:szCs w:val="28"/>
        </w:rPr>
        <w:t xml:space="preserve"> </w:t>
      </w:r>
      <w:r w:rsidR="00CF2265" w:rsidRPr="00ED475B">
        <w:rPr>
          <w:rFonts w:ascii="Times New Roman" w:hAnsi="Times New Roman"/>
          <w:sz w:val="28"/>
          <w:szCs w:val="28"/>
        </w:rPr>
        <w:t>IV sadaļ</w:t>
      </w:r>
      <w:r w:rsidR="00CF2265">
        <w:rPr>
          <w:rFonts w:ascii="Times New Roman" w:hAnsi="Times New Roman"/>
          <w:sz w:val="28"/>
          <w:szCs w:val="28"/>
        </w:rPr>
        <w:t xml:space="preserve">as </w:t>
      </w:r>
      <w:r w:rsidR="00C41B0E" w:rsidRPr="00ED475B">
        <w:rPr>
          <w:rFonts w:ascii="Times New Roman" w:hAnsi="Times New Roman"/>
          <w:sz w:val="28"/>
          <w:szCs w:val="28"/>
        </w:rPr>
        <w:t xml:space="preserve">tabulas </w:t>
      </w:r>
      <w:r w:rsidR="00BF0A9C">
        <w:rPr>
          <w:rFonts w:ascii="Times New Roman" w:hAnsi="Times New Roman"/>
          <w:sz w:val="28"/>
          <w:szCs w:val="28"/>
        </w:rPr>
        <w:t>"</w:t>
      </w:r>
      <w:r w:rsidR="00E23B34" w:rsidRPr="005F1AE1">
        <w:rPr>
          <w:rFonts w:ascii="Times New Roman" w:hAnsi="Times New Roman"/>
          <w:sz w:val="28"/>
          <w:szCs w:val="28"/>
        </w:rPr>
        <w:t>Indikatīvā finansējuma sadalīju</w:t>
      </w:r>
      <w:r w:rsidR="00C41B0E" w:rsidRPr="005F1AE1">
        <w:rPr>
          <w:rFonts w:ascii="Times New Roman" w:hAnsi="Times New Roman"/>
          <w:sz w:val="28"/>
          <w:szCs w:val="28"/>
        </w:rPr>
        <w:t>ms atbilstoši rīcības virzien</w:t>
      </w:r>
      <w:r w:rsidR="00DE78E9" w:rsidRPr="005F1AE1">
        <w:rPr>
          <w:rFonts w:ascii="Times New Roman" w:hAnsi="Times New Roman"/>
          <w:sz w:val="28"/>
          <w:szCs w:val="28"/>
        </w:rPr>
        <w:t>ie</w:t>
      </w:r>
      <w:r w:rsidR="00C41B0E" w:rsidRPr="005F1AE1">
        <w:rPr>
          <w:rFonts w:ascii="Times New Roman" w:hAnsi="Times New Roman"/>
          <w:sz w:val="28"/>
          <w:szCs w:val="28"/>
        </w:rPr>
        <w:t>m</w:t>
      </w:r>
      <w:r w:rsidR="00BF0A9C">
        <w:rPr>
          <w:rFonts w:ascii="Times New Roman" w:hAnsi="Times New Roman"/>
          <w:sz w:val="28"/>
          <w:szCs w:val="28"/>
        </w:rPr>
        <w:t>"</w:t>
      </w:r>
      <w:r w:rsidR="003F0D90" w:rsidRPr="00ED475B">
        <w:rPr>
          <w:rFonts w:ascii="Times New Roman" w:hAnsi="Times New Roman"/>
          <w:sz w:val="28"/>
          <w:szCs w:val="28"/>
        </w:rPr>
        <w:t xml:space="preserve"> </w:t>
      </w:r>
      <w:r w:rsidR="00C41B0E" w:rsidRPr="00ED475B">
        <w:rPr>
          <w:rFonts w:ascii="Times New Roman" w:hAnsi="Times New Roman"/>
          <w:sz w:val="28"/>
          <w:szCs w:val="28"/>
        </w:rPr>
        <w:t>ail</w:t>
      </w:r>
      <w:r w:rsidRPr="00ED475B">
        <w:rPr>
          <w:rFonts w:ascii="Times New Roman" w:hAnsi="Times New Roman"/>
          <w:sz w:val="28"/>
          <w:szCs w:val="28"/>
        </w:rPr>
        <w:t xml:space="preserve">ē </w:t>
      </w:r>
      <w:r w:rsidR="00BF0A9C">
        <w:rPr>
          <w:rFonts w:ascii="Times New Roman" w:hAnsi="Times New Roman"/>
          <w:sz w:val="28"/>
          <w:szCs w:val="28"/>
        </w:rPr>
        <w:t>"</w:t>
      </w:r>
      <w:r w:rsidR="00ED475B" w:rsidRPr="005F1AE1">
        <w:rPr>
          <w:rFonts w:ascii="Times New Roman" w:hAnsi="Times New Roman"/>
          <w:sz w:val="28"/>
          <w:szCs w:val="28"/>
        </w:rPr>
        <w:t>Nepieciešamais finansējums un tā avoti</w:t>
      </w:r>
      <w:r w:rsidR="00BF0A9C">
        <w:rPr>
          <w:rFonts w:ascii="Times New Roman" w:hAnsi="Times New Roman"/>
          <w:sz w:val="28"/>
          <w:szCs w:val="28"/>
        </w:rPr>
        <w:t>"</w:t>
      </w:r>
      <w:r w:rsidR="00ED475B" w:rsidRPr="005F1AE1">
        <w:rPr>
          <w:rFonts w:ascii="Times New Roman" w:hAnsi="Times New Roman"/>
          <w:sz w:val="28"/>
          <w:szCs w:val="28"/>
        </w:rPr>
        <w:t xml:space="preserve"> </w:t>
      </w:r>
      <w:r w:rsidRPr="00ED475B">
        <w:rPr>
          <w:rFonts w:ascii="Times New Roman" w:hAnsi="Times New Roman"/>
          <w:sz w:val="28"/>
          <w:szCs w:val="28"/>
        </w:rPr>
        <w:t xml:space="preserve">skaitli </w:t>
      </w:r>
      <w:r w:rsidR="00BF0A9C">
        <w:rPr>
          <w:rFonts w:ascii="Times New Roman" w:hAnsi="Times New Roman"/>
          <w:sz w:val="28"/>
          <w:szCs w:val="28"/>
        </w:rPr>
        <w:t>"</w:t>
      </w:r>
      <w:r w:rsidR="00B276A3" w:rsidRPr="00ED475B">
        <w:rPr>
          <w:rFonts w:ascii="Times New Roman" w:hAnsi="Times New Roman"/>
          <w:sz w:val="28"/>
          <w:szCs w:val="28"/>
        </w:rPr>
        <w:t>10</w:t>
      </w:r>
      <w:r w:rsidR="00CD7FF5" w:rsidRPr="00ED475B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841</w:t>
      </w:r>
      <w:r w:rsidR="00CD7FF5" w:rsidRPr="00ED475B">
        <w:rPr>
          <w:rFonts w:ascii="Times New Roman" w:hAnsi="Times New Roman"/>
          <w:sz w:val="28"/>
          <w:szCs w:val="28"/>
        </w:rPr>
        <w:t> </w:t>
      </w:r>
      <w:r w:rsidR="00B276A3" w:rsidRPr="00ED475B">
        <w:rPr>
          <w:rFonts w:ascii="Times New Roman" w:hAnsi="Times New Roman"/>
          <w:sz w:val="28"/>
          <w:szCs w:val="28"/>
        </w:rPr>
        <w:t>617</w:t>
      </w:r>
      <w:r w:rsidR="00BF0A9C">
        <w:rPr>
          <w:rFonts w:ascii="Times New Roman" w:hAnsi="Times New Roman"/>
          <w:sz w:val="28"/>
          <w:szCs w:val="28"/>
        </w:rPr>
        <w:t>"</w:t>
      </w:r>
      <w:r w:rsidR="00B276A3" w:rsidRPr="00ED475B">
        <w:rPr>
          <w:rFonts w:ascii="Times New Roman" w:hAnsi="Times New Roman"/>
          <w:sz w:val="28"/>
          <w:szCs w:val="28"/>
        </w:rPr>
        <w:t xml:space="preserve"> ar</w:t>
      </w:r>
      <w:r w:rsidR="00C41B0E" w:rsidRPr="00ED475B">
        <w:rPr>
          <w:rFonts w:ascii="Times New Roman" w:hAnsi="Times New Roman"/>
          <w:sz w:val="28"/>
          <w:szCs w:val="28"/>
        </w:rPr>
        <w:t xml:space="preserve"> </w:t>
      </w:r>
      <w:r w:rsidRPr="00ED475B">
        <w:rPr>
          <w:rFonts w:ascii="Times New Roman" w:hAnsi="Times New Roman"/>
          <w:sz w:val="28"/>
          <w:szCs w:val="28"/>
        </w:rPr>
        <w:t xml:space="preserve">skaitli </w:t>
      </w:r>
      <w:r w:rsidR="00BF0A9C">
        <w:rPr>
          <w:rFonts w:ascii="Times New Roman" w:hAnsi="Times New Roman"/>
          <w:sz w:val="28"/>
          <w:szCs w:val="28"/>
        </w:rPr>
        <w:t>"</w:t>
      </w:r>
      <w:r w:rsidR="00C41B0E" w:rsidRPr="00ED475B">
        <w:rPr>
          <w:rFonts w:ascii="Times New Roman" w:hAnsi="Times New Roman"/>
          <w:sz w:val="28"/>
          <w:szCs w:val="28"/>
        </w:rPr>
        <w:t>10</w:t>
      </w:r>
      <w:r w:rsidR="00CD7FF5" w:rsidRPr="00ED475B">
        <w:rPr>
          <w:rFonts w:ascii="Times New Roman" w:hAnsi="Times New Roman"/>
          <w:sz w:val="28"/>
          <w:szCs w:val="28"/>
        </w:rPr>
        <w:t> </w:t>
      </w:r>
      <w:r w:rsidR="00C41B0E" w:rsidRPr="00ED475B">
        <w:rPr>
          <w:rFonts w:ascii="Times New Roman" w:hAnsi="Times New Roman"/>
          <w:sz w:val="28"/>
          <w:szCs w:val="28"/>
        </w:rPr>
        <w:t>251</w:t>
      </w:r>
      <w:r w:rsidR="00CD7FF5" w:rsidRPr="00ED475B">
        <w:rPr>
          <w:rFonts w:ascii="Times New Roman" w:hAnsi="Times New Roman"/>
          <w:sz w:val="28"/>
          <w:szCs w:val="28"/>
        </w:rPr>
        <w:t> </w:t>
      </w:r>
      <w:r w:rsidR="00C41B0E" w:rsidRPr="00ED475B">
        <w:rPr>
          <w:rFonts w:ascii="Times New Roman" w:hAnsi="Times New Roman"/>
          <w:sz w:val="28"/>
          <w:szCs w:val="28"/>
        </w:rPr>
        <w:t>393</w:t>
      </w:r>
      <w:r w:rsidR="00BF0A9C">
        <w:rPr>
          <w:rFonts w:ascii="Times New Roman" w:hAnsi="Times New Roman"/>
          <w:sz w:val="28"/>
          <w:szCs w:val="28"/>
        </w:rPr>
        <w:t>"</w:t>
      </w:r>
      <w:r w:rsidR="00E6592B" w:rsidRPr="00ED475B">
        <w:rPr>
          <w:rFonts w:ascii="Times New Roman" w:hAnsi="Times New Roman"/>
          <w:sz w:val="28"/>
          <w:szCs w:val="28"/>
        </w:rPr>
        <w:t>;</w:t>
      </w:r>
    </w:p>
    <w:p w14:paraId="3591869E" w14:textId="00475375" w:rsidR="00637212" w:rsidRDefault="00FB73DA" w:rsidP="00DF44FD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F226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12601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E6592B" w:rsidRPr="005F1AE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637212" w:rsidRPr="005F1AE1">
        <w:rPr>
          <w:rFonts w:ascii="Times New Roman" w:hAnsi="Times New Roman"/>
          <w:color w:val="000000" w:themeColor="text1"/>
          <w:sz w:val="28"/>
          <w:szCs w:val="28"/>
        </w:rPr>
        <w:t>vītrot 2.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37212" w:rsidRPr="005F1AE1">
        <w:rPr>
          <w:rFonts w:ascii="Times New Roman" w:hAnsi="Times New Roman"/>
          <w:color w:val="000000" w:themeColor="text1"/>
          <w:sz w:val="28"/>
          <w:szCs w:val="28"/>
        </w:rPr>
        <w:t xml:space="preserve">pielikuma </w:t>
      </w:r>
      <w:r w:rsidR="00CD7FF5">
        <w:rPr>
          <w:rFonts w:ascii="Times New Roman" w:hAnsi="Times New Roman"/>
          <w:color w:val="000000" w:themeColor="text1"/>
          <w:sz w:val="28"/>
          <w:szCs w:val="28"/>
        </w:rPr>
        <w:t>4. no</w:t>
      </w:r>
      <w:r w:rsidR="00637212" w:rsidRPr="005F1AE1">
        <w:rPr>
          <w:rFonts w:ascii="Times New Roman" w:hAnsi="Times New Roman"/>
          <w:color w:val="000000" w:themeColor="text1"/>
          <w:sz w:val="28"/>
          <w:szCs w:val="28"/>
        </w:rPr>
        <w:t xml:space="preserve">daļas </w:t>
      </w:r>
      <w:r w:rsidR="00D755A1" w:rsidRPr="005F1AE1">
        <w:rPr>
          <w:rFonts w:ascii="Times New Roman" w:hAnsi="Times New Roman"/>
          <w:color w:val="000000" w:themeColor="text1"/>
          <w:sz w:val="28"/>
          <w:szCs w:val="28"/>
        </w:rPr>
        <w:t>astot</w:t>
      </w:r>
      <w:r w:rsidR="00CD7FF5">
        <w:rPr>
          <w:rFonts w:ascii="Times New Roman" w:hAnsi="Times New Roman"/>
          <w:color w:val="000000" w:themeColor="text1"/>
          <w:sz w:val="28"/>
          <w:szCs w:val="28"/>
        </w:rPr>
        <w:t>ās</w:t>
      </w:r>
      <w:r w:rsidR="00D755A1" w:rsidRPr="005F1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212" w:rsidRPr="005F1AE1">
        <w:rPr>
          <w:rFonts w:ascii="Times New Roman" w:hAnsi="Times New Roman"/>
          <w:color w:val="000000" w:themeColor="text1"/>
          <w:sz w:val="28"/>
          <w:szCs w:val="28"/>
        </w:rPr>
        <w:t>rindkop</w:t>
      </w:r>
      <w:r w:rsidR="00CD7FF5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637212" w:rsidRPr="005F1A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7FF5">
        <w:rPr>
          <w:rFonts w:ascii="Times New Roman" w:hAnsi="Times New Roman"/>
          <w:color w:val="000000" w:themeColor="text1"/>
          <w:sz w:val="28"/>
          <w:szCs w:val="28"/>
        </w:rPr>
        <w:t>pirmo teikumu.</w:t>
      </w:r>
    </w:p>
    <w:p w14:paraId="3591869F" w14:textId="77777777" w:rsidR="008F3144" w:rsidRPr="005F1AE1" w:rsidRDefault="008F3144" w:rsidP="00DF44FD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59186A0" w14:textId="77777777" w:rsidR="002B45BA" w:rsidRPr="00D1645B" w:rsidRDefault="00FB73DA" w:rsidP="00DF44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B45BA" w:rsidRPr="00D1645B">
        <w:rPr>
          <w:sz w:val="28"/>
          <w:szCs w:val="28"/>
        </w:rPr>
        <w:t>Tieslietu ministrijai nedēļas laikā iesniegt precizēto plānu Valsts kancelejā.</w:t>
      </w:r>
    </w:p>
    <w:p w14:paraId="14CEFD85" w14:textId="77777777" w:rsidR="00BF0A9C" w:rsidRPr="00BF0A9C" w:rsidRDefault="00BF0A9C" w:rsidP="00BF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09DD2" w14:textId="77777777" w:rsidR="00BF0A9C" w:rsidRPr="00BF0A9C" w:rsidRDefault="00BF0A9C" w:rsidP="00BF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37E92" w14:textId="77777777" w:rsidR="00BF0A9C" w:rsidRPr="00BF0A9C" w:rsidRDefault="00BF0A9C" w:rsidP="00BF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B757C" w14:textId="77777777" w:rsidR="00BF0A9C" w:rsidRPr="00BF0A9C" w:rsidRDefault="00BF0A9C" w:rsidP="00BF0A9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F0A9C">
        <w:rPr>
          <w:sz w:val="28"/>
          <w:szCs w:val="28"/>
        </w:rPr>
        <w:t>Ministru prezidents</w:t>
      </w:r>
      <w:r w:rsidRPr="00BF0A9C">
        <w:rPr>
          <w:sz w:val="28"/>
          <w:szCs w:val="28"/>
        </w:rPr>
        <w:tab/>
        <w:t xml:space="preserve">Māris Kučinskis </w:t>
      </w:r>
    </w:p>
    <w:p w14:paraId="65071D11" w14:textId="77777777" w:rsidR="00BF0A9C" w:rsidRPr="00BF0A9C" w:rsidRDefault="00BF0A9C" w:rsidP="00BF0A9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F2FB27" w14:textId="77777777" w:rsidR="00BF0A9C" w:rsidRPr="00BF0A9C" w:rsidRDefault="00BF0A9C" w:rsidP="00BF0A9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099E92C" w14:textId="77777777" w:rsidR="00BF0A9C" w:rsidRPr="00BF0A9C" w:rsidRDefault="00BF0A9C" w:rsidP="00BF0A9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B932D4D" w14:textId="77777777" w:rsidR="00BF0A9C" w:rsidRPr="00BF0A9C" w:rsidRDefault="00BF0A9C" w:rsidP="00BF0A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A9C">
        <w:rPr>
          <w:rFonts w:ascii="Times New Roman" w:hAnsi="Times New Roman"/>
          <w:sz w:val="28"/>
          <w:szCs w:val="28"/>
        </w:rPr>
        <w:t>Tieslietu ministrs</w:t>
      </w:r>
      <w:r w:rsidRPr="00BF0A9C">
        <w:rPr>
          <w:rFonts w:ascii="Times New Roman" w:hAnsi="Times New Roman"/>
          <w:sz w:val="28"/>
          <w:szCs w:val="28"/>
        </w:rPr>
        <w:tab/>
        <w:t>Dzintars Rasnačs</w:t>
      </w:r>
    </w:p>
    <w:sectPr w:rsidR="00BF0A9C" w:rsidRPr="00BF0A9C" w:rsidSect="00072A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186B3" w14:textId="77777777" w:rsidR="000A4BC7" w:rsidRDefault="000A4BC7" w:rsidP="00E71B07">
      <w:pPr>
        <w:spacing w:after="0" w:line="240" w:lineRule="auto"/>
      </w:pPr>
      <w:r>
        <w:separator/>
      </w:r>
    </w:p>
  </w:endnote>
  <w:endnote w:type="continuationSeparator" w:id="0">
    <w:p w14:paraId="359186B4" w14:textId="77777777" w:rsidR="000A4BC7" w:rsidRDefault="000A4BC7" w:rsidP="00E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A1F9" w14:textId="5CD2EED2" w:rsidR="00072AB1" w:rsidRPr="00072AB1" w:rsidRDefault="00072AB1" w:rsidP="00072AB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R0071_7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96F8" w14:textId="70F0B169" w:rsidR="00072AB1" w:rsidRPr="00072AB1" w:rsidRDefault="00072AB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R0071_7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86B1" w14:textId="77777777" w:rsidR="000A4BC7" w:rsidRDefault="000A4BC7" w:rsidP="00E71B07">
      <w:pPr>
        <w:spacing w:after="0" w:line="240" w:lineRule="auto"/>
      </w:pPr>
      <w:r>
        <w:separator/>
      </w:r>
    </w:p>
  </w:footnote>
  <w:footnote w:type="continuationSeparator" w:id="0">
    <w:p w14:paraId="359186B2" w14:textId="77777777" w:rsidR="000A4BC7" w:rsidRDefault="000A4BC7" w:rsidP="00E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21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9186B6" w14:textId="77777777" w:rsidR="000A4BC7" w:rsidRPr="008C1B14" w:rsidRDefault="000A4BC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C1B14">
          <w:rPr>
            <w:rFonts w:ascii="Times New Roman" w:hAnsi="Times New Roman"/>
            <w:sz w:val="24"/>
            <w:szCs w:val="24"/>
          </w:rPr>
          <w:fldChar w:fldCharType="begin"/>
        </w:r>
        <w:r w:rsidRPr="008C1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1B14">
          <w:rPr>
            <w:rFonts w:ascii="Times New Roman" w:hAnsi="Times New Roman"/>
            <w:sz w:val="24"/>
            <w:szCs w:val="24"/>
          </w:rPr>
          <w:fldChar w:fldCharType="separate"/>
        </w:r>
        <w:r w:rsidR="002C7F50">
          <w:rPr>
            <w:rFonts w:ascii="Times New Roman" w:hAnsi="Times New Roman"/>
            <w:noProof/>
            <w:sz w:val="24"/>
            <w:szCs w:val="24"/>
          </w:rPr>
          <w:t>8</w:t>
        </w:r>
        <w:r w:rsidRPr="008C1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9186B7" w14:textId="77777777" w:rsidR="000A4BC7" w:rsidRDefault="000A4BC7" w:rsidP="008C1B1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4ECA" w14:textId="77777777" w:rsidR="00072AB1" w:rsidRDefault="00072AB1">
    <w:pPr>
      <w:pStyle w:val="Header"/>
      <w:rPr>
        <w:rFonts w:ascii="Times New Roman" w:hAnsi="Times New Roman"/>
        <w:sz w:val="24"/>
        <w:szCs w:val="24"/>
      </w:rPr>
    </w:pPr>
  </w:p>
  <w:p w14:paraId="366BB8B0" w14:textId="2F3FA2B5" w:rsidR="00072AB1" w:rsidRPr="00072AB1" w:rsidRDefault="00072AB1">
    <w:pPr>
      <w:pStyle w:val="Header"/>
      <w:rPr>
        <w:rFonts w:ascii="Times New Roman" w:hAnsi="Times New Roman"/>
        <w:sz w:val="24"/>
        <w:szCs w:val="24"/>
      </w:rPr>
    </w:pPr>
    <w:r w:rsidRPr="00072AB1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3751BD0A" wp14:editId="6A26FBB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127"/>
    <w:multiLevelType w:val="multilevel"/>
    <w:tmpl w:val="5E7891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2497859"/>
    <w:multiLevelType w:val="hybridMultilevel"/>
    <w:tmpl w:val="EDCAF78E"/>
    <w:lvl w:ilvl="0" w:tplc="B6126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951"/>
    <w:multiLevelType w:val="multilevel"/>
    <w:tmpl w:val="86D8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4620010F"/>
    <w:multiLevelType w:val="multilevel"/>
    <w:tmpl w:val="B3F8B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7"/>
    <w:rsid w:val="000028EF"/>
    <w:rsid w:val="00007D49"/>
    <w:rsid w:val="00041E2C"/>
    <w:rsid w:val="000427B6"/>
    <w:rsid w:val="00050975"/>
    <w:rsid w:val="00054A5E"/>
    <w:rsid w:val="000609A3"/>
    <w:rsid w:val="00072AB1"/>
    <w:rsid w:val="000A4BC7"/>
    <w:rsid w:val="000D774C"/>
    <w:rsid w:val="000E0066"/>
    <w:rsid w:val="000E07BD"/>
    <w:rsid w:val="000E1B19"/>
    <w:rsid w:val="000E3A53"/>
    <w:rsid w:val="000F135B"/>
    <w:rsid w:val="00106F6A"/>
    <w:rsid w:val="00137A63"/>
    <w:rsid w:val="0014659E"/>
    <w:rsid w:val="001618C3"/>
    <w:rsid w:val="00163F29"/>
    <w:rsid w:val="00165C10"/>
    <w:rsid w:val="00172440"/>
    <w:rsid w:val="0018303A"/>
    <w:rsid w:val="00191356"/>
    <w:rsid w:val="001A1777"/>
    <w:rsid w:val="001E3062"/>
    <w:rsid w:val="002222F5"/>
    <w:rsid w:val="00250A24"/>
    <w:rsid w:val="0025156B"/>
    <w:rsid w:val="002611B9"/>
    <w:rsid w:val="00264ED7"/>
    <w:rsid w:val="00286A73"/>
    <w:rsid w:val="002A5032"/>
    <w:rsid w:val="002A5080"/>
    <w:rsid w:val="002A6114"/>
    <w:rsid w:val="002A750E"/>
    <w:rsid w:val="002B45BA"/>
    <w:rsid w:val="002C7F50"/>
    <w:rsid w:val="002E634F"/>
    <w:rsid w:val="002F32A4"/>
    <w:rsid w:val="002F7ED1"/>
    <w:rsid w:val="003054F1"/>
    <w:rsid w:val="003100A8"/>
    <w:rsid w:val="00312601"/>
    <w:rsid w:val="00325E1F"/>
    <w:rsid w:val="00326CB8"/>
    <w:rsid w:val="00327500"/>
    <w:rsid w:val="0033142D"/>
    <w:rsid w:val="003330CC"/>
    <w:rsid w:val="00335434"/>
    <w:rsid w:val="0035677B"/>
    <w:rsid w:val="00356BF7"/>
    <w:rsid w:val="00377A3A"/>
    <w:rsid w:val="003A7EF0"/>
    <w:rsid w:val="003B23DB"/>
    <w:rsid w:val="003B382C"/>
    <w:rsid w:val="003C332C"/>
    <w:rsid w:val="003C7FC7"/>
    <w:rsid w:val="003D7FE4"/>
    <w:rsid w:val="003F0D90"/>
    <w:rsid w:val="004024CA"/>
    <w:rsid w:val="00405775"/>
    <w:rsid w:val="00414088"/>
    <w:rsid w:val="00425B8C"/>
    <w:rsid w:val="004372B5"/>
    <w:rsid w:val="004448BD"/>
    <w:rsid w:val="00451080"/>
    <w:rsid w:val="00490F61"/>
    <w:rsid w:val="00496163"/>
    <w:rsid w:val="004E059F"/>
    <w:rsid w:val="004E2C5E"/>
    <w:rsid w:val="004F01CB"/>
    <w:rsid w:val="0050367F"/>
    <w:rsid w:val="00510E25"/>
    <w:rsid w:val="0051483D"/>
    <w:rsid w:val="00582AAA"/>
    <w:rsid w:val="00585774"/>
    <w:rsid w:val="005A6406"/>
    <w:rsid w:val="005F1AE1"/>
    <w:rsid w:val="00614402"/>
    <w:rsid w:val="00616718"/>
    <w:rsid w:val="00632885"/>
    <w:rsid w:val="00633E7E"/>
    <w:rsid w:val="006346CB"/>
    <w:rsid w:val="0063537B"/>
    <w:rsid w:val="0063544C"/>
    <w:rsid w:val="00637212"/>
    <w:rsid w:val="00644951"/>
    <w:rsid w:val="0064610F"/>
    <w:rsid w:val="00662B1B"/>
    <w:rsid w:val="00662ED4"/>
    <w:rsid w:val="00680CE0"/>
    <w:rsid w:val="006847C6"/>
    <w:rsid w:val="006C71E2"/>
    <w:rsid w:val="006F09E4"/>
    <w:rsid w:val="00703692"/>
    <w:rsid w:val="00732DCD"/>
    <w:rsid w:val="00807FC0"/>
    <w:rsid w:val="00850F8F"/>
    <w:rsid w:val="008569D1"/>
    <w:rsid w:val="00871692"/>
    <w:rsid w:val="008737D2"/>
    <w:rsid w:val="00873BC9"/>
    <w:rsid w:val="008A5941"/>
    <w:rsid w:val="008C1B14"/>
    <w:rsid w:val="008D2BC9"/>
    <w:rsid w:val="008E1B98"/>
    <w:rsid w:val="008E264B"/>
    <w:rsid w:val="008F3144"/>
    <w:rsid w:val="00905533"/>
    <w:rsid w:val="00927998"/>
    <w:rsid w:val="00932238"/>
    <w:rsid w:val="0093569D"/>
    <w:rsid w:val="009417FE"/>
    <w:rsid w:val="00950501"/>
    <w:rsid w:val="00974F9D"/>
    <w:rsid w:val="00985BEB"/>
    <w:rsid w:val="00987E81"/>
    <w:rsid w:val="009B6EDE"/>
    <w:rsid w:val="009B70AC"/>
    <w:rsid w:val="009D29FC"/>
    <w:rsid w:val="009E0B4C"/>
    <w:rsid w:val="009E675C"/>
    <w:rsid w:val="009F2F65"/>
    <w:rsid w:val="009F6528"/>
    <w:rsid w:val="00A0703C"/>
    <w:rsid w:val="00A309D5"/>
    <w:rsid w:val="00A36261"/>
    <w:rsid w:val="00A85262"/>
    <w:rsid w:val="00A86C19"/>
    <w:rsid w:val="00AA2FBD"/>
    <w:rsid w:val="00AF05DD"/>
    <w:rsid w:val="00AF5C13"/>
    <w:rsid w:val="00AF6523"/>
    <w:rsid w:val="00B03A3D"/>
    <w:rsid w:val="00B053AB"/>
    <w:rsid w:val="00B276A3"/>
    <w:rsid w:val="00B33D6E"/>
    <w:rsid w:val="00B35611"/>
    <w:rsid w:val="00B36BB9"/>
    <w:rsid w:val="00B641CD"/>
    <w:rsid w:val="00B949A7"/>
    <w:rsid w:val="00BC05CB"/>
    <w:rsid w:val="00BE12D1"/>
    <w:rsid w:val="00BF0A9C"/>
    <w:rsid w:val="00BF52CC"/>
    <w:rsid w:val="00C36582"/>
    <w:rsid w:val="00C41B0E"/>
    <w:rsid w:val="00C50AD9"/>
    <w:rsid w:val="00C53190"/>
    <w:rsid w:val="00C55A24"/>
    <w:rsid w:val="00C84EF3"/>
    <w:rsid w:val="00C96DB0"/>
    <w:rsid w:val="00CA68C4"/>
    <w:rsid w:val="00CD7FF5"/>
    <w:rsid w:val="00CE4100"/>
    <w:rsid w:val="00CE6519"/>
    <w:rsid w:val="00CF2265"/>
    <w:rsid w:val="00CF5D74"/>
    <w:rsid w:val="00CF7380"/>
    <w:rsid w:val="00D03CCB"/>
    <w:rsid w:val="00D1391D"/>
    <w:rsid w:val="00D1645B"/>
    <w:rsid w:val="00D34235"/>
    <w:rsid w:val="00D421E2"/>
    <w:rsid w:val="00D62E8E"/>
    <w:rsid w:val="00D755A1"/>
    <w:rsid w:val="00D85C02"/>
    <w:rsid w:val="00D93C8D"/>
    <w:rsid w:val="00DB45F3"/>
    <w:rsid w:val="00DB5611"/>
    <w:rsid w:val="00DC4CD2"/>
    <w:rsid w:val="00DE78E9"/>
    <w:rsid w:val="00DF4250"/>
    <w:rsid w:val="00DF44FD"/>
    <w:rsid w:val="00E23B34"/>
    <w:rsid w:val="00E33338"/>
    <w:rsid w:val="00E51DAD"/>
    <w:rsid w:val="00E6592B"/>
    <w:rsid w:val="00E71B07"/>
    <w:rsid w:val="00E91BCE"/>
    <w:rsid w:val="00ED3A4A"/>
    <w:rsid w:val="00ED475B"/>
    <w:rsid w:val="00EE131D"/>
    <w:rsid w:val="00EF1DC4"/>
    <w:rsid w:val="00EF775C"/>
    <w:rsid w:val="00F127F2"/>
    <w:rsid w:val="00F30171"/>
    <w:rsid w:val="00F3670C"/>
    <w:rsid w:val="00F40580"/>
    <w:rsid w:val="00F55E7D"/>
    <w:rsid w:val="00F7013B"/>
    <w:rsid w:val="00F72DAE"/>
    <w:rsid w:val="00F85252"/>
    <w:rsid w:val="00F94B1F"/>
    <w:rsid w:val="00FA1E82"/>
    <w:rsid w:val="00FB73DA"/>
    <w:rsid w:val="00FE044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918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07"/>
  </w:style>
  <w:style w:type="paragraph" w:styleId="Footer">
    <w:name w:val="footer"/>
    <w:basedOn w:val="Normal"/>
    <w:link w:val="FooterChar"/>
    <w:unhideWhenUsed/>
    <w:rsid w:val="00E71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1B07"/>
  </w:style>
  <w:style w:type="paragraph" w:styleId="BalloonText">
    <w:name w:val="Balloon Text"/>
    <w:basedOn w:val="Normal"/>
    <w:link w:val="BalloonTextChar"/>
    <w:uiPriority w:val="99"/>
    <w:semiHidden/>
    <w:unhideWhenUsed/>
    <w:rsid w:val="00E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07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309D5"/>
    <w:pPr>
      <w:ind w:left="720"/>
      <w:contextualSpacing/>
    </w:pPr>
  </w:style>
  <w:style w:type="paragraph" w:customStyle="1" w:styleId="Default">
    <w:name w:val="Default"/>
    <w:rsid w:val="001E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7998"/>
  </w:style>
  <w:style w:type="character" w:styleId="Hyperlink">
    <w:name w:val="Hyperlink"/>
    <w:basedOn w:val="DefaultParagraphFont"/>
    <w:uiPriority w:val="99"/>
    <w:unhideWhenUsed/>
    <w:rsid w:val="00B03A3D"/>
    <w:rPr>
      <w:color w:val="0000FF" w:themeColor="hyperlink"/>
      <w:u w:val="single"/>
    </w:rPr>
  </w:style>
  <w:style w:type="paragraph" w:styleId="NoSpacing">
    <w:name w:val="No Spacing"/>
    <w:qFormat/>
    <w:rsid w:val="00585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nhideWhenUsed/>
    <w:rsid w:val="002B45B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B45BA"/>
    <w:rPr>
      <w:rFonts w:ascii="Times New Roman" w:eastAsia="Calibri" w:hAnsi="Times New Roman" w:cs="Times New Roman"/>
      <w:sz w:val="24"/>
      <w:szCs w:val="24"/>
    </w:rPr>
  </w:style>
  <w:style w:type="paragraph" w:customStyle="1" w:styleId="naisf">
    <w:name w:val="naisf"/>
    <w:basedOn w:val="Normal"/>
    <w:rsid w:val="002B4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82AA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0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A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5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07"/>
  </w:style>
  <w:style w:type="paragraph" w:styleId="Footer">
    <w:name w:val="footer"/>
    <w:basedOn w:val="Normal"/>
    <w:link w:val="FooterChar"/>
    <w:unhideWhenUsed/>
    <w:rsid w:val="00E71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1B07"/>
  </w:style>
  <w:style w:type="paragraph" w:styleId="BalloonText">
    <w:name w:val="Balloon Text"/>
    <w:basedOn w:val="Normal"/>
    <w:link w:val="BalloonTextChar"/>
    <w:uiPriority w:val="99"/>
    <w:semiHidden/>
    <w:unhideWhenUsed/>
    <w:rsid w:val="00E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07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309D5"/>
    <w:pPr>
      <w:ind w:left="720"/>
      <w:contextualSpacing/>
    </w:pPr>
  </w:style>
  <w:style w:type="paragraph" w:customStyle="1" w:styleId="Default">
    <w:name w:val="Default"/>
    <w:rsid w:val="001E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7998"/>
  </w:style>
  <w:style w:type="character" w:styleId="Hyperlink">
    <w:name w:val="Hyperlink"/>
    <w:basedOn w:val="DefaultParagraphFont"/>
    <w:uiPriority w:val="99"/>
    <w:unhideWhenUsed/>
    <w:rsid w:val="00B03A3D"/>
    <w:rPr>
      <w:color w:val="0000FF" w:themeColor="hyperlink"/>
      <w:u w:val="single"/>
    </w:rPr>
  </w:style>
  <w:style w:type="paragraph" w:styleId="NoSpacing">
    <w:name w:val="No Spacing"/>
    <w:qFormat/>
    <w:rsid w:val="00585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nhideWhenUsed/>
    <w:rsid w:val="002B45B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B45BA"/>
    <w:rPr>
      <w:rFonts w:ascii="Times New Roman" w:eastAsia="Calibri" w:hAnsi="Times New Roman" w:cs="Times New Roman"/>
      <w:sz w:val="24"/>
      <w:szCs w:val="24"/>
    </w:rPr>
  </w:style>
  <w:style w:type="paragraph" w:customStyle="1" w:styleId="naisf">
    <w:name w:val="naisf"/>
    <w:basedOn w:val="Normal"/>
    <w:rsid w:val="002B4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82AA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0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A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22C2-341F-481D-B9CE-261B9F7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7629</Words>
  <Characters>4349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Tiesu varas un tiesībaizsardzības iestāžu darbinieku cilvēkresursu kapacitātes stiprināšanas un kompetenču attīstīšanas plānā 2015.-2020.gadam</vt:lpstr>
      <vt:lpstr>Grozījumi Tiesu varas un tiesībaizsardzības iestāžu darbinieku cilvēkresursu kapacitātes stiprināšanas un kompetenču attīstīšanas plānā 2015.-2020.gadam</vt:lpstr>
    </vt:vector>
  </TitlesOfParts>
  <Company>Tieslietu ministrija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Tiesu varas un tiesībaizsardzības iestāžu darbinieku cilvēkresursu kapacitātes stiprināšanas un kompetenču attīstīšanas plānā 2015.-2020.gadam</dc:title>
  <dc:subject>Rīkojuma projekts</dc:subject>
  <dc:creator>Irina Borodjuka</dc:creator>
  <dc:description>67036831, Irina.borodjuka@tm.gov.lv</dc:description>
  <cp:lastModifiedBy>Jekaterina Borovika</cp:lastModifiedBy>
  <cp:revision>11</cp:revision>
  <cp:lastPrinted>2017-01-24T13:45:00Z</cp:lastPrinted>
  <dcterms:created xsi:type="dcterms:W3CDTF">2017-01-10T08:15:00Z</dcterms:created>
  <dcterms:modified xsi:type="dcterms:W3CDTF">2017-02-08T08:50:00Z</dcterms:modified>
</cp:coreProperties>
</file>