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DE" w:rsidRPr="003C00A4" w:rsidRDefault="00BD7BDE" w:rsidP="007C488D">
      <w:pPr>
        <w:spacing w:after="0" w:line="240" w:lineRule="auto"/>
        <w:jc w:val="center"/>
        <w:rPr>
          <w:rFonts w:ascii="Times New Roman" w:hAnsi="Times New Roman" w:cs="Times New Roman"/>
          <w:b/>
          <w:sz w:val="28"/>
          <w:szCs w:val="28"/>
        </w:rPr>
      </w:pPr>
      <w:r w:rsidRPr="003C00A4">
        <w:rPr>
          <w:rFonts w:ascii="Times New Roman" w:hAnsi="Times New Roman" w:cs="Times New Roman"/>
          <w:b/>
          <w:sz w:val="28"/>
          <w:szCs w:val="28"/>
        </w:rPr>
        <w:t>I</w:t>
      </w:r>
      <w:r w:rsidR="001769A5" w:rsidRPr="003C00A4">
        <w:rPr>
          <w:rFonts w:ascii="Times New Roman" w:hAnsi="Times New Roman" w:cs="Times New Roman"/>
          <w:b/>
          <w:sz w:val="28"/>
          <w:szCs w:val="28"/>
        </w:rPr>
        <w:t>nformatīvais ziņojums</w:t>
      </w:r>
    </w:p>
    <w:p w:rsidR="00C44AB4" w:rsidRPr="003C00A4" w:rsidRDefault="001769A5" w:rsidP="007C488D">
      <w:pPr>
        <w:spacing w:after="0" w:line="240" w:lineRule="auto"/>
        <w:jc w:val="center"/>
        <w:rPr>
          <w:rFonts w:ascii="Times New Roman" w:hAnsi="Times New Roman" w:cs="Times New Roman"/>
          <w:b/>
          <w:sz w:val="28"/>
          <w:szCs w:val="28"/>
        </w:rPr>
      </w:pPr>
      <w:r w:rsidRPr="003C00A4">
        <w:rPr>
          <w:rFonts w:ascii="Times New Roman" w:hAnsi="Times New Roman" w:cs="Times New Roman"/>
          <w:b/>
          <w:sz w:val="28"/>
          <w:szCs w:val="28"/>
        </w:rPr>
        <w:t>"</w:t>
      </w:r>
      <w:r w:rsidR="000934D7" w:rsidRPr="003C00A4">
        <w:rPr>
          <w:rFonts w:ascii="Times New Roman" w:hAnsi="Times New Roman" w:cs="Times New Roman"/>
          <w:b/>
          <w:sz w:val="28"/>
          <w:szCs w:val="28"/>
        </w:rPr>
        <w:t>P</w:t>
      </w:r>
      <w:r w:rsidR="00C44AB4" w:rsidRPr="003C00A4">
        <w:rPr>
          <w:rFonts w:ascii="Times New Roman" w:hAnsi="Times New Roman" w:cs="Times New Roman"/>
          <w:b/>
          <w:sz w:val="28"/>
          <w:szCs w:val="28"/>
        </w:rPr>
        <w:t xml:space="preserve">ar </w:t>
      </w:r>
      <w:r w:rsidR="00F2608C" w:rsidRPr="003C00A4">
        <w:rPr>
          <w:rFonts w:ascii="Times New Roman" w:hAnsi="Times New Roman" w:cs="Times New Roman"/>
          <w:b/>
          <w:sz w:val="28"/>
          <w:szCs w:val="28"/>
        </w:rPr>
        <w:t>Ekonomiskās sadarbības un attīstības organizācijas rekomendācijām korporatīvās pārvaldības jomā</w:t>
      </w:r>
      <w:r w:rsidRPr="003C00A4">
        <w:rPr>
          <w:rFonts w:ascii="Times New Roman" w:hAnsi="Times New Roman" w:cs="Times New Roman"/>
          <w:b/>
          <w:sz w:val="28"/>
          <w:szCs w:val="28"/>
        </w:rPr>
        <w:t>"</w:t>
      </w:r>
    </w:p>
    <w:p w:rsidR="00C44AB4" w:rsidRPr="003C00A4" w:rsidRDefault="00C44AB4" w:rsidP="007C488D">
      <w:pPr>
        <w:spacing w:after="0" w:line="240" w:lineRule="auto"/>
        <w:jc w:val="both"/>
        <w:rPr>
          <w:rFonts w:ascii="Times New Roman" w:hAnsi="Times New Roman" w:cs="Times New Roman"/>
          <w:sz w:val="25"/>
          <w:szCs w:val="25"/>
        </w:rPr>
      </w:pPr>
    </w:p>
    <w:p w:rsidR="000934D7" w:rsidRPr="003C00A4" w:rsidRDefault="00553CC0" w:rsidP="00553CC0">
      <w:pPr>
        <w:spacing w:after="0" w:line="240" w:lineRule="auto"/>
        <w:jc w:val="center"/>
        <w:rPr>
          <w:rFonts w:ascii="Times New Roman" w:hAnsi="Times New Roman" w:cs="Times New Roman"/>
          <w:b/>
          <w:sz w:val="25"/>
          <w:szCs w:val="25"/>
        </w:rPr>
      </w:pPr>
      <w:r w:rsidRPr="003C00A4">
        <w:rPr>
          <w:rFonts w:ascii="Times New Roman" w:hAnsi="Times New Roman" w:cs="Times New Roman"/>
          <w:b/>
          <w:sz w:val="25"/>
          <w:szCs w:val="25"/>
        </w:rPr>
        <w:t xml:space="preserve">I. </w:t>
      </w:r>
      <w:r w:rsidR="000934D7" w:rsidRPr="003C00A4">
        <w:rPr>
          <w:rFonts w:ascii="Times New Roman" w:hAnsi="Times New Roman" w:cs="Times New Roman"/>
          <w:b/>
          <w:sz w:val="25"/>
          <w:szCs w:val="25"/>
        </w:rPr>
        <w:t>Informatīvā ziņojuma izstrādes nepieciešamības pamatojums</w:t>
      </w:r>
    </w:p>
    <w:p w:rsidR="00F2608C" w:rsidRPr="003C00A4" w:rsidRDefault="00F2608C" w:rsidP="00F2608C">
      <w:pPr>
        <w:pStyle w:val="Sarakstarindkopa"/>
        <w:spacing w:after="0" w:line="240" w:lineRule="auto"/>
        <w:ind w:left="2160"/>
        <w:jc w:val="both"/>
        <w:rPr>
          <w:rFonts w:ascii="Times New Roman" w:hAnsi="Times New Roman" w:cs="Times New Roman"/>
          <w:b/>
          <w:sz w:val="25"/>
          <w:szCs w:val="25"/>
        </w:rPr>
      </w:pPr>
    </w:p>
    <w:p w:rsidR="00F2608C" w:rsidRPr="003C00A4" w:rsidRDefault="00F2608C" w:rsidP="00F2608C">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Šis </w:t>
      </w:r>
      <w:r w:rsidR="001F2F55" w:rsidRPr="003C00A4">
        <w:rPr>
          <w:rFonts w:ascii="Times New Roman" w:hAnsi="Times New Roman" w:cs="Times New Roman"/>
          <w:sz w:val="25"/>
          <w:szCs w:val="25"/>
        </w:rPr>
        <w:t xml:space="preserve">informatīvais </w:t>
      </w:r>
      <w:r w:rsidRPr="003C00A4">
        <w:rPr>
          <w:rFonts w:ascii="Times New Roman" w:hAnsi="Times New Roman" w:cs="Times New Roman"/>
          <w:sz w:val="25"/>
          <w:szCs w:val="25"/>
        </w:rPr>
        <w:t>ziņojums ietver informāciju par Latvijas valsts institūciju paveikto, īstenojot Ekonomiskās sadarbības un attīstības organizācijas (</w:t>
      </w:r>
      <w:r w:rsidR="00AA2197" w:rsidRPr="003C00A4">
        <w:rPr>
          <w:rFonts w:ascii="Times New Roman" w:hAnsi="Times New Roman" w:cs="Times New Roman"/>
          <w:sz w:val="25"/>
          <w:szCs w:val="25"/>
        </w:rPr>
        <w:t xml:space="preserve">turpmāk - </w:t>
      </w:r>
      <w:r w:rsidRPr="003C00A4">
        <w:rPr>
          <w:rFonts w:ascii="Times New Roman" w:hAnsi="Times New Roman" w:cs="Times New Roman"/>
          <w:sz w:val="25"/>
          <w:szCs w:val="25"/>
        </w:rPr>
        <w:t xml:space="preserve">ESAO) Korporatīvās pārvaldības komitejas rekomendāciju Latvijai, kas ietvertas ESAO ziņojumā par korporatīvo pārvaldību Latvijā, ieviešanu. </w:t>
      </w:r>
      <w:r w:rsidR="001F2F55" w:rsidRPr="003C00A4">
        <w:rPr>
          <w:rFonts w:ascii="Times New Roman" w:hAnsi="Times New Roman" w:cs="Times New Roman"/>
          <w:sz w:val="25"/>
          <w:szCs w:val="25"/>
        </w:rPr>
        <w:t>Informatīvais z</w:t>
      </w:r>
      <w:r w:rsidRPr="003C00A4">
        <w:rPr>
          <w:rFonts w:ascii="Times New Roman" w:hAnsi="Times New Roman" w:cs="Times New Roman"/>
          <w:sz w:val="25"/>
          <w:szCs w:val="25"/>
        </w:rPr>
        <w:t xml:space="preserve">iņojums sagatavots atbilstoši Ministru kabineta </w:t>
      </w:r>
      <w:r w:rsidR="001F2F55" w:rsidRPr="003C00A4">
        <w:rPr>
          <w:rFonts w:ascii="Times New Roman" w:hAnsi="Times New Roman" w:cs="Times New Roman"/>
          <w:sz w:val="25"/>
          <w:szCs w:val="25"/>
        </w:rPr>
        <w:t>2016. gada 18. augusta sēdē Tieslietu ministrijai dotajam uzdevumam (prot.</w:t>
      </w:r>
      <w:r w:rsidR="00A12318" w:rsidRPr="003C00A4">
        <w:rPr>
          <w:rFonts w:ascii="Times New Roman" w:hAnsi="Times New Roman" w:cs="Times New Roman"/>
          <w:sz w:val="25"/>
          <w:szCs w:val="25"/>
        </w:rPr>
        <w:t xml:space="preserve"> </w:t>
      </w:r>
      <w:r w:rsidR="001F2F55" w:rsidRPr="003C00A4">
        <w:rPr>
          <w:rFonts w:ascii="Times New Roman" w:hAnsi="Times New Roman" w:cs="Times New Roman"/>
          <w:sz w:val="25"/>
          <w:szCs w:val="25"/>
        </w:rPr>
        <w:t>nr.</w:t>
      </w:r>
      <w:r w:rsidR="00A12318" w:rsidRPr="003C00A4">
        <w:rPr>
          <w:rFonts w:ascii="Times New Roman" w:hAnsi="Times New Roman" w:cs="Times New Roman"/>
          <w:sz w:val="25"/>
          <w:szCs w:val="25"/>
        </w:rPr>
        <w:t> </w:t>
      </w:r>
      <w:r w:rsidR="001F2F55" w:rsidRPr="003C00A4">
        <w:rPr>
          <w:rFonts w:ascii="Times New Roman" w:hAnsi="Times New Roman" w:cs="Times New Roman"/>
          <w:sz w:val="25"/>
          <w:szCs w:val="25"/>
        </w:rPr>
        <w:t>41 4.</w:t>
      </w:r>
      <w:r w:rsidR="00A12318" w:rsidRPr="003C00A4">
        <w:rPr>
          <w:rFonts w:ascii="Times New Roman" w:hAnsi="Times New Roman" w:cs="Times New Roman"/>
          <w:sz w:val="25"/>
          <w:szCs w:val="25"/>
        </w:rPr>
        <w:t> </w:t>
      </w:r>
      <w:r w:rsidR="001F2F55" w:rsidRPr="003C00A4">
        <w:rPr>
          <w:rFonts w:ascii="Times New Roman" w:hAnsi="Times New Roman" w:cs="Times New Roman"/>
          <w:sz w:val="25"/>
          <w:szCs w:val="25"/>
        </w:rPr>
        <w:t>§, 10.punkts), kas paredz Tieslietu ministrijai iesniegt Ministru kabinetā informatīvo ziņojumu par ESAO rekomendāciju ieviešanas progresu pirms attiecīg</w:t>
      </w:r>
      <w:r w:rsidR="00AF0FD8" w:rsidRPr="003C00A4">
        <w:rPr>
          <w:rFonts w:ascii="Times New Roman" w:hAnsi="Times New Roman" w:cs="Times New Roman"/>
          <w:sz w:val="25"/>
          <w:szCs w:val="25"/>
        </w:rPr>
        <w:t>ā</w:t>
      </w:r>
      <w:r w:rsidR="001F2F55" w:rsidRPr="003C00A4">
        <w:rPr>
          <w:rFonts w:ascii="Times New Roman" w:hAnsi="Times New Roman" w:cs="Times New Roman"/>
          <w:sz w:val="25"/>
          <w:szCs w:val="25"/>
        </w:rPr>
        <w:t xml:space="preserve"> pēc-iestāšanās ziņojum</w:t>
      </w:r>
      <w:r w:rsidR="00AF0FD8" w:rsidRPr="003C00A4">
        <w:rPr>
          <w:rFonts w:ascii="Times New Roman" w:hAnsi="Times New Roman" w:cs="Times New Roman"/>
          <w:sz w:val="25"/>
          <w:szCs w:val="25"/>
        </w:rPr>
        <w:t>a</w:t>
      </w:r>
      <w:r w:rsidR="001F2F55" w:rsidRPr="003C00A4">
        <w:rPr>
          <w:rFonts w:ascii="Times New Roman" w:hAnsi="Times New Roman" w:cs="Times New Roman"/>
          <w:sz w:val="25"/>
          <w:szCs w:val="25"/>
        </w:rPr>
        <w:t xml:space="preserve"> izskatīšanas ESAO Korporatīvās pārvaldības komitejā. </w:t>
      </w:r>
    </w:p>
    <w:p w:rsidR="00F2608C" w:rsidRPr="003C00A4" w:rsidRDefault="00F2608C" w:rsidP="00F2608C">
      <w:pPr>
        <w:spacing w:after="0" w:line="240" w:lineRule="auto"/>
        <w:jc w:val="both"/>
        <w:rPr>
          <w:rFonts w:ascii="Times New Roman" w:hAnsi="Times New Roman" w:cs="Times New Roman"/>
          <w:b/>
          <w:sz w:val="25"/>
          <w:szCs w:val="25"/>
        </w:rPr>
      </w:pPr>
    </w:p>
    <w:p w:rsidR="00F2608C" w:rsidRPr="003C00A4" w:rsidRDefault="00553CC0" w:rsidP="00553CC0">
      <w:pPr>
        <w:spacing w:after="0" w:line="240" w:lineRule="auto"/>
        <w:jc w:val="center"/>
        <w:rPr>
          <w:rFonts w:ascii="Times New Roman" w:hAnsi="Times New Roman" w:cs="Times New Roman"/>
          <w:b/>
          <w:sz w:val="25"/>
          <w:szCs w:val="25"/>
        </w:rPr>
      </w:pPr>
      <w:r w:rsidRPr="003C00A4">
        <w:rPr>
          <w:rFonts w:ascii="Times New Roman" w:hAnsi="Times New Roman" w:cs="Times New Roman"/>
          <w:b/>
          <w:sz w:val="25"/>
          <w:szCs w:val="25"/>
        </w:rPr>
        <w:t xml:space="preserve">II. </w:t>
      </w:r>
      <w:r w:rsidR="00605F03" w:rsidRPr="003C00A4">
        <w:rPr>
          <w:rFonts w:ascii="Times New Roman" w:hAnsi="Times New Roman" w:cs="Times New Roman"/>
          <w:b/>
          <w:sz w:val="25"/>
          <w:szCs w:val="25"/>
        </w:rPr>
        <w:t>Prioritārā rekomendācija</w:t>
      </w:r>
    </w:p>
    <w:p w:rsidR="00605F03" w:rsidRPr="003C00A4" w:rsidRDefault="00605F03" w:rsidP="00553CC0">
      <w:pPr>
        <w:spacing w:after="0" w:line="240" w:lineRule="auto"/>
        <w:jc w:val="both"/>
        <w:rPr>
          <w:rFonts w:ascii="Times New Roman" w:hAnsi="Times New Roman" w:cs="Times New Roman"/>
          <w:b/>
          <w:sz w:val="25"/>
          <w:szCs w:val="25"/>
        </w:rPr>
      </w:pPr>
    </w:p>
    <w:p w:rsidR="00553CC0" w:rsidRPr="003C00A4" w:rsidRDefault="00E245F6" w:rsidP="00E245F6">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b/>
          <w:sz w:val="25"/>
          <w:szCs w:val="25"/>
        </w:rPr>
        <w:t>Prioritārā rekomendācija</w:t>
      </w:r>
      <w:r w:rsidRPr="003C00A4">
        <w:rPr>
          <w:rFonts w:ascii="Times New Roman" w:hAnsi="Times New Roman" w:cs="Times New Roman"/>
          <w:sz w:val="25"/>
          <w:szCs w:val="25"/>
        </w:rPr>
        <w:t xml:space="preserve">: </w:t>
      </w:r>
      <w:r w:rsidR="00553CC0" w:rsidRPr="003C00A4">
        <w:rPr>
          <w:rFonts w:ascii="Times New Roman" w:hAnsi="Times New Roman" w:cs="Times New Roman"/>
          <w:i/>
          <w:sz w:val="25"/>
          <w:szCs w:val="25"/>
        </w:rPr>
        <w:t>Lai nodrošinātu akcionāru tiesību piemērošanu un vienlīdzīgu attieksmi pret akcionāriem, Latvijai jānovērš trūkumi, kas identificēti attiecībā uz saistīto pušu darījumiem un to atklāšanu, līdz 2016.</w:t>
      </w:r>
      <w:r w:rsidR="00A12318" w:rsidRPr="003C00A4">
        <w:rPr>
          <w:rFonts w:ascii="Times New Roman" w:hAnsi="Times New Roman" w:cs="Times New Roman"/>
          <w:i/>
          <w:sz w:val="25"/>
          <w:szCs w:val="25"/>
        </w:rPr>
        <w:t> </w:t>
      </w:r>
      <w:r w:rsidR="00553CC0" w:rsidRPr="003C00A4">
        <w:rPr>
          <w:rFonts w:ascii="Times New Roman" w:hAnsi="Times New Roman" w:cs="Times New Roman"/>
          <w:i/>
          <w:sz w:val="25"/>
          <w:szCs w:val="25"/>
        </w:rPr>
        <w:t>gada beigām pieņemot nepieciešamos normatīvos aktus, lai stiprinātu šo regulējumu</w:t>
      </w:r>
      <w:r w:rsidR="00553CC0" w:rsidRPr="003C00A4">
        <w:rPr>
          <w:rFonts w:ascii="Times New Roman" w:hAnsi="Times New Roman" w:cs="Times New Roman"/>
          <w:sz w:val="25"/>
          <w:szCs w:val="25"/>
        </w:rPr>
        <w:t>.</w:t>
      </w:r>
    </w:p>
    <w:p w:rsidR="00A553EB" w:rsidRPr="003C00A4" w:rsidRDefault="00A553EB" w:rsidP="00E245F6">
      <w:pPr>
        <w:spacing w:after="0" w:line="240" w:lineRule="auto"/>
        <w:ind w:firstLine="720"/>
        <w:jc w:val="both"/>
        <w:rPr>
          <w:rFonts w:ascii="Times New Roman" w:hAnsi="Times New Roman" w:cs="Times New Roman"/>
          <w:sz w:val="25"/>
          <w:szCs w:val="25"/>
        </w:rPr>
      </w:pPr>
    </w:p>
    <w:p w:rsidR="00E245F6" w:rsidRPr="003C00A4" w:rsidRDefault="00DE5435" w:rsidP="00E245F6">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Rekomendācija ir ņemta vērā, izstrādājot likumprojektu </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Grozījumi Finanšu instrumentu tirgus likumā</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 xml:space="preserve"> un likumprojektu </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Grozījumi Komerclikumā</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 xml:space="preserve">. Abi likumprojekti iesniegti izskatīšanai Saeimā 2016. gada 8. novembrī. Likumprojekts </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Grozījumi Finanšu instrumentu tirgus likumā</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 xml:space="preserve"> </w:t>
      </w:r>
      <w:proofErr w:type="gramStart"/>
      <w:r w:rsidRPr="003C00A4">
        <w:rPr>
          <w:rFonts w:ascii="Times New Roman" w:hAnsi="Times New Roman" w:cs="Times New Roman"/>
          <w:sz w:val="25"/>
          <w:szCs w:val="25"/>
        </w:rPr>
        <w:t>(</w:t>
      </w:r>
      <w:proofErr w:type="gramEnd"/>
      <w:r w:rsidRPr="003C00A4">
        <w:rPr>
          <w:rFonts w:ascii="Times New Roman" w:hAnsi="Times New Roman" w:cs="Times New Roman"/>
          <w:sz w:val="25"/>
          <w:szCs w:val="25"/>
        </w:rPr>
        <w:t>Saeimas reģ.</w:t>
      </w:r>
      <w:r w:rsidRPr="003C00A4">
        <w:rPr>
          <w:rFonts w:ascii="Arial" w:hAnsi="Arial" w:cs="Arial"/>
          <w:bCs/>
          <w:color w:val="900000"/>
          <w:sz w:val="25"/>
          <w:szCs w:val="25"/>
        </w:rPr>
        <w:t xml:space="preserve"> </w:t>
      </w:r>
      <w:r w:rsidRPr="003C00A4">
        <w:rPr>
          <w:rFonts w:ascii="Times New Roman" w:hAnsi="Times New Roman" w:cs="Times New Roman"/>
          <w:sz w:val="25"/>
          <w:szCs w:val="25"/>
        </w:rPr>
        <w:t>Nr</w:t>
      </w:r>
      <w:r w:rsidR="00AA2197" w:rsidRPr="003C00A4">
        <w:rPr>
          <w:rFonts w:ascii="Times New Roman" w:hAnsi="Times New Roman" w:cs="Times New Roman"/>
          <w:sz w:val="25"/>
          <w:szCs w:val="25"/>
        </w:rPr>
        <w:t>.</w:t>
      </w:r>
      <w:r w:rsidR="00A12318" w:rsidRPr="003C00A4">
        <w:rPr>
          <w:rFonts w:ascii="Times New Roman" w:hAnsi="Times New Roman" w:cs="Times New Roman"/>
          <w:sz w:val="25"/>
          <w:szCs w:val="25"/>
        </w:rPr>
        <w:t> </w:t>
      </w:r>
      <w:r w:rsidRPr="003C00A4">
        <w:rPr>
          <w:rFonts w:ascii="Times New Roman" w:hAnsi="Times New Roman" w:cs="Times New Roman"/>
          <w:sz w:val="25"/>
          <w:szCs w:val="25"/>
        </w:rPr>
        <w:t>746/Lp12) pieņemts Saeimā 1.</w:t>
      </w:r>
      <w:r w:rsidR="00EF2EBB" w:rsidRPr="003C00A4">
        <w:rPr>
          <w:rFonts w:ascii="Times New Roman" w:hAnsi="Times New Roman" w:cs="Times New Roman"/>
          <w:sz w:val="25"/>
          <w:szCs w:val="25"/>
        </w:rPr>
        <w:t> </w:t>
      </w:r>
      <w:r w:rsidRPr="003C00A4">
        <w:rPr>
          <w:rFonts w:ascii="Times New Roman" w:hAnsi="Times New Roman" w:cs="Times New Roman"/>
          <w:sz w:val="25"/>
          <w:szCs w:val="25"/>
        </w:rPr>
        <w:t xml:space="preserve">lasījumā 2016. gada 15. decembrī, savukārt likumprojekts </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Grozījumi Komerclikumā</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 xml:space="preserve"> </w:t>
      </w:r>
      <w:proofErr w:type="gramStart"/>
      <w:r w:rsidRPr="003C00A4">
        <w:rPr>
          <w:rFonts w:ascii="Times New Roman" w:hAnsi="Times New Roman" w:cs="Times New Roman"/>
          <w:sz w:val="25"/>
          <w:szCs w:val="25"/>
        </w:rPr>
        <w:t>(</w:t>
      </w:r>
      <w:proofErr w:type="gramEnd"/>
      <w:r w:rsidRPr="003C00A4">
        <w:rPr>
          <w:rFonts w:ascii="Times New Roman" w:hAnsi="Times New Roman" w:cs="Times New Roman"/>
          <w:sz w:val="25"/>
          <w:szCs w:val="25"/>
        </w:rPr>
        <w:t>Saeimas reģ.</w:t>
      </w:r>
      <w:r w:rsidRPr="003C00A4">
        <w:rPr>
          <w:rFonts w:ascii="Arial" w:hAnsi="Arial" w:cs="Arial"/>
          <w:b/>
          <w:bCs/>
          <w:color w:val="900000"/>
          <w:sz w:val="25"/>
          <w:szCs w:val="25"/>
        </w:rPr>
        <w:t xml:space="preserve"> </w:t>
      </w:r>
      <w:r w:rsidRPr="003C00A4">
        <w:rPr>
          <w:rFonts w:ascii="Times New Roman" w:hAnsi="Times New Roman" w:cs="Times New Roman"/>
          <w:sz w:val="25"/>
          <w:szCs w:val="25"/>
        </w:rPr>
        <w:t>Nr</w:t>
      </w:r>
      <w:r w:rsidR="00AA2197" w:rsidRPr="003C00A4">
        <w:rPr>
          <w:rFonts w:ascii="Times New Roman" w:hAnsi="Times New Roman" w:cs="Times New Roman"/>
          <w:sz w:val="25"/>
          <w:szCs w:val="25"/>
        </w:rPr>
        <w:t>.</w:t>
      </w:r>
      <w:r w:rsidR="00A12318" w:rsidRPr="003C00A4">
        <w:rPr>
          <w:rFonts w:ascii="Times New Roman" w:hAnsi="Times New Roman" w:cs="Times New Roman"/>
          <w:sz w:val="25"/>
          <w:szCs w:val="25"/>
        </w:rPr>
        <w:t> </w:t>
      </w:r>
      <w:r w:rsidRPr="003C00A4">
        <w:rPr>
          <w:rFonts w:ascii="Times New Roman" w:hAnsi="Times New Roman" w:cs="Times New Roman"/>
          <w:sz w:val="25"/>
          <w:szCs w:val="25"/>
        </w:rPr>
        <w:t>74</w:t>
      </w:r>
      <w:r w:rsidR="00A12318" w:rsidRPr="003C00A4">
        <w:rPr>
          <w:rFonts w:ascii="Times New Roman" w:hAnsi="Times New Roman" w:cs="Times New Roman"/>
          <w:sz w:val="25"/>
          <w:szCs w:val="25"/>
        </w:rPr>
        <w:t>9</w:t>
      </w:r>
      <w:r w:rsidRPr="003C00A4">
        <w:rPr>
          <w:rFonts w:ascii="Times New Roman" w:hAnsi="Times New Roman" w:cs="Times New Roman"/>
          <w:sz w:val="25"/>
          <w:szCs w:val="25"/>
        </w:rPr>
        <w:t xml:space="preserve">/Lp12) </w:t>
      </w:r>
      <w:r w:rsidR="00EF2EBB" w:rsidRPr="003C00A4">
        <w:rPr>
          <w:rFonts w:ascii="Times New Roman" w:hAnsi="Times New Roman" w:cs="Times New Roman"/>
          <w:sz w:val="25"/>
          <w:szCs w:val="25"/>
        </w:rPr>
        <w:t>pieņemts 1. lasījumā 2016.</w:t>
      </w:r>
      <w:r w:rsidR="00A12318" w:rsidRPr="003C00A4">
        <w:rPr>
          <w:rFonts w:ascii="Times New Roman" w:hAnsi="Times New Roman" w:cs="Times New Roman"/>
          <w:sz w:val="25"/>
          <w:szCs w:val="25"/>
        </w:rPr>
        <w:t> </w:t>
      </w:r>
      <w:r w:rsidR="00EF2EBB" w:rsidRPr="003C00A4">
        <w:rPr>
          <w:rFonts w:ascii="Times New Roman" w:hAnsi="Times New Roman" w:cs="Times New Roman"/>
          <w:sz w:val="25"/>
          <w:szCs w:val="25"/>
        </w:rPr>
        <w:t>gada 1. decembrī.</w:t>
      </w:r>
      <w:r w:rsidR="008F2D4A" w:rsidRPr="003C00A4">
        <w:rPr>
          <w:rFonts w:ascii="Times New Roman" w:hAnsi="Times New Roman" w:cs="Times New Roman"/>
          <w:sz w:val="25"/>
          <w:szCs w:val="25"/>
        </w:rPr>
        <w:t xml:space="preserve"> Ņemot vērā minēto, rekomendācijas izpilde turpinās.</w:t>
      </w:r>
    </w:p>
    <w:p w:rsidR="00EF2EBB" w:rsidRPr="003C00A4" w:rsidRDefault="0038788D" w:rsidP="00E245F6">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Likumprojekti ietver saistītās puses definīciju, paredzot, ka akciju sabiedrībām, kuru akcijas ir iekļautas regulētajā tirgū, tiek piemērota tāda pati definīcija, kāda paredzēta Starptautiskajos grāmatvedības standartos. </w:t>
      </w:r>
      <w:r w:rsidR="003E656B" w:rsidRPr="003C00A4">
        <w:rPr>
          <w:rFonts w:ascii="Times New Roman" w:hAnsi="Times New Roman" w:cs="Times New Roman"/>
          <w:sz w:val="25"/>
          <w:szCs w:val="25"/>
        </w:rPr>
        <w:t xml:space="preserve">Tādējādi tiek novērsta situācija, kāda pastāvēja līdz šim, kad normatīvajā regulējumā, kas piemērojams akciju sabiedrībām, kuru akcijas ir iekļautas regulētajā tirgū (Komerclikumā un Gada pārskatu un konsolidēto gadu pārskatu likumā), tika lietotas dažādas saistīto pušu definīcijas. </w:t>
      </w:r>
    </w:p>
    <w:p w:rsidR="0038788D" w:rsidRPr="003C00A4" w:rsidRDefault="0038788D" w:rsidP="0038788D">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Likumprojekts </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Grozījumi Finanšu instrumentu tirgus likumā</w:t>
      </w:r>
      <w:r w:rsidR="00A12318" w:rsidRPr="003C00A4">
        <w:rPr>
          <w:rFonts w:ascii="Times New Roman" w:hAnsi="Times New Roman" w:cs="Times New Roman"/>
          <w:sz w:val="25"/>
          <w:szCs w:val="25"/>
        </w:rPr>
        <w:t>"</w:t>
      </w:r>
      <w:r w:rsidRPr="003C00A4">
        <w:rPr>
          <w:rFonts w:ascii="Times New Roman" w:hAnsi="Times New Roman" w:cs="Times New Roman"/>
          <w:sz w:val="25"/>
          <w:szCs w:val="25"/>
        </w:rPr>
        <w:t xml:space="preserve"> paredz kārtību, kādā izvērtējami, noslēdzami, saskaņojami un atklājami tie saistīto pušu darījumi, kurus slēdz akciju sabiedrības, kuru akcijas ir iekļautas regulētajā tirgū. Minētais l</w:t>
      </w:r>
      <w:r w:rsidRPr="003C00A4">
        <w:rPr>
          <w:rFonts w:ascii="Times New Roman" w:hAnsi="Times New Roman"/>
          <w:sz w:val="25"/>
          <w:szCs w:val="25"/>
        </w:rPr>
        <w:t xml:space="preserve">ikumprojekts izdala divu veidu saistīto pušu darījumus: netipiski darījumi (tādi, kas nav slēgti akciju sabiedrības parasti veicamās komercdarbības ietvaros vai neatbilst parastajiem tirgus nosacījumiem) un nozīmīga apjoma darījumi (tādi, kas atbilst likumā noteiktajiem kvantitatīvajiem kritērijiem). Netipiski saistīto pušu darījumi ir slēdzami Komerclikumā noteiktajā kārtībā (proti, tiem nepieciešama padomes vai akcionāru sapulces piekrišana). Pirms darījuma slēgšanas valde sniedz revīzijas komitejai informāciju par darījumu. Tāpat arī padome var pieaicināt revīzijas komiteju sniegt viedokli par netipisku saistīto pušu darījumu. Padome viedokļa sniegšanai var pieaicināt arī citu (ārējo) ekspertu. Pēc darījuma noslēgšanas informācija par darījumu ir atklājama Finanšu instrumentu tirgus likumā noteiktajā kārtībā. Papildus minētajam akciju sabiedrībai ir jāizstrādā procedūra, </w:t>
      </w:r>
      <w:r w:rsidRPr="003C00A4">
        <w:rPr>
          <w:rFonts w:ascii="Times New Roman" w:hAnsi="Times New Roman"/>
          <w:sz w:val="25"/>
          <w:szCs w:val="25"/>
        </w:rPr>
        <w:lastRenderedPageBreak/>
        <w:t xml:space="preserve">saskaņā ar kuru akciju sabiedrība konstatē, vai darījums ir netipisks, kā arī </w:t>
      </w:r>
      <w:proofErr w:type="gramStart"/>
      <w:r w:rsidRPr="003C00A4">
        <w:rPr>
          <w:rFonts w:ascii="Times New Roman" w:hAnsi="Times New Roman"/>
          <w:sz w:val="25"/>
          <w:szCs w:val="25"/>
        </w:rPr>
        <w:t>reizi gadā</w:t>
      </w:r>
      <w:proofErr w:type="gramEnd"/>
      <w:r w:rsidRPr="003C00A4">
        <w:rPr>
          <w:rFonts w:ascii="Times New Roman" w:hAnsi="Times New Roman"/>
          <w:sz w:val="25"/>
          <w:szCs w:val="25"/>
        </w:rPr>
        <w:t xml:space="preserve"> jāveic izvērtējums, vai akciju sabiedrība ir identificējusi netipiskos darījumus un ievērojusi to noslēgšanas un atklāšanas kārtību. Savukārt nozīmīga apjoma saistīto pušu darījumiem nav piemērojami Komerclikuma noteikumi par saistīto pušu darījumu noslēgšanu. Taču minētie darījumi (tāpat kā netipiski saistīto pušu darījumi) ir atklājami Finanšu instrumentu tirgus likumā noteiktajā kārtībā, kā arī par šiem darījumiem valdei ir jāsniedz informācija revīzijas komitejai pirms darījuma noslēgšanas.</w:t>
      </w:r>
    </w:p>
    <w:p w:rsidR="00553CC0" w:rsidRPr="003C00A4" w:rsidRDefault="00553CC0" w:rsidP="00553CC0">
      <w:pPr>
        <w:spacing w:after="0" w:line="240" w:lineRule="auto"/>
        <w:jc w:val="both"/>
        <w:rPr>
          <w:rFonts w:ascii="Times New Roman" w:hAnsi="Times New Roman" w:cs="Times New Roman"/>
          <w:b/>
          <w:sz w:val="25"/>
          <w:szCs w:val="25"/>
        </w:rPr>
      </w:pPr>
    </w:p>
    <w:p w:rsidR="00605F03" w:rsidRPr="003C00A4" w:rsidRDefault="00553CC0" w:rsidP="00553CC0">
      <w:pPr>
        <w:spacing w:after="0" w:line="240" w:lineRule="auto"/>
        <w:jc w:val="center"/>
        <w:rPr>
          <w:rFonts w:ascii="Times New Roman" w:hAnsi="Times New Roman" w:cs="Times New Roman"/>
          <w:b/>
          <w:sz w:val="25"/>
          <w:szCs w:val="25"/>
        </w:rPr>
      </w:pPr>
      <w:r w:rsidRPr="003C00A4">
        <w:rPr>
          <w:rFonts w:ascii="Times New Roman" w:hAnsi="Times New Roman" w:cs="Times New Roman"/>
          <w:b/>
          <w:sz w:val="25"/>
          <w:szCs w:val="25"/>
        </w:rPr>
        <w:t xml:space="preserve">III. </w:t>
      </w:r>
      <w:r w:rsidR="00605F03" w:rsidRPr="003C00A4">
        <w:rPr>
          <w:rFonts w:ascii="Times New Roman" w:hAnsi="Times New Roman" w:cs="Times New Roman"/>
          <w:b/>
          <w:sz w:val="25"/>
          <w:szCs w:val="25"/>
        </w:rPr>
        <w:t>Papildu rekomendācija</w:t>
      </w:r>
      <w:r w:rsidRPr="003C00A4">
        <w:rPr>
          <w:rFonts w:ascii="Times New Roman" w:hAnsi="Times New Roman" w:cs="Times New Roman"/>
          <w:b/>
          <w:sz w:val="25"/>
          <w:szCs w:val="25"/>
        </w:rPr>
        <w:t>s</w:t>
      </w:r>
    </w:p>
    <w:p w:rsidR="00553CC0" w:rsidRPr="003C00A4" w:rsidRDefault="00553CC0" w:rsidP="00553CC0">
      <w:pPr>
        <w:spacing w:after="0" w:line="240" w:lineRule="auto"/>
        <w:jc w:val="both"/>
        <w:rPr>
          <w:rFonts w:ascii="Times New Roman" w:hAnsi="Times New Roman" w:cs="Times New Roman"/>
          <w:b/>
          <w:sz w:val="25"/>
          <w:szCs w:val="25"/>
        </w:rPr>
      </w:pPr>
    </w:p>
    <w:p w:rsidR="00553CC0" w:rsidRPr="003C00A4" w:rsidRDefault="00553CC0" w:rsidP="00E245F6">
      <w:pPr>
        <w:spacing w:after="0" w:line="240" w:lineRule="auto"/>
        <w:ind w:firstLine="720"/>
        <w:jc w:val="both"/>
        <w:rPr>
          <w:rFonts w:ascii="Times New Roman" w:hAnsi="Times New Roman" w:cs="Times New Roman"/>
          <w:i/>
          <w:sz w:val="25"/>
          <w:szCs w:val="25"/>
        </w:rPr>
      </w:pPr>
      <w:r w:rsidRPr="003C00A4">
        <w:rPr>
          <w:rFonts w:ascii="Times New Roman" w:hAnsi="Times New Roman" w:cs="Times New Roman"/>
          <w:b/>
          <w:sz w:val="25"/>
          <w:szCs w:val="25"/>
        </w:rPr>
        <w:t xml:space="preserve">Papildu rekomendācija </w:t>
      </w:r>
      <w:r w:rsidR="00466B4B" w:rsidRPr="003C00A4">
        <w:rPr>
          <w:rFonts w:ascii="Times New Roman" w:hAnsi="Times New Roman" w:cs="Times New Roman"/>
          <w:b/>
          <w:sz w:val="25"/>
          <w:szCs w:val="25"/>
        </w:rPr>
        <w:t>N</w:t>
      </w:r>
      <w:r w:rsidR="00E245F6" w:rsidRPr="003C00A4">
        <w:rPr>
          <w:rFonts w:ascii="Times New Roman" w:hAnsi="Times New Roman" w:cs="Times New Roman"/>
          <w:b/>
          <w:sz w:val="25"/>
          <w:szCs w:val="25"/>
        </w:rPr>
        <w:t>r.</w:t>
      </w:r>
      <w:r w:rsidR="0065352A" w:rsidRPr="003C00A4">
        <w:rPr>
          <w:rFonts w:ascii="Times New Roman" w:hAnsi="Times New Roman" w:cs="Times New Roman"/>
          <w:b/>
          <w:sz w:val="25"/>
          <w:szCs w:val="25"/>
        </w:rPr>
        <w:t> </w:t>
      </w:r>
      <w:r w:rsidR="00E245F6" w:rsidRPr="003C00A4">
        <w:rPr>
          <w:rFonts w:ascii="Times New Roman" w:hAnsi="Times New Roman" w:cs="Times New Roman"/>
          <w:b/>
          <w:sz w:val="25"/>
          <w:szCs w:val="25"/>
        </w:rPr>
        <w:t>1:</w:t>
      </w:r>
      <w:r w:rsidRPr="003C00A4">
        <w:rPr>
          <w:rFonts w:ascii="Times New Roman" w:hAnsi="Times New Roman" w:cs="Times New Roman"/>
          <w:b/>
          <w:sz w:val="25"/>
          <w:szCs w:val="25"/>
        </w:rPr>
        <w:t xml:space="preserve"> </w:t>
      </w:r>
      <w:r w:rsidRPr="003C00A4">
        <w:rPr>
          <w:rFonts w:ascii="Times New Roman" w:hAnsi="Times New Roman" w:cs="Times New Roman"/>
          <w:b/>
          <w:i/>
          <w:sz w:val="25"/>
          <w:szCs w:val="25"/>
        </w:rPr>
        <w:t>Stiprināt biržā kotēto sabiedrību tiesisko regulējumu.</w:t>
      </w:r>
      <w:r w:rsidRPr="003C00A4">
        <w:rPr>
          <w:rFonts w:ascii="Times New Roman" w:hAnsi="Times New Roman" w:cs="Times New Roman"/>
          <w:i/>
          <w:sz w:val="25"/>
          <w:szCs w:val="25"/>
        </w:rPr>
        <w:t xml:space="preserve"> Latvijai jāturpina progress, ko tā ir sasniegusi, lai stiprinātu efektivitāti komerclietu izskatīšanai tiesā. Valdībai jāturpina tās iesāktais maksātnespējas tiesiskā regulējuma novērtējums. Turklāt Latvijai jāievieš grozījumi Finanšu instrumentu tirgus likumā, lai stiprinātu Finanšu un kapitāla tirgus komisijas piemērošanas kapacitāti un lai padarītu skaidrāku revīzijas komitejas lomu, sastāvu un darbību.</w:t>
      </w:r>
    </w:p>
    <w:p w:rsidR="00966ACC" w:rsidRPr="003C00A4" w:rsidRDefault="00966ACC" w:rsidP="00E245F6">
      <w:pPr>
        <w:spacing w:after="0" w:line="240" w:lineRule="auto"/>
        <w:ind w:firstLine="720"/>
        <w:jc w:val="both"/>
        <w:rPr>
          <w:rFonts w:ascii="Times New Roman" w:hAnsi="Times New Roman" w:cs="Times New Roman"/>
          <w:i/>
          <w:sz w:val="25"/>
          <w:szCs w:val="25"/>
        </w:rPr>
      </w:pPr>
    </w:p>
    <w:p w:rsidR="000009C5" w:rsidRPr="003C00A4" w:rsidRDefault="006A7A4B" w:rsidP="00E245F6">
      <w:pPr>
        <w:spacing w:after="0" w:line="240" w:lineRule="auto"/>
        <w:ind w:firstLine="720"/>
        <w:jc w:val="both"/>
        <w:rPr>
          <w:rFonts w:ascii="Times New Roman" w:hAnsi="Times New Roman" w:cs="Times New Roman"/>
          <w:b/>
          <w:sz w:val="25"/>
          <w:szCs w:val="25"/>
        </w:rPr>
      </w:pPr>
      <w:r w:rsidRPr="003C00A4">
        <w:rPr>
          <w:rFonts w:ascii="Times New Roman" w:hAnsi="Times New Roman" w:cs="Times New Roman"/>
          <w:b/>
          <w:sz w:val="25"/>
          <w:szCs w:val="25"/>
        </w:rPr>
        <w:t>Tiesu sistēmas reformas.</w:t>
      </w:r>
    </w:p>
    <w:p w:rsidR="00D437F7" w:rsidRPr="003C00A4" w:rsidRDefault="00D437F7" w:rsidP="00D437F7">
      <w:pPr>
        <w:spacing w:after="0" w:line="240" w:lineRule="auto"/>
        <w:ind w:firstLine="720"/>
        <w:jc w:val="both"/>
        <w:rPr>
          <w:rFonts w:ascii="Times New Roman" w:hAnsi="Times New Roman"/>
          <w:sz w:val="25"/>
          <w:szCs w:val="25"/>
        </w:rPr>
      </w:pPr>
      <w:r w:rsidRPr="003C00A4">
        <w:rPr>
          <w:rFonts w:ascii="Times New Roman" w:hAnsi="Times New Roman"/>
          <w:sz w:val="25"/>
          <w:szCs w:val="25"/>
          <w:u w:val="single"/>
        </w:rPr>
        <w:t>Tiesu namu reforma</w:t>
      </w:r>
      <w:r w:rsidRPr="003C00A4">
        <w:rPr>
          <w:rFonts w:ascii="Times New Roman" w:hAnsi="Times New Roman"/>
          <w:sz w:val="25"/>
          <w:szCs w:val="25"/>
        </w:rPr>
        <w:t>. Reformas īstenošana ir atbalstīta ar Tieslietu padomes 2014.</w:t>
      </w:r>
      <w:r w:rsidR="0065352A" w:rsidRPr="003C00A4">
        <w:rPr>
          <w:rFonts w:ascii="Times New Roman" w:hAnsi="Times New Roman"/>
          <w:sz w:val="25"/>
          <w:szCs w:val="25"/>
        </w:rPr>
        <w:t> </w:t>
      </w:r>
      <w:r w:rsidRPr="003C00A4">
        <w:rPr>
          <w:rFonts w:ascii="Times New Roman" w:hAnsi="Times New Roman"/>
          <w:sz w:val="25"/>
          <w:szCs w:val="25"/>
        </w:rPr>
        <w:t>gada 16. jūnija sēdē un Ministru kabineta 2014. gada 5. augusta sēdē pieņemtajiem lēmumiem, atbalstot rīcības virzienu, kas paredz pakāpeniski apvienot apgabaltiesu darbības teritorijā esošo rajonu (pilsētu) tiesas, sākotnēji reformu ieviešot Rīgas tiesu apgabalā. Saskaņā ar Valdības rīcības plānā Deklarācijas par Māra Kučinska vadītā Ministru kabineta iecerēto darbību īstenošanai doto uzdevumu tiesu darbības teritoriju reforma pabeidzama 2018. gadā.</w:t>
      </w:r>
    </w:p>
    <w:p w:rsidR="00D437F7" w:rsidRPr="003C00A4" w:rsidRDefault="00D437F7" w:rsidP="00D437F7">
      <w:pPr>
        <w:spacing w:after="0" w:line="240" w:lineRule="auto"/>
        <w:ind w:firstLine="720"/>
        <w:jc w:val="both"/>
        <w:rPr>
          <w:rFonts w:ascii="Times New Roman" w:hAnsi="Times New Roman"/>
          <w:sz w:val="25"/>
          <w:szCs w:val="25"/>
        </w:rPr>
      </w:pPr>
      <w:r w:rsidRPr="003C00A4">
        <w:rPr>
          <w:rFonts w:ascii="Times New Roman" w:hAnsi="Times New Roman"/>
          <w:sz w:val="25"/>
          <w:szCs w:val="25"/>
        </w:rPr>
        <w:t>Reformas galvenie mērķi ir - lietu sadales nejaušības un tiesnešu specializācijas principa vienlaicīga nodrošināšana, nevienmērīgas tiesu noslodzes novēršana, kā arī tiesvedības termiņa samazināšana. Reformas būtība – viena tiesu apgabala ietvaros tiek apvienotas vairāku tiesu teritorijas, juridiski izveidojot vienu lielāku tiesu. Šīs jaunās teritorijas ietvaros tiesa turpina darboties visās līdzšinējo tiesu atrašanās vietās, nodrošinot iedzīvotājiem pieejamību tiesai. Reforma nozīmē tiesu un to sastāvā esošo zemesgrāmatu nodaļu reformu organizatoriskā līmenī: tiesu vada viens tiesas priekšsēdētājs, tajā ir vienota lietu sadales sistēma un tiesnešu slodžu izlīdzināšana notiek pēc vienota principa.</w:t>
      </w:r>
    </w:p>
    <w:p w:rsidR="00D437F7" w:rsidRPr="003C00A4" w:rsidRDefault="00D437F7" w:rsidP="00D437F7">
      <w:pPr>
        <w:spacing w:after="0" w:line="240" w:lineRule="auto"/>
        <w:ind w:firstLine="720"/>
        <w:jc w:val="both"/>
        <w:rPr>
          <w:rFonts w:ascii="Times New Roman" w:hAnsi="Times New Roman"/>
          <w:sz w:val="25"/>
          <w:szCs w:val="25"/>
        </w:rPr>
      </w:pPr>
      <w:r w:rsidRPr="003C00A4">
        <w:rPr>
          <w:rFonts w:ascii="Times New Roman" w:hAnsi="Times New Roman"/>
          <w:sz w:val="25"/>
          <w:szCs w:val="25"/>
        </w:rPr>
        <w:t>Reformas īstenošana tika uzsākta 2015.</w:t>
      </w:r>
      <w:r w:rsidR="0065352A" w:rsidRPr="003C00A4">
        <w:rPr>
          <w:rFonts w:ascii="Times New Roman" w:hAnsi="Times New Roman"/>
          <w:sz w:val="25"/>
          <w:szCs w:val="25"/>
        </w:rPr>
        <w:t> </w:t>
      </w:r>
      <w:r w:rsidRPr="003C00A4">
        <w:rPr>
          <w:rFonts w:ascii="Times New Roman" w:hAnsi="Times New Roman"/>
          <w:sz w:val="25"/>
          <w:szCs w:val="25"/>
        </w:rPr>
        <w:t>gadā, apvienojot vairāku Rīgas tiesu apgabala tiesu teritorijas. Rīgas Centra rajona tiesa 2015. gada 1.</w:t>
      </w:r>
      <w:r w:rsidR="0065352A" w:rsidRPr="003C00A4">
        <w:rPr>
          <w:rFonts w:ascii="Times New Roman" w:hAnsi="Times New Roman"/>
          <w:sz w:val="25"/>
          <w:szCs w:val="25"/>
        </w:rPr>
        <w:t> </w:t>
      </w:r>
      <w:r w:rsidRPr="003C00A4">
        <w:rPr>
          <w:rFonts w:ascii="Times New Roman" w:hAnsi="Times New Roman"/>
          <w:sz w:val="25"/>
          <w:szCs w:val="25"/>
        </w:rPr>
        <w:t>martā tika pievienota Rīgas pilsētas Vidzemes priekšpilsētas tiesai. Siguldas rajona tiesa 2015. gada 1.</w:t>
      </w:r>
      <w:r w:rsidR="0065352A" w:rsidRPr="003C00A4">
        <w:rPr>
          <w:rFonts w:ascii="Times New Roman" w:hAnsi="Times New Roman"/>
          <w:sz w:val="25"/>
          <w:szCs w:val="25"/>
        </w:rPr>
        <w:t> </w:t>
      </w:r>
      <w:r w:rsidRPr="003C00A4">
        <w:rPr>
          <w:rFonts w:ascii="Times New Roman" w:hAnsi="Times New Roman"/>
          <w:sz w:val="25"/>
          <w:szCs w:val="25"/>
        </w:rPr>
        <w:t>martā, bet Jūrmalas pilsētas tiesa un tās sastāvā esošā zemesgrāmatu nodaļa 2015. gada 1.</w:t>
      </w:r>
      <w:r w:rsidR="0065352A" w:rsidRPr="003C00A4">
        <w:rPr>
          <w:rFonts w:ascii="Times New Roman" w:hAnsi="Times New Roman"/>
          <w:sz w:val="25"/>
          <w:szCs w:val="25"/>
        </w:rPr>
        <w:t> </w:t>
      </w:r>
      <w:r w:rsidRPr="003C00A4">
        <w:rPr>
          <w:rFonts w:ascii="Times New Roman" w:hAnsi="Times New Roman"/>
          <w:sz w:val="25"/>
          <w:szCs w:val="25"/>
        </w:rPr>
        <w:t>augustā tika pievienota Rīgas rajona tiesai. No 2016.</w:t>
      </w:r>
      <w:r w:rsidR="0065352A" w:rsidRPr="003C00A4">
        <w:rPr>
          <w:rFonts w:ascii="Times New Roman" w:hAnsi="Times New Roman"/>
          <w:sz w:val="25"/>
          <w:szCs w:val="25"/>
        </w:rPr>
        <w:t> </w:t>
      </w:r>
      <w:r w:rsidRPr="003C00A4">
        <w:rPr>
          <w:rFonts w:ascii="Times New Roman" w:hAnsi="Times New Roman"/>
          <w:sz w:val="25"/>
          <w:szCs w:val="25"/>
        </w:rPr>
        <w:t xml:space="preserve">gada 1. februāra reforma ieviesta Latgales tiesu apgabalā, kurā šobrīd ir divas rajona (pilsētas) tiesas un </w:t>
      </w:r>
      <w:r w:rsidR="0052572F" w:rsidRPr="003C00A4">
        <w:rPr>
          <w:rFonts w:ascii="Times New Roman" w:hAnsi="Times New Roman"/>
          <w:sz w:val="25"/>
          <w:szCs w:val="25"/>
        </w:rPr>
        <w:t xml:space="preserve">divas </w:t>
      </w:r>
      <w:r w:rsidRPr="003C00A4">
        <w:rPr>
          <w:rFonts w:ascii="Times New Roman" w:hAnsi="Times New Roman"/>
          <w:sz w:val="25"/>
          <w:szCs w:val="25"/>
        </w:rPr>
        <w:t>zemesgrāmatu nodaļas</w:t>
      </w:r>
      <w:r w:rsidR="0065352A" w:rsidRPr="003C00A4">
        <w:rPr>
          <w:rFonts w:ascii="Times New Roman" w:hAnsi="Times New Roman"/>
          <w:sz w:val="25"/>
          <w:szCs w:val="25"/>
        </w:rPr>
        <w:t>:</w:t>
      </w:r>
      <w:r w:rsidRPr="003C00A4">
        <w:rPr>
          <w:rFonts w:ascii="Times New Roman" w:hAnsi="Times New Roman"/>
          <w:sz w:val="25"/>
          <w:szCs w:val="25"/>
        </w:rPr>
        <w:t xml:space="preserve"> Daugavpils tiesa un Daugavpils tiesas zemesgrāmatu nodaļa un Rēzeknes tiesa un Rēzeknes tiesas zemesgrāmatu nodaļa. Savukārt, pamatojoties uz Tieslietu padomes 2016.</w:t>
      </w:r>
      <w:r w:rsidR="0065352A" w:rsidRPr="003C00A4">
        <w:rPr>
          <w:rFonts w:ascii="Times New Roman" w:hAnsi="Times New Roman"/>
          <w:sz w:val="25"/>
          <w:szCs w:val="25"/>
        </w:rPr>
        <w:t> </w:t>
      </w:r>
      <w:r w:rsidRPr="003C00A4">
        <w:rPr>
          <w:rFonts w:ascii="Times New Roman" w:hAnsi="Times New Roman"/>
          <w:sz w:val="25"/>
          <w:szCs w:val="25"/>
        </w:rPr>
        <w:t>gada 28.</w:t>
      </w:r>
      <w:r w:rsidR="0065352A" w:rsidRPr="003C00A4">
        <w:rPr>
          <w:rFonts w:ascii="Times New Roman" w:hAnsi="Times New Roman"/>
          <w:sz w:val="25"/>
          <w:szCs w:val="25"/>
        </w:rPr>
        <w:t> </w:t>
      </w:r>
      <w:r w:rsidRPr="003C00A4">
        <w:rPr>
          <w:rFonts w:ascii="Times New Roman" w:hAnsi="Times New Roman"/>
          <w:sz w:val="25"/>
          <w:szCs w:val="25"/>
        </w:rPr>
        <w:t>novembra lēmumu</w:t>
      </w:r>
      <w:r w:rsidR="00377F88" w:rsidRPr="003C00A4">
        <w:rPr>
          <w:rFonts w:ascii="Times New Roman" w:hAnsi="Times New Roman"/>
          <w:sz w:val="25"/>
          <w:szCs w:val="25"/>
        </w:rPr>
        <w:t>,</w:t>
      </w:r>
      <w:r w:rsidRPr="003C00A4">
        <w:rPr>
          <w:rFonts w:ascii="Times New Roman" w:hAnsi="Times New Roman"/>
          <w:sz w:val="25"/>
          <w:szCs w:val="25"/>
        </w:rPr>
        <w:t xml:space="preserve"> Rīgas pilsētas Zemgales priekšpilsētas tiesa ar 2017. gada 1.</w:t>
      </w:r>
      <w:r w:rsidR="0065352A" w:rsidRPr="003C00A4">
        <w:rPr>
          <w:rFonts w:ascii="Times New Roman" w:hAnsi="Times New Roman"/>
          <w:sz w:val="25"/>
          <w:szCs w:val="25"/>
        </w:rPr>
        <w:t> </w:t>
      </w:r>
      <w:r w:rsidRPr="003C00A4">
        <w:rPr>
          <w:rFonts w:ascii="Times New Roman" w:hAnsi="Times New Roman"/>
          <w:sz w:val="25"/>
          <w:szCs w:val="25"/>
        </w:rPr>
        <w:t xml:space="preserve">februāri tiks pievienota Rīgas pilsētas Kurzemes rajona tiesai, precizējot reorganizētās tiesas nosaukumu </w:t>
      </w:r>
      <w:r w:rsidR="0065352A" w:rsidRPr="003C00A4">
        <w:rPr>
          <w:rFonts w:ascii="Times New Roman" w:hAnsi="Times New Roman"/>
          <w:sz w:val="25"/>
          <w:szCs w:val="25"/>
        </w:rPr>
        <w:t xml:space="preserve">– </w:t>
      </w:r>
      <w:r w:rsidRPr="003C00A4">
        <w:rPr>
          <w:rFonts w:ascii="Times New Roman" w:hAnsi="Times New Roman"/>
          <w:sz w:val="25"/>
          <w:szCs w:val="25"/>
        </w:rPr>
        <w:t>Rīgas pilsētas Pārdaugavas tiesa.</w:t>
      </w:r>
    </w:p>
    <w:p w:rsidR="00D437F7" w:rsidRPr="003C00A4" w:rsidRDefault="00D437F7" w:rsidP="009047A7">
      <w:pPr>
        <w:spacing w:after="0" w:line="240" w:lineRule="auto"/>
        <w:ind w:firstLine="720"/>
        <w:jc w:val="both"/>
        <w:rPr>
          <w:rFonts w:ascii="Times New Roman" w:hAnsi="Times New Roman"/>
          <w:sz w:val="25"/>
          <w:szCs w:val="25"/>
        </w:rPr>
      </w:pPr>
      <w:r w:rsidRPr="003C00A4">
        <w:rPr>
          <w:rFonts w:ascii="Times New Roman" w:hAnsi="Times New Roman"/>
          <w:sz w:val="25"/>
          <w:szCs w:val="25"/>
        </w:rPr>
        <w:t>2016.</w:t>
      </w:r>
      <w:r w:rsidR="0065352A" w:rsidRPr="003C00A4">
        <w:rPr>
          <w:rFonts w:ascii="Times New Roman" w:hAnsi="Times New Roman"/>
          <w:sz w:val="25"/>
          <w:szCs w:val="25"/>
        </w:rPr>
        <w:t> </w:t>
      </w:r>
      <w:r w:rsidRPr="003C00A4">
        <w:rPr>
          <w:rFonts w:ascii="Times New Roman" w:hAnsi="Times New Roman"/>
          <w:sz w:val="25"/>
          <w:szCs w:val="25"/>
        </w:rPr>
        <w:t xml:space="preserve">gada jūnijā tika rīkota visu tiesu priekšsēdētāju un zemesgrāmatu nodaļu priekšnieku sanāksme, kurā tika apspriests Latgales tiesu apgabalā īstenotās reformas sākotnējais novērtējums un gūts apstiprinājums par reformas pozitīvo ietekmi uz izvirzīto mērķu sasniegšanu un tiesu darba </w:t>
      </w:r>
      <w:proofErr w:type="spellStart"/>
      <w:r w:rsidRPr="003C00A4">
        <w:rPr>
          <w:rFonts w:ascii="Times New Roman" w:hAnsi="Times New Roman"/>
          <w:sz w:val="25"/>
          <w:szCs w:val="25"/>
        </w:rPr>
        <w:t>efektivizēšanu</w:t>
      </w:r>
      <w:proofErr w:type="spellEnd"/>
      <w:r w:rsidRPr="003C00A4">
        <w:rPr>
          <w:rFonts w:ascii="Times New Roman" w:hAnsi="Times New Roman"/>
          <w:sz w:val="25"/>
          <w:szCs w:val="25"/>
        </w:rPr>
        <w:t>. Savukārt 2016.</w:t>
      </w:r>
      <w:r w:rsidR="0065352A" w:rsidRPr="003C00A4">
        <w:rPr>
          <w:rFonts w:ascii="Times New Roman" w:hAnsi="Times New Roman"/>
          <w:sz w:val="25"/>
          <w:szCs w:val="25"/>
        </w:rPr>
        <w:t> </w:t>
      </w:r>
      <w:r w:rsidRPr="003C00A4">
        <w:rPr>
          <w:rFonts w:ascii="Times New Roman" w:hAnsi="Times New Roman"/>
          <w:sz w:val="25"/>
          <w:szCs w:val="25"/>
        </w:rPr>
        <w:t>gada 6.-7.</w:t>
      </w:r>
      <w:r w:rsidR="009047A7" w:rsidRPr="003C00A4">
        <w:rPr>
          <w:rFonts w:ascii="Times New Roman" w:hAnsi="Times New Roman"/>
          <w:sz w:val="25"/>
          <w:szCs w:val="25"/>
        </w:rPr>
        <w:t> </w:t>
      </w:r>
      <w:r w:rsidRPr="003C00A4">
        <w:rPr>
          <w:rFonts w:ascii="Times New Roman" w:hAnsi="Times New Roman"/>
          <w:sz w:val="25"/>
          <w:szCs w:val="25"/>
        </w:rPr>
        <w:t xml:space="preserve">oktobrī notika </w:t>
      </w:r>
      <w:r w:rsidRPr="003C00A4">
        <w:rPr>
          <w:rFonts w:ascii="Times New Roman" w:hAnsi="Times New Roman"/>
          <w:sz w:val="25"/>
          <w:szCs w:val="25"/>
        </w:rPr>
        <w:lastRenderedPageBreak/>
        <w:t xml:space="preserve">Latvijas tiesu priekšsēdētāju un zemesgrāmatu nodaļu </w:t>
      </w:r>
      <w:r w:rsidR="00466B4B" w:rsidRPr="003C00A4">
        <w:rPr>
          <w:rFonts w:ascii="Times New Roman" w:hAnsi="Times New Roman"/>
          <w:sz w:val="25"/>
          <w:szCs w:val="25"/>
        </w:rPr>
        <w:t>vadītāju</w:t>
      </w:r>
      <w:r w:rsidRPr="003C00A4">
        <w:rPr>
          <w:rFonts w:ascii="Times New Roman" w:hAnsi="Times New Roman"/>
          <w:sz w:val="25"/>
          <w:szCs w:val="25"/>
        </w:rPr>
        <w:t xml:space="preserve"> konference "Turpmākie soļi tiesu namu reformas ieviešanā", kuras mērķis bija kopīgi pārrunāt turpmākos soļus tiesu namu reformas īstenošanā, vienojoties par atbilstošāku ieviešanas modeli, identificēt iespējamās problēmas, kā arī tiesu priekšsēdētāju u</w:t>
      </w:r>
      <w:r w:rsidR="009047A7" w:rsidRPr="003C00A4">
        <w:rPr>
          <w:rFonts w:ascii="Times New Roman" w:hAnsi="Times New Roman"/>
          <w:sz w:val="25"/>
          <w:szCs w:val="25"/>
        </w:rPr>
        <w:t>n</w:t>
      </w:r>
      <w:r w:rsidRPr="003C00A4">
        <w:rPr>
          <w:rFonts w:ascii="Times New Roman" w:hAnsi="Times New Roman"/>
          <w:sz w:val="25"/>
          <w:szCs w:val="25"/>
        </w:rPr>
        <w:t xml:space="preserve"> </w:t>
      </w:r>
      <w:r w:rsidR="00466B4B" w:rsidRPr="003C00A4">
        <w:rPr>
          <w:rFonts w:ascii="Times New Roman" w:hAnsi="Times New Roman"/>
          <w:sz w:val="25"/>
          <w:szCs w:val="25"/>
        </w:rPr>
        <w:t>z</w:t>
      </w:r>
      <w:r w:rsidRPr="003C00A4">
        <w:rPr>
          <w:rFonts w:ascii="Times New Roman" w:hAnsi="Times New Roman"/>
          <w:sz w:val="25"/>
          <w:szCs w:val="25"/>
        </w:rPr>
        <w:t>emesgrāmatu nodaļu vadītāju lomu pārmaiņu procesā. Minētajā sanāksmē tika uzklausīti Eiropas komisijas (</w:t>
      </w:r>
      <w:proofErr w:type="spellStart"/>
      <w:r w:rsidRPr="003C00A4">
        <w:rPr>
          <w:rFonts w:ascii="Times New Roman" w:hAnsi="Times New Roman"/>
          <w:i/>
          <w:sz w:val="25"/>
          <w:szCs w:val="25"/>
        </w:rPr>
        <w:t>Jože</w:t>
      </w:r>
      <w:proofErr w:type="spellEnd"/>
      <w:r w:rsidRPr="003C00A4">
        <w:rPr>
          <w:rFonts w:ascii="Times New Roman" w:hAnsi="Times New Roman"/>
          <w:i/>
          <w:sz w:val="25"/>
          <w:szCs w:val="25"/>
        </w:rPr>
        <w:t xml:space="preserve"> </w:t>
      </w:r>
      <w:proofErr w:type="spellStart"/>
      <w:r w:rsidRPr="003C00A4">
        <w:rPr>
          <w:rFonts w:ascii="Times New Roman" w:hAnsi="Times New Roman"/>
          <w:i/>
          <w:sz w:val="25"/>
          <w:szCs w:val="25"/>
        </w:rPr>
        <w:t>Štrus</w:t>
      </w:r>
      <w:proofErr w:type="spellEnd"/>
      <w:r w:rsidRPr="003C00A4">
        <w:rPr>
          <w:rFonts w:ascii="Times New Roman" w:hAnsi="Times New Roman"/>
          <w:sz w:val="25"/>
          <w:szCs w:val="25"/>
        </w:rPr>
        <w:t xml:space="preserve">, Eiropas Komisija, Tiesiskuma un Patērētāju tiesību direktorāts) un </w:t>
      </w:r>
      <w:r w:rsidR="009047A7" w:rsidRPr="003C00A4">
        <w:rPr>
          <w:rFonts w:ascii="Times New Roman" w:hAnsi="Times New Roman"/>
          <w:sz w:val="25"/>
          <w:szCs w:val="25"/>
        </w:rPr>
        <w:t>ESAO</w:t>
      </w:r>
      <w:r w:rsidRPr="003C00A4">
        <w:rPr>
          <w:rFonts w:ascii="Times New Roman" w:hAnsi="Times New Roman"/>
          <w:sz w:val="25"/>
          <w:szCs w:val="25"/>
        </w:rPr>
        <w:t xml:space="preserve"> (</w:t>
      </w:r>
      <w:proofErr w:type="spellStart"/>
      <w:r w:rsidRPr="003C00A4">
        <w:rPr>
          <w:rFonts w:ascii="Times New Roman" w:hAnsi="Times New Roman"/>
          <w:i/>
          <w:sz w:val="25"/>
          <w:szCs w:val="25"/>
        </w:rPr>
        <w:t>Chloe</w:t>
      </w:r>
      <w:proofErr w:type="spellEnd"/>
      <w:r w:rsidRPr="003C00A4">
        <w:rPr>
          <w:rFonts w:ascii="Times New Roman" w:hAnsi="Times New Roman"/>
          <w:i/>
          <w:sz w:val="25"/>
          <w:szCs w:val="25"/>
        </w:rPr>
        <w:t xml:space="preserve"> </w:t>
      </w:r>
      <w:proofErr w:type="spellStart"/>
      <w:r w:rsidRPr="003C00A4">
        <w:rPr>
          <w:rFonts w:ascii="Times New Roman" w:hAnsi="Times New Roman"/>
          <w:i/>
          <w:sz w:val="25"/>
          <w:szCs w:val="25"/>
        </w:rPr>
        <w:t>Lelievre</w:t>
      </w:r>
      <w:proofErr w:type="spellEnd"/>
      <w:r w:rsidRPr="003C00A4">
        <w:rPr>
          <w:rFonts w:ascii="Times New Roman" w:hAnsi="Times New Roman"/>
          <w:sz w:val="25"/>
          <w:szCs w:val="25"/>
        </w:rPr>
        <w:t xml:space="preserve">, </w:t>
      </w:r>
      <w:r w:rsidR="009047A7" w:rsidRPr="003C00A4">
        <w:rPr>
          <w:rFonts w:ascii="Times New Roman" w:hAnsi="Times New Roman"/>
          <w:sz w:val="25"/>
          <w:szCs w:val="25"/>
        </w:rPr>
        <w:t>ESAO, Publiskās pārvaldes direktorāts</w:t>
      </w:r>
      <w:r w:rsidRPr="003C00A4">
        <w:rPr>
          <w:rFonts w:ascii="Times New Roman" w:hAnsi="Times New Roman"/>
          <w:sz w:val="25"/>
          <w:szCs w:val="25"/>
        </w:rPr>
        <w:t>) pārstāvju viedokļi par Eiropas Savienības dalībvalstu pieredzi tiesu darbības teritorijas reformu ieviešanā. Ekspertu viedokļi apliecināja, ka tiesu darbības teritoriju reforma tiek atzīta par būtisku instrumentu tiesu efektivitātes paaugstināšanai un reformas īstenošana apstiprina kopējo tendenci ne tikai starp Baltijas valstīm, bet arī starp Eiropas Savienības dalībvalstīm. Sanāksmē tika panākta vienošanās par reģionālo vizīšu organizēšanu, lai pieaicinot prokuratūras un policijas pārstāvjus</w:t>
      </w:r>
      <w:r w:rsidR="009047A7" w:rsidRPr="003C00A4">
        <w:rPr>
          <w:rFonts w:ascii="Times New Roman" w:hAnsi="Times New Roman"/>
          <w:sz w:val="25"/>
          <w:szCs w:val="25"/>
        </w:rPr>
        <w:t>,</w:t>
      </w:r>
      <w:r w:rsidRPr="003C00A4">
        <w:rPr>
          <w:rFonts w:ascii="Times New Roman" w:hAnsi="Times New Roman"/>
          <w:sz w:val="25"/>
          <w:szCs w:val="25"/>
        </w:rPr>
        <w:t xml:space="preserve"> pārrunātu tiesu darbības teritorijas reformas ieviešanas nosacījum</w:t>
      </w:r>
      <w:r w:rsidR="00466B4B" w:rsidRPr="003C00A4">
        <w:rPr>
          <w:rFonts w:ascii="Times New Roman" w:hAnsi="Times New Roman"/>
          <w:sz w:val="25"/>
          <w:szCs w:val="25"/>
        </w:rPr>
        <w:t>us</w:t>
      </w:r>
      <w:r w:rsidRPr="003C00A4">
        <w:rPr>
          <w:rFonts w:ascii="Times New Roman" w:hAnsi="Times New Roman"/>
          <w:sz w:val="25"/>
          <w:szCs w:val="25"/>
        </w:rPr>
        <w:t xml:space="preserve"> konkrētos tiesu apgabalos. </w:t>
      </w:r>
      <w:r w:rsidR="00466B4B" w:rsidRPr="003C00A4">
        <w:rPr>
          <w:rFonts w:ascii="Times New Roman" w:hAnsi="Times New Roman"/>
          <w:sz w:val="25"/>
          <w:szCs w:val="25"/>
        </w:rPr>
        <w:t xml:space="preserve">Līdz </w:t>
      </w:r>
      <w:r w:rsidRPr="003C00A4">
        <w:rPr>
          <w:rFonts w:ascii="Times New Roman" w:hAnsi="Times New Roman"/>
          <w:sz w:val="25"/>
          <w:szCs w:val="25"/>
        </w:rPr>
        <w:t>2016.</w:t>
      </w:r>
      <w:r w:rsidR="0065352A" w:rsidRPr="003C00A4">
        <w:rPr>
          <w:rFonts w:ascii="Times New Roman" w:hAnsi="Times New Roman"/>
          <w:sz w:val="25"/>
          <w:szCs w:val="25"/>
        </w:rPr>
        <w:t> </w:t>
      </w:r>
      <w:r w:rsidRPr="003C00A4">
        <w:rPr>
          <w:rFonts w:ascii="Times New Roman" w:hAnsi="Times New Roman"/>
          <w:sz w:val="25"/>
          <w:szCs w:val="25"/>
        </w:rPr>
        <w:t>gada nogal</w:t>
      </w:r>
      <w:r w:rsidR="00466B4B" w:rsidRPr="003C00A4">
        <w:rPr>
          <w:rFonts w:ascii="Times New Roman" w:hAnsi="Times New Roman"/>
          <w:sz w:val="25"/>
          <w:szCs w:val="25"/>
        </w:rPr>
        <w:t>ei</w:t>
      </w:r>
      <w:r w:rsidRPr="003C00A4">
        <w:rPr>
          <w:rFonts w:ascii="Times New Roman" w:hAnsi="Times New Roman"/>
          <w:sz w:val="25"/>
          <w:szCs w:val="25"/>
        </w:rPr>
        <w:t xml:space="preserve"> šādas diskusijas bija organizētas Kurzemes, Zemgales un Rīgas tiesu apgabalā. </w:t>
      </w:r>
    </w:p>
    <w:p w:rsidR="00D437F7" w:rsidRPr="003C00A4" w:rsidRDefault="00D437F7" w:rsidP="009047A7">
      <w:pPr>
        <w:spacing w:after="0" w:line="240" w:lineRule="auto"/>
        <w:ind w:firstLine="720"/>
        <w:jc w:val="both"/>
        <w:rPr>
          <w:rFonts w:ascii="Times New Roman" w:hAnsi="Times New Roman"/>
          <w:sz w:val="25"/>
          <w:szCs w:val="25"/>
        </w:rPr>
      </w:pPr>
      <w:r w:rsidRPr="003C00A4">
        <w:rPr>
          <w:rFonts w:ascii="Times New Roman" w:hAnsi="Times New Roman"/>
          <w:sz w:val="25"/>
          <w:szCs w:val="25"/>
        </w:rPr>
        <w:t xml:space="preserve">Pamatojoties uz diskusiju rezultātiem reģionālajās vizītēs, kā arī sniedzot novērtējumu par reformas gaitu Latgales tiesu apgabalā, </w:t>
      </w:r>
      <w:r w:rsidR="009047A7" w:rsidRPr="003C00A4">
        <w:rPr>
          <w:rFonts w:ascii="Times New Roman" w:hAnsi="Times New Roman"/>
          <w:sz w:val="25"/>
          <w:szCs w:val="25"/>
        </w:rPr>
        <w:t>2017. gada</w:t>
      </w:r>
      <w:r w:rsidRPr="003C00A4">
        <w:rPr>
          <w:rFonts w:ascii="Times New Roman" w:hAnsi="Times New Roman"/>
          <w:sz w:val="25"/>
          <w:szCs w:val="25"/>
        </w:rPr>
        <w:t xml:space="preserve"> martā plānota atkārtota tiesu priekšsēdētāju un zemesgrāmatu nodaļu priekšnieku sanāksme, kurā jau tik</w:t>
      </w:r>
      <w:r w:rsidR="00901A2A" w:rsidRPr="003C00A4">
        <w:rPr>
          <w:rFonts w:ascii="Times New Roman" w:hAnsi="Times New Roman"/>
          <w:sz w:val="25"/>
          <w:szCs w:val="25"/>
        </w:rPr>
        <w:t>s</w:t>
      </w:r>
      <w:r w:rsidRPr="003C00A4">
        <w:rPr>
          <w:rFonts w:ascii="Times New Roman" w:hAnsi="Times New Roman"/>
          <w:sz w:val="25"/>
          <w:szCs w:val="25"/>
        </w:rPr>
        <w:t xml:space="preserve"> diskutēts par visu līdz šim nereorganizēto tiesu reorganizācijas plāniem.</w:t>
      </w:r>
    </w:p>
    <w:p w:rsidR="006A7A4B" w:rsidRPr="003C00A4" w:rsidRDefault="006A7A4B" w:rsidP="006A7A4B">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u w:val="single"/>
        </w:rPr>
        <w:t>Šķīrējtiesas.</w:t>
      </w:r>
      <w:r w:rsidRPr="003C00A4">
        <w:rPr>
          <w:rFonts w:ascii="Times New Roman" w:hAnsi="Times New Roman" w:cs="Times New Roman"/>
          <w:sz w:val="25"/>
          <w:szCs w:val="25"/>
        </w:rPr>
        <w:t xml:space="preserve"> Grozījumi Šķīrējtiesu likumā pilnveido valsts uzraudzības mehānismu pār šķīrējtiesām. Svarīgākās izmaiņas saistītas ar grozījumiem, kas vērsti uz to, lai:</w:t>
      </w:r>
    </w:p>
    <w:p w:rsidR="006A7A4B" w:rsidRPr="003C00A4" w:rsidRDefault="006A7A4B" w:rsidP="006A7A4B">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a)</w:t>
      </w:r>
      <w:r w:rsidR="0065352A" w:rsidRPr="003C00A4">
        <w:rPr>
          <w:rFonts w:ascii="Times New Roman" w:hAnsi="Times New Roman" w:cs="Times New Roman"/>
          <w:sz w:val="25"/>
          <w:szCs w:val="25"/>
        </w:rPr>
        <w:t> </w:t>
      </w:r>
      <w:r w:rsidRPr="003C00A4">
        <w:rPr>
          <w:rFonts w:ascii="Times New Roman" w:hAnsi="Times New Roman" w:cs="Times New Roman"/>
          <w:sz w:val="25"/>
          <w:szCs w:val="25"/>
        </w:rPr>
        <w:t xml:space="preserve">stiprinātu pienākumu pastāvīgajai šķīrējtiesai būt sasniedzamai tās atrašanās vietas adresē, novēršot gadījumus, kad pastāvīgā šķīrējtiesa nav sasniedzama vai atrodama. Grozījumi paredz pastāvīgās šķīrējtiesas dibinātājam pienākumu iesniegt Uzņēmumu reģistrā nekustamā īpašuma īpašnieka izsniegtu piekrišanu šķīrējtiesas atrašanās vietas adreses reģistrācijai, izņemot gadījumu, ja īpašnieks ir viens no patstāvīgās šķīrējtiesas dibinātājiem; </w:t>
      </w:r>
    </w:p>
    <w:p w:rsidR="006A7A4B" w:rsidRPr="003C00A4" w:rsidRDefault="006A7A4B" w:rsidP="006A7A4B">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b)</w:t>
      </w:r>
      <w:r w:rsidR="001773DA" w:rsidRPr="003C00A4">
        <w:rPr>
          <w:rFonts w:ascii="Times New Roman" w:hAnsi="Times New Roman" w:cs="Times New Roman"/>
          <w:sz w:val="25"/>
          <w:szCs w:val="25"/>
        </w:rPr>
        <w:t> </w:t>
      </w:r>
      <w:r w:rsidRPr="003C00A4">
        <w:rPr>
          <w:rFonts w:ascii="Times New Roman" w:hAnsi="Times New Roman" w:cs="Times New Roman"/>
          <w:sz w:val="25"/>
          <w:szCs w:val="25"/>
        </w:rPr>
        <w:t>paplašinātu pastāvīgās šķīrējtiesas reglamentā norādāmo ziņu apjomu, paredzot, ka tajā norādāma arī interneta mājaslapas adrese;</w:t>
      </w:r>
    </w:p>
    <w:p w:rsidR="006A7A4B" w:rsidRPr="003C00A4" w:rsidRDefault="006A7A4B" w:rsidP="006A7A4B">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c)</w:t>
      </w:r>
      <w:r w:rsidR="001773DA" w:rsidRPr="003C00A4">
        <w:rPr>
          <w:rFonts w:ascii="Times New Roman" w:hAnsi="Times New Roman" w:cs="Times New Roman"/>
          <w:sz w:val="25"/>
          <w:szCs w:val="25"/>
        </w:rPr>
        <w:t> </w:t>
      </w:r>
      <w:r w:rsidRPr="003C00A4">
        <w:rPr>
          <w:rFonts w:ascii="Times New Roman" w:hAnsi="Times New Roman" w:cs="Times New Roman"/>
          <w:sz w:val="25"/>
          <w:szCs w:val="25"/>
        </w:rPr>
        <w:t>nodrošinātu Uzņēmumu reģistram iespēju efektīvi kontrolēt šķīrējtiesnešu piederību ne vairāk kā trim šķīrējtiesām.</w:t>
      </w:r>
    </w:p>
    <w:p w:rsidR="006A7A4B" w:rsidRPr="003C00A4" w:rsidRDefault="006A7A4B" w:rsidP="006A7A4B">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Grozījumi paredz </w:t>
      </w:r>
      <w:r w:rsidR="001773DA" w:rsidRPr="003C00A4">
        <w:rPr>
          <w:rFonts w:ascii="Times New Roman" w:hAnsi="Times New Roman" w:cs="Times New Roman"/>
          <w:sz w:val="25"/>
          <w:szCs w:val="25"/>
        </w:rPr>
        <w:t>š</w:t>
      </w:r>
      <w:r w:rsidRPr="003C00A4">
        <w:rPr>
          <w:rFonts w:ascii="Times New Roman" w:hAnsi="Times New Roman" w:cs="Times New Roman"/>
          <w:sz w:val="25"/>
          <w:szCs w:val="25"/>
        </w:rPr>
        <w:t>ķīrējtiesu reģistrā reģistrētās pastāvīgās šķīrējtiesas dibinātājam pienākumu</w:t>
      </w:r>
      <w:proofErr w:type="gramStart"/>
      <w:r w:rsidRPr="003C00A4">
        <w:rPr>
          <w:rFonts w:ascii="Times New Roman" w:hAnsi="Times New Roman" w:cs="Times New Roman"/>
          <w:sz w:val="25"/>
          <w:szCs w:val="25"/>
        </w:rPr>
        <w:t xml:space="preserve"> līdz 2017. gada 1.</w:t>
      </w:r>
      <w:r w:rsidR="001773DA" w:rsidRPr="003C00A4">
        <w:rPr>
          <w:rFonts w:ascii="Times New Roman" w:hAnsi="Times New Roman" w:cs="Times New Roman"/>
          <w:sz w:val="25"/>
          <w:szCs w:val="25"/>
        </w:rPr>
        <w:t> </w:t>
      </w:r>
      <w:r w:rsidRPr="003C00A4">
        <w:rPr>
          <w:rFonts w:ascii="Times New Roman" w:hAnsi="Times New Roman" w:cs="Times New Roman"/>
          <w:sz w:val="25"/>
          <w:szCs w:val="25"/>
        </w:rPr>
        <w:t>martam iesniegt Uzņēmumu reģistram dokumentus, kas apliecina Šķīrējtiesu likumā ietvertajos grozījumus paredzēto prasību izpildi</w:t>
      </w:r>
      <w:proofErr w:type="gramEnd"/>
      <w:r w:rsidRPr="003C00A4">
        <w:rPr>
          <w:rFonts w:ascii="Times New Roman" w:hAnsi="Times New Roman" w:cs="Times New Roman"/>
          <w:sz w:val="25"/>
          <w:szCs w:val="25"/>
        </w:rPr>
        <w:t>. Ja minētais pienākums netiks izpildīts, tiks pieņemts lēmums par pastāvīgās šķīrējtiesas izslēgšanu no šķīrējtiesu reģistra.</w:t>
      </w:r>
    </w:p>
    <w:p w:rsidR="006A7A4B" w:rsidRPr="003C00A4" w:rsidRDefault="006A7A4B" w:rsidP="006A7A4B">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u w:val="single"/>
        </w:rPr>
        <w:t>Mediācija.</w:t>
      </w:r>
      <w:r w:rsidRPr="003C00A4">
        <w:rPr>
          <w:rFonts w:ascii="Times New Roman" w:hAnsi="Times New Roman" w:cs="Times New Roman"/>
          <w:sz w:val="25"/>
          <w:szCs w:val="25"/>
        </w:rPr>
        <w:t xml:space="preserve"> Kā nākamie soļi tiesas ieteiktas mediācijas attīstībā tiek īstenoti divi pilotprojekti. Pirmā pilotprojekta ietvaros sertificētu mediatoru bezmaksas konsultāciju pieejamība sākotnēji tika nodrošināta divās Rīgas tiesu apgabala tiesās (Rīgas rajona tiesā un Rīgas pilsētas Latgales priekšpilsētas tiesā)</w:t>
      </w:r>
      <w:proofErr w:type="gramStart"/>
      <w:r w:rsidRPr="003C00A4">
        <w:rPr>
          <w:rFonts w:ascii="Times New Roman" w:hAnsi="Times New Roman" w:cs="Times New Roman"/>
          <w:sz w:val="25"/>
          <w:szCs w:val="25"/>
        </w:rPr>
        <w:t xml:space="preserve"> un</w:t>
      </w:r>
      <w:proofErr w:type="gramEnd"/>
      <w:r w:rsidRPr="003C00A4">
        <w:rPr>
          <w:rFonts w:ascii="Times New Roman" w:hAnsi="Times New Roman" w:cs="Times New Roman"/>
          <w:sz w:val="25"/>
          <w:szCs w:val="25"/>
        </w:rPr>
        <w:t xml:space="preserve"> šī iespēja saņemt sertificēta mediatora bezmaksas konsultāciju tiek nodrošināta ikvienam, kas nonācis līdz civiltiesiska strīda risināšanai.</w:t>
      </w:r>
    </w:p>
    <w:p w:rsidR="006A7A4B" w:rsidRPr="003C00A4" w:rsidRDefault="006A7A4B" w:rsidP="006A7A4B">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Kopumā sertificētu mediatoru bezmaksas konsultācijas ir pieejamas šādās rajona (pilsētas) tiesās </w:t>
      </w:r>
      <w:r w:rsidR="001773DA" w:rsidRPr="003C00A4">
        <w:rPr>
          <w:rFonts w:ascii="Times New Roman" w:hAnsi="Times New Roman" w:cs="Times New Roman"/>
          <w:sz w:val="25"/>
          <w:szCs w:val="25"/>
        </w:rPr>
        <w:t>–</w:t>
      </w:r>
      <w:r w:rsidRPr="003C00A4">
        <w:rPr>
          <w:rFonts w:ascii="Times New Roman" w:hAnsi="Times New Roman" w:cs="Times New Roman"/>
          <w:sz w:val="25"/>
          <w:szCs w:val="25"/>
        </w:rPr>
        <w:t xml:space="preserve"> Rīgas </w:t>
      </w:r>
      <w:r w:rsidR="001773DA" w:rsidRPr="003C00A4">
        <w:rPr>
          <w:rFonts w:ascii="Times New Roman" w:hAnsi="Times New Roman" w:cs="Times New Roman"/>
          <w:sz w:val="25"/>
          <w:szCs w:val="25"/>
        </w:rPr>
        <w:t xml:space="preserve">pilsētas </w:t>
      </w:r>
      <w:r w:rsidRPr="003C00A4">
        <w:rPr>
          <w:rFonts w:ascii="Times New Roman" w:hAnsi="Times New Roman" w:cs="Times New Roman"/>
          <w:sz w:val="25"/>
          <w:szCs w:val="25"/>
        </w:rPr>
        <w:t>Latgales priekšpilsētas tiesā, Rīgas pilsētas Vidzemes priekšpilsētas tiesā, Rīgas rajona tiesā, tāpat arī Jelgavas rajona tiesā, Valmieras rajona tiesā un Aizkraukles rajona tiesā. Rīgas apgabaltiesā mediācijas pilotprojekts uzsākts 2017. gada janvārī.</w:t>
      </w:r>
    </w:p>
    <w:p w:rsidR="006A7A4B" w:rsidRPr="003C00A4" w:rsidRDefault="006A7A4B" w:rsidP="006A7A4B">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Otrais pilotprojekts uzsākts</w:t>
      </w:r>
      <w:r w:rsidR="006576FC" w:rsidRPr="003C00A4">
        <w:rPr>
          <w:rFonts w:ascii="Times New Roman" w:hAnsi="Times New Roman" w:cs="Times New Roman"/>
          <w:sz w:val="25"/>
          <w:szCs w:val="25"/>
        </w:rPr>
        <w:t>,</w:t>
      </w:r>
      <w:r w:rsidRPr="003C00A4">
        <w:rPr>
          <w:rFonts w:ascii="Times New Roman" w:hAnsi="Times New Roman" w:cs="Times New Roman"/>
          <w:sz w:val="25"/>
          <w:szCs w:val="25"/>
        </w:rPr>
        <w:t xml:space="preserve"> pateicoties Demogrāfijas lietu centra atbalstam, radot iespēju paplašināt mediācijas pieejamību. Pilotprojektā plānots iesaistīt 300 pārus (pirmās </w:t>
      </w:r>
      <w:r w:rsidRPr="003C00A4">
        <w:rPr>
          <w:rFonts w:ascii="Times New Roman" w:hAnsi="Times New Roman" w:cs="Times New Roman"/>
          <w:sz w:val="25"/>
          <w:szCs w:val="25"/>
        </w:rPr>
        <w:lastRenderedPageBreak/>
        <w:t>piecas mediācijas sesijas (katra 60 minūšu apmērā), ko vadīs sertificēts mediators, pusēm būs bez maksas). Pilotprojekts uzsākts, lai vecāki ar bērniem varētu atrisināt jau tiesā uzsāktos, kā arī līdz tiesai vēl nenonākušos ģimenes strīdus un domstarpības, proti, liekot īpašu uzsvaru uz ģimenes strīdu risināšanu, tādējādi uzsverot ģimenes stiprināšanas nepieciešamību un nozīmību, bērna labklājības nodrošināšanu</w:t>
      </w:r>
      <w:r w:rsidR="006576FC" w:rsidRPr="003C00A4">
        <w:rPr>
          <w:rFonts w:ascii="Times New Roman" w:hAnsi="Times New Roman" w:cs="Times New Roman"/>
          <w:sz w:val="25"/>
          <w:szCs w:val="25"/>
        </w:rPr>
        <w:t>. Pilotprojekts ilgs līdz 2017. </w:t>
      </w:r>
      <w:r w:rsidRPr="003C00A4">
        <w:rPr>
          <w:rFonts w:ascii="Times New Roman" w:hAnsi="Times New Roman" w:cs="Times New Roman"/>
          <w:sz w:val="25"/>
          <w:szCs w:val="25"/>
        </w:rPr>
        <w:t>gada beigām</w:t>
      </w:r>
      <w:proofErr w:type="gramStart"/>
      <w:r w:rsidRPr="003C00A4">
        <w:rPr>
          <w:rFonts w:ascii="Times New Roman" w:hAnsi="Times New Roman" w:cs="Times New Roman"/>
          <w:sz w:val="25"/>
          <w:szCs w:val="25"/>
        </w:rPr>
        <w:t xml:space="preserve"> un</w:t>
      </w:r>
      <w:proofErr w:type="gramEnd"/>
      <w:r w:rsidRPr="003C00A4">
        <w:rPr>
          <w:rFonts w:ascii="Times New Roman" w:hAnsi="Times New Roman" w:cs="Times New Roman"/>
          <w:sz w:val="25"/>
          <w:szCs w:val="25"/>
        </w:rPr>
        <w:t xml:space="preserve"> tā kopējās izmaksas ir 45</w:t>
      </w:r>
      <w:r w:rsidR="006576FC" w:rsidRPr="003C00A4">
        <w:rPr>
          <w:rFonts w:ascii="Times New Roman" w:hAnsi="Times New Roman" w:cs="Times New Roman"/>
          <w:sz w:val="25"/>
          <w:szCs w:val="25"/>
        </w:rPr>
        <w:t> </w:t>
      </w:r>
      <w:r w:rsidRPr="003C00A4">
        <w:rPr>
          <w:rFonts w:ascii="Times New Roman" w:hAnsi="Times New Roman" w:cs="Times New Roman"/>
          <w:sz w:val="25"/>
          <w:szCs w:val="25"/>
        </w:rPr>
        <w:t xml:space="preserve">tūkstoši </w:t>
      </w:r>
      <w:proofErr w:type="spellStart"/>
      <w:r w:rsidRPr="003C00A4">
        <w:rPr>
          <w:rFonts w:ascii="Times New Roman" w:hAnsi="Times New Roman" w:cs="Times New Roman"/>
          <w:i/>
          <w:sz w:val="25"/>
          <w:szCs w:val="25"/>
        </w:rPr>
        <w:t>e</w:t>
      </w:r>
      <w:r w:rsidR="006576FC" w:rsidRPr="003C00A4">
        <w:rPr>
          <w:rFonts w:ascii="Times New Roman" w:hAnsi="Times New Roman" w:cs="Times New Roman"/>
          <w:i/>
          <w:sz w:val="25"/>
          <w:szCs w:val="25"/>
        </w:rPr>
        <w:t>u</w:t>
      </w:r>
      <w:r w:rsidRPr="003C00A4">
        <w:rPr>
          <w:rFonts w:ascii="Times New Roman" w:hAnsi="Times New Roman" w:cs="Times New Roman"/>
          <w:i/>
          <w:sz w:val="25"/>
          <w:szCs w:val="25"/>
        </w:rPr>
        <w:t>ro</w:t>
      </w:r>
      <w:proofErr w:type="spellEnd"/>
      <w:r w:rsidRPr="003C00A4">
        <w:rPr>
          <w:rFonts w:ascii="Times New Roman" w:hAnsi="Times New Roman" w:cs="Times New Roman"/>
          <w:sz w:val="25"/>
          <w:szCs w:val="25"/>
        </w:rPr>
        <w:t>.</w:t>
      </w:r>
    </w:p>
    <w:p w:rsidR="006A7A4B" w:rsidRPr="003C00A4" w:rsidRDefault="006A7A4B" w:rsidP="006576FC">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E</w:t>
      </w:r>
      <w:r w:rsidR="00300F9A" w:rsidRPr="003C00A4">
        <w:rPr>
          <w:rFonts w:ascii="Times New Roman" w:hAnsi="Times New Roman" w:cs="Times New Roman"/>
          <w:sz w:val="25"/>
          <w:szCs w:val="25"/>
        </w:rPr>
        <w:t>iropas Sociālā fonda (turpmāk – E</w:t>
      </w:r>
      <w:r w:rsidRPr="003C00A4">
        <w:rPr>
          <w:rFonts w:ascii="Times New Roman" w:hAnsi="Times New Roman" w:cs="Times New Roman"/>
          <w:sz w:val="25"/>
          <w:szCs w:val="25"/>
        </w:rPr>
        <w:t>SF</w:t>
      </w:r>
      <w:r w:rsidR="00300F9A" w:rsidRPr="003C00A4">
        <w:rPr>
          <w:rFonts w:ascii="Times New Roman" w:hAnsi="Times New Roman" w:cs="Times New Roman"/>
          <w:sz w:val="25"/>
          <w:szCs w:val="25"/>
        </w:rPr>
        <w:t>)</w:t>
      </w:r>
      <w:r w:rsidRPr="003C00A4">
        <w:rPr>
          <w:rFonts w:ascii="Times New Roman" w:hAnsi="Times New Roman" w:cs="Times New Roman"/>
          <w:sz w:val="25"/>
          <w:szCs w:val="25"/>
        </w:rPr>
        <w:t xml:space="preserve"> projekta ietvaros plānots izveidot darba grupu, lai koordinētu turpmāku mediācijas attīstību un mediācijas procesa apmācību procesu.</w:t>
      </w:r>
    </w:p>
    <w:p w:rsidR="006A7A4B" w:rsidRPr="003C00A4" w:rsidRDefault="006A7A4B" w:rsidP="006576FC">
      <w:pPr>
        <w:pStyle w:val="mt-translation"/>
        <w:spacing w:before="0" w:beforeAutospacing="0" w:after="0" w:afterAutospacing="0"/>
        <w:ind w:firstLine="720"/>
        <w:jc w:val="both"/>
        <w:rPr>
          <w:color w:val="auto"/>
          <w:sz w:val="25"/>
          <w:szCs w:val="25"/>
          <w:lang w:eastAsia="en-US"/>
        </w:rPr>
      </w:pPr>
      <w:r w:rsidRPr="003C00A4">
        <w:rPr>
          <w:color w:val="auto"/>
          <w:sz w:val="25"/>
          <w:szCs w:val="25"/>
          <w:u w:val="single"/>
          <w:lang w:eastAsia="en-US"/>
        </w:rPr>
        <w:t>ESF projekts.</w:t>
      </w:r>
      <w:r w:rsidRPr="003C00A4">
        <w:rPr>
          <w:color w:val="auto"/>
          <w:sz w:val="25"/>
          <w:szCs w:val="25"/>
          <w:lang w:eastAsia="en-US"/>
        </w:rPr>
        <w:t xml:space="preserve"> Tiesu varas un tiesībaizsardzības iestāžu darbinieku cilvēkresursu kapacitātes stiprināšanas un kompetenču attīstīšanas plāns 2014.-2020.</w:t>
      </w:r>
      <w:r w:rsidR="001773DA" w:rsidRPr="003C00A4">
        <w:rPr>
          <w:sz w:val="25"/>
          <w:szCs w:val="25"/>
        </w:rPr>
        <w:t> </w:t>
      </w:r>
      <w:r w:rsidRPr="003C00A4">
        <w:rPr>
          <w:color w:val="auto"/>
          <w:sz w:val="25"/>
          <w:szCs w:val="25"/>
          <w:lang w:eastAsia="en-US"/>
        </w:rPr>
        <w:t xml:space="preserve">gadam </w:t>
      </w:r>
      <w:r w:rsidR="006576FC" w:rsidRPr="003C00A4">
        <w:rPr>
          <w:color w:val="auto"/>
          <w:sz w:val="25"/>
          <w:szCs w:val="25"/>
          <w:lang w:eastAsia="en-US"/>
        </w:rPr>
        <w:t xml:space="preserve">tika apstiprināts Ministru kabinetā </w:t>
      </w:r>
      <w:r w:rsidRPr="003C00A4">
        <w:rPr>
          <w:color w:val="auto"/>
          <w:sz w:val="25"/>
          <w:szCs w:val="25"/>
          <w:lang w:eastAsia="en-US"/>
        </w:rPr>
        <w:t>2015.</w:t>
      </w:r>
      <w:r w:rsidR="006576FC" w:rsidRPr="003C00A4">
        <w:rPr>
          <w:color w:val="auto"/>
          <w:sz w:val="25"/>
          <w:szCs w:val="25"/>
          <w:lang w:eastAsia="en-US"/>
        </w:rPr>
        <w:t> </w:t>
      </w:r>
      <w:r w:rsidRPr="003C00A4">
        <w:rPr>
          <w:color w:val="auto"/>
          <w:sz w:val="25"/>
          <w:szCs w:val="25"/>
          <w:lang w:eastAsia="en-US"/>
        </w:rPr>
        <w:t>gada 9.</w:t>
      </w:r>
      <w:r w:rsidR="006576FC" w:rsidRPr="003C00A4">
        <w:rPr>
          <w:color w:val="auto"/>
          <w:sz w:val="25"/>
          <w:szCs w:val="25"/>
          <w:lang w:eastAsia="en-US"/>
        </w:rPr>
        <w:t> </w:t>
      </w:r>
      <w:r w:rsidRPr="003C00A4">
        <w:rPr>
          <w:color w:val="auto"/>
          <w:sz w:val="25"/>
          <w:szCs w:val="25"/>
          <w:lang w:eastAsia="en-US"/>
        </w:rPr>
        <w:t>martā. Plāna mērķis - stiprināt cilvēkresursu kapacitāti tiesu varā, tādejādi nodrošinot ātrāku, kvalitatīvāku lietu izskatīšanu komercdarbības vides uzlabošanas sekmēšanai. Pirmie soļi plāna īstenošanai tik</w:t>
      </w:r>
      <w:r w:rsidR="006576FC" w:rsidRPr="003C00A4">
        <w:rPr>
          <w:color w:val="auto"/>
          <w:sz w:val="25"/>
          <w:szCs w:val="25"/>
          <w:lang w:eastAsia="en-US"/>
        </w:rPr>
        <w:t>a</w:t>
      </w:r>
      <w:r w:rsidRPr="003C00A4">
        <w:rPr>
          <w:color w:val="auto"/>
          <w:sz w:val="25"/>
          <w:szCs w:val="25"/>
          <w:lang w:eastAsia="en-US"/>
        </w:rPr>
        <w:t xml:space="preserve"> veikti 2016.</w:t>
      </w:r>
      <w:r w:rsidR="001773DA" w:rsidRPr="003C00A4">
        <w:rPr>
          <w:color w:val="auto"/>
          <w:sz w:val="25"/>
          <w:szCs w:val="25"/>
          <w:lang w:eastAsia="en-US"/>
        </w:rPr>
        <w:t> </w:t>
      </w:r>
      <w:r w:rsidRPr="003C00A4">
        <w:rPr>
          <w:color w:val="auto"/>
          <w:sz w:val="25"/>
          <w:szCs w:val="25"/>
          <w:lang w:eastAsia="en-US"/>
        </w:rPr>
        <w:t xml:space="preserve">gadā, projekta īstenošanas beigu termiņš </w:t>
      </w:r>
      <w:r w:rsidR="006576FC" w:rsidRPr="003C00A4">
        <w:rPr>
          <w:color w:val="auto"/>
          <w:sz w:val="25"/>
          <w:szCs w:val="25"/>
          <w:lang w:eastAsia="en-US"/>
        </w:rPr>
        <w:t xml:space="preserve">ir </w:t>
      </w:r>
      <w:r w:rsidRPr="003C00A4">
        <w:rPr>
          <w:color w:val="auto"/>
          <w:sz w:val="25"/>
          <w:szCs w:val="25"/>
          <w:lang w:eastAsia="en-US"/>
        </w:rPr>
        <w:t>2022.</w:t>
      </w:r>
      <w:r w:rsidR="006576FC" w:rsidRPr="003C00A4">
        <w:rPr>
          <w:color w:val="auto"/>
          <w:sz w:val="25"/>
          <w:szCs w:val="25"/>
          <w:lang w:eastAsia="en-US"/>
        </w:rPr>
        <w:t> </w:t>
      </w:r>
      <w:r w:rsidRPr="003C00A4">
        <w:rPr>
          <w:color w:val="auto"/>
          <w:sz w:val="25"/>
          <w:szCs w:val="25"/>
          <w:lang w:eastAsia="en-US"/>
        </w:rPr>
        <w:t xml:space="preserve">gads. </w:t>
      </w:r>
    </w:p>
    <w:p w:rsidR="006A7A4B" w:rsidRPr="003C00A4" w:rsidRDefault="006A7A4B" w:rsidP="006576FC">
      <w:pPr>
        <w:pStyle w:val="mt-translation"/>
        <w:spacing w:before="0" w:beforeAutospacing="0" w:after="0" w:afterAutospacing="0"/>
        <w:ind w:firstLine="720"/>
        <w:jc w:val="both"/>
        <w:rPr>
          <w:color w:val="auto"/>
          <w:sz w:val="25"/>
          <w:szCs w:val="25"/>
          <w:lang w:eastAsia="en-US"/>
        </w:rPr>
      </w:pPr>
      <w:r w:rsidRPr="003C00A4">
        <w:rPr>
          <w:color w:val="auto"/>
          <w:sz w:val="25"/>
          <w:szCs w:val="25"/>
          <w:lang w:eastAsia="en-US"/>
        </w:rPr>
        <w:t>Tiesu varas un tiesībaizsardzības iestāžu darbinieku cilvēkresursu kapacitātes stiprināšanas un kompetenču attīstīšanas plāna 2014.-2020.</w:t>
      </w:r>
      <w:r w:rsidR="001773DA" w:rsidRPr="003C00A4">
        <w:rPr>
          <w:color w:val="auto"/>
          <w:sz w:val="25"/>
          <w:szCs w:val="25"/>
          <w:lang w:eastAsia="en-US"/>
        </w:rPr>
        <w:t> </w:t>
      </w:r>
      <w:r w:rsidRPr="003C00A4">
        <w:rPr>
          <w:color w:val="auto"/>
          <w:sz w:val="25"/>
          <w:szCs w:val="25"/>
          <w:lang w:eastAsia="en-US"/>
        </w:rPr>
        <w:t>gadam ietvaros plānots veikt Latvijas tiesu sistēmas (un viena no sastāvdaļām ir – neatkarība) novērtējumu. Proti, piesaistot ārvalstu ekspertus, kas darbojas starptautisko organizāciju ietvaros, ir iecerēts veikt Latvijas tieslietu sistēmas visaptverošo novērtējumu. Novērtējums ietvers neatkarīgu analīzi attiecībā uz Latvijas tiesu sistēmas darbību, kā arī rekomendācijas tās iespējamai pilnveidei un modernizācijai. Secinājumus</w:t>
      </w:r>
      <w:r w:rsidR="001773DA" w:rsidRPr="003C00A4">
        <w:rPr>
          <w:color w:val="auto"/>
          <w:sz w:val="25"/>
          <w:szCs w:val="25"/>
          <w:lang w:eastAsia="en-US"/>
        </w:rPr>
        <w:t xml:space="preserve"> </w:t>
      </w:r>
      <w:r w:rsidRPr="003C00A4">
        <w:rPr>
          <w:color w:val="auto"/>
          <w:sz w:val="25"/>
          <w:szCs w:val="25"/>
          <w:lang w:eastAsia="en-US"/>
        </w:rPr>
        <w:t>plānots izmantot kā bāzi ilgtermiņa politikas plānošanas dokumentu izstrādei un normatīvo aktu iespējamiem grozījumiem. Plānots, ka izvērtējums tiks veikts līdz 2018.</w:t>
      </w:r>
      <w:r w:rsidR="006576FC" w:rsidRPr="003C00A4">
        <w:rPr>
          <w:color w:val="auto"/>
          <w:sz w:val="25"/>
          <w:szCs w:val="25"/>
          <w:lang w:eastAsia="en-US"/>
        </w:rPr>
        <w:t> </w:t>
      </w:r>
      <w:r w:rsidRPr="003C00A4">
        <w:rPr>
          <w:color w:val="auto"/>
          <w:sz w:val="25"/>
          <w:szCs w:val="25"/>
          <w:lang w:eastAsia="en-US"/>
        </w:rPr>
        <w:t>gadam.</w:t>
      </w:r>
    </w:p>
    <w:p w:rsidR="006A7A4B" w:rsidRPr="003C00A4" w:rsidRDefault="006A7A4B" w:rsidP="006576FC">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u w:val="single"/>
        </w:rPr>
        <w:t>Tiesnešu, tiesu darbinieku atalgojums.</w:t>
      </w:r>
      <w:r w:rsidRPr="003C00A4">
        <w:rPr>
          <w:rFonts w:ascii="Times New Roman" w:hAnsi="Times New Roman" w:cs="Times New Roman"/>
          <w:sz w:val="25"/>
          <w:szCs w:val="25"/>
        </w:rPr>
        <w:t xml:space="preserve"> Uzsākta tiesu darbinieku un tiesnešu algu reforma, lai nodrošinātu atbilstošu atlīdzību, paredzot mēnešalgu pakāpenisku paaugstināšanu triju gadu periodā. Izstrādātie priekšlikumi par tiesnešu un prokuroru atalgojuma palielināšanu tika apspriesti arī Tieslietu padomē. Atbalstītais risinājums paredz tiesneša mēnešalgu noteikt, piesaistot Centrālās statistikas pārvaldes oficiālajā statistikas paziņojumā publicētajam valstī strādājošo aizpagājušā gada mēneša vidējās darba samaksas apmēram, kas </w:t>
      </w:r>
      <w:proofErr w:type="gramStart"/>
      <w:r w:rsidRPr="003C00A4">
        <w:rPr>
          <w:rFonts w:ascii="Times New Roman" w:hAnsi="Times New Roman" w:cs="Times New Roman"/>
          <w:sz w:val="25"/>
          <w:szCs w:val="25"/>
        </w:rPr>
        <w:t>noapaļots pilnos</w:t>
      </w:r>
      <w:proofErr w:type="gramEnd"/>
      <w:r w:rsidRPr="003C00A4">
        <w:rPr>
          <w:rFonts w:ascii="Times New Roman" w:hAnsi="Times New Roman" w:cs="Times New Roman"/>
          <w:sz w:val="25"/>
          <w:szCs w:val="25"/>
        </w:rPr>
        <w:t xml:space="preserve"> </w:t>
      </w:r>
      <w:proofErr w:type="spellStart"/>
      <w:r w:rsidRPr="003C00A4">
        <w:rPr>
          <w:rFonts w:ascii="Times New Roman" w:hAnsi="Times New Roman" w:cs="Times New Roman"/>
          <w:i/>
          <w:sz w:val="25"/>
          <w:szCs w:val="25"/>
        </w:rPr>
        <w:t>euro</w:t>
      </w:r>
      <w:proofErr w:type="spellEnd"/>
      <w:r w:rsidRPr="003C00A4">
        <w:rPr>
          <w:rFonts w:ascii="Times New Roman" w:hAnsi="Times New Roman" w:cs="Times New Roman"/>
          <w:sz w:val="25"/>
          <w:szCs w:val="25"/>
        </w:rPr>
        <w:t>, piemērojot koeficientu 3.27. Gan Ministru kabinets, gan Saeima, pieņemot valsts budžetu 2017.</w:t>
      </w:r>
      <w:r w:rsidR="001773DA" w:rsidRPr="003C00A4">
        <w:rPr>
          <w:rFonts w:ascii="Times New Roman" w:hAnsi="Times New Roman" w:cs="Times New Roman"/>
          <w:sz w:val="25"/>
          <w:szCs w:val="25"/>
        </w:rPr>
        <w:t> </w:t>
      </w:r>
      <w:r w:rsidRPr="003C00A4">
        <w:rPr>
          <w:rFonts w:ascii="Times New Roman" w:hAnsi="Times New Roman" w:cs="Times New Roman"/>
          <w:sz w:val="25"/>
          <w:szCs w:val="25"/>
        </w:rPr>
        <w:t>gadam, ir atbalstījuši Tieslietu ministrijas iniciatīvu paaugstināt tiesu sistēmas darbinieku mēnešalgu no 2017.</w:t>
      </w:r>
      <w:r w:rsidR="001773DA" w:rsidRPr="003C00A4">
        <w:rPr>
          <w:rFonts w:ascii="Times New Roman" w:hAnsi="Times New Roman" w:cs="Times New Roman"/>
          <w:sz w:val="25"/>
          <w:szCs w:val="25"/>
        </w:rPr>
        <w:t> </w:t>
      </w:r>
      <w:r w:rsidRPr="003C00A4">
        <w:rPr>
          <w:rFonts w:ascii="Times New Roman" w:hAnsi="Times New Roman" w:cs="Times New Roman"/>
          <w:sz w:val="25"/>
          <w:szCs w:val="25"/>
        </w:rPr>
        <w:t>gada un tiesnešu atalgojuma palielināšanu, atbalstot papildu finansējuma piešķiršanu no 2018.</w:t>
      </w:r>
      <w:r w:rsidR="001773DA" w:rsidRPr="003C00A4">
        <w:rPr>
          <w:rFonts w:ascii="Times New Roman" w:hAnsi="Times New Roman" w:cs="Times New Roman"/>
          <w:sz w:val="25"/>
          <w:szCs w:val="25"/>
        </w:rPr>
        <w:t> </w:t>
      </w:r>
      <w:r w:rsidRPr="003C00A4">
        <w:rPr>
          <w:rFonts w:ascii="Times New Roman" w:hAnsi="Times New Roman" w:cs="Times New Roman"/>
          <w:sz w:val="25"/>
          <w:szCs w:val="25"/>
        </w:rPr>
        <w:t xml:space="preserve">gada. </w:t>
      </w:r>
    </w:p>
    <w:p w:rsidR="006A7A4B" w:rsidRPr="003C00A4" w:rsidRDefault="006A7A4B" w:rsidP="006576FC">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Grozījumi procesuālos likumos, kas stājās spēkā 2017.</w:t>
      </w:r>
      <w:r w:rsidR="001773DA" w:rsidRPr="003C00A4">
        <w:rPr>
          <w:rFonts w:ascii="Times New Roman" w:hAnsi="Times New Roman" w:cs="Times New Roman"/>
          <w:sz w:val="25"/>
          <w:szCs w:val="25"/>
        </w:rPr>
        <w:t> </w:t>
      </w:r>
      <w:r w:rsidRPr="003C00A4">
        <w:rPr>
          <w:rFonts w:ascii="Times New Roman" w:hAnsi="Times New Roman" w:cs="Times New Roman"/>
          <w:sz w:val="25"/>
          <w:szCs w:val="25"/>
        </w:rPr>
        <w:t>gada 1.</w:t>
      </w:r>
      <w:r w:rsidR="001773DA" w:rsidRPr="003C00A4">
        <w:rPr>
          <w:rFonts w:ascii="Times New Roman" w:hAnsi="Times New Roman" w:cs="Times New Roman"/>
          <w:sz w:val="25"/>
          <w:szCs w:val="25"/>
        </w:rPr>
        <w:t> </w:t>
      </w:r>
      <w:r w:rsidRPr="003C00A4">
        <w:rPr>
          <w:rFonts w:ascii="Times New Roman" w:hAnsi="Times New Roman" w:cs="Times New Roman"/>
          <w:sz w:val="25"/>
          <w:szCs w:val="25"/>
        </w:rPr>
        <w:t xml:space="preserve">janvārī, veicina ekonomiju valsts budžeta līdzekļiem, jo vienkāršo tiesu dokumentu paziņošanas kārtību. Tādejādi rasta iespēja resursus, kas nepieciešami, lai nodrošinātu dokumentu saziņas funkcionalitāti, novirzīt tiesu darbinieku atalgojuma palielināšanai. </w:t>
      </w:r>
    </w:p>
    <w:p w:rsidR="00907A6B" w:rsidRPr="003C00A4" w:rsidRDefault="00907A6B" w:rsidP="00E245F6">
      <w:pPr>
        <w:spacing w:after="0" w:line="240" w:lineRule="auto"/>
        <w:ind w:firstLine="720"/>
        <w:jc w:val="both"/>
        <w:rPr>
          <w:rFonts w:ascii="Times New Roman" w:hAnsi="Times New Roman" w:cs="Times New Roman"/>
          <w:sz w:val="25"/>
          <w:szCs w:val="25"/>
        </w:rPr>
      </w:pPr>
    </w:p>
    <w:p w:rsidR="00787F41" w:rsidRPr="003C00A4" w:rsidRDefault="00907A6B" w:rsidP="006576FC">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b/>
          <w:sz w:val="25"/>
          <w:szCs w:val="25"/>
        </w:rPr>
        <w:t>Maksātnespējas jomas reformas</w:t>
      </w:r>
      <w:r w:rsidR="006A7A4B" w:rsidRPr="003C00A4">
        <w:rPr>
          <w:rFonts w:ascii="Times New Roman" w:hAnsi="Times New Roman" w:cs="Times New Roman"/>
          <w:sz w:val="25"/>
          <w:szCs w:val="25"/>
        </w:rPr>
        <w:t>. Turpinās darbs pie jau 2014.</w:t>
      </w:r>
      <w:r w:rsidR="001773DA" w:rsidRPr="003C00A4">
        <w:rPr>
          <w:rFonts w:ascii="Times New Roman" w:hAnsi="Times New Roman" w:cs="Times New Roman"/>
          <w:sz w:val="25"/>
          <w:szCs w:val="25"/>
        </w:rPr>
        <w:t> </w:t>
      </w:r>
      <w:r w:rsidR="006A7A4B" w:rsidRPr="003C00A4">
        <w:rPr>
          <w:rFonts w:ascii="Times New Roman" w:hAnsi="Times New Roman" w:cs="Times New Roman"/>
          <w:sz w:val="25"/>
          <w:szCs w:val="25"/>
        </w:rPr>
        <w:t xml:space="preserve">gadā iesāktās maksātnespējas procesa administratoru (turpmāk – administratori) reformas. Pašlaik no kopējā likumprojekta </w:t>
      </w:r>
      <w:r w:rsidR="001773DA" w:rsidRPr="003C00A4">
        <w:rPr>
          <w:rFonts w:ascii="Times New Roman" w:hAnsi="Times New Roman" w:cs="Times New Roman"/>
          <w:sz w:val="25"/>
          <w:szCs w:val="25"/>
        </w:rPr>
        <w:t>"</w:t>
      </w:r>
      <w:r w:rsidR="006A7A4B" w:rsidRPr="003C00A4">
        <w:rPr>
          <w:rFonts w:ascii="Times New Roman" w:hAnsi="Times New Roman" w:cs="Times New Roman"/>
          <w:sz w:val="25"/>
          <w:szCs w:val="25"/>
        </w:rPr>
        <w:t>Grozījumi Maksātnespējas likumā</w:t>
      </w:r>
      <w:r w:rsidR="001773DA" w:rsidRPr="003C00A4">
        <w:rPr>
          <w:rFonts w:ascii="Times New Roman" w:hAnsi="Times New Roman" w:cs="Times New Roman"/>
          <w:sz w:val="25"/>
          <w:szCs w:val="25"/>
        </w:rPr>
        <w:t>"</w:t>
      </w:r>
      <w:r w:rsidR="006A7A4B" w:rsidRPr="003C00A4">
        <w:rPr>
          <w:rFonts w:ascii="Times New Roman" w:hAnsi="Times New Roman" w:cs="Times New Roman"/>
          <w:sz w:val="25"/>
          <w:szCs w:val="25"/>
        </w:rPr>
        <w:t xml:space="preserve"> ir izdalīta daļa no apspriestajiem jautājumiem, lai nodrošinātu, ka nepieciešamie grozījumi tiek ieviesti pakāpeniski. Izdalīt</w:t>
      </w:r>
      <w:r w:rsidR="00787F41" w:rsidRPr="003C00A4">
        <w:rPr>
          <w:rFonts w:ascii="Times New Roman" w:hAnsi="Times New Roman" w:cs="Times New Roman"/>
          <w:sz w:val="25"/>
          <w:szCs w:val="25"/>
        </w:rPr>
        <w:t>o likumprojektu</w:t>
      </w:r>
      <w:r w:rsidR="006A7A4B" w:rsidRPr="003C00A4">
        <w:rPr>
          <w:rFonts w:ascii="Times New Roman" w:hAnsi="Times New Roman" w:cs="Times New Roman"/>
          <w:sz w:val="25"/>
          <w:szCs w:val="25"/>
        </w:rPr>
        <w:t xml:space="preserve"> </w:t>
      </w:r>
      <w:r w:rsidR="00787F41" w:rsidRPr="003C00A4">
        <w:rPr>
          <w:rFonts w:ascii="Times New Roman" w:hAnsi="Times New Roman" w:cs="Times New Roman"/>
          <w:sz w:val="25"/>
          <w:szCs w:val="25"/>
        </w:rPr>
        <w:t>Saeima atbalstīja</w:t>
      </w:r>
      <w:r w:rsidR="001773DA" w:rsidRPr="003C00A4">
        <w:rPr>
          <w:rFonts w:ascii="Times New Roman" w:hAnsi="Times New Roman" w:cs="Times New Roman"/>
          <w:sz w:val="25"/>
          <w:szCs w:val="25"/>
        </w:rPr>
        <w:t>,</w:t>
      </w:r>
      <w:r w:rsidR="00787F41" w:rsidRPr="003C00A4">
        <w:rPr>
          <w:rFonts w:ascii="Times New Roman" w:hAnsi="Times New Roman" w:cs="Times New Roman"/>
          <w:sz w:val="25"/>
          <w:szCs w:val="25"/>
        </w:rPr>
        <w:t xml:space="preserve"> un 2017. gada 6. janvārī tas stājās spēkā.</w:t>
      </w:r>
    </w:p>
    <w:p w:rsidR="00787F41" w:rsidRPr="003C00A4" w:rsidRDefault="00787F41" w:rsidP="00787F41">
      <w:pPr>
        <w:spacing w:after="0" w:line="240" w:lineRule="auto"/>
        <w:ind w:firstLine="720"/>
        <w:jc w:val="both"/>
        <w:rPr>
          <w:rFonts w:ascii="Times New Roman" w:hAnsi="Times New Roman"/>
          <w:sz w:val="25"/>
          <w:szCs w:val="25"/>
        </w:rPr>
      </w:pPr>
      <w:r w:rsidRPr="003C00A4">
        <w:rPr>
          <w:rFonts w:ascii="Times New Roman" w:hAnsi="Times New Roman"/>
          <w:color w:val="000000"/>
          <w:sz w:val="25"/>
          <w:szCs w:val="25"/>
        </w:rPr>
        <w:t xml:space="preserve">Likumā </w:t>
      </w:r>
      <w:r w:rsidR="001773DA" w:rsidRPr="003C00A4">
        <w:rPr>
          <w:rFonts w:ascii="Times New Roman" w:hAnsi="Times New Roman"/>
          <w:color w:val="000000"/>
          <w:sz w:val="25"/>
          <w:szCs w:val="25"/>
        </w:rPr>
        <w:t>"</w:t>
      </w:r>
      <w:r w:rsidRPr="003C00A4">
        <w:rPr>
          <w:rFonts w:ascii="Times New Roman" w:hAnsi="Times New Roman"/>
          <w:color w:val="000000"/>
          <w:sz w:val="25"/>
          <w:szCs w:val="25"/>
        </w:rPr>
        <w:t>Grozījumi Maksātnespējas likumā</w:t>
      </w:r>
      <w:r w:rsidR="001773DA" w:rsidRPr="003C00A4">
        <w:rPr>
          <w:rFonts w:ascii="Times New Roman" w:hAnsi="Times New Roman"/>
          <w:color w:val="000000"/>
          <w:sz w:val="25"/>
          <w:szCs w:val="25"/>
        </w:rPr>
        <w:t>"</w:t>
      </w:r>
      <w:r w:rsidRPr="003C00A4">
        <w:rPr>
          <w:rFonts w:ascii="Times New Roman" w:hAnsi="Times New Roman"/>
          <w:color w:val="000000"/>
          <w:sz w:val="25"/>
          <w:szCs w:val="25"/>
        </w:rPr>
        <w:t xml:space="preserve"> ietvertās g</w:t>
      </w:r>
      <w:r w:rsidRPr="003C00A4">
        <w:rPr>
          <w:rFonts w:ascii="Times New Roman" w:hAnsi="Times New Roman"/>
          <w:sz w:val="25"/>
          <w:szCs w:val="25"/>
        </w:rPr>
        <w:t>alvenās izmaiņas:</w:t>
      </w:r>
    </w:p>
    <w:p w:rsidR="00787F41" w:rsidRPr="003C00A4" w:rsidRDefault="00787F41" w:rsidP="00787F41">
      <w:pPr>
        <w:pStyle w:val="Sarakstarindkopa"/>
        <w:numPr>
          <w:ilvl w:val="0"/>
          <w:numId w:val="6"/>
        </w:numPr>
        <w:spacing w:after="0" w:line="240" w:lineRule="auto"/>
        <w:contextualSpacing w:val="0"/>
        <w:jc w:val="both"/>
        <w:rPr>
          <w:rFonts w:ascii="Times New Roman" w:hAnsi="Times New Roman"/>
          <w:sz w:val="25"/>
          <w:szCs w:val="25"/>
        </w:rPr>
      </w:pPr>
      <w:r w:rsidRPr="003C00A4">
        <w:rPr>
          <w:rFonts w:ascii="Times New Roman" w:hAnsi="Times New Roman"/>
          <w:sz w:val="25"/>
          <w:szCs w:val="25"/>
        </w:rPr>
        <w:t xml:space="preserve">tiesiskās aizsardzības procesos tagad būs uzraugošā persona (brīvi izraudzīta persona) – </w:t>
      </w:r>
      <w:r w:rsidRPr="003C00A4">
        <w:rPr>
          <w:rFonts w:ascii="Times New Roman" w:hAnsi="Times New Roman"/>
          <w:bCs/>
          <w:sz w:val="25"/>
          <w:szCs w:val="25"/>
        </w:rPr>
        <w:t>piemērojams no 2017. gada 1. jūlija</w:t>
      </w:r>
      <w:r w:rsidRPr="003C00A4">
        <w:rPr>
          <w:rFonts w:ascii="Times New Roman" w:hAnsi="Times New Roman"/>
          <w:sz w:val="25"/>
          <w:szCs w:val="25"/>
        </w:rPr>
        <w:t>;</w:t>
      </w:r>
    </w:p>
    <w:p w:rsidR="00787F41" w:rsidRPr="003C00A4" w:rsidRDefault="00787F41" w:rsidP="00787F41">
      <w:pPr>
        <w:pStyle w:val="Sarakstarindkopa"/>
        <w:numPr>
          <w:ilvl w:val="0"/>
          <w:numId w:val="6"/>
        </w:numPr>
        <w:spacing w:after="0" w:line="240" w:lineRule="auto"/>
        <w:contextualSpacing w:val="0"/>
        <w:jc w:val="both"/>
        <w:rPr>
          <w:rFonts w:ascii="Times New Roman" w:hAnsi="Times New Roman"/>
          <w:sz w:val="25"/>
          <w:szCs w:val="25"/>
        </w:rPr>
      </w:pPr>
      <w:r w:rsidRPr="003C00A4">
        <w:rPr>
          <w:rFonts w:ascii="Times New Roman" w:hAnsi="Times New Roman"/>
          <w:sz w:val="25"/>
          <w:szCs w:val="25"/>
        </w:rPr>
        <w:lastRenderedPageBreak/>
        <w:t xml:space="preserve">pilnveidots regulējums par Elektronisko maksātnespējas uzraudzības sistēmu, kā arī Maksātnespējas administrācijas tīmekļvietnē publicējamo informāciju – </w:t>
      </w:r>
      <w:r w:rsidRPr="003C00A4">
        <w:rPr>
          <w:rFonts w:ascii="Times New Roman" w:hAnsi="Times New Roman"/>
          <w:bCs/>
          <w:sz w:val="25"/>
          <w:szCs w:val="25"/>
        </w:rPr>
        <w:t>stājas spēkā 2018. gada 1. jūlijā</w:t>
      </w:r>
      <w:r w:rsidRPr="003C00A4">
        <w:rPr>
          <w:rFonts w:ascii="Times New Roman" w:hAnsi="Times New Roman"/>
          <w:sz w:val="25"/>
          <w:szCs w:val="25"/>
        </w:rPr>
        <w:t>;</w:t>
      </w:r>
    </w:p>
    <w:p w:rsidR="00787F41" w:rsidRPr="003C00A4" w:rsidRDefault="00787F41" w:rsidP="00787F41">
      <w:pPr>
        <w:pStyle w:val="Sarakstarindkopa"/>
        <w:numPr>
          <w:ilvl w:val="0"/>
          <w:numId w:val="6"/>
        </w:numPr>
        <w:spacing w:after="0" w:line="240" w:lineRule="auto"/>
        <w:contextualSpacing w:val="0"/>
        <w:jc w:val="both"/>
        <w:rPr>
          <w:rFonts w:ascii="Times New Roman" w:hAnsi="Times New Roman"/>
          <w:sz w:val="25"/>
          <w:szCs w:val="25"/>
        </w:rPr>
      </w:pPr>
      <w:r w:rsidRPr="003C00A4">
        <w:rPr>
          <w:rFonts w:ascii="Times New Roman" w:hAnsi="Times New Roman"/>
          <w:sz w:val="25"/>
          <w:szCs w:val="25"/>
        </w:rPr>
        <w:t xml:space="preserve">mainīta </w:t>
      </w:r>
      <w:r w:rsidR="00300F9A" w:rsidRPr="003C00A4">
        <w:rPr>
          <w:rFonts w:ascii="Times New Roman" w:hAnsi="Times New Roman"/>
          <w:sz w:val="25"/>
          <w:szCs w:val="25"/>
        </w:rPr>
        <w:t>iekļūšanas</w:t>
      </w:r>
      <w:r w:rsidRPr="003C00A4">
        <w:rPr>
          <w:rFonts w:ascii="Times New Roman" w:hAnsi="Times New Roman"/>
          <w:sz w:val="25"/>
          <w:szCs w:val="25"/>
        </w:rPr>
        <w:t xml:space="preserve"> kārtība administratora profesijā un administratoru uzraudzības regulējums (tai skaitā atcelšana no amata un darbības apturēšana), proti, uzdevuma saistībā ar administratoru iekļūšanu profesijā īstenošana ir atdota atpakaļ valstij. Noteikta administratoru eksaminācija pirms iecelšanas amatā un regulāra kvalifikācijas eksāmena kārtošana. Eksāmenu organizēšanu nodrošinās Maksātnespējas administrācija. Piebilde – tie administratori, kuriem pašlaik ir izsniegts sertifikāts, turpina darboties, pamatojoties uz sertifikātu, bet pēc tā darbības termiņa beigām, lai iegūtu tiesības turpināt darboties profesijā un tiktu iecelts administratora amatā, administrators kārto kvalifikācijas eksāmenu tuvākajā tā rīkošanas reizē. Piebilde 2 – Maksātnespējas administrācija pirmo eksāmenu rīkos, </w:t>
      </w:r>
      <w:r w:rsidRPr="003C00A4">
        <w:rPr>
          <w:rFonts w:ascii="Times New Roman" w:hAnsi="Times New Roman"/>
          <w:bCs/>
          <w:sz w:val="25"/>
          <w:szCs w:val="25"/>
        </w:rPr>
        <w:t>sākot</w:t>
      </w:r>
      <w:r w:rsidRPr="003C00A4">
        <w:rPr>
          <w:rFonts w:ascii="Times New Roman" w:hAnsi="Times New Roman"/>
          <w:sz w:val="25"/>
          <w:szCs w:val="25"/>
        </w:rPr>
        <w:t xml:space="preserve"> </w:t>
      </w:r>
      <w:r w:rsidRPr="003C00A4">
        <w:rPr>
          <w:rFonts w:ascii="Times New Roman" w:hAnsi="Times New Roman"/>
          <w:bCs/>
          <w:sz w:val="25"/>
          <w:szCs w:val="25"/>
        </w:rPr>
        <w:t>ar 2017. gada 1. jūniju</w:t>
      </w:r>
      <w:r w:rsidRPr="003C00A4">
        <w:rPr>
          <w:rFonts w:ascii="Times New Roman" w:hAnsi="Times New Roman"/>
          <w:sz w:val="25"/>
          <w:szCs w:val="25"/>
        </w:rPr>
        <w:t>;</w:t>
      </w:r>
    </w:p>
    <w:p w:rsidR="00787F41" w:rsidRPr="003C00A4" w:rsidRDefault="00787F41" w:rsidP="00787F41">
      <w:pPr>
        <w:pStyle w:val="Sarakstarindkopa"/>
        <w:numPr>
          <w:ilvl w:val="0"/>
          <w:numId w:val="6"/>
        </w:numPr>
        <w:spacing w:after="0" w:line="240" w:lineRule="auto"/>
        <w:contextualSpacing w:val="0"/>
        <w:jc w:val="both"/>
        <w:rPr>
          <w:rFonts w:ascii="Times New Roman" w:hAnsi="Times New Roman"/>
          <w:sz w:val="25"/>
          <w:szCs w:val="25"/>
        </w:rPr>
      </w:pPr>
      <w:r w:rsidRPr="003C00A4">
        <w:rPr>
          <w:rFonts w:ascii="Times New Roman" w:hAnsi="Times New Roman"/>
          <w:sz w:val="25"/>
          <w:szCs w:val="25"/>
        </w:rPr>
        <w:t xml:space="preserve">administratoram ir noteikts pienākums kārtot lietvedību savā prakses vietā un ieņēmumu un izdevumu uzskaiti – piemērojams </w:t>
      </w:r>
      <w:r w:rsidRPr="003C00A4">
        <w:rPr>
          <w:rFonts w:ascii="Times New Roman" w:hAnsi="Times New Roman"/>
          <w:bCs/>
          <w:sz w:val="25"/>
          <w:szCs w:val="25"/>
        </w:rPr>
        <w:t>no 2017. gada 1. jūlija</w:t>
      </w:r>
      <w:r w:rsidRPr="003C00A4">
        <w:rPr>
          <w:rFonts w:ascii="Times New Roman" w:hAnsi="Times New Roman"/>
          <w:sz w:val="25"/>
          <w:szCs w:val="25"/>
        </w:rPr>
        <w:t>;</w:t>
      </w:r>
    </w:p>
    <w:p w:rsidR="00787F41" w:rsidRPr="003C00A4" w:rsidRDefault="00787F41" w:rsidP="00787F41">
      <w:pPr>
        <w:pStyle w:val="Sarakstarindkopa"/>
        <w:numPr>
          <w:ilvl w:val="0"/>
          <w:numId w:val="6"/>
        </w:numPr>
        <w:spacing w:after="0" w:line="240" w:lineRule="auto"/>
        <w:contextualSpacing w:val="0"/>
        <w:jc w:val="both"/>
        <w:rPr>
          <w:rFonts w:ascii="Times New Roman" w:hAnsi="Times New Roman"/>
          <w:sz w:val="25"/>
          <w:szCs w:val="25"/>
        </w:rPr>
      </w:pPr>
      <w:r w:rsidRPr="003C00A4">
        <w:rPr>
          <w:rFonts w:ascii="Times New Roman" w:hAnsi="Times New Roman"/>
          <w:sz w:val="25"/>
          <w:szCs w:val="25"/>
        </w:rPr>
        <w:t>noteikta disciplināratbildība;</w:t>
      </w:r>
    </w:p>
    <w:p w:rsidR="00787F41" w:rsidRPr="003C00A4" w:rsidRDefault="00787F41" w:rsidP="00787F41">
      <w:pPr>
        <w:pStyle w:val="Sarakstarindkopa"/>
        <w:numPr>
          <w:ilvl w:val="0"/>
          <w:numId w:val="6"/>
        </w:numPr>
        <w:spacing w:after="0" w:line="240" w:lineRule="auto"/>
        <w:contextualSpacing w:val="0"/>
        <w:jc w:val="both"/>
        <w:rPr>
          <w:rFonts w:ascii="Times New Roman" w:hAnsi="Times New Roman"/>
          <w:sz w:val="25"/>
          <w:szCs w:val="25"/>
        </w:rPr>
      </w:pPr>
      <w:r w:rsidRPr="003C00A4">
        <w:rPr>
          <w:rFonts w:ascii="Times New Roman" w:hAnsi="Times New Roman"/>
          <w:sz w:val="25"/>
          <w:szCs w:val="25"/>
        </w:rPr>
        <w:t>ieviesta iespēja ne mazāk kā ¼ kreditoru pieprasīt administratora darbības revīziju;</w:t>
      </w:r>
    </w:p>
    <w:p w:rsidR="00787F41" w:rsidRPr="003C00A4" w:rsidRDefault="00787F41" w:rsidP="00787F41">
      <w:pPr>
        <w:pStyle w:val="Sarakstarindkopa"/>
        <w:numPr>
          <w:ilvl w:val="0"/>
          <w:numId w:val="6"/>
        </w:numPr>
        <w:spacing w:after="0" w:line="240" w:lineRule="auto"/>
        <w:contextualSpacing w:val="0"/>
        <w:jc w:val="both"/>
        <w:rPr>
          <w:rFonts w:ascii="Times New Roman" w:hAnsi="Times New Roman"/>
          <w:sz w:val="25"/>
          <w:szCs w:val="25"/>
        </w:rPr>
      </w:pPr>
      <w:r w:rsidRPr="003C00A4">
        <w:rPr>
          <w:rFonts w:ascii="Times New Roman" w:hAnsi="Times New Roman"/>
          <w:sz w:val="25"/>
          <w:szCs w:val="25"/>
        </w:rPr>
        <w:t xml:space="preserve">precīzāk regulēti Maksātnespējas administrācijas pieņemamie lēmumi, uzdevumi un tiesības, tai skaitā piešķirtas tiesības ierasties pie tiesiskās aizsardzības procesa uzraugošās personas un administratora prakses vietā vai parādnieka – juridiskās personas – atrašanās vietā (par pēdējo – būs </w:t>
      </w:r>
      <w:r w:rsidRPr="003C00A4">
        <w:rPr>
          <w:rFonts w:ascii="Times New Roman" w:hAnsi="Times New Roman"/>
          <w:bCs/>
          <w:sz w:val="25"/>
          <w:szCs w:val="25"/>
        </w:rPr>
        <w:t>no 2017. gada 1. jūlija</w:t>
      </w:r>
      <w:r w:rsidRPr="003C00A4">
        <w:rPr>
          <w:rFonts w:ascii="Times New Roman" w:hAnsi="Times New Roman"/>
          <w:sz w:val="25"/>
          <w:szCs w:val="25"/>
        </w:rPr>
        <w:t>).</w:t>
      </w:r>
    </w:p>
    <w:p w:rsidR="006A7A4B" w:rsidRPr="003C00A4" w:rsidRDefault="006A7A4B" w:rsidP="009047A7">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Administratoru uzraudzības, ko veic Maksātnespējas administrācija, efektīvākai nodrošināšanai ir izveidota Elektroniskā maksātnespējas uzraudzības sistēma, kurā administratori iesniedz savus darbības pārskatus. Tā nodrošina ne tikai iespēju ātrāk konstatēt pārskata neiesniegšanas faktu, bet arī pārbaudīt tajos norādīto informāciju. Tāpat minētā sistēma atvieglo administratīvo slogu administratoriem, jo atgādina par pārskatu iesniegšanas termiņa tuvošanos.</w:t>
      </w:r>
    </w:p>
    <w:p w:rsidR="006A7A4B" w:rsidRPr="003C00A4" w:rsidRDefault="006A7A4B" w:rsidP="009047A7">
      <w:pPr>
        <w:spacing w:after="0" w:line="240" w:lineRule="auto"/>
        <w:ind w:firstLine="720"/>
        <w:jc w:val="both"/>
        <w:rPr>
          <w:rFonts w:ascii="Times New Roman" w:hAnsi="Times New Roman"/>
          <w:sz w:val="25"/>
          <w:szCs w:val="25"/>
        </w:rPr>
      </w:pPr>
      <w:r w:rsidRPr="003C00A4">
        <w:rPr>
          <w:rFonts w:ascii="Times New Roman" w:hAnsi="Times New Roman"/>
          <w:sz w:val="25"/>
          <w:szCs w:val="25"/>
        </w:rPr>
        <w:t xml:space="preserve">Līdz ar Elektroniskās maksātnespējas uzraudzības sistēmas izveidi, kā arī </w:t>
      </w:r>
      <w:r w:rsidR="00CD29E3" w:rsidRPr="003C00A4">
        <w:rPr>
          <w:rFonts w:ascii="Times New Roman" w:hAnsi="Times New Roman"/>
          <w:sz w:val="25"/>
          <w:szCs w:val="25"/>
        </w:rPr>
        <w:t>u</w:t>
      </w:r>
      <w:r w:rsidRPr="003C00A4">
        <w:rPr>
          <w:rFonts w:ascii="Times New Roman" w:hAnsi="Times New Roman"/>
          <w:sz w:val="25"/>
          <w:szCs w:val="25"/>
        </w:rPr>
        <w:t>zņēmējdarbības riska valsts nodevas daļēju pārdali Maksātnespējas administrācijai, ir nodrošināta iespēja Maksātnespējas administrācijai pilnvērtīgāk un vispusīgāk uzraudzīt administratoru rīcību un maksātnespējas procesu norisi.</w:t>
      </w:r>
    </w:p>
    <w:p w:rsidR="006A7A4B" w:rsidRPr="003C00A4" w:rsidRDefault="009047A7" w:rsidP="009047A7">
      <w:pPr>
        <w:spacing w:after="0" w:line="240" w:lineRule="auto"/>
        <w:ind w:firstLine="720"/>
        <w:jc w:val="both"/>
        <w:rPr>
          <w:rFonts w:ascii="Times New Roman" w:hAnsi="Times New Roman"/>
          <w:sz w:val="25"/>
          <w:szCs w:val="25"/>
        </w:rPr>
      </w:pPr>
      <w:r w:rsidRPr="003C00A4">
        <w:rPr>
          <w:rFonts w:ascii="Times New Roman" w:hAnsi="Times New Roman"/>
          <w:sz w:val="25"/>
          <w:szCs w:val="25"/>
        </w:rPr>
        <w:t xml:space="preserve">Tomēr </w:t>
      </w:r>
      <w:r w:rsidR="006A7A4B" w:rsidRPr="003C00A4">
        <w:rPr>
          <w:rFonts w:ascii="Times New Roman" w:hAnsi="Times New Roman"/>
          <w:sz w:val="25"/>
          <w:szCs w:val="25"/>
        </w:rPr>
        <w:t>Maksātnespējas administrācija ir tikai viena no uzraugošajām institūcijām. Noziedzīgu nodarījumu, kas saistīti ar maksātnespējas jomu pirms un pēc procesa uzsākšanas, izmeklēšana un novēršana ir būtiska tam, lai nodrošinātu efektīvu un likumīgu procesa norisi. Tādējādi pašlaik ir pievērsta pastiprināta uzmanība Valsts policijas spējām izmeklēt šādus noziedzīgus nodarījumus, Valsts policijai vienojoties ar Maksātnespējas administrāciju par ciešāku sadarbību, kā arī Valsts policijas darbinieku izglītošanu maksātnespējas jomā.</w:t>
      </w:r>
    </w:p>
    <w:p w:rsidR="006A7A4B" w:rsidRPr="003C00A4" w:rsidRDefault="006A7A4B" w:rsidP="009047A7">
      <w:pPr>
        <w:spacing w:after="0" w:line="240" w:lineRule="auto"/>
        <w:ind w:firstLine="720"/>
        <w:jc w:val="both"/>
        <w:rPr>
          <w:rFonts w:ascii="Times New Roman" w:hAnsi="Times New Roman"/>
          <w:sz w:val="25"/>
          <w:szCs w:val="25"/>
        </w:rPr>
      </w:pPr>
      <w:r w:rsidRPr="003C00A4">
        <w:rPr>
          <w:rFonts w:ascii="Times New Roman" w:hAnsi="Times New Roman"/>
          <w:sz w:val="25"/>
          <w:szCs w:val="25"/>
        </w:rPr>
        <w:t xml:space="preserve">Lai iegūtu skaidru priekšstatu par darbībām, ko nepieciešams veikt maksātnespējas jomas tālākai attīstībai, tai skaitā tiesiskās aizsardzības procesu un maksātnespējas procesu caurspīdīguma nodrošināšanai, tika izstrādātas </w:t>
      </w:r>
      <w:r w:rsidRPr="003C00A4">
        <w:rPr>
          <w:rFonts w:ascii="Times New Roman" w:hAnsi="Times New Roman"/>
          <w:iCs/>
          <w:sz w:val="25"/>
          <w:szCs w:val="25"/>
        </w:rPr>
        <w:t>Maksātnespējas politikas attīstības pamatnostādnes 2016.–2020. gadam</w:t>
      </w:r>
      <w:r w:rsidRPr="003C00A4">
        <w:rPr>
          <w:rFonts w:ascii="Times New Roman" w:hAnsi="Times New Roman"/>
          <w:sz w:val="25"/>
          <w:szCs w:val="25"/>
        </w:rPr>
        <w:t xml:space="preserve"> un to īstenošanas plāns </w:t>
      </w:r>
      <w:proofErr w:type="gramStart"/>
      <w:r w:rsidRPr="003C00A4">
        <w:rPr>
          <w:rFonts w:ascii="Times New Roman" w:hAnsi="Times New Roman"/>
          <w:sz w:val="25"/>
          <w:szCs w:val="25"/>
        </w:rPr>
        <w:t>(</w:t>
      </w:r>
      <w:proofErr w:type="gramEnd"/>
      <w:r w:rsidRPr="003C00A4">
        <w:rPr>
          <w:rFonts w:ascii="Times New Roman" w:hAnsi="Times New Roman"/>
          <w:sz w:val="25"/>
          <w:szCs w:val="25"/>
        </w:rPr>
        <w:t>Ministru kabinetā akceptēts 2016.</w:t>
      </w:r>
      <w:r w:rsidR="009047A7" w:rsidRPr="003C00A4">
        <w:rPr>
          <w:rFonts w:ascii="Times New Roman" w:hAnsi="Times New Roman"/>
          <w:sz w:val="25"/>
          <w:szCs w:val="25"/>
        </w:rPr>
        <w:t> </w:t>
      </w:r>
      <w:r w:rsidRPr="003C00A4">
        <w:rPr>
          <w:rFonts w:ascii="Times New Roman" w:hAnsi="Times New Roman"/>
          <w:sz w:val="25"/>
          <w:szCs w:val="25"/>
        </w:rPr>
        <w:t>gada 21.</w:t>
      </w:r>
      <w:r w:rsidR="009047A7" w:rsidRPr="003C00A4">
        <w:rPr>
          <w:rFonts w:ascii="Times New Roman" w:hAnsi="Times New Roman"/>
          <w:sz w:val="25"/>
          <w:szCs w:val="25"/>
        </w:rPr>
        <w:t> </w:t>
      </w:r>
      <w:r w:rsidRPr="003C00A4">
        <w:rPr>
          <w:rFonts w:ascii="Times New Roman" w:hAnsi="Times New Roman"/>
          <w:sz w:val="25"/>
          <w:szCs w:val="25"/>
        </w:rPr>
        <w:t>septembrī). Tajās ietvertie pasākumi kopumā sadalīti četros rīcības virzienos (tiesiskās aizsardzības procesu biežāka piemērošana, maksimāls atgūstamo līdzekļu palielinājums, fiziskās personas maksātnespējas procesa piemērošana godprātīgām personām, kā arī maksimāli nodrošināt, ka administratori ir kvalificēti un profesionāli speciālisti), lai kopumā nodrošinātu maksātnespējas jomas attīstību.</w:t>
      </w:r>
    </w:p>
    <w:p w:rsidR="006A7A4B" w:rsidRPr="003C00A4" w:rsidRDefault="006A7A4B" w:rsidP="009047A7">
      <w:pPr>
        <w:spacing w:after="0" w:line="240" w:lineRule="auto"/>
        <w:ind w:firstLine="720"/>
        <w:jc w:val="both"/>
        <w:rPr>
          <w:rFonts w:ascii="Times New Roman" w:hAnsi="Times New Roman"/>
          <w:color w:val="000000"/>
          <w:sz w:val="25"/>
          <w:szCs w:val="25"/>
        </w:rPr>
      </w:pPr>
      <w:r w:rsidRPr="003C00A4">
        <w:rPr>
          <w:rFonts w:ascii="Times New Roman" w:hAnsi="Times New Roman"/>
          <w:sz w:val="25"/>
          <w:szCs w:val="25"/>
        </w:rPr>
        <w:lastRenderedPageBreak/>
        <w:t xml:space="preserve">Jautājumā par interešu konflikta novēršanu attiecībā uz administratoriem jāpiemin arī, ka saskaņā ar likuma </w:t>
      </w:r>
      <w:r w:rsidR="00CD29E3" w:rsidRPr="003C00A4">
        <w:rPr>
          <w:rFonts w:ascii="Times New Roman" w:hAnsi="Times New Roman"/>
          <w:iCs/>
          <w:sz w:val="25"/>
          <w:szCs w:val="25"/>
        </w:rPr>
        <w:t>"</w:t>
      </w:r>
      <w:r w:rsidRPr="003C00A4">
        <w:rPr>
          <w:rFonts w:ascii="Times New Roman" w:hAnsi="Times New Roman"/>
          <w:iCs/>
          <w:sz w:val="25"/>
          <w:szCs w:val="25"/>
        </w:rPr>
        <w:t>Par interešu konflikta novēršanu valsts amatpersonu darbībā</w:t>
      </w:r>
      <w:r w:rsidR="00CD29E3" w:rsidRPr="003C00A4">
        <w:rPr>
          <w:rFonts w:ascii="Times New Roman" w:hAnsi="Times New Roman"/>
          <w:sz w:val="25"/>
          <w:szCs w:val="25"/>
        </w:rPr>
        <w:t>"</w:t>
      </w:r>
      <w:r w:rsidRPr="003C00A4">
        <w:rPr>
          <w:rFonts w:ascii="Times New Roman" w:hAnsi="Times New Roman"/>
          <w:sz w:val="25"/>
          <w:szCs w:val="25"/>
        </w:rPr>
        <w:t xml:space="preserve"> (turpmāk – IKNL) 4.</w:t>
      </w:r>
      <w:r w:rsidR="009047A7" w:rsidRPr="003C00A4">
        <w:rPr>
          <w:rFonts w:ascii="Times New Roman" w:hAnsi="Times New Roman"/>
          <w:sz w:val="25"/>
          <w:szCs w:val="25"/>
        </w:rPr>
        <w:t> </w:t>
      </w:r>
      <w:r w:rsidRPr="003C00A4">
        <w:rPr>
          <w:rFonts w:ascii="Times New Roman" w:hAnsi="Times New Roman"/>
          <w:sz w:val="25"/>
          <w:szCs w:val="25"/>
        </w:rPr>
        <w:t>panta pirmās daļas 26.</w:t>
      </w:r>
      <w:r w:rsidR="009047A7" w:rsidRPr="003C00A4">
        <w:rPr>
          <w:rFonts w:ascii="Times New Roman" w:hAnsi="Times New Roman"/>
          <w:sz w:val="25"/>
          <w:szCs w:val="25"/>
        </w:rPr>
        <w:t> </w:t>
      </w:r>
      <w:r w:rsidRPr="003C00A4">
        <w:rPr>
          <w:rFonts w:ascii="Times New Roman" w:hAnsi="Times New Roman"/>
          <w:sz w:val="25"/>
          <w:szCs w:val="25"/>
        </w:rPr>
        <w:t>punktu maksātnespējas procesa administratori ir valsts amatpersonas</w:t>
      </w:r>
      <w:proofErr w:type="gramStart"/>
      <w:r w:rsidRPr="003C00A4">
        <w:rPr>
          <w:rFonts w:ascii="Times New Roman" w:hAnsi="Times New Roman"/>
          <w:sz w:val="25"/>
          <w:szCs w:val="25"/>
        </w:rPr>
        <w:t xml:space="preserve"> un</w:t>
      </w:r>
      <w:proofErr w:type="gramEnd"/>
      <w:r w:rsidRPr="003C00A4">
        <w:rPr>
          <w:rFonts w:ascii="Times New Roman" w:hAnsi="Times New Roman"/>
          <w:sz w:val="25"/>
          <w:szCs w:val="25"/>
        </w:rPr>
        <w:t xml:space="preserve"> tiem ir saistoši šajā likumā noteiktie pienākumi, ierobežojumi un aizliegumi. Nosakot to, ka maksātnespējas procesa administratori ir valsts amatpersonas, tika veikti IKNL grozījumi, kas atļauj savienot maksātnespējas procesa administratora amatu ar advokāta amatu, kā arī izstrādāta speciāla valsts amatpersonu deklarācijā norādāmo ziņu kārtība, nodrošinot, ka maksātnespējas procesa administrators, kurš vienlaikus ir arī advokāts, deklarācijā sniedz informāciju par gūtajiem ienākumiem, neatklājot informāciju par klientu.</w:t>
      </w:r>
      <w:r w:rsidR="00787F41" w:rsidRPr="003C00A4">
        <w:rPr>
          <w:rFonts w:ascii="Times New Roman" w:hAnsi="Times New Roman"/>
          <w:sz w:val="25"/>
          <w:szCs w:val="25"/>
        </w:rPr>
        <w:t xml:space="preserve"> Vienlaikus, lemjot par likumprojekt</w:t>
      </w:r>
      <w:r w:rsidR="00CD29E3" w:rsidRPr="003C00A4">
        <w:rPr>
          <w:rFonts w:ascii="Times New Roman" w:hAnsi="Times New Roman"/>
          <w:sz w:val="25"/>
          <w:szCs w:val="25"/>
        </w:rPr>
        <w:t>u</w:t>
      </w:r>
      <w:r w:rsidR="00787F41" w:rsidRPr="003C00A4">
        <w:rPr>
          <w:rFonts w:ascii="Times New Roman" w:hAnsi="Times New Roman"/>
          <w:sz w:val="25"/>
          <w:szCs w:val="25"/>
        </w:rPr>
        <w:t xml:space="preserve"> </w:t>
      </w:r>
      <w:r w:rsidR="00CD29E3" w:rsidRPr="003C00A4">
        <w:rPr>
          <w:rFonts w:ascii="Times New Roman" w:hAnsi="Times New Roman"/>
          <w:sz w:val="25"/>
          <w:szCs w:val="25"/>
        </w:rPr>
        <w:t>"</w:t>
      </w:r>
      <w:r w:rsidR="00787F41" w:rsidRPr="003C00A4">
        <w:rPr>
          <w:rFonts w:ascii="Times New Roman" w:hAnsi="Times New Roman"/>
          <w:sz w:val="25"/>
          <w:szCs w:val="25"/>
        </w:rPr>
        <w:t>Grozījumi Maksātnespējas likumā</w:t>
      </w:r>
      <w:r w:rsidR="00CD29E3" w:rsidRPr="003C00A4">
        <w:rPr>
          <w:rFonts w:ascii="Times New Roman" w:hAnsi="Times New Roman"/>
          <w:sz w:val="25"/>
          <w:szCs w:val="25"/>
        </w:rPr>
        <w:t>"</w:t>
      </w:r>
      <w:r w:rsidR="00787F41" w:rsidRPr="003C00A4">
        <w:rPr>
          <w:rFonts w:ascii="Times New Roman" w:hAnsi="Times New Roman"/>
          <w:sz w:val="25"/>
          <w:szCs w:val="25"/>
        </w:rPr>
        <w:t>, Saeimā pirmo reizi tika skatīts jautājums par iespējamību atcelt administratoriem noteikto valsts amatpersonas statusu. Tomēr, neraugoties uz Saeimas Juridiskās komisijas viedokli, Saeimā tika nospriests, ka pašlaik nav pamata to atcelt.</w:t>
      </w:r>
    </w:p>
    <w:p w:rsidR="000009C5" w:rsidRPr="003C00A4" w:rsidRDefault="000009C5" w:rsidP="00E245F6">
      <w:pPr>
        <w:spacing w:after="0" w:line="240" w:lineRule="auto"/>
        <w:ind w:firstLine="720"/>
        <w:jc w:val="both"/>
        <w:rPr>
          <w:rFonts w:ascii="Times New Roman" w:hAnsi="Times New Roman" w:cs="Times New Roman"/>
          <w:b/>
          <w:sz w:val="25"/>
          <w:szCs w:val="25"/>
        </w:rPr>
      </w:pPr>
    </w:p>
    <w:p w:rsidR="00CD29E3" w:rsidRPr="003C00A4" w:rsidRDefault="00803CF4" w:rsidP="009C0643">
      <w:pPr>
        <w:pStyle w:val="Default"/>
        <w:ind w:firstLine="709"/>
        <w:jc w:val="both"/>
        <w:rPr>
          <w:rFonts w:ascii="Times New Roman" w:hAnsi="Times New Roman" w:cs="Times New Roman"/>
          <w:b/>
          <w:sz w:val="25"/>
          <w:szCs w:val="25"/>
        </w:rPr>
      </w:pPr>
      <w:r w:rsidRPr="003C00A4">
        <w:rPr>
          <w:rFonts w:ascii="Times New Roman" w:hAnsi="Times New Roman" w:cs="Times New Roman"/>
          <w:b/>
          <w:sz w:val="25"/>
          <w:szCs w:val="25"/>
        </w:rPr>
        <w:t xml:space="preserve">Finanšu un kapitāla tirgus komisijas uzraudzības kapacitātes stiprināšana. </w:t>
      </w:r>
    </w:p>
    <w:p w:rsidR="00803CF4" w:rsidRPr="003C00A4" w:rsidRDefault="00162057" w:rsidP="009C0643">
      <w:pPr>
        <w:pStyle w:val="Default"/>
        <w:ind w:firstLine="709"/>
        <w:jc w:val="both"/>
        <w:rPr>
          <w:rFonts w:ascii="Times New Roman" w:hAnsi="Times New Roman" w:cs="Times New Roman"/>
          <w:sz w:val="25"/>
          <w:szCs w:val="25"/>
        </w:rPr>
      </w:pPr>
      <w:r w:rsidRPr="003C00A4">
        <w:rPr>
          <w:rFonts w:ascii="Times New Roman" w:hAnsi="Times New Roman" w:cs="Times New Roman"/>
          <w:sz w:val="25"/>
          <w:szCs w:val="25"/>
        </w:rPr>
        <w:t xml:space="preserve">Ieviešot </w:t>
      </w:r>
      <w:r w:rsidR="001649CD" w:rsidRPr="003C00A4">
        <w:rPr>
          <w:rFonts w:ascii="Times New Roman" w:hAnsi="Times New Roman" w:cs="Times New Roman"/>
          <w:sz w:val="25"/>
          <w:szCs w:val="25"/>
        </w:rPr>
        <w:t xml:space="preserve">Eiropas Parlamenta un Padomes </w:t>
      </w:r>
      <w:r w:rsidR="009722BF" w:rsidRPr="003C00A4">
        <w:rPr>
          <w:rFonts w:ascii="Times New Roman" w:hAnsi="Times New Roman" w:cs="Times New Roman"/>
          <w:bCs/>
          <w:sz w:val="25"/>
          <w:szCs w:val="25"/>
        </w:rPr>
        <w:t>2013.</w:t>
      </w:r>
      <w:r w:rsidR="00CD29E3" w:rsidRPr="003C00A4">
        <w:rPr>
          <w:rFonts w:ascii="Times New Roman" w:hAnsi="Times New Roman" w:cs="Times New Roman"/>
          <w:bCs/>
          <w:sz w:val="25"/>
          <w:szCs w:val="25"/>
        </w:rPr>
        <w:t> </w:t>
      </w:r>
      <w:r w:rsidR="009722BF" w:rsidRPr="003C00A4">
        <w:rPr>
          <w:rFonts w:ascii="Times New Roman" w:hAnsi="Times New Roman" w:cs="Times New Roman"/>
          <w:bCs/>
          <w:sz w:val="25"/>
          <w:szCs w:val="25"/>
        </w:rPr>
        <w:t>gada 22.</w:t>
      </w:r>
      <w:r w:rsidR="00CD29E3" w:rsidRPr="003C00A4">
        <w:rPr>
          <w:rFonts w:ascii="Times New Roman" w:hAnsi="Times New Roman" w:cs="Times New Roman"/>
          <w:bCs/>
          <w:sz w:val="25"/>
          <w:szCs w:val="25"/>
        </w:rPr>
        <w:t> </w:t>
      </w:r>
      <w:r w:rsidR="009722BF" w:rsidRPr="003C00A4">
        <w:rPr>
          <w:rFonts w:ascii="Times New Roman" w:hAnsi="Times New Roman" w:cs="Times New Roman"/>
          <w:bCs/>
          <w:sz w:val="25"/>
          <w:szCs w:val="25"/>
        </w:rPr>
        <w:t>oktobra</w:t>
      </w:r>
      <w:r w:rsidR="009722BF" w:rsidRPr="003C00A4">
        <w:rPr>
          <w:rFonts w:ascii="Times New Roman" w:hAnsi="Times New Roman" w:cs="Times New Roman"/>
          <w:sz w:val="25"/>
          <w:szCs w:val="25"/>
        </w:rPr>
        <w:t xml:space="preserve"> </w:t>
      </w:r>
      <w:r w:rsidR="001649CD" w:rsidRPr="003C00A4">
        <w:rPr>
          <w:rFonts w:ascii="Times New Roman" w:hAnsi="Times New Roman" w:cs="Times New Roman"/>
          <w:sz w:val="25"/>
          <w:szCs w:val="25"/>
        </w:rPr>
        <w:t>Direktīvu 2013/50/ES</w:t>
      </w:r>
      <w:r w:rsidR="001649CD" w:rsidRPr="003C00A4">
        <w:rPr>
          <w:rFonts w:ascii="Times New Roman" w:hAnsi="Times New Roman" w:cs="Times New Roman"/>
          <w:bCs/>
          <w:sz w:val="25"/>
          <w:szCs w:val="25"/>
        </w:rPr>
        <w:t>, ar kuru groza Eiropas Parlamenta un Padomes Direktīvu 2004/109/EK par atklātības prasību saskaņošanu attiecībā uz informāciju par emitentiem, kuru vērtspapīrus atļauts tirgot regulētā tirgū, Eiropas Parlamenta un Padomes Direktīvu 2003/71/EK par prospektu, kurš jāpublicē, publiski piedāvājot vērtspapīrus vai atļaujot to tirdzniecību, un Komisijas Direktīvu</w:t>
      </w:r>
      <w:r w:rsidR="001649CD" w:rsidRPr="003C00A4">
        <w:rPr>
          <w:rFonts w:ascii="Times New Roman" w:hAnsi="Times New Roman" w:cs="Times New Roman"/>
          <w:b/>
          <w:bCs/>
          <w:sz w:val="25"/>
          <w:szCs w:val="25"/>
        </w:rPr>
        <w:t xml:space="preserve"> </w:t>
      </w:r>
      <w:r w:rsidR="001649CD" w:rsidRPr="003C00A4">
        <w:rPr>
          <w:rFonts w:ascii="Times New Roman" w:hAnsi="Times New Roman" w:cs="Times New Roman"/>
          <w:bCs/>
          <w:sz w:val="25"/>
          <w:szCs w:val="25"/>
        </w:rPr>
        <w:t xml:space="preserve">2007/14/EK, ar ko nosaka sīki izstrādātus noteikumus Direktīvas 2004/109/EK atsevišķu noteikumu īstenošanai, tika veikti grozījumi Finanšu instrumentu tirgus likumā. </w:t>
      </w:r>
      <w:r w:rsidR="00090CF8" w:rsidRPr="003C00A4">
        <w:rPr>
          <w:rFonts w:ascii="Times New Roman" w:hAnsi="Times New Roman" w:cs="Times New Roman"/>
          <w:sz w:val="25"/>
          <w:szCs w:val="25"/>
        </w:rPr>
        <w:t xml:space="preserve">Likums </w:t>
      </w:r>
      <w:r w:rsidR="00CD29E3" w:rsidRPr="003C00A4">
        <w:rPr>
          <w:rFonts w:ascii="Times New Roman" w:hAnsi="Times New Roman" w:cs="Times New Roman"/>
          <w:sz w:val="25"/>
          <w:szCs w:val="25"/>
        </w:rPr>
        <w:t>"</w:t>
      </w:r>
      <w:r w:rsidR="00090CF8" w:rsidRPr="003C00A4">
        <w:rPr>
          <w:rFonts w:ascii="Times New Roman" w:hAnsi="Times New Roman" w:cs="Times New Roman"/>
          <w:sz w:val="25"/>
          <w:szCs w:val="25"/>
        </w:rPr>
        <w:t>Grozījumi Finanšu instrumentu tirgus likumā</w:t>
      </w:r>
      <w:r w:rsidR="00CD29E3" w:rsidRPr="003C00A4">
        <w:rPr>
          <w:rFonts w:ascii="Times New Roman" w:hAnsi="Times New Roman" w:cs="Times New Roman"/>
          <w:sz w:val="25"/>
          <w:szCs w:val="25"/>
        </w:rPr>
        <w:t>"</w:t>
      </w:r>
      <w:r w:rsidR="00090CF8" w:rsidRPr="003C00A4">
        <w:rPr>
          <w:rFonts w:ascii="Times New Roman" w:hAnsi="Times New Roman" w:cs="Times New Roman"/>
          <w:sz w:val="25"/>
          <w:szCs w:val="25"/>
        </w:rPr>
        <w:t xml:space="preserve"> stājās spēkā 2016. gada 29. jūnijā. </w:t>
      </w:r>
      <w:r w:rsidR="00912FE0" w:rsidRPr="003C00A4">
        <w:rPr>
          <w:rFonts w:ascii="Times New Roman" w:hAnsi="Times New Roman" w:cs="Times New Roman"/>
          <w:sz w:val="25"/>
          <w:szCs w:val="25"/>
        </w:rPr>
        <w:t xml:space="preserve">Ar attiecīgo likumu tiek </w:t>
      </w:r>
      <w:r w:rsidR="001649CD" w:rsidRPr="003C00A4">
        <w:rPr>
          <w:rFonts w:ascii="Times New Roman" w:hAnsi="Times New Roman" w:cs="Times New Roman"/>
          <w:sz w:val="25"/>
          <w:szCs w:val="25"/>
        </w:rPr>
        <w:t xml:space="preserve">ievērojami palielinātas </w:t>
      </w:r>
      <w:r w:rsidR="00912FE0" w:rsidRPr="003C00A4">
        <w:rPr>
          <w:rFonts w:ascii="Times New Roman" w:hAnsi="Times New Roman" w:cs="Times New Roman"/>
          <w:sz w:val="25"/>
          <w:szCs w:val="25"/>
        </w:rPr>
        <w:t xml:space="preserve">Finanšu un kapitāla tirgus komisijas </w:t>
      </w:r>
      <w:r w:rsidR="001649CD" w:rsidRPr="003C00A4">
        <w:rPr>
          <w:rFonts w:ascii="Times New Roman" w:hAnsi="Times New Roman" w:cs="Times New Roman"/>
          <w:sz w:val="25"/>
          <w:szCs w:val="25"/>
        </w:rPr>
        <w:t>piemērojamās sankcijas par</w:t>
      </w:r>
      <w:r w:rsidR="007D2A94" w:rsidRPr="003C00A4">
        <w:rPr>
          <w:rFonts w:ascii="Times New Roman" w:hAnsi="Times New Roman" w:cs="Times New Roman"/>
          <w:sz w:val="25"/>
          <w:szCs w:val="25"/>
        </w:rPr>
        <w:t xml:space="preserve"> informācijas atklātības prasību</w:t>
      </w:r>
      <w:r w:rsidR="001649CD" w:rsidRPr="003C00A4">
        <w:rPr>
          <w:rFonts w:ascii="Times New Roman" w:hAnsi="Times New Roman" w:cs="Times New Roman"/>
          <w:sz w:val="25"/>
          <w:szCs w:val="25"/>
        </w:rPr>
        <w:t xml:space="preserve"> neievērošanu</w:t>
      </w:r>
      <w:r w:rsidR="007D2A94" w:rsidRPr="003C00A4">
        <w:rPr>
          <w:rFonts w:ascii="Times New Roman" w:hAnsi="Times New Roman" w:cs="Times New Roman"/>
          <w:sz w:val="25"/>
          <w:szCs w:val="25"/>
        </w:rPr>
        <w:t xml:space="preserve"> </w:t>
      </w:r>
      <w:r w:rsidR="001649CD" w:rsidRPr="003C00A4">
        <w:rPr>
          <w:rFonts w:ascii="Times New Roman" w:hAnsi="Times New Roman" w:cs="Times New Roman"/>
          <w:sz w:val="25"/>
          <w:szCs w:val="25"/>
        </w:rPr>
        <w:t>un par prasīb</w:t>
      </w:r>
      <w:r w:rsidR="009722BF" w:rsidRPr="003C00A4">
        <w:rPr>
          <w:rFonts w:ascii="Times New Roman" w:hAnsi="Times New Roman" w:cs="Times New Roman"/>
          <w:sz w:val="25"/>
          <w:szCs w:val="25"/>
        </w:rPr>
        <w:t>u</w:t>
      </w:r>
      <w:r w:rsidR="001649CD" w:rsidRPr="003C00A4">
        <w:rPr>
          <w:rFonts w:ascii="Times New Roman" w:hAnsi="Times New Roman" w:cs="Times New Roman"/>
          <w:sz w:val="25"/>
          <w:szCs w:val="25"/>
        </w:rPr>
        <w:t xml:space="preserve">, kas paredz obligāto </w:t>
      </w:r>
      <w:r w:rsidR="007D2A94" w:rsidRPr="003C00A4">
        <w:rPr>
          <w:rFonts w:ascii="Times New Roman" w:hAnsi="Times New Roman" w:cs="Times New Roman"/>
          <w:sz w:val="25"/>
          <w:szCs w:val="25"/>
        </w:rPr>
        <w:t xml:space="preserve">akciju atpirkšanas piedāvājumu </w:t>
      </w:r>
      <w:r w:rsidR="001649CD" w:rsidRPr="003C00A4">
        <w:rPr>
          <w:rFonts w:ascii="Times New Roman" w:hAnsi="Times New Roman" w:cs="Times New Roman"/>
          <w:sz w:val="25"/>
          <w:szCs w:val="25"/>
        </w:rPr>
        <w:t>izteikšanu</w:t>
      </w:r>
      <w:r w:rsidR="009722BF" w:rsidRPr="003C00A4">
        <w:rPr>
          <w:rFonts w:ascii="Times New Roman" w:hAnsi="Times New Roman" w:cs="Times New Roman"/>
          <w:sz w:val="25"/>
          <w:szCs w:val="25"/>
        </w:rPr>
        <w:t>, neievērošanu</w:t>
      </w:r>
      <w:r w:rsidR="001649CD" w:rsidRPr="003C00A4">
        <w:rPr>
          <w:rFonts w:ascii="Times New Roman" w:hAnsi="Times New Roman" w:cs="Times New Roman"/>
          <w:sz w:val="25"/>
          <w:szCs w:val="25"/>
        </w:rPr>
        <w:t>.</w:t>
      </w:r>
    </w:p>
    <w:p w:rsidR="007D2A94" w:rsidRPr="003C00A4" w:rsidRDefault="001649CD" w:rsidP="00E245F6">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Tādējādi p</w:t>
      </w:r>
      <w:r w:rsidR="00A95887" w:rsidRPr="003C00A4">
        <w:rPr>
          <w:rFonts w:ascii="Times New Roman" w:hAnsi="Times New Roman" w:cs="Times New Roman"/>
          <w:sz w:val="25"/>
          <w:szCs w:val="25"/>
        </w:rPr>
        <w:t xml:space="preserve">ar </w:t>
      </w:r>
      <w:r w:rsidR="009722BF" w:rsidRPr="003C00A4">
        <w:rPr>
          <w:rFonts w:ascii="Times New Roman" w:hAnsi="Times New Roman" w:cs="Times New Roman"/>
          <w:sz w:val="25"/>
          <w:szCs w:val="25"/>
        </w:rPr>
        <w:t>F</w:t>
      </w:r>
      <w:r w:rsidRPr="003C00A4">
        <w:rPr>
          <w:rFonts w:ascii="Times New Roman" w:hAnsi="Times New Roman" w:cs="Times New Roman"/>
          <w:sz w:val="25"/>
          <w:szCs w:val="25"/>
        </w:rPr>
        <w:t xml:space="preserve">inanšu instrumentu tirgus </w:t>
      </w:r>
      <w:r w:rsidR="00A95887" w:rsidRPr="003C00A4">
        <w:rPr>
          <w:rFonts w:ascii="Times New Roman" w:hAnsi="Times New Roman" w:cs="Times New Roman"/>
          <w:sz w:val="25"/>
          <w:szCs w:val="25"/>
        </w:rPr>
        <w:t xml:space="preserve">likuma prasību neievērošanu </w:t>
      </w:r>
      <w:r w:rsidRPr="003C00A4">
        <w:rPr>
          <w:rFonts w:ascii="Times New Roman" w:hAnsi="Times New Roman" w:cs="Times New Roman"/>
          <w:sz w:val="25"/>
          <w:szCs w:val="25"/>
        </w:rPr>
        <w:t>informācijas atklāšanas jomā</w:t>
      </w:r>
      <w:proofErr w:type="gramStart"/>
      <w:r w:rsidRPr="003C00A4">
        <w:rPr>
          <w:rFonts w:ascii="Times New Roman" w:hAnsi="Times New Roman" w:cs="Times New Roman"/>
          <w:sz w:val="25"/>
          <w:szCs w:val="25"/>
        </w:rPr>
        <w:t xml:space="preserve"> un</w:t>
      </w:r>
      <w:proofErr w:type="gramEnd"/>
      <w:r w:rsidRPr="003C00A4">
        <w:rPr>
          <w:rFonts w:ascii="Times New Roman" w:hAnsi="Times New Roman" w:cs="Times New Roman"/>
          <w:sz w:val="25"/>
          <w:szCs w:val="25"/>
        </w:rPr>
        <w:t xml:space="preserve"> pārkāpumiem saistībā ar obligātā akciju piedāvājuma izteikšanu </w:t>
      </w:r>
      <w:r w:rsidR="00A95887" w:rsidRPr="003C00A4">
        <w:rPr>
          <w:rFonts w:ascii="Times New Roman" w:hAnsi="Times New Roman" w:cs="Times New Roman"/>
          <w:sz w:val="25"/>
          <w:szCs w:val="25"/>
        </w:rPr>
        <w:t>Finanšu un kapitāla tirgus komisija var piemērot vienu vai vairākas sankcijas, tajā skaitā publiskā paziņojumā norādīt par pārkāpumu atbildīgo personu un pārkāpuma būt</w:t>
      </w:r>
      <w:r w:rsidR="00DD1F44" w:rsidRPr="003C00A4">
        <w:rPr>
          <w:rFonts w:ascii="Times New Roman" w:hAnsi="Times New Roman" w:cs="Times New Roman"/>
          <w:sz w:val="25"/>
          <w:szCs w:val="25"/>
        </w:rPr>
        <w:t>ību; pieprasīt, lai par pārkāpumu atbildīgā persona nekavējoties izbeidz attiecīgo darbību; uzlikt soda naudu (juridiskajai personai – līdz 10 000</w:t>
      </w:r>
      <w:r w:rsidR="00CD29E3" w:rsidRPr="003C00A4">
        <w:rPr>
          <w:rFonts w:ascii="Times New Roman" w:hAnsi="Times New Roman" w:cs="Times New Roman"/>
          <w:sz w:val="25"/>
          <w:szCs w:val="25"/>
        </w:rPr>
        <w:t> </w:t>
      </w:r>
      <w:r w:rsidR="00DD1F44" w:rsidRPr="003C00A4">
        <w:rPr>
          <w:rFonts w:ascii="Times New Roman" w:hAnsi="Times New Roman" w:cs="Times New Roman"/>
          <w:sz w:val="25"/>
          <w:szCs w:val="25"/>
        </w:rPr>
        <w:t>000</w:t>
      </w:r>
      <w:r w:rsidR="00CD29E3" w:rsidRPr="003C00A4">
        <w:rPr>
          <w:rFonts w:ascii="Times New Roman" w:hAnsi="Times New Roman" w:cs="Times New Roman"/>
          <w:sz w:val="25"/>
          <w:szCs w:val="25"/>
        </w:rPr>
        <w:t> </w:t>
      </w:r>
      <w:proofErr w:type="spellStart"/>
      <w:r w:rsidR="00DD1F44" w:rsidRPr="003C00A4">
        <w:rPr>
          <w:rFonts w:ascii="Times New Roman" w:hAnsi="Times New Roman" w:cs="Times New Roman"/>
          <w:i/>
          <w:sz w:val="25"/>
          <w:szCs w:val="25"/>
        </w:rPr>
        <w:t>euro</w:t>
      </w:r>
      <w:proofErr w:type="spellEnd"/>
      <w:r w:rsidR="00DD1F44" w:rsidRPr="003C00A4">
        <w:rPr>
          <w:rFonts w:ascii="Times New Roman" w:hAnsi="Times New Roman" w:cs="Times New Roman"/>
          <w:sz w:val="25"/>
          <w:szCs w:val="25"/>
        </w:rPr>
        <w:t xml:space="preserve"> vai līdz pieciem procentiem no iepriekšējā finanšu gada kopējā apgrozījuma saskaņā ar iepriekšējā finanšu gada apstiprināto gada pārskatu vai līdz personas gūtu ienākumu vai novērsto iespējamo zaudējumu divkāršam apmēram, ja var noteikt pārkāpuma rezultātā gūtos ienākumus vai novērst iespējamos zaudējumus</w:t>
      </w:r>
      <w:r w:rsidR="00D010AD" w:rsidRPr="003C00A4">
        <w:rPr>
          <w:rFonts w:ascii="Times New Roman" w:hAnsi="Times New Roman" w:cs="Times New Roman"/>
          <w:sz w:val="25"/>
          <w:szCs w:val="25"/>
        </w:rPr>
        <w:t xml:space="preserve">, bet </w:t>
      </w:r>
      <w:r w:rsidR="00DD1F44" w:rsidRPr="003C00A4">
        <w:rPr>
          <w:rFonts w:ascii="Times New Roman" w:hAnsi="Times New Roman" w:cs="Times New Roman"/>
          <w:sz w:val="25"/>
          <w:szCs w:val="25"/>
        </w:rPr>
        <w:t>fiziskai personai – līdz 2 000</w:t>
      </w:r>
      <w:r w:rsidR="00CD29E3" w:rsidRPr="003C00A4">
        <w:rPr>
          <w:rFonts w:ascii="Times New Roman" w:hAnsi="Times New Roman" w:cs="Times New Roman"/>
          <w:sz w:val="25"/>
          <w:szCs w:val="25"/>
        </w:rPr>
        <w:t> </w:t>
      </w:r>
      <w:r w:rsidR="00DD1F44" w:rsidRPr="003C00A4">
        <w:rPr>
          <w:rFonts w:ascii="Times New Roman" w:hAnsi="Times New Roman" w:cs="Times New Roman"/>
          <w:sz w:val="25"/>
          <w:szCs w:val="25"/>
        </w:rPr>
        <w:t>000</w:t>
      </w:r>
      <w:r w:rsidR="00CD29E3" w:rsidRPr="003C00A4">
        <w:rPr>
          <w:rFonts w:ascii="Times New Roman" w:hAnsi="Times New Roman" w:cs="Times New Roman"/>
          <w:sz w:val="25"/>
          <w:szCs w:val="25"/>
        </w:rPr>
        <w:t> </w:t>
      </w:r>
      <w:proofErr w:type="spellStart"/>
      <w:r w:rsidR="00DD1F44" w:rsidRPr="003C00A4">
        <w:rPr>
          <w:rFonts w:ascii="Times New Roman" w:hAnsi="Times New Roman" w:cs="Times New Roman"/>
          <w:i/>
          <w:sz w:val="25"/>
          <w:szCs w:val="25"/>
        </w:rPr>
        <w:t>euro</w:t>
      </w:r>
      <w:proofErr w:type="spellEnd"/>
      <w:r w:rsidR="00DD1F44" w:rsidRPr="003C00A4">
        <w:rPr>
          <w:rFonts w:ascii="Times New Roman" w:hAnsi="Times New Roman" w:cs="Times New Roman"/>
          <w:sz w:val="25"/>
          <w:szCs w:val="25"/>
        </w:rPr>
        <w:t xml:space="preserve"> vai līdz personas gūto ienākumu vai novērsto iespējamo zaudējumu divkāršam apmēram, ja var noteikt pārkāpuma rezultātā gūtos ienākumus vai novērstos iespējamos zaudējumus)</w:t>
      </w:r>
      <w:r w:rsidR="00D010AD" w:rsidRPr="003C00A4">
        <w:rPr>
          <w:rFonts w:ascii="Times New Roman" w:hAnsi="Times New Roman" w:cs="Times New Roman"/>
          <w:sz w:val="25"/>
          <w:szCs w:val="25"/>
        </w:rPr>
        <w:t xml:space="preserve"> par informācijas atklāšanas pārkāpumiem vai līdz 700</w:t>
      </w:r>
      <w:r w:rsidR="00CD29E3" w:rsidRPr="003C00A4">
        <w:rPr>
          <w:rFonts w:ascii="Times New Roman" w:hAnsi="Times New Roman" w:cs="Times New Roman"/>
          <w:sz w:val="25"/>
          <w:szCs w:val="25"/>
        </w:rPr>
        <w:t> </w:t>
      </w:r>
      <w:r w:rsidR="00D010AD" w:rsidRPr="003C00A4">
        <w:rPr>
          <w:rFonts w:ascii="Times New Roman" w:hAnsi="Times New Roman" w:cs="Times New Roman"/>
          <w:sz w:val="25"/>
          <w:szCs w:val="25"/>
        </w:rPr>
        <w:t>000</w:t>
      </w:r>
      <w:r w:rsidR="00CD29E3" w:rsidRPr="003C00A4">
        <w:rPr>
          <w:rFonts w:ascii="Times New Roman" w:hAnsi="Times New Roman" w:cs="Times New Roman"/>
          <w:sz w:val="25"/>
          <w:szCs w:val="25"/>
        </w:rPr>
        <w:t> </w:t>
      </w:r>
      <w:proofErr w:type="spellStart"/>
      <w:r w:rsidR="00D010AD" w:rsidRPr="003C00A4">
        <w:rPr>
          <w:rFonts w:ascii="Times New Roman" w:hAnsi="Times New Roman" w:cs="Times New Roman"/>
          <w:i/>
          <w:sz w:val="25"/>
          <w:szCs w:val="25"/>
        </w:rPr>
        <w:t>euro</w:t>
      </w:r>
      <w:proofErr w:type="spellEnd"/>
      <w:r w:rsidR="00D010AD" w:rsidRPr="003C00A4">
        <w:rPr>
          <w:rFonts w:ascii="Times New Roman" w:hAnsi="Times New Roman" w:cs="Times New Roman"/>
          <w:sz w:val="25"/>
          <w:szCs w:val="25"/>
        </w:rPr>
        <w:t xml:space="preserve"> par pārkāpumiem saistībā ar obligātā akciju atpirkšanas piedāvājuma izteikšanu</w:t>
      </w:r>
      <w:r w:rsidR="00DD1F44" w:rsidRPr="003C00A4">
        <w:rPr>
          <w:rFonts w:ascii="Times New Roman" w:hAnsi="Times New Roman" w:cs="Times New Roman"/>
          <w:sz w:val="25"/>
          <w:szCs w:val="25"/>
        </w:rPr>
        <w:t xml:space="preserve">. </w:t>
      </w:r>
    </w:p>
    <w:p w:rsidR="00E41B15" w:rsidRPr="003C00A4" w:rsidRDefault="00D010AD" w:rsidP="009F29B0">
      <w:pPr>
        <w:pStyle w:val="Default"/>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Ieviešot Eiropas Parlamenta un Padomes </w:t>
      </w:r>
      <w:r w:rsidR="009F29B0" w:rsidRPr="003C00A4">
        <w:rPr>
          <w:rFonts w:ascii="Times New Roman" w:hAnsi="Times New Roman" w:cs="Times New Roman"/>
          <w:bCs/>
          <w:sz w:val="25"/>
          <w:szCs w:val="25"/>
        </w:rPr>
        <w:t>2014.</w:t>
      </w:r>
      <w:r w:rsidR="00CD29E3" w:rsidRPr="003C00A4">
        <w:rPr>
          <w:rFonts w:ascii="Times New Roman" w:hAnsi="Times New Roman" w:cs="Times New Roman"/>
          <w:bCs/>
          <w:sz w:val="25"/>
          <w:szCs w:val="25"/>
        </w:rPr>
        <w:t> </w:t>
      </w:r>
      <w:r w:rsidR="009F29B0" w:rsidRPr="003C00A4">
        <w:rPr>
          <w:rFonts w:ascii="Times New Roman" w:hAnsi="Times New Roman" w:cs="Times New Roman"/>
          <w:bCs/>
          <w:sz w:val="25"/>
          <w:szCs w:val="25"/>
        </w:rPr>
        <w:t>gada 16.</w:t>
      </w:r>
      <w:r w:rsidR="00CD29E3" w:rsidRPr="003C00A4">
        <w:rPr>
          <w:rFonts w:ascii="Times New Roman" w:hAnsi="Times New Roman" w:cs="Times New Roman"/>
          <w:bCs/>
          <w:sz w:val="25"/>
          <w:szCs w:val="25"/>
        </w:rPr>
        <w:t> </w:t>
      </w:r>
      <w:r w:rsidR="009F29B0" w:rsidRPr="003C00A4">
        <w:rPr>
          <w:rFonts w:ascii="Times New Roman" w:hAnsi="Times New Roman" w:cs="Times New Roman"/>
          <w:bCs/>
          <w:sz w:val="25"/>
          <w:szCs w:val="25"/>
        </w:rPr>
        <w:t>aprīļa</w:t>
      </w:r>
      <w:r w:rsidR="009F29B0" w:rsidRPr="003C00A4">
        <w:rPr>
          <w:rFonts w:ascii="Times New Roman" w:hAnsi="Times New Roman" w:cs="Times New Roman"/>
          <w:sz w:val="25"/>
          <w:szCs w:val="25"/>
        </w:rPr>
        <w:t xml:space="preserve"> </w:t>
      </w:r>
      <w:r w:rsidRPr="003C00A4">
        <w:rPr>
          <w:rFonts w:ascii="Times New Roman" w:hAnsi="Times New Roman" w:cs="Times New Roman"/>
          <w:sz w:val="25"/>
          <w:szCs w:val="25"/>
        </w:rPr>
        <w:t>Direktīvu 2014/57/ES</w:t>
      </w:r>
      <w:r w:rsidRPr="003C00A4">
        <w:rPr>
          <w:rFonts w:ascii="Times New Roman" w:hAnsi="Times New Roman" w:cs="Times New Roman"/>
          <w:bCs/>
          <w:sz w:val="25"/>
          <w:szCs w:val="25"/>
        </w:rPr>
        <w:t xml:space="preserve"> par kriminālsodiem par tirgus ļaunprātīgu izmantošanu (tirgus ļaunprātīgas izmantošanas direktīva) un, ņemot vērā, </w:t>
      </w:r>
      <w:r w:rsidR="00E045CF" w:rsidRPr="003C00A4">
        <w:rPr>
          <w:rFonts w:ascii="Times New Roman" w:hAnsi="Times New Roman" w:cs="Times New Roman"/>
          <w:bCs/>
          <w:sz w:val="25"/>
          <w:szCs w:val="25"/>
        </w:rPr>
        <w:t xml:space="preserve">ka </w:t>
      </w:r>
      <w:r w:rsidR="009F29B0" w:rsidRPr="003C00A4">
        <w:rPr>
          <w:rFonts w:ascii="Times New Roman" w:hAnsi="Times New Roman" w:cs="Times New Roman"/>
          <w:bCs/>
          <w:sz w:val="25"/>
          <w:szCs w:val="25"/>
        </w:rPr>
        <w:t xml:space="preserve">no </w:t>
      </w:r>
      <w:r w:rsidR="00E045CF" w:rsidRPr="003C00A4">
        <w:rPr>
          <w:rFonts w:ascii="Times New Roman" w:hAnsi="Times New Roman" w:cs="Times New Roman"/>
          <w:bCs/>
          <w:sz w:val="25"/>
          <w:szCs w:val="25"/>
        </w:rPr>
        <w:t>2016.</w:t>
      </w:r>
      <w:r w:rsidR="009F29B0" w:rsidRPr="003C00A4">
        <w:rPr>
          <w:rFonts w:ascii="Times New Roman" w:hAnsi="Times New Roman" w:cs="Times New Roman"/>
          <w:bCs/>
          <w:sz w:val="25"/>
          <w:szCs w:val="25"/>
        </w:rPr>
        <w:t> gada 3. jūlija</w:t>
      </w:r>
      <w:r w:rsidR="00E045CF" w:rsidRPr="003C00A4">
        <w:rPr>
          <w:rFonts w:ascii="Times New Roman" w:hAnsi="Times New Roman" w:cs="Times New Roman"/>
          <w:bCs/>
          <w:sz w:val="25"/>
          <w:szCs w:val="25"/>
        </w:rPr>
        <w:t xml:space="preserve"> ir piemērojama </w:t>
      </w:r>
      <w:r w:rsidR="0075366A" w:rsidRPr="003C00A4">
        <w:rPr>
          <w:rFonts w:ascii="Times New Roman" w:hAnsi="Times New Roman" w:cs="Times New Roman"/>
          <w:bCs/>
          <w:sz w:val="25"/>
          <w:szCs w:val="25"/>
        </w:rPr>
        <w:t xml:space="preserve">Eiropas Parlamenta un Padomes </w:t>
      </w:r>
      <w:r w:rsidR="009F29B0" w:rsidRPr="003C00A4">
        <w:rPr>
          <w:rFonts w:ascii="Times New Roman" w:hAnsi="Times New Roman" w:cs="Times New Roman"/>
          <w:bCs/>
          <w:sz w:val="25"/>
          <w:szCs w:val="25"/>
        </w:rPr>
        <w:t>2014.</w:t>
      </w:r>
      <w:r w:rsidR="00066672" w:rsidRPr="003C00A4">
        <w:rPr>
          <w:rFonts w:ascii="Times New Roman" w:hAnsi="Times New Roman" w:cs="Times New Roman"/>
          <w:bCs/>
          <w:sz w:val="25"/>
          <w:szCs w:val="25"/>
        </w:rPr>
        <w:t> </w:t>
      </w:r>
      <w:r w:rsidR="009F29B0" w:rsidRPr="003C00A4">
        <w:rPr>
          <w:rFonts w:ascii="Times New Roman" w:hAnsi="Times New Roman" w:cs="Times New Roman"/>
          <w:bCs/>
          <w:sz w:val="25"/>
          <w:szCs w:val="25"/>
        </w:rPr>
        <w:t>gada 16.</w:t>
      </w:r>
      <w:r w:rsidR="00066672" w:rsidRPr="003C00A4">
        <w:rPr>
          <w:rFonts w:ascii="Times New Roman" w:hAnsi="Times New Roman" w:cs="Times New Roman"/>
          <w:bCs/>
          <w:sz w:val="25"/>
          <w:szCs w:val="25"/>
        </w:rPr>
        <w:t> </w:t>
      </w:r>
      <w:r w:rsidR="009F29B0" w:rsidRPr="003C00A4">
        <w:rPr>
          <w:rFonts w:ascii="Times New Roman" w:hAnsi="Times New Roman" w:cs="Times New Roman"/>
          <w:bCs/>
          <w:sz w:val="25"/>
          <w:szCs w:val="25"/>
        </w:rPr>
        <w:t xml:space="preserve">aprīļa </w:t>
      </w:r>
      <w:r w:rsidR="0075366A" w:rsidRPr="003C00A4">
        <w:rPr>
          <w:rFonts w:ascii="Times New Roman" w:hAnsi="Times New Roman" w:cs="Times New Roman"/>
          <w:bCs/>
          <w:sz w:val="25"/>
          <w:szCs w:val="25"/>
        </w:rPr>
        <w:t xml:space="preserve">Regula </w:t>
      </w:r>
      <w:proofErr w:type="gramStart"/>
      <w:r w:rsidR="0075366A" w:rsidRPr="003C00A4">
        <w:rPr>
          <w:rFonts w:ascii="Times New Roman" w:hAnsi="Times New Roman" w:cs="Times New Roman"/>
          <w:bCs/>
          <w:sz w:val="25"/>
          <w:szCs w:val="25"/>
        </w:rPr>
        <w:t>(</w:t>
      </w:r>
      <w:proofErr w:type="gramEnd"/>
      <w:r w:rsidR="0075366A" w:rsidRPr="003C00A4">
        <w:rPr>
          <w:rFonts w:ascii="Times New Roman" w:hAnsi="Times New Roman" w:cs="Times New Roman"/>
          <w:bCs/>
          <w:sz w:val="25"/>
          <w:szCs w:val="25"/>
        </w:rPr>
        <w:t>ES) Nr.</w:t>
      </w:r>
      <w:r w:rsidR="00066672" w:rsidRPr="003C00A4">
        <w:rPr>
          <w:rFonts w:ascii="Times New Roman" w:hAnsi="Times New Roman" w:cs="Times New Roman"/>
          <w:bCs/>
          <w:sz w:val="25"/>
          <w:szCs w:val="25"/>
        </w:rPr>
        <w:t> </w:t>
      </w:r>
      <w:r w:rsidR="0075366A" w:rsidRPr="003C00A4">
        <w:rPr>
          <w:rFonts w:ascii="Times New Roman" w:hAnsi="Times New Roman" w:cs="Times New Roman"/>
          <w:bCs/>
          <w:sz w:val="25"/>
          <w:szCs w:val="25"/>
        </w:rPr>
        <w:t>596/2014 par tirgus ļaunprātīgu izmantošanu (tirgus ļaunprātīgas izmantošanas regula) un ar ko atceļ Eiropas Parlamenta un Padomes Direktīvu 2003/6/EK un Komisijas Direktīvas 2003/124/EK, 2003/125/EK un 2004/72/EK</w:t>
      </w:r>
      <w:r w:rsidR="00F17B6B" w:rsidRPr="003C00A4">
        <w:rPr>
          <w:rFonts w:ascii="Times New Roman" w:hAnsi="Times New Roman" w:cs="Times New Roman"/>
          <w:bCs/>
          <w:sz w:val="25"/>
          <w:szCs w:val="25"/>
        </w:rPr>
        <w:t xml:space="preserve"> (turpmāk – Regula Nr. 596/2014)</w:t>
      </w:r>
      <w:r w:rsidR="0075366A" w:rsidRPr="003C00A4">
        <w:rPr>
          <w:rFonts w:ascii="Times New Roman" w:hAnsi="Times New Roman" w:cs="Times New Roman"/>
          <w:bCs/>
          <w:sz w:val="25"/>
          <w:szCs w:val="25"/>
        </w:rPr>
        <w:t>, tika paredzēta administratīvā atbildība pa</w:t>
      </w:r>
      <w:r w:rsidR="009F29B0" w:rsidRPr="003C00A4">
        <w:rPr>
          <w:rFonts w:ascii="Times New Roman" w:hAnsi="Times New Roman" w:cs="Times New Roman"/>
          <w:bCs/>
          <w:sz w:val="25"/>
          <w:szCs w:val="25"/>
        </w:rPr>
        <w:t>r</w:t>
      </w:r>
      <w:r w:rsidR="0075366A" w:rsidRPr="003C00A4">
        <w:rPr>
          <w:rFonts w:ascii="Times New Roman" w:hAnsi="Times New Roman" w:cs="Times New Roman"/>
          <w:bCs/>
          <w:sz w:val="25"/>
          <w:szCs w:val="25"/>
        </w:rPr>
        <w:t xml:space="preserve"> mazāk nopietniem Regulas Nr.</w:t>
      </w:r>
      <w:r w:rsidR="00066672" w:rsidRPr="003C00A4">
        <w:rPr>
          <w:rFonts w:ascii="Times New Roman" w:hAnsi="Times New Roman" w:cs="Times New Roman"/>
          <w:bCs/>
          <w:sz w:val="25"/>
          <w:szCs w:val="25"/>
        </w:rPr>
        <w:t> </w:t>
      </w:r>
      <w:r w:rsidR="0075366A" w:rsidRPr="003C00A4">
        <w:rPr>
          <w:rFonts w:ascii="Times New Roman" w:hAnsi="Times New Roman" w:cs="Times New Roman"/>
          <w:bCs/>
          <w:sz w:val="25"/>
          <w:szCs w:val="25"/>
        </w:rPr>
        <w:t xml:space="preserve">596/2014 pārkāpumiem. </w:t>
      </w:r>
      <w:r w:rsidR="0075366A" w:rsidRPr="003C00A4">
        <w:rPr>
          <w:rFonts w:ascii="Times New Roman" w:hAnsi="Times New Roman" w:cs="Times New Roman"/>
          <w:bCs/>
          <w:sz w:val="25"/>
          <w:szCs w:val="25"/>
        </w:rPr>
        <w:lastRenderedPageBreak/>
        <w:t>Tādējādi Finanšu un kapitāla tirgus komisija var piemērot vienu vai vairākas šādas sankcijas vai uzraudzības pasākumus</w:t>
      </w:r>
      <w:r w:rsidR="00E41B15" w:rsidRPr="003C00A4">
        <w:rPr>
          <w:rFonts w:ascii="Times New Roman" w:hAnsi="Times New Roman" w:cs="Times New Roman"/>
          <w:bCs/>
          <w:sz w:val="25"/>
          <w:szCs w:val="25"/>
        </w:rPr>
        <w:t xml:space="preserve"> (tostarp ievērojami palielināti arī sodi, un paredzētas citas sankcijas, kas var tikt piemērotas</w:t>
      </w:r>
      <w:r w:rsidR="00931E51" w:rsidRPr="003C00A4">
        <w:rPr>
          <w:rFonts w:ascii="Times New Roman" w:hAnsi="Times New Roman" w:cs="Times New Roman"/>
          <w:bCs/>
          <w:sz w:val="25"/>
          <w:szCs w:val="25"/>
        </w:rPr>
        <w:t xml:space="preserve"> </w:t>
      </w:r>
      <w:r w:rsidR="00E41B15" w:rsidRPr="003C00A4">
        <w:rPr>
          <w:rFonts w:ascii="Times New Roman" w:hAnsi="Times New Roman" w:cs="Times New Roman"/>
          <w:bCs/>
          <w:sz w:val="25"/>
          <w:szCs w:val="25"/>
        </w:rPr>
        <w:t xml:space="preserve">ieguldījumu pakalpojumu un ieguldījumu </w:t>
      </w:r>
      <w:proofErr w:type="spellStart"/>
      <w:r w:rsidR="00E41B15" w:rsidRPr="003C00A4">
        <w:rPr>
          <w:rFonts w:ascii="Times New Roman" w:hAnsi="Times New Roman" w:cs="Times New Roman"/>
          <w:bCs/>
          <w:sz w:val="25"/>
          <w:szCs w:val="25"/>
        </w:rPr>
        <w:t>blakuspakalpojumu</w:t>
      </w:r>
      <w:proofErr w:type="spellEnd"/>
      <w:r w:rsidR="00E41B15" w:rsidRPr="003C00A4">
        <w:rPr>
          <w:rFonts w:ascii="Times New Roman" w:hAnsi="Times New Roman" w:cs="Times New Roman"/>
          <w:bCs/>
          <w:sz w:val="25"/>
          <w:szCs w:val="25"/>
        </w:rPr>
        <w:t xml:space="preserve"> sniedzējiem) –</w:t>
      </w:r>
      <w:r w:rsidR="0075366A" w:rsidRPr="003C00A4">
        <w:rPr>
          <w:rFonts w:ascii="Times New Roman" w:hAnsi="Times New Roman" w:cs="Times New Roman"/>
          <w:bCs/>
          <w:sz w:val="25"/>
          <w:szCs w:val="25"/>
        </w:rPr>
        <w:t xml:space="preserve"> </w:t>
      </w:r>
      <w:r w:rsidR="00E41B15" w:rsidRPr="003C00A4">
        <w:rPr>
          <w:rFonts w:ascii="Times New Roman" w:hAnsi="Times New Roman" w:cs="Times New Roman"/>
          <w:sz w:val="25"/>
          <w:szCs w:val="25"/>
        </w:rPr>
        <w:t xml:space="preserve">pieprasīt, lai par pārkāpumu atbildīgā fiziskā vai juridiskā persona nekavējoties izbeidz attiecīgo darbību, uzlikt par pienākumu atmaksāt pārkāpuma rezultātā gūto ienākumu vai novērsto iespējamo zaudējumu, ja tos var noteikt, publiskā paziņojumā norādīt par pārkāpumu atbildīgo fizisko vai juridisko personu un pārkāpuma būtību, uz laiku apturēt vai anulēt ieguldījumu brokeru sabiedrībai izsniegto licenci ieguldījumu pakalpojumu un ieguldījumu </w:t>
      </w:r>
      <w:proofErr w:type="spellStart"/>
      <w:r w:rsidR="00E41B15" w:rsidRPr="003C00A4">
        <w:rPr>
          <w:rFonts w:ascii="Times New Roman" w:hAnsi="Times New Roman" w:cs="Times New Roman"/>
          <w:sz w:val="25"/>
          <w:szCs w:val="25"/>
        </w:rPr>
        <w:t>blakuspakalpojumu</w:t>
      </w:r>
      <w:proofErr w:type="spellEnd"/>
      <w:r w:rsidR="00E41B15" w:rsidRPr="003C00A4">
        <w:rPr>
          <w:rFonts w:ascii="Times New Roman" w:hAnsi="Times New Roman" w:cs="Times New Roman"/>
          <w:sz w:val="25"/>
          <w:szCs w:val="25"/>
        </w:rPr>
        <w:t xml:space="preserve"> sniegšanai vai aizliegt kredītiestādei sniegt ieguldījumu pakalpojumus un ieguldījumu </w:t>
      </w:r>
      <w:proofErr w:type="spellStart"/>
      <w:r w:rsidR="00E41B15" w:rsidRPr="003C00A4">
        <w:rPr>
          <w:rFonts w:ascii="Times New Roman" w:hAnsi="Times New Roman" w:cs="Times New Roman"/>
          <w:sz w:val="25"/>
          <w:szCs w:val="25"/>
        </w:rPr>
        <w:t>blakuspakalpojumus</w:t>
      </w:r>
      <w:proofErr w:type="spellEnd"/>
      <w:r w:rsidR="00E41B15" w:rsidRPr="003C00A4">
        <w:rPr>
          <w:rFonts w:ascii="Times New Roman" w:hAnsi="Times New Roman" w:cs="Times New Roman"/>
          <w:sz w:val="25"/>
          <w:szCs w:val="25"/>
        </w:rPr>
        <w:t>, noteikt pagaidu aizliegumu ieguldījumu brokeru sabiedrības vai kredītiestādes valdes vai padomes loceklim vai citai fiziskajai personai, kura ir atbildīga par pārkāpumu, veikt tai noteiktos pienākumus ieguldījumu brokeru sabiedrībā vai kredītiestādē</w:t>
      </w:r>
      <w:r w:rsidR="00931E51" w:rsidRPr="003C00A4">
        <w:rPr>
          <w:rFonts w:ascii="Times New Roman" w:hAnsi="Times New Roman" w:cs="Times New Roman"/>
          <w:sz w:val="25"/>
          <w:szCs w:val="25"/>
        </w:rPr>
        <w:t xml:space="preserve">, </w:t>
      </w:r>
      <w:r w:rsidR="00E41B15" w:rsidRPr="003C00A4">
        <w:rPr>
          <w:rFonts w:ascii="Times New Roman" w:hAnsi="Times New Roman" w:cs="Times New Roman"/>
          <w:sz w:val="25"/>
          <w:szCs w:val="25"/>
        </w:rPr>
        <w:t>atcelt no amata ieguldījumu brokeru sabiedrības vai kredītiestādes valdes vai padomes locekli vai aizliegt citai fiziskajai personai, kura ir atbildīga par pārkāpumu, veikt tai noteiktos amata pienākumus ieguldījumu brokeru sabiedrībā, ja minētās personas ir atkārtoti pārkāpušas Regulas Nr.</w:t>
      </w:r>
      <w:r w:rsidR="00066672" w:rsidRPr="003C00A4">
        <w:rPr>
          <w:rFonts w:ascii="Times New Roman" w:hAnsi="Times New Roman" w:cs="Times New Roman"/>
          <w:sz w:val="25"/>
          <w:szCs w:val="25"/>
        </w:rPr>
        <w:t> </w:t>
      </w:r>
      <w:hyperlink r:id="rId9" w:tgtFrame="_blank" w:history="1">
        <w:r w:rsidR="00E41B15" w:rsidRPr="003C00A4">
          <w:rPr>
            <w:rFonts w:ascii="Times New Roman" w:hAnsi="Times New Roman" w:cs="Times New Roman"/>
            <w:sz w:val="25"/>
            <w:szCs w:val="25"/>
          </w:rPr>
          <w:t>596/2014</w:t>
        </w:r>
      </w:hyperlink>
      <w:r w:rsidR="00E41B15" w:rsidRPr="003C00A4">
        <w:rPr>
          <w:rFonts w:ascii="Times New Roman" w:hAnsi="Times New Roman" w:cs="Times New Roman"/>
          <w:sz w:val="25"/>
          <w:szCs w:val="25"/>
        </w:rPr>
        <w:t xml:space="preserve"> 14. vai 15.</w:t>
      </w:r>
      <w:r w:rsidR="00066672" w:rsidRPr="003C00A4">
        <w:rPr>
          <w:rFonts w:ascii="Times New Roman" w:hAnsi="Times New Roman" w:cs="Times New Roman"/>
          <w:sz w:val="25"/>
          <w:szCs w:val="25"/>
        </w:rPr>
        <w:t> </w:t>
      </w:r>
      <w:r w:rsidR="00E41B15" w:rsidRPr="003C00A4">
        <w:rPr>
          <w:rFonts w:ascii="Times New Roman" w:hAnsi="Times New Roman" w:cs="Times New Roman"/>
          <w:sz w:val="25"/>
          <w:szCs w:val="25"/>
        </w:rPr>
        <w:t>panta prasības</w:t>
      </w:r>
      <w:r w:rsidR="00931E51" w:rsidRPr="003C00A4">
        <w:rPr>
          <w:rFonts w:ascii="Times New Roman" w:hAnsi="Times New Roman" w:cs="Times New Roman"/>
          <w:sz w:val="25"/>
          <w:szCs w:val="25"/>
        </w:rPr>
        <w:t xml:space="preserve">, </w:t>
      </w:r>
      <w:r w:rsidR="00E41B15" w:rsidRPr="003C00A4">
        <w:rPr>
          <w:rFonts w:ascii="Times New Roman" w:hAnsi="Times New Roman" w:cs="Times New Roman"/>
          <w:sz w:val="25"/>
          <w:szCs w:val="25"/>
        </w:rPr>
        <w:t>noteikt pagaidu aizliegumu ieguldījumu brokeru sabiedrības vai kredītiestādes valdes vai padomes loceklim vai citai fiziskajai personai, kura ir atbildīga par pārkāpumu, veikt darījumus savā uzdevumā</w:t>
      </w:r>
      <w:r w:rsidR="00931E51" w:rsidRPr="003C00A4">
        <w:rPr>
          <w:rFonts w:ascii="Times New Roman" w:hAnsi="Times New Roman" w:cs="Times New Roman"/>
          <w:sz w:val="25"/>
          <w:szCs w:val="25"/>
        </w:rPr>
        <w:t>. Soda naud</w:t>
      </w:r>
      <w:r w:rsidR="00066672" w:rsidRPr="003C00A4">
        <w:rPr>
          <w:rFonts w:ascii="Times New Roman" w:hAnsi="Times New Roman" w:cs="Times New Roman"/>
          <w:sz w:val="25"/>
          <w:szCs w:val="25"/>
        </w:rPr>
        <w:t>a</w:t>
      </w:r>
      <w:r w:rsidR="00931E51" w:rsidRPr="003C00A4">
        <w:rPr>
          <w:rFonts w:ascii="Times New Roman" w:hAnsi="Times New Roman" w:cs="Times New Roman"/>
          <w:sz w:val="25"/>
          <w:szCs w:val="25"/>
        </w:rPr>
        <w:t xml:space="preserve"> var tikt </w:t>
      </w:r>
      <w:r w:rsidR="00E41B15" w:rsidRPr="003C00A4">
        <w:rPr>
          <w:rFonts w:ascii="Times New Roman" w:hAnsi="Times New Roman" w:cs="Times New Roman"/>
          <w:sz w:val="25"/>
          <w:szCs w:val="25"/>
        </w:rPr>
        <w:t>uzlikt</w:t>
      </w:r>
      <w:r w:rsidR="00931E51" w:rsidRPr="003C00A4">
        <w:rPr>
          <w:rFonts w:ascii="Times New Roman" w:hAnsi="Times New Roman" w:cs="Times New Roman"/>
          <w:sz w:val="25"/>
          <w:szCs w:val="25"/>
        </w:rPr>
        <w:t>a</w:t>
      </w:r>
      <w:r w:rsidR="00E41B15" w:rsidRPr="003C00A4">
        <w:rPr>
          <w:rFonts w:ascii="Times New Roman" w:hAnsi="Times New Roman" w:cs="Times New Roman"/>
          <w:sz w:val="25"/>
          <w:szCs w:val="25"/>
        </w:rPr>
        <w:t xml:space="preserve"> līdz pārkāpuma rezultātā gūto ienākumu vai novērsto iespējamo zaudējumu trīskāršam apmēram, ja var noteikt pārkāpuma rezultātā gūtos ienākumus vai novērstos iespējamos zaudējumus</w:t>
      </w:r>
      <w:r w:rsidR="00931E51" w:rsidRPr="003C00A4">
        <w:rPr>
          <w:rFonts w:ascii="Times New Roman" w:hAnsi="Times New Roman" w:cs="Times New Roman"/>
          <w:sz w:val="25"/>
          <w:szCs w:val="25"/>
        </w:rPr>
        <w:t xml:space="preserve">. </w:t>
      </w:r>
    </w:p>
    <w:p w:rsidR="00931E51" w:rsidRPr="003C00A4" w:rsidRDefault="00931E51" w:rsidP="009F29B0">
      <w:pPr>
        <w:pStyle w:val="tv2132"/>
        <w:spacing w:line="240" w:lineRule="auto"/>
        <w:ind w:firstLine="720"/>
        <w:jc w:val="both"/>
        <w:rPr>
          <w:color w:val="auto"/>
          <w:sz w:val="25"/>
          <w:szCs w:val="25"/>
        </w:rPr>
      </w:pPr>
      <w:r w:rsidRPr="003C00A4">
        <w:rPr>
          <w:rFonts w:eastAsiaTheme="minorHAnsi"/>
          <w:color w:val="auto"/>
          <w:sz w:val="25"/>
          <w:szCs w:val="25"/>
          <w:lang w:eastAsia="en-US"/>
        </w:rPr>
        <w:t>Fiziskajai personai par Regulas Nr.</w:t>
      </w:r>
      <w:r w:rsidR="00066672" w:rsidRPr="003C00A4">
        <w:rPr>
          <w:rFonts w:eastAsiaTheme="minorHAnsi"/>
          <w:color w:val="auto"/>
          <w:sz w:val="25"/>
          <w:szCs w:val="25"/>
          <w:lang w:eastAsia="en-US"/>
        </w:rPr>
        <w:t> </w:t>
      </w:r>
      <w:hyperlink r:id="rId10" w:tgtFrame="_blank" w:history="1">
        <w:r w:rsidRPr="003C00A4">
          <w:rPr>
            <w:rFonts w:eastAsiaTheme="minorHAnsi"/>
            <w:color w:val="auto"/>
            <w:sz w:val="25"/>
            <w:szCs w:val="25"/>
            <w:lang w:eastAsia="en-US"/>
          </w:rPr>
          <w:t>596/2014</w:t>
        </w:r>
      </w:hyperlink>
      <w:r w:rsidRPr="003C00A4">
        <w:rPr>
          <w:color w:val="auto"/>
          <w:sz w:val="25"/>
          <w:szCs w:val="25"/>
        </w:rPr>
        <w:t xml:space="preserve"> dažādu pantu pārkāpumiem ir paredzētas soda naudas šādos apmēros – par </w:t>
      </w:r>
      <w:r w:rsidR="00E41B15" w:rsidRPr="003C00A4">
        <w:rPr>
          <w:color w:val="auto"/>
          <w:sz w:val="25"/>
          <w:szCs w:val="25"/>
        </w:rPr>
        <w:t>14. vai 15.</w:t>
      </w:r>
      <w:r w:rsidR="00066672" w:rsidRPr="003C00A4">
        <w:rPr>
          <w:color w:val="auto"/>
          <w:sz w:val="25"/>
          <w:szCs w:val="25"/>
        </w:rPr>
        <w:t> </w:t>
      </w:r>
      <w:r w:rsidR="00E41B15" w:rsidRPr="003C00A4">
        <w:rPr>
          <w:color w:val="auto"/>
          <w:sz w:val="25"/>
          <w:szCs w:val="25"/>
        </w:rPr>
        <w:t>panta prasību pārkāpumiem līdz 5</w:t>
      </w:r>
      <w:r w:rsidR="00066672" w:rsidRPr="003C00A4">
        <w:rPr>
          <w:color w:val="auto"/>
          <w:sz w:val="25"/>
          <w:szCs w:val="25"/>
        </w:rPr>
        <w:t> </w:t>
      </w:r>
      <w:r w:rsidR="00E41B15" w:rsidRPr="003C00A4">
        <w:rPr>
          <w:color w:val="auto"/>
          <w:sz w:val="25"/>
          <w:szCs w:val="25"/>
        </w:rPr>
        <w:t>000</w:t>
      </w:r>
      <w:r w:rsidR="00066672" w:rsidRPr="003C00A4">
        <w:rPr>
          <w:color w:val="auto"/>
          <w:sz w:val="25"/>
          <w:szCs w:val="25"/>
        </w:rPr>
        <w:t> </w:t>
      </w:r>
      <w:r w:rsidR="00E41B15" w:rsidRPr="003C00A4">
        <w:rPr>
          <w:color w:val="auto"/>
          <w:sz w:val="25"/>
          <w:szCs w:val="25"/>
        </w:rPr>
        <w:t>000</w:t>
      </w:r>
      <w:r w:rsidR="00066672" w:rsidRPr="003C00A4">
        <w:rPr>
          <w:color w:val="auto"/>
          <w:sz w:val="25"/>
          <w:szCs w:val="25"/>
        </w:rPr>
        <w:t> </w:t>
      </w:r>
      <w:proofErr w:type="spellStart"/>
      <w:r w:rsidR="00E41B15" w:rsidRPr="003C00A4">
        <w:rPr>
          <w:i/>
          <w:iCs/>
          <w:color w:val="auto"/>
          <w:sz w:val="25"/>
          <w:szCs w:val="25"/>
        </w:rPr>
        <w:t>euro</w:t>
      </w:r>
      <w:proofErr w:type="spellEnd"/>
      <w:r w:rsidRPr="003C00A4">
        <w:rPr>
          <w:iCs/>
          <w:color w:val="auto"/>
          <w:sz w:val="25"/>
          <w:szCs w:val="25"/>
        </w:rPr>
        <w:t xml:space="preserve">, par </w:t>
      </w:r>
      <w:r w:rsidR="00E41B15" w:rsidRPr="003C00A4">
        <w:rPr>
          <w:color w:val="auto"/>
          <w:sz w:val="25"/>
          <w:szCs w:val="25"/>
        </w:rPr>
        <w:t>16. vai 17.</w:t>
      </w:r>
      <w:r w:rsidR="00066672" w:rsidRPr="003C00A4">
        <w:rPr>
          <w:color w:val="auto"/>
          <w:sz w:val="25"/>
          <w:szCs w:val="25"/>
        </w:rPr>
        <w:t> </w:t>
      </w:r>
      <w:r w:rsidR="00E41B15" w:rsidRPr="003C00A4">
        <w:rPr>
          <w:color w:val="auto"/>
          <w:sz w:val="25"/>
          <w:szCs w:val="25"/>
        </w:rPr>
        <w:t>panta prasību pārkāpumiem līdz 1</w:t>
      </w:r>
      <w:r w:rsidR="00066672" w:rsidRPr="003C00A4">
        <w:rPr>
          <w:color w:val="auto"/>
          <w:sz w:val="25"/>
          <w:szCs w:val="25"/>
        </w:rPr>
        <w:t> </w:t>
      </w:r>
      <w:r w:rsidR="00E41B15" w:rsidRPr="003C00A4">
        <w:rPr>
          <w:color w:val="auto"/>
          <w:sz w:val="25"/>
          <w:szCs w:val="25"/>
        </w:rPr>
        <w:t>000</w:t>
      </w:r>
      <w:r w:rsidR="00066672" w:rsidRPr="003C00A4">
        <w:rPr>
          <w:color w:val="auto"/>
          <w:sz w:val="25"/>
          <w:szCs w:val="25"/>
        </w:rPr>
        <w:t> </w:t>
      </w:r>
      <w:r w:rsidR="00E41B15" w:rsidRPr="003C00A4">
        <w:rPr>
          <w:color w:val="auto"/>
          <w:sz w:val="25"/>
          <w:szCs w:val="25"/>
        </w:rPr>
        <w:t>000</w:t>
      </w:r>
      <w:r w:rsidR="00066672" w:rsidRPr="003C00A4">
        <w:rPr>
          <w:color w:val="auto"/>
          <w:sz w:val="25"/>
          <w:szCs w:val="25"/>
        </w:rPr>
        <w:t> </w:t>
      </w:r>
      <w:proofErr w:type="spellStart"/>
      <w:r w:rsidR="00E41B15" w:rsidRPr="003C00A4">
        <w:rPr>
          <w:i/>
          <w:iCs/>
          <w:color w:val="auto"/>
          <w:sz w:val="25"/>
          <w:szCs w:val="25"/>
        </w:rPr>
        <w:t>euro</w:t>
      </w:r>
      <w:proofErr w:type="spellEnd"/>
      <w:r w:rsidRPr="003C00A4">
        <w:rPr>
          <w:iCs/>
          <w:color w:val="auto"/>
          <w:sz w:val="25"/>
          <w:szCs w:val="25"/>
        </w:rPr>
        <w:t xml:space="preserve">, par </w:t>
      </w:r>
      <w:r w:rsidR="00E41B15" w:rsidRPr="003C00A4">
        <w:rPr>
          <w:color w:val="auto"/>
          <w:sz w:val="25"/>
          <w:szCs w:val="25"/>
        </w:rPr>
        <w:t>18., 19. vai 20.</w:t>
      </w:r>
      <w:r w:rsidR="00066672" w:rsidRPr="003C00A4">
        <w:rPr>
          <w:color w:val="auto"/>
          <w:sz w:val="25"/>
          <w:szCs w:val="25"/>
        </w:rPr>
        <w:t> </w:t>
      </w:r>
      <w:r w:rsidR="00E41B15" w:rsidRPr="003C00A4">
        <w:rPr>
          <w:color w:val="auto"/>
          <w:sz w:val="25"/>
          <w:szCs w:val="25"/>
        </w:rPr>
        <w:t>panta prasību pārkāpumiem līdz 500</w:t>
      </w:r>
      <w:r w:rsidR="00066672" w:rsidRPr="003C00A4">
        <w:rPr>
          <w:color w:val="auto"/>
          <w:sz w:val="25"/>
          <w:szCs w:val="25"/>
        </w:rPr>
        <w:t> </w:t>
      </w:r>
      <w:r w:rsidR="00E41B15" w:rsidRPr="003C00A4">
        <w:rPr>
          <w:color w:val="auto"/>
          <w:sz w:val="25"/>
          <w:szCs w:val="25"/>
        </w:rPr>
        <w:t>000</w:t>
      </w:r>
      <w:r w:rsidR="00066672" w:rsidRPr="003C00A4">
        <w:rPr>
          <w:color w:val="auto"/>
          <w:sz w:val="25"/>
          <w:szCs w:val="25"/>
        </w:rPr>
        <w:t> </w:t>
      </w:r>
      <w:proofErr w:type="spellStart"/>
      <w:r w:rsidR="00E41B15" w:rsidRPr="003C00A4">
        <w:rPr>
          <w:i/>
          <w:iCs/>
          <w:color w:val="auto"/>
          <w:sz w:val="25"/>
          <w:szCs w:val="25"/>
        </w:rPr>
        <w:t>euro</w:t>
      </w:r>
      <w:proofErr w:type="spellEnd"/>
      <w:r w:rsidRPr="003C00A4">
        <w:rPr>
          <w:i/>
          <w:iCs/>
          <w:color w:val="auto"/>
          <w:sz w:val="25"/>
          <w:szCs w:val="25"/>
        </w:rPr>
        <w:t xml:space="preserve">. </w:t>
      </w:r>
    </w:p>
    <w:p w:rsidR="00E41B15" w:rsidRPr="003C00A4" w:rsidRDefault="00931E51" w:rsidP="009F29B0">
      <w:pPr>
        <w:pStyle w:val="tv2132"/>
        <w:spacing w:line="240" w:lineRule="auto"/>
        <w:ind w:firstLine="720"/>
        <w:jc w:val="both"/>
        <w:rPr>
          <w:rFonts w:eastAsiaTheme="minorHAnsi"/>
          <w:color w:val="auto"/>
          <w:sz w:val="25"/>
          <w:szCs w:val="25"/>
          <w:lang w:eastAsia="en-US"/>
        </w:rPr>
      </w:pPr>
      <w:r w:rsidRPr="003C00A4">
        <w:rPr>
          <w:color w:val="auto"/>
          <w:sz w:val="25"/>
          <w:szCs w:val="25"/>
        </w:rPr>
        <w:t>Juridiskajai personai par tādiem Regulas Nr</w:t>
      </w:r>
      <w:r w:rsidRPr="003C00A4">
        <w:rPr>
          <w:rFonts w:eastAsiaTheme="minorHAnsi"/>
          <w:color w:val="auto"/>
          <w:sz w:val="25"/>
          <w:szCs w:val="25"/>
          <w:lang w:eastAsia="en-US"/>
        </w:rPr>
        <w:t>.</w:t>
      </w:r>
      <w:r w:rsidR="00066672" w:rsidRPr="003C00A4">
        <w:rPr>
          <w:rFonts w:eastAsiaTheme="minorHAnsi"/>
          <w:color w:val="auto"/>
          <w:sz w:val="25"/>
          <w:szCs w:val="25"/>
          <w:lang w:eastAsia="en-US"/>
        </w:rPr>
        <w:t> </w:t>
      </w:r>
      <w:hyperlink r:id="rId11" w:tgtFrame="_blank" w:history="1">
        <w:r w:rsidRPr="003C00A4">
          <w:rPr>
            <w:rFonts w:eastAsiaTheme="minorHAnsi"/>
            <w:color w:val="auto"/>
            <w:sz w:val="25"/>
            <w:szCs w:val="25"/>
            <w:lang w:eastAsia="en-US"/>
          </w:rPr>
          <w:t>596/2014</w:t>
        </w:r>
      </w:hyperlink>
      <w:r w:rsidRPr="003C00A4">
        <w:rPr>
          <w:rFonts w:eastAsiaTheme="minorHAnsi"/>
          <w:color w:val="auto"/>
          <w:sz w:val="25"/>
          <w:szCs w:val="25"/>
          <w:lang w:eastAsia="en-US"/>
        </w:rPr>
        <w:t xml:space="preserve"> pārkāpumiem paredzēta soda nauda šādos apmēros – par </w:t>
      </w:r>
      <w:r w:rsidR="00E41B15" w:rsidRPr="003C00A4">
        <w:rPr>
          <w:rFonts w:eastAsiaTheme="minorHAnsi"/>
          <w:color w:val="auto"/>
          <w:sz w:val="25"/>
          <w:szCs w:val="25"/>
          <w:lang w:eastAsia="en-US"/>
        </w:rPr>
        <w:t>14. vai 15.</w:t>
      </w:r>
      <w:r w:rsidR="00066672" w:rsidRPr="003C00A4">
        <w:rPr>
          <w:rFonts w:eastAsiaTheme="minorHAnsi"/>
          <w:color w:val="auto"/>
          <w:sz w:val="25"/>
          <w:szCs w:val="25"/>
          <w:lang w:eastAsia="en-US"/>
        </w:rPr>
        <w:t> </w:t>
      </w:r>
      <w:r w:rsidR="00E41B15" w:rsidRPr="003C00A4">
        <w:rPr>
          <w:rFonts w:eastAsiaTheme="minorHAnsi"/>
          <w:color w:val="auto"/>
          <w:sz w:val="25"/>
          <w:szCs w:val="25"/>
          <w:lang w:eastAsia="en-US"/>
        </w:rPr>
        <w:t>panta prasību pārkāpumiem līdz</w:t>
      </w:r>
      <w:r w:rsidR="00E41B15" w:rsidRPr="003C00A4">
        <w:rPr>
          <w:color w:val="auto"/>
          <w:sz w:val="25"/>
          <w:szCs w:val="25"/>
        </w:rPr>
        <w:t xml:space="preserve"> 15</w:t>
      </w:r>
      <w:r w:rsidR="00066672" w:rsidRPr="003C00A4">
        <w:rPr>
          <w:color w:val="auto"/>
          <w:sz w:val="25"/>
          <w:szCs w:val="25"/>
        </w:rPr>
        <w:t> </w:t>
      </w:r>
      <w:r w:rsidR="00E41B15" w:rsidRPr="003C00A4">
        <w:rPr>
          <w:color w:val="auto"/>
          <w:sz w:val="25"/>
          <w:szCs w:val="25"/>
        </w:rPr>
        <w:t>000</w:t>
      </w:r>
      <w:r w:rsidR="00066672" w:rsidRPr="003C00A4">
        <w:rPr>
          <w:color w:val="auto"/>
          <w:sz w:val="25"/>
          <w:szCs w:val="25"/>
        </w:rPr>
        <w:t> </w:t>
      </w:r>
      <w:r w:rsidR="00E41B15" w:rsidRPr="003C00A4">
        <w:rPr>
          <w:color w:val="auto"/>
          <w:sz w:val="25"/>
          <w:szCs w:val="25"/>
        </w:rPr>
        <w:t>000</w:t>
      </w:r>
      <w:r w:rsidR="00066672" w:rsidRPr="003C00A4">
        <w:rPr>
          <w:color w:val="auto"/>
          <w:sz w:val="25"/>
          <w:szCs w:val="25"/>
        </w:rPr>
        <w:t> </w:t>
      </w:r>
      <w:proofErr w:type="spellStart"/>
      <w:r w:rsidR="00E41B15" w:rsidRPr="003C00A4">
        <w:rPr>
          <w:i/>
          <w:iCs/>
          <w:color w:val="auto"/>
          <w:sz w:val="25"/>
          <w:szCs w:val="25"/>
        </w:rPr>
        <w:t>euro</w:t>
      </w:r>
      <w:proofErr w:type="spellEnd"/>
      <w:r w:rsidR="00E41B15" w:rsidRPr="003C00A4">
        <w:rPr>
          <w:i/>
          <w:iCs/>
          <w:color w:val="auto"/>
          <w:sz w:val="25"/>
          <w:szCs w:val="25"/>
        </w:rPr>
        <w:t xml:space="preserve"> </w:t>
      </w:r>
      <w:r w:rsidR="00E41B15" w:rsidRPr="003C00A4">
        <w:rPr>
          <w:color w:val="auto"/>
          <w:sz w:val="25"/>
          <w:szCs w:val="25"/>
        </w:rPr>
        <w:t>vai līdz 15 procentiem no iepriekšējā finanšu gada kopējā apgrozījuma saskaņā ar iepriekšējā finanšu gada apstiprināto gada pārskatu</w:t>
      </w:r>
      <w:r w:rsidRPr="003C00A4">
        <w:rPr>
          <w:color w:val="auto"/>
          <w:sz w:val="25"/>
          <w:szCs w:val="25"/>
        </w:rPr>
        <w:t xml:space="preserve"> </w:t>
      </w:r>
      <w:proofErr w:type="gramStart"/>
      <w:r w:rsidRPr="003C00A4">
        <w:rPr>
          <w:color w:val="auto"/>
          <w:sz w:val="25"/>
          <w:szCs w:val="25"/>
        </w:rPr>
        <w:t>(</w:t>
      </w:r>
      <w:proofErr w:type="gramEnd"/>
      <w:r w:rsidRPr="003C00A4">
        <w:rPr>
          <w:color w:val="auto"/>
          <w:sz w:val="25"/>
          <w:szCs w:val="25"/>
        </w:rPr>
        <w:t>j</w:t>
      </w:r>
      <w:r w:rsidR="00E41B15" w:rsidRPr="003C00A4">
        <w:rPr>
          <w:color w:val="auto"/>
          <w:sz w:val="25"/>
          <w:szCs w:val="25"/>
        </w:rPr>
        <w:t xml:space="preserve">a juridiskā persona ir mātes sabiedrības meitas sabiedrība vai šīs meitas sabiedrības filiāle, kura sagatavo konsolidēto finanšu pārskatu saskaņā ar </w:t>
      </w:r>
      <w:hyperlink r:id="rId12" w:tgtFrame="_blank" w:history="1">
        <w:r w:rsidR="00E41B15" w:rsidRPr="003C00A4">
          <w:rPr>
            <w:color w:val="auto"/>
            <w:sz w:val="25"/>
            <w:szCs w:val="25"/>
          </w:rPr>
          <w:t>Gada pārskatu un konsolidēto gada pārskatu likumu</w:t>
        </w:r>
      </w:hyperlink>
      <w:r w:rsidR="00E41B15" w:rsidRPr="003C00A4">
        <w:rPr>
          <w:color w:val="auto"/>
          <w:sz w:val="25"/>
          <w:szCs w:val="25"/>
        </w:rPr>
        <w:t>, kopējo apgrozījumu veido iepriekšējā finanšu gada kopējais apgrozījums vai atbilstoša veida ienākumi, pamatojoties uz galējās mātes sabiedrības iepriekšējā finanšu gada konsolidētajos finanšu pārskatos uzrādīto</w:t>
      </w:r>
      <w:r w:rsidRPr="003C00A4">
        <w:rPr>
          <w:color w:val="auto"/>
          <w:sz w:val="25"/>
          <w:szCs w:val="25"/>
        </w:rPr>
        <w:t xml:space="preserve">), par </w:t>
      </w:r>
      <w:hyperlink r:id="rId13" w:anchor="p16" w:tgtFrame="_blank" w:history="1">
        <w:r w:rsidR="00E41B15" w:rsidRPr="003C00A4">
          <w:rPr>
            <w:color w:val="auto"/>
            <w:sz w:val="25"/>
            <w:szCs w:val="25"/>
          </w:rPr>
          <w:t xml:space="preserve">16. </w:t>
        </w:r>
      </w:hyperlink>
      <w:r w:rsidR="00E41B15" w:rsidRPr="003C00A4">
        <w:rPr>
          <w:color w:val="auto"/>
          <w:sz w:val="25"/>
          <w:szCs w:val="25"/>
        </w:rPr>
        <w:t xml:space="preserve">vai </w:t>
      </w:r>
      <w:hyperlink r:id="rId14" w:anchor="p17" w:tgtFrame="_blank" w:history="1">
        <w:r w:rsidR="00E41B15" w:rsidRPr="003C00A4">
          <w:rPr>
            <w:color w:val="auto"/>
            <w:sz w:val="25"/>
            <w:szCs w:val="25"/>
          </w:rPr>
          <w:t>17.</w:t>
        </w:r>
      </w:hyperlink>
      <w:r w:rsidR="00066672" w:rsidRPr="003C00A4">
        <w:rPr>
          <w:color w:val="auto"/>
          <w:sz w:val="25"/>
          <w:szCs w:val="25"/>
        </w:rPr>
        <w:t> </w:t>
      </w:r>
      <w:r w:rsidR="00E41B15" w:rsidRPr="003C00A4">
        <w:rPr>
          <w:color w:val="auto"/>
          <w:sz w:val="25"/>
          <w:szCs w:val="25"/>
        </w:rPr>
        <w:t>panta pārkāpumiem līdz 2</w:t>
      </w:r>
      <w:r w:rsidR="00066672" w:rsidRPr="003C00A4">
        <w:rPr>
          <w:color w:val="auto"/>
          <w:sz w:val="25"/>
          <w:szCs w:val="25"/>
        </w:rPr>
        <w:t> </w:t>
      </w:r>
      <w:r w:rsidR="00E41B15" w:rsidRPr="003C00A4">
        <w:rPr>
          <w:color w:val="auto"/>
          <w:sz w:val="25"/>
          <w:szCs w:val="25"/>
        </w:rPr>
        <w:t>500</w:t>
      </w:r>
      <w:r w:rsidR="00066672" w:rsidRPr="003C00A4">
        <w:rPr>
          <w:color w:val="auto"/>
          <w:sz w:val="25"/>
          <w:szCs w:val="25"/>
        </w:rPr>
        <w:t> </w:t>
      </w:r>
      <w:r w:rsidR="00E41B15" w:rsidRPr="003C00A4">
        <w:rPr>
          <w:color w:val="auto"/>
          <w:sz w:val="25"/>
          <w:szCs w:val="25"/>
        </w:rPr>
        <w:t>000</w:t>
      </w:r>
      <w:r w:rsidR="00066672" w:rsidRPr="003C00A4">
        <w:rPr>
          <w:color w:val="auto"/>
          <w:sz w:val="25"/>
          <w:szCs w:val="25"/>
        </w:rPr>
        <w:t> </w:t>
      </w:r>
      <w:proofErr w:type="spellStart"/>
      <w:r w:rsidR="00E41B15" w:rsidRPr="003C00A4">
        <w:rPr>
          <w:i/>
          <w:iCs/>
          <w:color w:val="auto"/>
          <w:sz w:val="25"/>
          <w:szCs w:val="25"/>
        </w:rPr>
        <w:t>euro</w:t>
      </w:r>
      <w:proofErr w:type="spellEnd"/>
      <w:r w:rsidR="00E41B15" w:rsidRPr="003C00A4">
        <w:rPr>
          <w:i/>
          <w:iCs/>
          <w:color w:val="auto"/>
          <w:sz w:val="25"/>
          <w:szCs w:val="25"/>
        </w:rPr>
        <w:t xml:space="preserve"> </w:t>
      </w:r>
      <w:r w:rsidR="00E41B15" w:rsidRPr="003C00A4">
        <w:rPr>
          <w:color w:val="auto"/>
          <w:sz w:val="25"/>
          <w:szCs w:val="25"/>
        </w:rPr>
        <w:t>vai līdz diviem procentiem no iepriekšējā finanšu gada kopējā apgrozījuma saskaņā ar iepriekšējā finanšu gada apstiprināto gada pārskatu</w:t>
      </w:r>
      <w:r w:rsidRPr="003C00A4">
        <w:rPr>
          <w:color w:val="auto"/>
          <w:sz w:val="25"/>
          <w:szCs w:val="25"/>
        </w:rPr>
        <w:t xml:space="preserve"> (arī paredzot, ka</w:t>
      </w:r>
      <w:r w:rsidR="00066672" w:rsidRPr="003C00A4">
        <w:rPr>
          <w:color w:val="auto"/>
          <w:sz w:val="25"/>
          <w:szCs w:val="25"/>
        </w:rPr>
        <w:t>,</w:t>
      </w:r>
      <w:r w:rsidRPr="003C00A4">
        <w:rPr>
          <w:color w:val="auto"/>
          <w:sz w:val="25"/>
          <w:szCs w:val="25"/>
        </w:rPr>
        <w:t xml:space="preserve"> ja </w:t>
      </w:r>
      <w:r w:rsidR="00E41B15" w:rsidRPr="003C00A4">
        <w:rPr>
          <w:color w:val="auto"/>
          <w:sz w:val="25"/>
          <w:szCs w:val="25"/>
        </w:rPr>
        <w:t xml:space="preserve">juridiskā persona ir mātes sabiedrības meitas sabiedrība vai šīs meitas sabiedrības filiāle, kura sagatavo konsolidēto finanšu pārskatu saskaņā ar </w:t>
      </w:r>
      <w:hyperlink r:id="rId15" w:tgtFrame="_blank" w:history="1">
        <w:r w:rsidR="00E41B15" w:rsidRPr="003C00A4">
          <w:rPr>
            <w:color w:val="auto"/>
            <w:sz w:val="25"/>
            <w:szCs w:val="25"/>
          </w:rPr>
          <w:t>Gada pārskatu un konsolidēto gada pārskatu likumu</w:t>
        </w:r>
      </w:hyperlink>
      <w:r w:rsidR="00E41B15" w:rsidRPr="003C00A4">
        <w:rPr>
          <w:color w:val="auto"/>
          <w:sz w:val="25"/>
          <w:szCs w:val="25"/>
        </w:rPr>
        <w:t>, kopējo apgrozījumu veido iepriekšējā finanšu gada kopējais apgrozījums vai atbilstoša veida ienākumi, pamatojoties uz galējās mātes sabiedrības iepriekšējā finanšu gada konsolidētajos finanšu pārskatos uzrādīto</w:t>
      </w:r>
      <w:r w:rsidRPr="003C00A4">
        <w:rPr>
          <w:color w:val="auto"/>
          <w:sz w:val="25"/>
          <w:szCs w:val="25"/>
        </w:rPr>
        <w:t xml:space="preserve">), </w:t>
      </w:r>
      <w:r w:rsidRPr="003C00A4">
        <w:rPr>
          <w:rFonts w:eastAsiaTheme="minorHAnsi"/>
          <w:color w:val="auto"/>
          <w:sz w:val="25"/>
          <w:szCs w:val="25"/>
          <w:lang w:eastAsia="en-US"/>
        </w:rPr>
        <w:t xml:space="preserve">par </w:t>
      </w:r>
      <w:hyperlink r:id="rId16" w:anchor="p18" w:tgtFrame="_blank" w:history="1">
        <w:r w:rsidR="00E41B15" w:rsidRPr="003C00A4">
          <w:rPr>
            <w:rFonts w:eastAsiaTheme="minorHAnsi"/>
            <w:color w:val="auto"/>
            <w:sz w:val="25"/>
            <w:szCs w:val="25"/>
            <w:lang w:eastAsia="en-US"/>
          </w:rPr>
          <w:t>18.</w:t>
        </w:r>
      </w:hyperlink>
      <w:r w:rsidR="00E41B15" w:rsidRPr="003C00A4">
        <w:rPr>
          <w:rFonts w:eastAsiaTheme="minorHAnsi"/>
          <w:color w:val="auto"/>
          <w:sz w:val="25"/>
          <w:szCs w:val="25"/>
          <w:lang w:eastAsia="en-US"/>
        </w:rPr>
        <w:t xml:space="preserve">, </w:t>
      </w:r>
      <w:hyperlink r:id="rId17" w:anchor="p19" w:tgtFrame="_blank" w:history="1">
        <w:r w:rsidR="00E41B15" w:rsidRPr="003C00A4">
          <w:rPr>
            <w:rFonts w:eastAsiaTheme="minorHAnsi"/>
            <w:color w:val="auto"/>
            <w:sz w:val="25"/>
            <w:szCs w:val="25"/>
            <w:lang w:eastAsia="en-US"/>
          </w:rPr>
          <w:t xml:space="preserve">19. </w:t>
        </w:r>
      </w:hyperlink>
      <w:r w:rsidR="00E41B15" w:rsidRPr="003C00A4">
        <w:rPr>
          <w:rFonts w:eastAsiaTheme="minorHAnsi"/>
          <w:color w:val="auto"/>
          <w:sz w:val="25"/>
          <w:szCs w:val="25"/>
          <w:lang w:eastAsia="en-US"/>
        </w:rPr>
        <w:t xml:space="preserve">vai </w:t>
      </w:r>
      <w:hyperlink r:id="rId18" w:anchor="p20" w:tgtFrame="_blank" w:history="1">
        <w:r w:rsidR="00E41B15" w:rsidRPr="003C00A4">
          <w:rPr>
            <w:rFonts w:eastAsiaTheme="minorHAnsi"/>
            <w:color w:val="auto"/>
            <w:sz w:val="25"/>
            <w:szCs w:val="25"/>
            <w:lang w:eastAsia="en-US"/>
          </w:rPr>
          <w:t>20.</w:t>
        </w:r>
      </w:hyperlink>
      <w:r w:rsidR="00066672" w:rsidRPr="003C00A4">
        <w:rPr>
          <w:rFonts w:eastAsiaTheme="minorHAnsi"/>
          <w:color w:val="auto"/>
          <w:sz w:val="25"/>
          <w:szCs w:val="25"/>
          <w:lang w:eastAsia="en-US"/>
        </w:rPr>
        <w:t> </w:t>
      </w:r>
      <w:r w:rsidR="00E41B15" w:rsidRPr="003C00A4">
        <w:rPr>
          <w:rFonts w:eastAsiaTheme="minorHAnsi"/>
          <w:color w:val="auto"/>
          <w:sz w:val="25"/>
          <w:szCs w:val="25"/>
          <w:lang w:eastAsia="en-US"/>
        </w:rPr>
        <w:t>panta prasību pārkāpumiem līdz 1</w:t>
      </w:r>
      <w:r w:rsidR="00066672" w:rsidRPr="003C00A4">
        <w:rPr>
          <w:rFonts w:eastAsiaTheme="minorHAnsi"/>
          <w:color w:val="auto"/>
          <w:sz w:val="25"/>
          <w:szCs w:val="25"/>
          <w:lang w:eastAsia="en-US"/>
        </w:rPr>
        <w:t> </w:t>
      </w:r>
      <w:r w:rsidR="00E41B15" w:rsidRPr="003C00A4">
        <w:rPr>
          <w:rFonts w:eastAsiaTheme="minorHAnsi"/>
          <w:color w:val="auto"/>
          <w:sz w:val="25"/>
          <w:szCs w:val="25"/>
          <w:lang w:eastAsia="en-US"/>
        </w:rPr>
        <w:t>000</w:t>
      </w:r>
      <w:r w:rsidR="00066672" w:rsidRPr="003C00A4">
        <w:rPr>
          <w:rFonts w:eastAsiaTheme="minorHAnsi"/>
          <w:color w:val="auto"/>
          <w:sz w:val="25"/>
          <w:szCs w:val="25"/>
          <w:lang w:eastAsia="en-US"/>
        </w:rPr>
        <w:t> </w:t>
      </w:r>
      <w:r w:rsidR="00E41B15" w:rsidRPr="003C00A4">
        <w:rPr>
          <w:rFonts w:eastAsiaTheme="minorHAnsi"/>
          <w:color w:val="auto"/>
          <w:sz w:val="25"/>
          <w:szCs w:val="25"/>
          <w:lang w:eastAsia="en-US"/>
        </w:rPr>
        <w:t>000</w:t>
      </w:r>
      <w:r w:rsidR="00066672" w:rsidRPr="003C00A4">
        <w:rPr>
          <w:rFonts w:eastAsiaTheme="minorHAnsi"/>
          <w:color w:val="auto"/>
          <w:sz w:val="25"/>
          <w:szCs w:val="25"/>
          <w:lang w:eastAsia="en-US"/>
        </w:rPr>
        <w:t> </w:t>
      </w:r>
      <w:proofErr w:type="spellStart"/>
      <w:r w:rsidR="00E41B15" w:rsidRPr="003C00A4">
        <w:rPr>
          <w:rFonts w:eastAsiaTheme="minorHAnsi"/>
          <w:i/>
          <w:color w:val="auto"/>
          <w:sz w:val="25"/>
          <w:szCs w:val="25"/>
          <w:lang w:eastAsia="en-US"/>
        </w:rPr>
        <w:t>euro</w:t>
      </w:r>
      <w:proofErr w:type="spellEnd"/>
      <w:r w:rsidR="00E41B15" w:rsidRPr="003C00A4">
        <w:rPr>
          <w:rFonts w:eastAsiaTheme="minorHAnsi"/>
          <w:color w:val="auto"/>
          <w:sz w:val="25"/>
          <w:szCs w:val="25"/>
          <w:lang w:eastAsia="en-US"/>
        </w:rPr>
        <w:t>.</w:t>
      </w:r>
    </w:p>
    <w:p w:rsidR="008C5C25" w:rsidRPr="003C00A4" w:rsidRDefault="00931E51" w:rsidP="00264FBB">
      <w:pPr>
        <w:pStyle w:val="Default"/>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Paredzēta informācijas par Finanšu un kapitāla tirgus komisijas piemēroto </w:t>
      </w:r>
      <w:r w:rsidR="00264FBB" w:rsidRPr="003C00A4">
        <w:rPr>
          <w:rFonts w:ascii="Times New Roman" w:hAnsi="Times New Roman" w:cs="Times New Roman"/>
          <w:sz w:val="25"/>
          <w:szCs w:val="25"/>
        </w:rPr>
        <w:t xml:space="preserve">sankciju </w:t>
      </w:r>
      <w:r w:rsidRPr="003C00A4">
        <w:rPr>
          <w:rFonts w:ascii="Times New Roman" w:hAnsi="Times New Roman" w:cs="Times New Roman"/>
          <w:sz w:val="25"/>
          <w:szCs w:val="25"/>
        </w:rPr>
        <w:t xml:space="preserve">publiskošana - </w:t>
      </w:r>
      <w:r w:rsidR="008C5C25" w:rsidRPr="003C00A4">
        <w:rPr>
          <w:rFonts w:ascii="Times New Roman" w:hAnsi="Times New Roman" w:cs="Times New Roman"/>
          <w:sz w:val="25"/>
          <w:szCs w:val="25"/>
        </w:rPr>
        <w:t xml:space="preserve">Finanšu un kapitāla komisija informāciju par sankcijām un uzraudzības pasākumiem, kas personām piemēroti, ievieto savā mājaslapā internetā, </w:t>
      </w:r>
      <w:proofErr w:type="gramStart"/>
      <w:r w:rsidR="008C5C25" w:rsidRPr="003C00A4">
        <w:rPr>
          <w:rFonts w:ascii="Times New Roman" w:hAnsi="Times New Roman" w:cs="Times New Roman"/>
          <w:sz w:val="25"/>
          <w:szCs w:val="25"/>
        </w:rPr>
        <w:t>norādot ziņas</w:t>
      </w:r>
      <w:proofErr w:type="gramEnd"/>
      <w:r w:rsidR="008C5C25" w:rsidRPr="003C00A4">
        <w:rPr>
          <w:rFonts w:ascii="Times New Roman" w:hAnsi="Times New Roman" w:cs="Times New Roman"/>
          <w:sz w:val="25"/>
          <w:szCs w:val="25"/>
        </w:rPr>
        <w:t xml:space="preserve"> par tās izdotā administratīvā akta apstrīdēšanu un pieņemto nolēmumu</w:t>
      </w:r>
      <w:r w:rsidRPr="003C00A4">
        <w:rPr>
          <w:rFonts w:ascii="Times New Roman" w:hAnsi="Times New Roman" w:cs="Times New Roman"/>
          <w:sz w:val="25"/>
          <w:szCs w:val="25"/>
        </w:rPr>
        <w:t>, kā vienīgo atkāpi paredz</w:t>
      </w:r>
      <w:r w:rsidR="004A7D48" w:rsidRPr="003C00A4">
        <w:rPr>
          <w:rFonts w:ascii="Times New Roman" w:hAnsi="Times New Roman" w:cs="Times New Roman"/>
          <w:sz w:val="25"/>
          <w:szCs w:val="25"/>
        </w:rPr>
        <w:t>o</w:t>
      </w:r>
      <w:r w:rsidRPr="003C00A4">
        <w:rPr>
          <w:rFonts w:ascii="Times New Roman" w:hAnsi="Times New Roman" w:cs="Times New Roman"/>
          <w:sz w:val="25"/>
          <w:szCs w:val="25"/>
        </w:rPr>
        <w:t xml:space="preserve">t tikai to, ka </w:t>
      </w:r>
      <w:r w:rsidR="004A7D48" w:rsidRPr="003C00A4">
        <w:rPr>
          <w:rFonts w:ascii="Times New Roman" w:hAnsi="Times New Roman" w:cs="Times New Roman"/>
          <w:sz w:val="25"/>
          <w:szCs w:val="25"/>
        </w:rPr>
        <w:t>informāciju par piemērotajām sankcijām Finanšu un kapitāla tirgus k</w:t>
      </w:r>
      <w:r w:rsidRPr="003C00A4">
        <w:rPr>
          <w:rFonts w:ascii="Times New Roman" w:hAnsi="Times New Roman" w:cs="Times New Roman"/>
          <w:sz w:val="25"/>
          <w:szCs w:val="25"/>
        </w:rPr>
        <w:t xml:space="preserve">omisija var publiskot, neidentificējot personu, ja pēc iepriekšēja izvērtējuma veikšanas </w:t>
      </w:r>
      <w:r w:rsidRPr="003C00A4">
        <w:rPr>
          <w:rFonts w:ascii="Times New Roman" w:hAnsi="Times New Roman" w:cs="Times New Roman"/>
          <w:sz w:val="25"/>
          <w:szCs w:val="25"/>
        </w:rPr>
        <w:lastRenderedPageBreak/>
        <w:t>konstatē, ka tās fiziskās personas datu atklāšana, kurai piemērota sankcija vai pasākums, nav samērīga vai arī fiziskās vai juridiskās personas datu atklāšana var apdraudēt finanšu tirgus stabilitāti vai uzsākta kriminālprocesa norisi vai radīt nesamērīgu kaitējumu iesaistītajām personām</w:t>
      </w:r>
      <w:r w:rsidR="008C5C25" w:rsidRPr="003C00A4">
        <w:rPr>
          <w:rFonts w:ascii="Times New Roman" w:hAnsi="Times New Roman" w:cs="Times New Roman"/>
          <w:sz w:val="25"/>
          <w:szCs w:val="25"/>
        </w:rPr>
        <w:t>.</w:t>
      </w:r>
    </w:p>
    <w:p w:rsidR="008F6F10" w:rsidRPr="003C00A4" w:rsidRDefault="008F6F10" w:rsidP="005E5076">
      <w:pPr>
        <w:spacing w:after="0" w:line="240" w:lineRule="auto"/>
        <w:ind w:firstLine="709"/>
        <w:jc w:val="both"/>
        <w:rPr>
          <w:rFonts w:ascii="Times New Roman" w:hAnsi="Times New Roman" w:cs="Times New Roman"/>
          <w:sz w:val="25"/>
          <w:szCs w:val="25"/>
        </w:rPr>
      </w:pPr>
      <w:r w:rsidRPr="003C00A4">
        <w:rPr>
          <w:rFonts w:ascii="Times New Roman" w:hAnsi="Times New Roman" w:cs="Times New Roman"/>
          <w:sz w:val="25"/>
          <w:szCs w:val="25"/>
        </w:rPr>
        <w:t xml:space="preserve">Nopietnos gadījumos, kā to paredz </w:t>
      </w:r>
      <w:r w:rsidR="008F53A1" w:rsidRPr="003C00A4">
        <w:rPr>
          <w:rFonts w:ascii="Times New Roman" w:hAnsi="Times New Roman" w:cs="Times New Roman"/>
          <w:sz w:val="25"/>
          <w:szCs w:val="25"/>
        </w:rPr>
        <w:t xml:space="preserve">Eiropas Parlamenta un Padomes </w:t>
      </w:r>
      <w:r w:rsidR="00264FBB" w:rsidRPr="003C00A4">
        <w:rPr>
          <w:rFonts w:ascii="Times New Roman" w:hAnsi="Times New Roman" w:cs="Times New Roman"/>
          <w:bCs/>
          <w:color w:val="000000"/>
          <w:sz w:val="25"/>
          <w:szCs w:val="25"/>
        </w:rPr>
        <w:t>2014.</w:t>
      </w:r>
      <w:r w:rsidR="00066672" w:rsidRPr="003C00A4">
        <w:rPr>
          <w:rFonts w:ascii="Times New Roman" w:hAnsi="Times New Roman" w:cs="Times New Roman"/>
          <w:bCs/>
          <w:color w:val="000000"/>
          <w:sz w:val="25"/>
          <w:szCs w:val="25"/>
        </w:rPr>
        <w:t> </w:t>
      </w:r>
      <w:r w:rsidR="00264FBB" w:rsidRPr="003C00A4">
        <w:rPr>
          <w:rFonts w:ascii="Times New Roman" w:hAnsi="Times New Roman" w:cs="Times New Roman"/>
          <w:bCs/>
          <w:color w:val="000000"/>
          <w:sz w:val="25"/>
          <w:szCs w:val="25"/>
        </w:rPr>
        <w:t>gada 16.</w:t>
      </w:r>
      <w:r w:rsidR="00066672" w:rsidRPr="003C00A4">
        <w:rPr>
          <w:rFonts w:ascii="Times New Roman" w:hAnsi="Times New Roman" w:cs="Times New Roman"/>
          <w:bCs/>
          <w:color w:val="000000"/>
          <w:sz w:val="25"/>
          <w:szCs w:val="25"/>
        </w:rPr>
        <w:t> </w:t>
      </w:r>
      <w:r w:rsidR="00264FBB" w:rsidRPr="003C00A4">
        <w:rPr>
          <w:rFonts w:ascii="Times New Roman" w:hAnsi="Times New Roman" w:cs="Times New Roman"/>
          <w:bCs/>
          <w:color w:val="000000"/>
          <w:sz w:val="25"/>
          <w:szCs w:val="25"/>
        </w:rPr>
        <w:t>aprīļa</w:t>
      </w:r>
      <w:r w:rsidR="00264FBB" w:rsidRPr="003C00A4">
        <w:rPr>
          <w:rFonts w:ascii="Times New Roman" w:hAnsi="Times New Roman" w:cs="Times New Roman"/>
          <w:sz w:val="25"/>
          <w:szCs w:val="25"/>
        </w:rPr>
        <w:t xml:space="preserve"> </w:t>
      </w:r>
      <w:r w:rsidR="008F53A1" w:rsidRPr="003C00A4">
        <w:rPr>
          <w:rFonts w:ascii="Times New Roman" w:hAnsi="Times New Roman" w:cs="Times New Roman"/>
          <w:sz w:val="25"/>
          <w:szCs w:val="25"/>
        </w:rPr>
        <w:t>Direktīv</w:t>
      </w:r>
      <w:r w:rsidR="00C72EFB" w:rsidRPr="003C00A4">
        <w:rPr>
          <w:rFonts w:ascii="Times New Roman" w:hAnsi="Times New Roman" w:cs="Times New Roman"/>
          <w:sz w:val="25"/>
          <w:szCs w:val="25"/>
        </w:rPr>
        <w:t>as</w:t>
      </w:r>
      <w:r w:rsidR="008F53A1" w:rsidRPr="003C00A4">
        <w:rPr>
          <w:rFonts w:ascii="Times New Roman" w:hAnsi="Times New Roman" w:cs="Times New Roman"/>
          <w:sz w:val="25"/>
          <w:szCs w:val="25"/>
        </w:rPr>
        <w:t xml:space="preserve"> 2014/57/ES </w:t>
      </w:r>
      <w:r w:rsidR="008F53A1" w:rsidRPr="003C00A4">
        <w:rPr>
          <w:rFonts w:ascii="Times New Roman" w:hAnsi="Times New Roman" w:cs="Times New Roman"/>
          <w:bCs/>
          <w:color w:val="000000"/>
          <w:sz w:val="25"/>
          <w:szCs w:val="25"/>
        </w:rPr>
        <w:t>par kriminālsodiem par tirgus ļaunprātīgu izmantošanu (tirgus ļaunprātīgas izmantošanas direktīva)</w:t>
      </w:r>
      <w:r w:rsidR="00C72EFB" w:rsidRPr="003C00A4">
        <w:rPr>
          <w:rFonts w:ascii="Times New Roman" w:hAnsi="Times New Roman" w:cs="Times New Roman"/>
          <w:bCs/>
          <w:color w:val="000000"/>
          <w:sz w:val="25"/>
          <w:szCs w:val="25"/>
        </w:rPr>
        <w:t xml:space="preserve"> 3.</w:t>
      </w:r>
      <w:r w:rsidR="00066672" w:rsidRPr="003C00A4">
        <w:rPr>
          <w:rFonts w:ascii="Times New Roman" w:hAnsi="Times New Roman" w:cs="Times New Roman"/>
          <w:bCs/>
          <w:color w:val="000000"/>
          <w:sz w:val="25"/>
          <w:szCs w:val="25"/>
        </w:rPr>
        <w:t> </w:t>
      </w:r>
      <w:r w:rsidR="00C72EFB" w:rsidRPr="003C00A4">
        <w:rPr>
          <w:rFonts w:ascii="Times New Roman" w:hAnsi="Times New Roman" w:cs="Times New Roman"/>
          <w:bCs/>
          <w:color w:val="000000"/>
          <w:sz w:val="25"/>
          <w:szCs w:val="25"/>
        </w:rPr>
        <w:t>panta 1.</w:t>
      </w:r>
      <w:r w:rsidR="00066672" w:rsidRPr="003C00A4">
        <w:rPr>
          <w:rFonts w:ascii="Times New Roman" w:hAnsi="Times New Roman" w:cs="Times New Roman"/>
          <w:bCs/>
          <w:color w:val="000000"/>
          <w:sz w:val="25"/>
          <w:szCs w:val="25"/>
        </w:rPr>
        <w:t> </w:t>
      </w:r>
      <w:r w:rsidR="00C72EFB" w:rsidRPr="003C00A4">
        <w:rPr>
          <w:rFonts w:ascii="Times New Roman" w:hAnsi="Times New Roman" w:cs="Times New Roman"/>
          <w:bCs/>
          <w:color w:val="000000"/>
          <w:sz w:val="25"/>
          <w:szCs w:val="25"/>
        </w:rPr>
        <w:t xml:space="preserve">punkts un </w:t>
      </w:r>
      <w:r w:rsidR="00231F38" w:rsidRPr="003C00A4">
        <w:rPr>
          <w:rFonts w:ascii="Times New Roman" w:hAnsi="Times New Roman" w:cs="Times New Roman"/>
          <w:bCs/>
          <w:color w:val="000000"/>
          <w:sz w:val="25"/>
          <w:szCs w:val="25"/>
        </w:rPr>
        <w:t>5.</w:t>
      </w:r>
      <w:r w:rsidR="00066672" w:rsidRPr="003C00A4">
        <w:rPr>
          <w:rFonts w:ascii="Times New Roman" w:hAnsi="Times New Roman" w:cs="Times New Roman"/>
          <w:bCs/>
          <w:color w:val="000000"/>
          <w:sz w:val="25"/>
          <w:szCs w:val="25"/>
        </w:rPr>
        <w:t> </w:t>
      </w:r>
      <w:r w:rsidR="00231F38" w:rsidRPr="003C00A4">
        <w:rPr>
          <w:rFonts w:ascii="Times New Roman" w:hAnsi="Times New Roman" w:cs="Times New Roman"/>
          <w:bCs/>
          <w:color w:val="000000"/>
          <w:sz w:val="25"/>
          <w:szCs w:val="25"/>
        </w:rPr>
        <w:t xml:space="preserve">panta </w:t>
      </w:r>
      <w:r w:rsidR="00066672" w:rsidRPr="003C00A4">
        <w:rPr>
          <w:rFonts w:ascii="Times New Roman" w:hAnsi="Times New Roman" w:cs="Times New Roman"/>
          <w:bCs/>
          <w:color w:val="000000"/>
          <w:sz w:val="25"/>
          <w:szCs w:val="25"/>
        </w:rPr>
        <w:t>1. </w:t>
      </w:r>
      <w:r w:rsidR="00231F38" w:rsidRPr="003C00A4">
        <w:rPr>
          <w:rFonts w:ascii="Times New Roman" w:hAnsi="Times New Roman" w:cs="Times New Roman"/>
          <w:bCs/>
          <w:color w:val="000000"/>
          <w:sz w:val="25"/>
          <w:szCs w:val="25"/>
        </w:rPr>
        <w:t xml:space="preserve">punkts, par iekšējās informācijas izmantošanu un tirgus manipulācijām ir paredzēta kriminālatbildība, veicot grozījumus </w:t>
      </w:r>
      <w:r w:rsidR="00264FBB" w:rsidRPr="003C00A4">
        <w:rPr>
          <w:rFonts w:ascii="Times New Roman" w:hAnsi="Times New Roman" w:cs="Times New Roman"/>
          <w:bCs/>
          <w:color w:val="000000"/>
          <w:sz w:val="25"/>
          <w:szCs w:val="25"/>
        </w:rPr>
        <w:t xml:space="preserve">likumā </w:t>
      </w:r>
      <w:r w:rsidR="00066672" w:rsidRPr="003C00A4">
        <w:rPr>
          <w:rFonts w:ascii="Times New Roman" w:hAnsi="Times New Roman" w:cs="Times New Roman"/>
          <w:bCs/>
          <w:color w:val="000000"/>
          <w:sz w:val="25"/>
          <w:szCs w:val="25"/>
        </w:rPr>
        <w:t>"</w:t>
      </w:r>
      <w:r w:rsidR="00231F38" w:rsidRPr="003C00A4">
        <w:rPr>
          <w:rFonts w:ascii="Times New Roman" w:hAnsi="Times New Roman" w:cs="Times New Roman"/>
          <w:sz w:val="25"/>
          <w:szCs w:val="25"/>
        </w:rPr>
        <w:t>Par Krimināllikuma spēkā stāšanās un piemērošanas kārtību</w:t>
      </w:r>
      <w:r w:rsidR="00066672" w:rsidRPr="003C00A4">
        <w:rPr>
          <w:rFonts w:ascii="Times New Roman" w:hAnsi="Times New Roman" w:cs="Times New Roman"/>
          <w:sz w:val="25"/>
          <w:szCs w:val="25"/>
        </w:rPr>
        <w:t>",</w:t>
      </w:r>
      <w:r w:rsidR="00231F38" w:rsidRPr="003C00A4">
        <w:rPr>
          <w:rFonts w:ascii="Times New Roman" w:hAnsi="Times New Roman" w:cs="Times New Roman"/>
          <w:sz w:val="25"/>
          <w:szCs w:val="25"/>
        </w:rPr>
        <w:t xml:space="preserve"> Krimināllikumā un Finanšu instrumentu tirgus likuma 84.</w:t>
      </w:r>
      <w:r w:rsidR="00231F38" w:rsidRPr="003C00A4">
        <w:rPr>
          <w:rFonts w:ascii="Times New Roman" w:hAnsi="Times New Roman" w:cs="Times New Roman"/>
          <w:sz w:val="25"/>
          <w:szCs w:val="25"/>
          <w:vertAlign w:val="superscript"/>
        </w:rPr>
        <w:t>1</w:t>
      </w:r>
      <w:r w:rsidR="00066672" w:rsidRPr="003C00A4">
        <w:rPr>
          <w:rFonts w:ascii="Times New Roman" w:hAnsi="Times New Roman" w:cs="Times New Roman"/>
          <w:sz w:val="25"/>
          <w:szCs w:val="25"/>
        </w:rPr>
        <w:t> </w:t>
      </w:r>
      <w:r w:rsidR="00231F38" w:rsidRPr="003C00A4">
        <w:rPr>
          <w:rFonts w:ascii="Times New Roman" w:hAnsi="Times New Roman" w:cs="Times New Roman"/>
          <w:sz w:val="25"/>
          <w:szCs w:val="25"/>
        </w:rPr>
        <w:t>pantā, kurš Finanšu instrumentu tirgus likumā ieviests ar 2016.</w:t>
      </w:r>
      <w:r w:rsidR="00066672" w:rsidRPr="003C00A4">
        <w:rPr>
          <w:rFonts w:ascii="Times New Roman" w:hAnsi="Times New Roman" w:cs="Times New Roman"/>
          <w:sz w:val="25"/>
          <w:szCs w:val="25"/>
        </w:rPr>
        <w:t> </w:t>
      </w:r>
      <w:r w:rsidR="00264FBB" w:rsidRPr="003C00A4">
        <w:rPr>
          <w:rFonts w:ascii="Times New Roman" w:hAnsi="Times New Roman" w:cs="Times New Roman"/>
          <w:sz w:val="25"/>
          <w:szCs w:val="25"/>
        </w:rPr>
        <w:t>gada 3.</w:t>
      </w:r>
      <w:r w:rsidR="00066672" w:rsidRPr="003C00A4">
        <w:rPr>
          <w:rFonts w:ascii="Times New Roman" w:hAnsi="Times New Roman" w:cs="Times New Roman"/>
          <w:sz w:val="25"/>
          <w:szCs w:val="25"/>
        </w:rPr>
        <w:t> </w:t>
      </w:r>
      <w:r w:rsidR="00264FBB" w:rsidRPr="003C00A4">
        <w:rPr>
          <w:rFonts w:ascii="Times New Roman" w:hAnsi="Times New Roman" w:cs="Times New Roman"/>
          <w:sz w:val="25"/>
          <w:szCs w:val="25"/>
        </w:rPr>
        <w:t>jūliju,</w:t>
      </w:r>
      <w:r w:rsidR="00231F38" w:rsidRPr="003C00A4">
        <w:rPr>
          <w:rFonts w:ascii="Times New Roman" w:hAnsi="Times New Roman" w:cs="Times New Roman"/>
          <w:sz w:val="25"/>
          <w:szCs w:val="25"/>
        </w:rPr>
        <w:t xml:space="preserve"> paredzot atbildības sadalījumu (kad personai var piemērot administratīvo sodu, un kad personu var saukt pie kriminālatbildības).</w:t>
      </w:r>
    </w:p>
    <w:p w:rsidR="00803CF4" w:rsidRPr="003C00A4" w:rsidRDefault="00803CF4" w:rsidP="00E245F6">
      <w:pPr>
        <w:spacing w:after="0" w:line="240" w:lineRule="auto"/>
        <w:ind w:firstLine="720"/>
        <w:jc w:val="both"/>
        <w:rPr>
          <w:rFonts w:ascii="Times New Roman" w:hAnsi="Times New Roman" w:cs="Times New Roman"/>
          <w:b/>
          <w:sz w:val="25"/>
          <w:szCs w:val="25"/>
        </w:rPr>
      </w:pPr>
    </w:p>
    <w:p w:rsidR="009C6E54" w:rsidRPr="003C00A4" w:rsidRDefault="00966ACC" w:rsidP="009C6E54">
      <w:pPr>
        <w:pStyle w:val="Default"/>
        <w:ind w:firstLine="720"/>
        <w:jc w:val="both"/>
        <w:rPr>
          <w:rFonts w:ascii="Times New Roman" w:hAnsi="Times New Roman" w:cs="Times New Roman"/>
          <w:bCs/>
          <w:sz w:val="25"/>
          <w:szCs w:val="25"/>
        </w:rPr>
      </w:pPr>
      <w:r w:rsidRPr="003C00A4">
        <w:rPr>
          <w:rFonts w:ascii="Times New Roman" w:hAnsi="Times New Roman" w:cs="Times New Roman"/>
          <w:b/>
          <w:sz w:val="25"/>
          <w:szCs w:val="25"/>
        </w:rPr>
        <w:t>Revīzijas komitejas</w:t>
      </w:r>
      <w:r w:rsidRPr="003C00A4">
        <w:rPr>
          <w:rFonts w:ascii="Times New Roman" w:hAnsi="Times New Roman" w:cs="Times New Roman"/>
          <w:sz w:val="25"/>
          <w:szCs w:val="25"/>
        </w:rPr>
        <w:t>.</w:t>
      </w:r>
      <w:r w:rsidR="00E07A2A" w:rsidRPr="003C00A4">
        <w:rPr>
          <w:rFonts w:ascii="Times New Roman" w:hAnsi="Times New Roman" w:cs="Times New Roman"/>
          <w:sz w:val="25"/>
          <w:szCs w:val="25"/>
        </w:rPr>
        <w:t xml:space="preserve"> </w:t>
      </w:r>
      <w:r w:rsidR="00231F38" w:rsidRPr="003C00A4">
        <w:rPr>
          <w:rFonts w:ascii="Times New Roman" w:hAnsi="Times New Roman" w:cs="Times New Roman"/>
          <w:sz w:val="25"/>
          <w:szCs w:val="25"/>
        </w:rPr>
        <w:t>Kopš 2008.</w:t>
      </w:r>
      <w:r w:rsidR="00066672" w:rsidRPr="003C00A4">
        <w:rPr>
          <w:rFonts w:ascii="Times New Roman" w:hAnsi="Times New Roman" w:cs="Times New Roman"/>
          <w:sz w:val="25"/>
          <w:szCs w:val="25"/>
        </w:rPr>
        <w:t> </w:t>
      </w:r>
      <w:r w:rsidR="00231F38" w:rsidRPr="003C00A4">
        <w:rPr>
          <w:rFonts w:ascii="Times New Roman" w:hAnsi="Times New Roman" w:cs="Times New Roman"/>
          <w:sz w:val="25"/>
          <w:szCs w:val="25"/>
        </w:rPr>
        <w:t xml:space="preserve">gada Latvijā kapitālsabiedrībām, kuru pārvedami vērtspapīri ir iekļauti regulētā tirgū, ir prasība par revīzijas komiteju izveidošanu </w:t>
      </w:r>
      <w:proofErr w:type="gramStart"/>
      <w:r w:rsidR="00231F38" w:rsidRPr="003C00A4">
        <w:rPr>
          <w:rFonts w:ascii="Times New Roman" w:hAnsi="Times New Roman" w:cs="Times New Roman"/>
          <w:sz w:val="25"/>
          <w:szCs w:val="25"/>
        </w:rPr>
        <w:t>(</w:t>
      </w:r>
      <w:proofErr w:type="gramEnd"/>
      <w:r w:rsidR="00231F38" w:rsidRPr="003C00A4">
        <w:rPr>
          <w:rFonts w:ascii="Times New Roman" w:hAnsi="Times New Roman" w:cs="Times New Roman"/>
          <w:sz w:val="25"/>
          <w:szCs w:val="25"/>
        </w:rPr>
        <w:t>Finanšu instrumentu tirgus likuma 54.</w:t>
      </w:r>
      <w:r w:rsidR="00231F38" w:rsidRPr="003C00A4">
        <w:rPr>
          <w:rFonts w:ascii="Times New Roman" w:hAnsi="Times New Roman" w:cs="Times New Roman"/>
          <w:sz w:val="25"/>
          <w:szCs w:val="25"/>
          <w:vertAlign w:val="superscript"/>
        </w:rPr>
        <w:t>1</w:t>
      </w:r>
      <w:r w:rsidR="00066672" w:rsidRPr="003C00A4">
        <w:rPr>
          <w:rFonts w:ascii="Times New Roman" w:hAnsi="Times New Roman" w:cs="Times New Roman"/>
          <w:sz w:val="25"/>
          <w:szCs w:val="25"/>
        </w:rPr>
        <w:t> </w:t>
      </w:r>
      <w:r w:rsidR="00231F38" w:rsidRPr="003C00A4">
        <w:rPr>
          <w:rFonts w:ascii="Times New Roman" w:hAnsi="Times New Roman" w:cs="Times New Roman"/>
          <w:sz w:val="25"/>
          <w:szCs w:val="25"/>
        </w:rPr>
        <w:t>pants, kurš F</w:t>
      </w:r>
      <w:r w:rsidR="00696D3F" w:rsidRPr="003C00A4">
        <w:rPr>
          <w:rFonts w:ascii="Times New Roman" w:hAnsi="Times New Roman" w:cs="Times New Roman"/>
          <w:sz w:val="25"/>
          <w:szCs w:val="25"/>
        </w:rPr>
        <w:t>i</w:t>
      </w:r>
      <w:r w:rsidR="00231F38" w:rsidRPr="003C00A4">
        <w:rPr>
          <w:rFonts w:ascii="Times New Roman" w:hAnsi="Times New Roman" w:cs="Times New Roman"/>
          <w:sz w:val="25"/>
          <w:szCs w:val="25"/>
        </w:rPr>
        <w:t>nanšu instrumentu tirgus likumā</w:t>
      </w:r>
      <w:r w:rsidR="00696D3F" w:rsidRPr="003C00A4">
        <w:rPr>
          <w:rFonts w:ascii="Times New Roman" w:hAnsi="Times New Roman" w:cs="Times New Roman"/>
          <w:sz w:val="25"/>
          <w:szCs w:val="25"/>
        </w:rPr>
        <w:t xml:space="preserve"> tika ietverts ar grozījumiem Finanšu instrumentu tirgus likumā, kas stājās spēkā</w:t>
      </w:r>
      <w:r w:rsidR="008D53A7" w:rsidRPr="003C00A4">
        <w:rPr>
          <w:rFonts w:ascii="Times New Roman" w:hAnsi="Times New Roman" w:cs="Times New Roman"/>
          <w:sz w:val="25"/>
          <w:szCs w:val="25"/>
        </w:rPr>
        <w:t xml:space="preserve"> 2008.</w:t>
      </w:r>
      <w:r w:rsidR="00377F88" w:rsidRPr="003C00A4">
        <w:rPr>
          <w:rFonts w:ascii="Times New Roman" w:hAnsi="Times New Roman" w:cs="Times New Roman"/>
          <w:sz w:val="25"/>
          <w:szCs w:val="25"/>
        </w:rPr>
        <w:t> </w:t>
      </w:r>
      <w:r w:rsidR="006419B1" w:rsidRPr="003C00A4">
        <w:rPr>
          <w:rFonts w:ascii="Times New Roman" w:hAnsi="Times New Roman" w:cs="Times New Roman"/>
          <w:sz w:val="25"/>
          <w:szCs w:val="25"/>
        </w:rPr>
        <w:t>gada 25.</w:t>
      </w:r>
      <w:r w:rsidR="00377F88" w:rsidRPr="003C00A4">
        <w:rPr>
          <w:rFonts w:ascii="Times New Roman" w:hAnsi="Times New Roman" w:cs="Times New Roman"/>
          <w:sz w:val="25"/>
          <w:szCs w:val="25"/>
        </w:rPr>
        <w:t> </w:t>
      </w:r>
      <w:r w:rsidR="006419B1" w:rsidRPr="003C00A4">
        <w:rPr>
          <w:rFonts w:ascii="Times New Roman" w:hAnsi="Times New Roman" w:cs="Times New Roman"/>
          <w:sz w:val="25"/>
          <w:szCs w:val="25"/>
        </w:rPr>
        <w:t>jūnijā.</w:t>
      </w:r>
      <w:r w:rsidR="008D53A7" w:rsidRPr="003C00A4">
        <w:rPr>
          <w:rFonts w:ascii="Times New Roman" w:hAnsi="Times New Roman" w:cs="Times New Roman"/>
          <w:sz w:val="25"/>
          <w:szCs w:val="25"/>
        </w:rPr>
        <w:t xml:space="preserve"> Ieviešot </w:t>
      </w:r>
      <w:r w:rsidR="00B54993" w:rsidRPr="003C00A4">
        <w:rPr>
          <w:rFonts w:ascii="Times New Roman" w:hAnsi="Times New Roman" w:cs="Times New Roman"/>
          <w:sz w:val="25"/>
          <w:szCs w:val="25"/>
        </w:rPr>
        <w:t xml:space="preserve">Eiropas Parlamenta un Padomes </w:t>
      </w:r>
      <w:r w:rsidR="009C6E54" w:rsidRPr="003C00A4">
        <w:rPr>
          <w:rFonts w:ascii="Times New Roman" w:hAnsi="Times New Roman" w:cs="Times New Roman"/>
          <w:bCs/>
          <w:sz w:val="25"/>
          <w:szCs w:val="25"/>
        </w:rPr>
        <w:t>2014.</w:t>
      </w:r>
      <w:r w:rsidR="00377F88" w:rsidRPr="003C00A4">
        <w:rPr>
          <w:rFonts w:ascii="Times New Roman" w:hAnsi="Times New Roman" w:cs="Times New Roman"/>
          <w:bCs/>
          <w:sz w:val="25"/>
          <w:szCs w:val="25"/>
        </w:rPr>
        <w:t> </w:t>
      </w:r>
      <w:r w:rsidR="009C6E54" w:rsidRPr="003C00A4">
        <w:rPr>
          <w:rFonts w:ascii="Times New Roman" w:hAnsi="Times New Roman" w:cs="Times New Roman"/>
          <w:bCs/>
          <w:sz w:val="25"/>
          <w:szCs w:val="25"/>
        </w:rPr>
        <w:t>gada 16.</w:t>
      </w:r>
      <w:r w:rsidR="00377F88" w:rsidRPr="003C00A4">
        <w:rPr>
          <w:rFonts w:ascii="Times New Roman" w:hAnsi="Times New Roman" w:cs="Times New Roman"/>
          <w:bCs/>
          <w:sz w:val="25"/>
          <w:szCs w:val="25"/>
        </w:rPr>
        <w:t> </w:t>
      </w:r>
      <w:r w:rsidR="009C6E54" w:rsidRPr="003C00A4">
        <w:rPr>
          <w:rFonts w:ascii="Times New Roman" w:hAnsi="Times New Roman" w:cs="Times New Roman"/>
          <w:bCs/>
          <w:sz w:val="25"/>
          <w:szCs w:val="25"/>
        </w:rPr>
        <w:t xml:space="preserve">aprīļa </w:t>
      </w:r>
      <w:r w:rsidR="00B54993" w:rsidRPr="003C00A4">
        <w:rPr>
          <w:rFonts w:ascii="Times New Roman" w:hAnsi="Times New Roman" w:cs="Times New Roman"/>
          <w:sz w:val="25"/>
          <w:szCs w:val="25"/>
        </w:rPr>
        <w:t>Direktīvas</w:t>
      </w:r>
      <w:r w:rsidR="00B54993" w:rsidRPr="003C00A4">
        <w:rPr>
          <w:rFonts w:ascii="Times New Roman" w:hAnsi="Times New Roman" w:cs="Times New Roman"/>
          <w:bCs/>
          <w:sz w:val="25"/>
          <w:szCs w:val="25"/>
        </w:rPr>
        <w:t xml:space="preserve">, ar kuru groza Direktīvu 2006/43/EK, ar ko paredz gada pārskatu un konsolidēto pārskatu obligātās revīzijas prasības, Latvijā tika mainīts subjektu loks, uz kuriem attiecas prasības par revīzijas komiteju izveidošanu (piemēram, subjektu lokam tika pievienotas arī </w:t>
      </w:r>
      <w:r w:rsidR="009C6E54" w:rsidRPr="003C00A4">
        <w:rPr>
          <w:rFonts w:ascii="Times New Roman" w:hAnsi="Times New Roman" w:cs="Times New Roman"/>
          <w:bCs/>
          <w:sz w:val="25"/>
          <w:szCs w:val="25"/>
        </w:rPr>
        <w:t>kredītiestādes</w:t>
      </w:r>
      <w:r w:rsidR="00B54993" w:rsidRPr="003C00A4">
        <w:rPr>
          <w:rFonts w:ascii="Times New Roman" w:hAnsi="Times New Roman" w:cs="Times New Roman"/>
          <w:bCs/>
          <w:sz w:val="25"/>
          <w:szCs w:val="25"/>
        </w:rPr>
        <w:t xml:space="preserve"> un apdrošināšanas sabiedrības), bet vienlaikus tika noteiktas vairākas jaunas prasības gan attiecībā uz revīzijas komitejas uzdevumiem, prasībām tās sastāvam un revīzijas komitejas locekļiem. Ieviešot minētās direktīvas prasības tika veikti grozījumi Finanšu instrumentu tirgus likumā. </w:t>
      </w:r>
    </w:p>
    <w:p w:rsidR="006E276F" w:rsidRPr="003C00A4" w:rsidRDefault="006E276F" w:rsidP="009C6E54">
      <w:pPr>
        <w:pStyle w:val="Default"/>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Likums </w:t>
      </w:r>
      <w:r w:rsidR="00377F88" w:rsidRPr="003C00A4">
        <w:rPr>
          <w:rFonts w:ascii="Times New Roman" w:hAnsi="Times New Roman" w:cs="Times New Roman"/>
          <w:sz w:val="25"/>
          <w:szCs w:val="25"/>
        </w:rPr>
        <w:t>"</w:t>
      </w:r>
      <w:r w:rsidRPr="003C00A4">
        <w:rPr>
          <w:rFonts w:ascii="Times New Roman" w:hAnsi="Times New Roman" w:cs="Times New Roman"/>
          <w:sz w:val="25"/>
          <w:szCs w:val="25"/>
        </w:rPr>
        <w:t>Grozījumi Finanšu instrumentu tirgus likumā</w:t>
      </w:r>
      <w:r w:rsidR="00377F88" w:rsidRPr="003C00A4">
        <w:rPr>
          <w:rFonts w:ascii="Times New Roman" w:hAnsi="Times New Roman" w:cs="Times New Roman"/>
          <w:sz w:val="25"/>
          <w:szCs w:val="25"/>
        </w:rPr>
        <w:t>"</w:t>
      </w:r>
      <w:r w:rsidRPr="003C00A4">
        <w:rPr>
          <w:rFonts w:ascii="Times New Roman" w:hAnsi="Times New Roman" w:cs="Times New Roman"/>
          <w:sz w:val="25"/>
          <w:szCs w:val="25"/>
        </w:rPr>
        <w:t xml:space="preserve"> stājās spēkā 2017. gada 1. janvārī. Minētais likums paredz</w:t>
      </w:r>
      <w:r w:rsidR="00B54993" w:rsidRPr="003C00A4">
        <w:rPr>
          <w:rFonts w:ascii="Times New Roman" w:hAnsi="Times New Roman" w:cs="Times New Roman"/>
          <w:sz w:val="25"/>
          <w:szCs w:val="25"/>
        </w:rPr>
        <w:t>, ka r</w:t>
      </w:r>
      <w:r w:rsidRPr="003C00A4">
        <w:rPr>
          <w:rFonts w:ascii="Times New Roman" w:hAnsi="Times New Roman" w:cs="Times New Roman"/>
          <w:sz w:val="25"/>
          <w:szCs w:val="25"/>
        </w:rPr>
        <w:t xml:space="preserve">evīzijas komitejas sastāvā jābūt vismaz trim locekļiem, no kuriem vismaz vienam ir jābūt sabiedrības padomes loceklim, bet pārējos ievēl sabiedrības akcionāru (dalībnieku) sapulce. Likums nosaka revīzijas komitejas ievēlēšanas kārtību, prasības revīzijas komitejas locekļiem, kā arī revīzijas komitejas uzdevumus, </w:t>
      </w:r>
      <w:r w:rsidR="00B54993" w:rsidRPr="003C00A4">
        <w:rPr>
          <w:rFonts w:ascii="Times New Roman" w:hAnsi="Times New Roman" w:cs="Times New Roman"/>
          <w:sz w:val="25"/>
          <w:szCs w:val="25"/>
        </w:rPr>
        <w:t>jo īpaši – ir noteikts informācijas apmaiņas pienākums ar kapitālsabiedrības padomi (ja kapitālsabiedr</w:t>
      </w:r>
      <w:r w:rsidR="009C6E54" w:rsidRPr="003C00A4">
        <w:rPr>
          <w:rFonts w:ascii="Times New Roman" w:hAnsi="Times New Roman" w:cs="Times New Roman"/>
          <w:sz w:val="25"/>
          <w:szCs w:val="25"/>
        </w:rPr>
        <w:t xml:space="preserve">ībai padome ir izveidota). Tāpat ir </w:t>
      </w:r>
      <w:r w:rsidR="00B54993" w:rsidRPr="003C00A4">
        <w:rPr>
          <w:rFonts w:ascii="Times New Roman" w:hAnsi="Times New Roman" w:cs="Times New Roman"/>
          <w:sz w:val="25"/>
          <w:szCs w:val="25"/>
        </w:rPr>
        <w:t xml:space="preserve">noteiktas revīzijas komitejas </w:t>
      </w:r>
      <w:r w:rsidRPr="003C00A4">
        <w:rPr>
          <w:rFonts w:ascii="Times New Roman" w:hAnsi="Times New Roman" w:cs="Times New Roman"/>
          <w:sz w:val="25"/>
          <w:szCs w:val="25"/>
        </w:rPr>
        <w:t>tiesības un atbildīb</w:t>
      </w:r>
      <w:r w:rsidR="00B54993" w:rsidRPr="003C00A4">
        <w:rPr>
          <w:rFonts w:ascii="Times New Roman" w:hAnsi="Times New Roman" w:cs="Times New Roman"/>
          <w:sz w:val="25"/>
          <w:szCs w:val="25"/>
        </w:rPr>
        <w:t>a</w:t>
      </w:r>
      <w:r w:rsidRPr="003C00A4">
        <w:rPr>
          <w:rFonts w:ascii="Times New Roman" w:hAnsi="Times New Roman" w:cs="Times New Roman"/>
          <w:sz w:val="25"/>
          <w:szCs w:val="25"/>
        </w:rPr>
        <w:t xml:space="preserve">, kā arī </w:t>
      </w:r>
      <w:r w:rsidR="009C6E54" w:rsidRPr="003C00A4">
        <w:rPr>
          <w:rFonts w:ascii="Times New Roman" w:hAnsi="Times New Roman" w:cs="Times New Roman"/>
          <w:sz w:val="25"/>
          <w:szCs w:val="25"/>
        </w:rPr>
        <w:t xml:space="preserve">paredzēti </w:t>
      </w:r>
      <w:r w:rsidRPr="003C00A4">
        <w:rPr>
          <w:rFonts w:ascii="Times New Roman" w:hAnsi="Times New Roman" w:cs="Times New Roman"/>
          <w:sz w:val="25"/>
          <w:szCs w:val="25"/>
        </w:rPr>
        <w:t>izņēmuma gadījum</w:t>
      </w:r>
      <w:r w:rsidR="009C6E54" w:rsidRPr="003C00A4">
        <w:rPr>
          <w:rFonts w:ascii="Times New Roman" w:hAnsi="Times New Roman" w:cs="Times New Roman"/>
          <w:sz w:val="25"/>
          <w:szCs w:val="25"/>
        </w:rPr>
        <w:t>i</w:t>
      </w:r>
      <w:r w:rsidRPr="003C00A4">
        <w:rPr>
          <w:rFonts w:ascii="Times New Roman" w:hAnsi="Times New Roman" w:cs="Times New Roman"/>
          <w:sz w:val="25"/>
          <w:szCs w:val="25"/>
        </w:rPr>
        <w:t>, kad kapitālsabiedrība var neveidot revīzijas komiteju</w:t>
      </w:r>
      <w:r w:rsidR="00B54993" w:rsidRPr="003C00A4">
        <w:rPr>
          <w:rFonts w:ascii="Times New Roman" w:hAnsi="Times New Roman" w:cs="Times New Roman"/>
          <w:sz w:val="25"/>
          <w:szCs w:val="25"/>
        </w:rPr>
        <w:t xml:space="preserve"> (</w:t>
      </w:r>
      <w:r w:rsidR="009C6E54" w:rsidRPr="003C00A4">
        <w:rPr>
          <w:rFonts w:ascii="Times New Roman" w:hAnsi="Times New Roman" w:cs="Times New Roman"/>
          <w:sz w:val="25"/>
          <w:szCs w:val="25"/>
        </w:rPr>
        <w:t>piemēram</w:t>
      </w:r>
      <w:r w:rsidR="00B54993" w:rsidRPr="003C00A4">
        <w:rPr>
          <w:rFonts w:ascii="Times New Roman" w:hAnsi="Times New Roman" w:cs="Times New Roman"/>
          <w:sz w:val="25"/>
          <w:szCs w:val="25"/>
        </w:rPr>
        <w:t xml:space="preserve">, </w:t>
      </w:r>
      <w:r w:rsidR="009C6E54" w:rsidRPr="003C00A4">
        <w:rPr>
          <w:rFonts w:ascii="Times New Roman" w:hAnsi="Times New Roman" w:cs="Times New Roman"/>
          <w:sz w:val="25"/>
          <w:szCs w:val="25"/>
        </w:rPr>
        <w:t xml:space="preserve">visizplatītākā situācija kapitālsabiedrībās, </w:t>
      </w:r>
      <w:proofErr w:type="gramStart"/>
      <w:r w:rsidR="009C6E54" w:rsidRPr="003C00A4">
        <w:rPr>
          <w:rFonts w:ascii="Times New Roman" w:hAnsi="Times New Roman" w:cs="Times New Roman"/>
          <w:sz w:val="25"/>
          <w:szCs w:val="25"/>
        </w:rPr>
        <w:t>kuru pārvedami vērtspapīri</w:t>
      </w:r>
      <w:proofErr w:type="gramEnd"/>
      <w:r w:rsidR="009C6E54" w:rsidRPr="003C00A4">
        <w:rPr>
          <w:rFonts w:ascii="Times New Roman" w:hAnsi="Times New Roman" w:cs="Times New Roman"/>
          <w:sz w:val="25"/>
          <w:szCs w:val="25"/>
        </w:rPr>
        <w:t xml:space="preserve"> ir iekļauti regulētajā tirgū, - </w:t>
      </w:r>
      <w:r w:rsidR="009C7926" w:rsidRPr="003C00A4">
        <w:rPr>
          <w:rFonts w:ascii="Times New Roman" w:hAnsi="Times New Roman" w:cs="Times New Roman"/>
          <w:sz w:val="25"/>
          <w:szCs w:val="25"/>
        </w:rPr>
        <w:t>kad kapitālsabiedrībai jau ir revīzijas komitejai līdzvērtīga kapitālsabiedrības struktūra)</w:t>
      </w:r>
      <w:r w:rsidR="009C6E54" w:rsidRPr="003C00A4">
        <w:rPr>
          <w:rFonts w:ascii="Times New Roman" w:hAnsi="Times New Roman" w:cs="Times New Roman"/>
          <w:sz w:val="25"/>
          <w:szCs w:val="25"/>
        </w:rPr>
        <w:t>. Likums saglabā arī iespēju, kas bija spēkā kopš 2008.</w:t>
      </w:r>
      <w:r w:rsidR="00377F88" w:rsidRPr="003C00A4">
        <w:rPr>
          <w:rFonts w:ascii="Times New Roman" w:hAnsi="Times New Roman" w:cs="Times New Roman"/>
          <w:sz w:val="25"/>
          <w:szCs w:val="25"/>
        </w:rPr>
        <w:t> </w:t>
      </w:r>
      <w:r w:rsidR="009C6E54" w:rsidRPr="003C00A4">
        <w:rPr>
          <w:rFonts w:ascii="Times New Roman" w:hAnsi="Times New Roman" w:cs="Times New Roman"/>
          <w:sz w:val="25"/>
          <w:szCs w:val="25"/>
        </w:rPr>
        <w:t xml:space="preserve">gada, mazajiem un vidējiem uzņēmumiem </w:t>
      </w:r>
      <w:r w:rsidRPr="003C00A4">
        <w:rPr>
          <w:rFonts w:ascii="Times New Roman" w:hAnsi="Times New Roman" w:cs="Times New Roman"/>
          <w:sz w:val="25"/>
          <w:szCs w:val="25"/>
        </w:rPr>
        <w:t xml:space="preserve">revīzijas komitejas uzdevumus </w:t>
      </w:r>
      <w:r w:rsidR="00B54993" w:rsidRPr="003C00A4">
        <w:rPr>
          <w:rFonts w:ascii="Times New Roman" w:hAnsi="Times New Roman" w:cs="Times New Roman"/>
          <w:sz w:val="25"/>
          <w:szCs w:val="25"/>
        </w:rPr>
        <w:t xml:space="preserve">uzticēt veikt </w:t>
      </w:r>
      <w:r w:rsidRPr="003C00A4">
        <w:rPr>
          <w:rFonts w:ascii="Times New Roman" w:hAnsi="Times New Roman" w:cs="Times New Roman"/>
          <w:sz w:val="25"/>
          <w:szCs w:val="25"/>
        </w:rPr>
        <w:t>kapitālsabiedrības padome</w:t>
      </w:r>
      <w:r w:rsidR="00B54993" w:rsidRPr="003C00A4">
        <w:rPr>
          <w:rFonts w:ascii="Times New Roman" w:hAnsi="Times New Roman" w:cs="Times New Roman"/>
          <w:sz w:val="25"/>
          <w:szCs w:val="25"/>
        </w:rPr>
        <w:t>i.</w:t>
      </w:r>
    </w:p>
    <w:p w:rsidR="006E276F" w:rsidRPr="003C00A4" w:rsidRDefault="006E276F" w:rsidP="006E276F">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t xml:space="preserve">Revīzijas komitejas izveides mērķis ir kapitālsabiedrības gada pārskata (tajā skaitā konsolidētā gada pārskata), kapitālsabiedrības iekšējās kontroles, riska pārvaldības un iekšējās revīzijas sistēmas darbības efektivitātes, kā arī kapitālsabiedrības gada pārskata (tajā skaitā konsolidētā gada pārskata) revīzijas (pārbaudes) procesa uzraudzība. Veicot minēto uzraudzības procesu, revīzijas komitejas uzdevums ir arī sniegt kapitālsabiedrības padomei (ja tādas nav, </w:t>
      </w:r>
      <w:proofErr w:type="gramStart"/>
      <w:r w:rsidRPr="003C00A4">
        <w:rPr>
          <w:rFonts w:ascii="Times New Roman" w:hAnsi="Times New Roman" w:cs="Times New Roman"/>
          <w:sz w:val="25"/>
          <w:szCs w:val="25"/>
        </w:rPr>
        <w:t>tad sabiedrības akcionāru (dalībnieku) sapulcei</w:t>
      </w:r>
      <w:proofErr w:type="gramEnd"/>
      <w:r w:rsidRPr="003C00A4">
        <w:rPr>
          <w:rFonts w:ascii="Times New Roman" w:hAnsi="Times New Roman" w:cs="Times New Roman"/>
          <w:sz w:val="25"/>
          <w:szCs w:val="25"/>
        </w:rPr>
        <w:t>) priekšlikumus gada pārskata (tajā skaitā konsolidētā gada pārskata) ticamības un objektivitātes nodrošināšanai, kā arī priekšlikumus kapitālsabiedrības iekšējās kontroles, riska pārvaldības un iekšējās revīzijas sistēmas trūkumu novēršanai.</w:t>
      </w:r>
    </w:p>
    <w:p w:rsidR="006E276F" w:rsidRPr="003C00A4" w:rsidRDefault="006E276F" w:rsidP="009C7926">
      <w:pPr>
        <w:spacing w:after="0" w:line="240" w:lineRule="auto"/>
        <w:ind w:firstLine="720"/>
        <w:jc w:val="both"/>
        <w:rPr>
          <w:rFonts w:ascii="Times New Roman" w:hAnsi="Times New Roman" w:cs="Times New Roman"/>
          <w:sz w:val="25"/>
          <w:szCs w:val="25"/>
        </w:rPr>
      </w:pPr>
      <w:r w:rsidRPr="003C00A4">
        <w:rPr>
          <w:rFonts w:ascii="Times New Roman" w:hAnsi="Times New Roman" w:cs="Times New Roman"/>
          <w:sz w:val="25"/>
          <w:szCs w:val="25"/>
        </w:rPr>
        <w:lastRenderedPageBreak/>
        <w:t xml:space="preserve">Likums paredz tiesības Finanšu un kapitāla tirgus komisijai piemērot sankcijas un/vai uzraudzības pasākumus, ja kapitālsabiedrība, kuras pārvedami vērtspapīri ir </w:t>
      </w:r>
      <w:r w:rsidR="00377F88" w:rsidRPr="003C00A4">
        <w:rPr>
          <w:rFonts w:ascii="Times New Roman" w:hAnsi="Times New Roman" w:cs="Times New Roman"/>
          <w:sz w:val="25"/>
          <w:szCs w:val="25"/>
        </w:rPr>
        <w:t xml:space="preserve">iekļauti </w:t>
      </w:r>
      <w:r w:rsidRPr="003C00A4">
        <w:rPr>
          <w:rFonts w:ascii="Times New Roman" w:hAnsi="Times New Roman" w:cs="Times New Roman"/>
          <w:sz w:val="25"/>
          <w:szCs w:val="25"/>
        </w:rPr>
        <w:t xml:space="preserve">regulētajā tirgū, neievēro šā likuma un </w:t>
      </w:r>
      <w:hyperlink r:id="rId19" w:history="1">
        <w:r w:rsidR="009C4A33" w:rsidRPr="003C00A4">
          <w:rPr>
            <w:rFonts w:ascii="Times New Roman" w:hAnsi="Times New Roman" w:cs="Times New Roman"/>
            <w:sz w:val="25"/>
            <w:szCs w:val="25"/>
          </w:rPr>
          <w:t>Eiropas Parlamenta un Padomes</w:t>
        </w:r>
        <w:r w:rsidRPr="003C00A4">
          <w:rPr>
            <w:rFonts w:ascii="Times New Roman" w:hAnsi="Times New Roman" w:cs="Times New Roman"/>
            <w:sz w:val="25"/>
            <w:szCs w:val="25"/>
          </w:rPr>
          <w:t xml:space="preserve"> </w:t>
        </w:r>
        <w:r w:rsidR="009C4A33" w:rsidRPr="003C00A4">
          <w:rPr>
            <w:rFonts w:ascii="Times New Roman" w:hAnsi="Times New Roman" w:cs="Times New Roman"/>
            <w:sz w:val="25"/>
            <w:szCs w:val="25"/>
          </w:rPr>
          <w:t xml:space="preserve">2014. gada 16. aprīļa </w:t>
        </w:r>
        <w:r w:rsidRPr="003C00A4">
          <w:rPr>
            <w:rFonts w:ascii="Times New Roman" w:hAnsi="Times New Roman" w:cs="Times New Roman"/>
            <w:sz w:val="25"/>
            <w:szCs w:val="25"/>
          </w:rPr>
          <w:t xml:space="preserve">Regulas </w:t>
        </w:r>
        <w:r w:rsidR="009C4A33" w:rsidRPr="003C00A4">
          <w:rPr>
            <w:rFonts w:ascii="Times New Roman" w:hAnsi="Times New Roman" w:cs="Times New Roman"/>
            <w:sz w:val="25"/>
            <w:szCs w:val="25"/>
          </w:rPr>
          <w:t xml:space="preserve">(ES) </w:t>
        </w:r>
        <w:r w:rsidRPr="003C00A4">
          <w:rPr>
            <w:rFonts w:ascii="Times New Roman" w:hAnsi="Times New Roman" w:cs="Times New Roman"/>
            <w:sz w:val="25"/>
            <w:szCs w:val="25"/>
          </w:rPr>
          <w:t>Nr.</w:t>
        </w:r>
        <w:r w:rsidR="00377F88" w:rsidRPr="003C00A4">
          <w:rPr>
            <w:rFonts w:ascii="Times New Roman" w:hAnsi="Times New Roman" w:cs="Times New Roman"/>
            <w:sz w:val="25"/>
            <w:szCs w:val="25"/>
          </w:rPr>
          <w:t> </w:t>
        </w:r>
        <w:r w:rsidRPr="003C00A4">
          <w:rPr>
            <w:rFonts w:ascii="Times New Roman" w:hAnsi="Times New Roman" w:cs="Times New Roman"/>
            <w:sz w:val="25"/>
            <w:szCs w:val="25"/>
          </w:rPr>
          <w:t>537/201</w:t>
        </w:r>
        <w:r w:rsidR="009C4A33" w:rsidRPr="003C00A4">
          <w:rPr>
            <w:rFonts w:ascii="Times New Roman" w:hAnsi="Times New Roman" w:cs="Times New Roman"/>
            <w:sz w:val="25"/>
            <w:szCs w:val="25"/>
          </w:rPr>
          <w:t>4 par īpašām prasībām attiecībā uz obligātajām revīzijām sabiedriskas nozīmes struktūrās un ar ko atceļ Komisijas Lēmumu 2005/909/EK</w:t>
        </w:r>
      </w:hyperlink>
      <w:r w:rsidRPr="003C00A4">
        <w:rPr>
          <w:rFonts w:ascii="Times New Roman" w:hAnsi="Times New Roman" w:cs="Times New Roman"/>
          <w:sz w:val="25"/>
          <w:szCs w:val="25"/>
        </w:rPr>
        <w:t xml:space="preserve"> noteikumus par revīzijas komitejām</w:t>
      </w:r>
      <w:r w:rsidR="009C7926" w:rsidRPr="003C00A4">
        <w:rPr>
          <w:rFonts w:ascii="Times New Roman" w:hAnsi="Times New Roman" w:cs="Times New Roman"/>
          <w:sz w:val="25"/>
          <w:szCs w:val="25"/>
        </w:rPr>
        <w:t>, ar jaunajām prasībām Finanšu instrumentu tirgus likumā (148.</w:t>
      </w:r>
      <w:r w:rsidR="00377F88" w:rsidRPr="003C00A4">
        <w:rPr>
          <w:rFonts w:ascii="Times New Roman" w:hAnsi="Times New Roman" w:cs="Times New Roman"/>
          <w:sz w:val="25"/>
          <w:szCs w:val="25"/>
        </w:rPr>
        <w:t> </w:t>
      </w:r>
      <w:r w:rsidR="009C7926" w:rsidRPr="003C00A4">
        <w:rPr>
          <w:rFonts w:ascii="Times New Roman" w:hAnsi="Times New Roman" w:cs="Times New Roman"/>
          <w:sz w:val="25"/>
          <w:szCs w:val="25"/>
        </w:rPr>
        <w:t xml:space="preserve">panta astoņpadsmitā daļa un grozījumi </w:t>
      </w:r>
      <w:r w:rsidR="009C6E54" w:rsidRPr="003C00A4">
        <w:rPr>
          <w:rFonts w:ascii="Times New Roman" w:hAnsi="Times New Roman" w:cs="Times New Roman"/>
          <w:sz w:val="25"/>
          <w:szCs w:val="25"/>
        </w:rPr>
        <w:t>F</w:t>
      </w:r>
      <w:r w:rsidR="009C7926" w:rsidRPr="003C00A4">
        <w:rPr>
          <w:rFonts w:ascii="Times New Roman" w:hAnsi="Times New Roman" w:cs="Times New Roman"/>
          <w:sz w:val="25"/>
          <w:szCs w:val="25"/>
        </w:rPr>
        <w:t>inanšu instrumentu tirgus likuma 150.</w:t>
      </w:r>
      <w:r w:rsidR="00377F88" w:rsidRPr="003C00A4">
        <w:rPr>
          <w:rFonts w:ascii="Times New Roman" w:hAnsi="Times New Roman" w:cs="Times New Roman"/>
          <w:sz w:val="25"/>
          <w:szCs w:val="25"/>
        </w:rPr>
        <w:t> </w:t>
      </w:r>
      <w:r w:rsidR="009C7926" w:rsidRPr="003C00A4">
        <w:rPr>
          <w:rFonts w:ascii="Times New Roman" w:hAnsi="Times New Roman" w:cs="Times New Roman"/>
          <w:sz w:val="25"/>
          <w:szCs w:val="25"/>
        </w:rPr>
        <w:t>pantā) paredzot stingrākas sankcijas likumu pārkāpušajai personai, nekā tās bija iepriekš, tostarp paredzēta</w:t>
      </w:r>
      <w:r w:rsidR="009C6E54" w:rsidRPr="003C00A4">
        <w:rPr>
          <w:rFonts w:ascii="Times New Roman" w:hAnsi="Times New Roman" w:cs="Times New Roman"/>
          <w:sz w:val="25"/>
          <w:szCs w:val="25"/>
        </w:rPr>
        <w:t>s</w:t>
      </w:r>
      <w:r w:rsidR="009C7926" w:rsidRPr="003C00A4">
        <w:rPr>
          <w:rFonts w:ascii="Times New Roman" w:hAnsi="Times New Roman" w:cs="Times New Roman"/>
          <w:sz w:val="25"/>
          <w:szCs w:val="25"/>
        </w:rPr>
        <w:t xml:space="preserve"> Finanšu un kapitāla tirgus komisijas tiesība</w:t>
      </w:r>
      <w:r w:rsidR="009C6E54" w:rsidRPr="003C00A4">
        <w:rPr>
          <w:rFonts w:ascii="Times New Roman" w:hAnsi="Times New Roman" w:cs="Times New Roman"/>
          <w:sz w:val="25"/>
          <w:szCs w:val="25"/>
        </w:rPr>
        <w:t>s</w:t>
      </w:r>
      <w:r w:rsidR="009C7926" w:rsidRPr="003C00A4">
        <w:rPr>
          <w:rFonts w:ascii="Times New Roman" w:hAnsi="Times New Roman" w:cs="Times New Roman"/>
          <w:sz w:val="25"/>
          <w:szCs w:val="25"/>
        </w:rPr>
        <w:t xml:space="preserve"> publicēt informāciju par sankcijām</w:t>
      </w:r>
      <w:r w:rsidRPr="003C00A4">
        <w:rPr>
          <w:rFonts w:ascii="Times New Roman" w:hAnsi="Times New Roman" w:cs="Times New Roman"/>
          <w:sz w:val="25"/>
          <w:szCs w:val="25"/>
        </w:rPr>
        <w:t xml:space="preserve">. </w:t>
      </w:r>
    </w:p>
    <w:p w:rsidR="00A553EB" w:rsidRPr="003C00A4" w:rsidRDefault="00A553EB" w:rsidP="006E276F">
      <w:pPr>
        <w:spacing w:after="0" w:line="240" w:lineRule="auto"/>
        <w:ind w:firstLine="720"/>
        <w:jc w:val="both"/>
        <w:rPr>
          <w:rFonts w:ascii="Times New Roman" w:hAnsi="Times New Roman" w:cs="Times New Roman"/>
          <w:sz w:val="25"/>
          <w:szCs w:val="25"/>
        </w:rPr>
      </w:pPr>
    </w:p>
    <w:p w:rsidR="00553CC0" w:rsidRPr="003C00A4" w:rsidRDefault="00553CC0" w:rsidP="00E245F6">
      <w:pPr>
        <w:spacing w:after="0" w:line="240" w:lineRule="auto"/>
        <w:ind w:firstLine="720"/>
        <w:jc w:val="both"/>
        <w:rPr>
          <w:rFonts w:ascii="Times New Roman" w:hAnsi="Times New Roman" w:cs="Times New Roman"/>
          <w:i/>
          <w:sz w:val="25"/>
          <w:szCs w:val="25"/>
        </w:rPr>
      </w:pPr>
      <w:r w:rsidRPr="003C00A4">
        <w:rPr>
          <w:rFonts w:ascii="Times New Roman" w:hAnsi="Times New Roman" w:cs="Times New Roman"/>
          <w:b/>
          <w:sz w:val="25"/>
          <w:szCs w:val="25"/>
        </w:rPr>
        <w:t>Papildu</w:t>
      </w:r>
      <w:r w:rsidR="00E245F6" w:rsidRPr="003C00A4">
        <w:rPr>
          <w:rFonts w:ascii="Times New Roman" w:hAnsi="Times New Roman" w:cs="Times New Roman"/>
          <w:b/>
          <w:sz w:val="25"/>
          <w:szCs w:val="25"/>
        </w:rPr>
        <w:t xml:space="preserve"> rekomendācija </w:t>
      </w:r>
      <w:r w:rsidR="009C0643" w:rsidRPr="003C00A4">
        <w:rPr>
          <w:rFonts w:ascii="Times New Roman" w:hAnsi="Times New Roman" w:cs="Times New Roman"/>
          <w:b/>
          <w:sz w:val="25"/>
          <w:szCs w:val="25"/>
        </w:rPr>
        <w:t>N</w:t>
      </w:r>
      <w:r w:rsidR="00E245F6" w:rsidRPr="003C00A4">
        <w:rPr>
          <w:rFonts w:ascii="Times New Roman" w:hAnsi="Times New Roman" w:cs="Times New Roman"/>
          <w:b/>
          <w:sz w:val="25"/>
          <w:szCs w:val="25"/>
        </w:rPr>
        <w:t>r.2:</w:t>
      </w:r>
      <w:r w:rsidRPr="003C00A4">
        <w:rPr>
          <w:rFonts w:ascii="Times New Roman" w:hAnsi="Times New Roman" w:cs="Times New Roman"/>
          <w:b/>
          <w:sz w:val="25"/>
          <w:szCs w:val="25"/>
        </w:rPr>
        <w:t xml:space="preserve"> </w:t>
      </w:r>
      <w:r w:rsidRPr="003C00A4">
        <w:rPr>
          <w:rFonts w:ascii="Times New Roman" w:hAnsi="Times New Roman" w:cs="Times New Roman"/>
          <w:b/>
          <w:i/>
          <w:sz w:val="25"/>
          <w:szCs w:val="25"/>
        </w:rPr>
        <w:t>Uzlabot piemērošanu un izveidot trauksmes cēlēju aizsardzību.</w:t>
      </w:r>
      <w:r w:rsidRPr="003C00A4">
        <w:rPr>
          <w:rFonts w:ascii="Times New Roman" w:hAnsi="Times New Roman" w:cs="Times New Roman"/>
          <w:i/>
          <w:sz w:val="25"/>
          <w:szCs w:val="25"/>
        </w:rPr>
        <w:t xml:space="preserve"> Latvijai jāturpina sasniegtais, lai stiprinātu lietu par tirgus pārkāpumiem, tajā skaitā, iekšējās informācijas izmantošanu, izpildes efektivitāti un koordinēšanu, kas ir būtiski, lai palielinātu uzticēšanos Latvijas kapitāla tirgum. Šiem centieniem jāietver arī atbilstošu ziņošanas kanālu izveide un trauksmes cēlēju aizsardzība, ņemot vērā svarīgo lomu, k</w:t>
      </w:r>
      <w:r w:rsidR="009C0643" w:rsidRPr="003C00A4">
        <w:rPr>
          <w:rFonts w:ascii="Times New Roman" w:hAnsi="Times New Roman" w:cs="Times New Roman"/>
          <w:i/>
          <w:sz w:val="25"/>
          <w:szCs w:val="25"/>
        </w:rPr>
        <w:t>as</w:t>
      </w:r>
      <w:r w:rsidRPr="003C00A4">
        <w:rPr>
          <w:rFonts w:ascii="Times New Roman" w:hAnsi="Times New Roman" w:cs="Times New Roman"/>
          <w:i/>
          <w:sz w:val="25"/>
          <w:szCs w:val="25"/>
        </w:rPr>
        <w:t xml:space="preserve"> trauksmes cēlēji</w:t>
      </w:r>
      <w:r w:rsidR="009C0643" w:rsidRPr="003C00A4">
        <w:rPr>
          <w:rFonts w:ascii="Times New Roman" w:hAnsi="Times New Roman" w:cs="Times New Roman"/>
          <w:i/>
          <w:sz w:val="25"/>
          <w:szCs w:val="25"/>
        </w:rPr>
        <w:t>em ir</w:t>
      </w:r>
      <w:r w:rsidRPr="003C00A4">
        <w:rPr>
          <w:rFonts w:ascii="Times New Roman" w:hAnsi="Times New Roman" w:cs="Times New Roman"/>
          <w:i/>
          <w:sz w:val="25"/>
          <w:szCs w:val="25"/>
        </w:rPr>
        <w:t xml:space="preserve"> pārkāpumu identificēšanā.</w:t>
      </w:r>
    </w:p>
    <w:p w:rsidR="003717D8" w:rsidRPr="003C00A4" w:rsidRDefault="003717D8" w:rsidP="00E245F6">
      <w:pPr>
        <w:spacing w:after="0" w:line="240" w:lineRule="auto"/>
        <w:ind w:firstLine="720"/>
        <w:jc w:val="both"/>
        <w:rPr>
          <w:rFonts w:ascii="Times New Roman" w:hAnsi="Times New Roman" w:cs="Times New Roman"/>
          <w:i/>
          <w:sz w:val="25"/>
          <w:szCs w:val="25"/>
        </w:rPr>
      </w:pPr>
    </w:p>
    <w:p w:rsidR="009256BA" w:rsidRPr="003C00A4" w:rsidRDefault="009256BA" w:rsidP="00912FE0">
      <w:pPr>
        <w:pStyle w:val="Vienkrsteksts"/>
        <w:ind w:firstLine="720"/>
        <w:jc w:val="both"/>
        <w:rPr>
          <w:rFonts w:ascii="Times New Roman" w:hAnsi="Times New Roman" w:cs="Times New Roman"/>
          <w:sz w:val="25"/>
          <w:szCs w:val="25"/>
        </w:rPr>
      </w:pPr>
      <w:r w:rsidRPr="003C00A4">
        <w:rPr>
          <w:rFonts w:ascii="Times New Roman" w:hAnsi="Times New Roman" w:cs="Times New Roman"/>
          <w:b/>
          <w:sz w:val="25"/>
          <w:szCs w:val="25"/>
        </w:rPr>
        <w:t xml:space="preserve">Kapitāla tirgus pārkāpumu novēršana. </w:t>
      </w:r>
      <w:r w:rsidR="00BB3C7C" w:rsidRPr="003C00A4">
        <w:rPr>
          <w:rFonts w:ascii="Times New Roman" w:hAnsi="Times New Roman" w:cs="Times New Roman"/>
          <w:sz w:val="25"/>
          <w:szCs w:val="25"/>
        </w:rPr>
        <w:t>Likums</w:t>
      </w:r>
      <w:r w:rsidR="00BB3C7C" w:rsidRPr="003C00A4">
        <w:rPr>
          <w:rFonts w:ascii="Times New Roman" w:hAnsi="Times New Roman" w:cs="Times New Roman"/>
          <w:b/>
          <w:sz w:val="25"/>
          <w:szCs w:val="25"/>
        </w:rPr>
        <w:t xml:space="preserve"> </w:t>
      </w:r>
      <w:r w:rsidR="00377F88" w:rsidRPr="003C00A4">
        <w:rPr>
          <w:rFonts w:ascii="Times New Roman" w:hAnsi="Times New Roman" w:cs="Times New Roman"/>
          <w:sz w:val="25"/>
          <w:szCs w:val="25"/>
        </w:rPr>
        <w:t>"</w:t>
      </w:r>
      <w:r w:rsidR="00BB3C7C" w:rsidRPr="003C00A4">
        <w:rPr>
          <w:rFonts w:ascii="Times New Roman" w:hAnsi="Times New Roman" w:cs="Times New Roman"/>
          <w:sz w:val="25"/>
          <w:szCs w:val="25"/>
        </w:rPr>
        <w:t>Grozījumi Finanšu instrumentu tirgus likumā</w:t>
      </w:r>
      <w:r w:rsidR="00377F88" w:rsidRPr="003C00A4">
        <w:rPr>
          <w:rFonts w:ascii="Times New Roman" w:hAnsi="Times New Roman" w:cs="Times New Roman"/>
          <w:sz w:val="25"/>
          <w:szCs w:val="25"/>
        </w:rPr>
        <w:t>"</w:t>
      </w:r>
      <w:r w:rsidR="00BB3C7C" w:rsidRPr="003C00A4">
        <w:rPr>
          <w:rFonts w:ascii="Times New Roman" w:hAnsi="Times New Roman" w:cs="Times New Roman"/>
          <w:sz w:val="25"/>
          <w:szCs w:val="25"/>
        </w:rPr>
        <w:t xml:space="preserve"> stājās spēkā 2016. gada 29. jūnijā.</w:t>
      </w:r>
      <w:r w:rsidR="00225D29" w:rsidRPr="003C00A4">
        <w:rPr>
          <w:rFonts w:ascii="Times New Roman" w:hAnsi="Times New Roman" w:cs="Times New Roman"/>
          <w:sz w:val="25"/>
          <w:szCs w:val="25"/>
        </w:rPr>
        <w:t xml:space="preserve"> Ar minēto likumu tiek pārskatītas sankcijas, kuras Finanšu un kapitāla tirgus komisija var piemērot informācijas atklātības</w:t>
      </w:r>
      <w:r w:rsidR="006B4BCF" w:rsidRPr="003C00A4">
        <w:rPr>
          <w:rFonts w:ascii="Times New Roman" w:hAnsi="Times New Roman" w:cs="Times New Roman"/>
          <w:sz w:val="25"/>
          <w:szCs w:val="25"/>
        </w:rPr>
        <w:t xml:space="preserve"> vai</w:t>
      </w:r>
      <w:r w:rsidR="00225D29" w:rsidRPr="003C00A4">
        <w:rPr>
          <w:rFonts w:ascii="Times New Roman" w:hAnsi="Times New Roman" w:cs="Times New Roman"/>
          <w:sz w:val="25"/>
          <w:szCs w:val="25"/>
        </w:rPr>
        <w:t xml:space="preserve"> akciju atpirkšanas piedāvājumu </w:t>
      </w:r>
      <w:r w:rsidR="006B4BCF" w:rsidRPr="003C00A4">
        <w:rPr>
          <w:rFonts w:ascii="Times New Roman" w:hAnsi="Times New Roman" w:cs="Times New Roman"/>
          <w:sz w:val="25"/>
          <w:szCs w:val="25"/>
        </w:rPr>
        <w:t>prasību neievērošanas</w:t>
      </w:r>
      <w:r w:rsidR="006419B1" w:rsidRPr="003C00A4">
        <w:rPr>
          <w:rFonts w:ascii="Times New Roman" w:hAnsi="Times New Roman" w:cs="Times New Roman"/>
          <w:sz w:val="25"/>
          <w:szCs w:val="25"/>
        </w:rPr>
        <w:t xml:space="preserve"> gadījumā</w:t>
      </w:r>
      <w:r w:rsidR="00225D29" w:rsidRPr="003C00A4">
        <w:rPr>
          <w:rFonts w:ascii="Times New Roman" w:hAnsi="Times New Roman" w:cs="Times New Roman"/>
          <w:sz w:val="25"/>
          <w:szCs w:val="25"/>
        </w:rPr>
        <w:t xml:space="preserve">. Tāpat minētais likums </w:t>
      </w:r>
      <w:r w:rsidR="001D133F" w:rsidRPr="003C00A4">
        <w:rPr>
          <w:rFonts w:ascii="Times New Roman" w:hAnsi="Times New Roman" w:cs="Times New Roman"/>
          <w:sz w:val="25"/>
          <w:szCs w:val="25"/>
        </w:rPr>
        <w:t>uzlabo</w:t>
      </w:r>
      <w:r w:rsidR="006B4BCF" w:rsidRPr="003C00A4">
        <w:rPr>
          <w:rFonts w:ascii="Times New Roman" w:hAnsi="Times New Roman" w:cs="Times New Roman"/>
          <w:sz w:val="25"/>
          <w:szCs w:val="25"/>
        </w:rPr>
        <w:t xml:space="preserve"> līdzšinējo akciju atpirkšanas piedāvājuma regulējumu</w:t>
      </w:r>
      <w:r w:rsidR="001D133F" w:rsidRPr="003C00A4">
        <w:rPr>
          <w:rFonts w:ascii="Times New Roman" w:hAnsi="Times New Roman" w:cs="Times New Roman"/>
          <w:sz w:val="25"/>
          <w:szCs w:val="25"/>
        </w:rPr>
        <w:t xml:space="preserve">, nosakot gan gadījumus, kad uzskatāms, ka personas rīkojas saskaņoti, </w:t>
      </w:r>
      <w:r w:rsidR="007309D3" w:rsidRPr="003C00A4">
        <w:rPr>
          <w:rFonts w:ascii="Times New Roman" w:hAnsi="Times New Roman" w:cs="Times New Roman"/>
          <w:sz w:val="25"/>
          <w:szCs w:val="25"/>
        </w:rPr>
        <w:t>ja vien tās Finanšu un kapitāla tirgus komisijai nepierāda pretējo, kā</w:t>
      </w:r>
      <w:r w:rsidR="006419B1" w:rsidRPr="003C00A4">
        <w:rPr>
          <w:rFonts w:ascii="Times New Roman" w:hAnsi="Times New Roman" w:cs="Times New Roman"/>
          <w:sz w:val="25"/>
          <w:szCs w:val="25"/>
        </w:rPr>
        <w:t xml:space="preserve"> arī</w:t>
      </w:r>
      <w:r w:rsidR="007309D3" w:rsidRPr="003C00A4">
        <w:rPr>
          <w:rFonts w:ascii="Times New Roman" w:hAnsi="Times New Roman" w:cs="Times New Roman"/>
          <w:sz w:val="25"/>
          <w:szCs w:val="25"/>
        </w:rPr>
        <w:t xml:space="preserve"> paredzot konkrētus vairākus izņēmuma gadījumus, kad obligāto akciju atpirkšanas piedāvājumu var neizteikt</w:t>
      </w:r>
      <w:r w:rsidR="006B4BCF" w:rsidRPr="003C00A4">
        <w:rPr>
          <w:rFonts w:ascii="Times New Roman" w:hAnsi="Times New Roman" w:cs="Times New Roman"/>
          <w:sz w:val="25"/>
          <w:szCs w:val="25"/>
        </w:rPr>
        <w:t>.</w:t>
      </w:r>
      <w:r w:rsidR="007309D3" w:rsidRPr="003C00A4">
        <w:rPr>
          <w:rFonts w:ascii="Times New Roman" w:hAnsi="Times New Roman" w:cs="Times New Roman"/>
          <w:sz w:val="25"/>
          <w:szCs w:val="25"/>
        </w:rPr>
        <w:t xml:space="preserve"> </w:t>
      </w:r>
    </w:p>
    <w:p w:rsidR="007309D3" w:rsidRPr="003C00A4" w:rsidRDefault="007309D3" w:rsidP="00912FE0">
      <w:pPr>
        <w:pStyle w:val="Vienkrsteksts"/>
        <w:ind w:firstLine="720"/>
        <w:jc w:val="both"/>
        <w:rPr>
          <w:rFonts w:ascii="Times New Roman" w:hAnsi="Times New Roman" w:cs="Times New Roman"/>
          <w:sz w:val="25"/>
          <w:szCs w:val="25"/>
        </w:rPr>
      </w:pPr>
      <w:r w:rsidRPr="003C00A4">
        <w:rPr>
          <w:rFonts w:ascii="Times New Roman" w:hAnsi="Times New Roman" w:cs="Times New Roman"/>
          <w:sz w:val="25"/>
          <w:szCs w:val="25"/>
        </w:rPr>
        <w:t>Kā izriet no iepriekš minētā, ar 2016.</w:t>
      </w:r>
      <w:r w:rsidR="006419B1" w:rsidRPr="003C00A4">
        <w:rPr>
          <w:rFonts w:ascii="Times New Roman" w:hAnsi="Times New Roman" w:cs="Times New Roman"/>
          <w:sz w:val="25"/>
          <w:szCs w:val="25"/>
        </w:rPr>
        <w:t> gada 3.</w:t>
      </w:r>
      <w:r w:rsidR="00377F88" w:rsidRPr="003C00A4">
        <w:rPr>
          <w:rFonts w:ascii="Times New Roman" w:hAnsi="Times New Roman" w:cs="Times New Roman"/>
          <w:sz w:val="25"/>
          <w:szCs w:val="25"/>
        </w:rPr>
        <w:t> </w:t>
      </w:r>
      <w:r w:rsidR="006419B1" w:rsidRPr="003C00A4">
        <w:rPr>
          <w:rFonts w:ascii="Times New Roman" w:hAnsi="Times New Roman" w:cs="Times New Roman"/>
          <w:sz w:val="25"/>
          <w:szCs w:val="25"/>
        </w:rPr>
        <w:t xml:space="preserve">jūliju </w:t>
      </w:r>
      <w:r w:rsidRPr="003C00A4">
        <w:rPr>
          <w:rFonts w:ascii="Times New Roman" w:hAnsi="Times New Roman" w:cs="Times New Roman"/>
          <w:sz w:val="25"/>
          <w:szCs w:val="25"/>
        </w:rPr>
        <w:t xml:space="preserve">noteikti administratīvie sodi par iekšējās informācijas izmantošanu un tirgus manipulācijām, ja personas izdarītais pārkāpums nav </w:t>
      </w:r>
      <w:r w:rsidR="006419B1" w:rsidRPr="003C00A4">
        <w:rPr>
          <w:rFonts w:ascii="Times New Roman" w:hAnsi="Times New Roman" w:cs="Times New Roman"/>
          <w:sz w:val="25"/>
          <w:szCs w:val="25"/>
        </w:rPr>
        <w:t xml:space="preserve">tik </w:t>
      </w:r>
      <w:r w:rsidRPr="003C00A4">
        <w:rPr>
          <w:rFonts w:ascii="Times New Roman" w:hAnsi="Times New Roman" w:cs="Times New Roman"/>
          <w:sz w:val="25"/>
          <w:szCs w:val="25"/>
        </w:rPr>
        <w:t>nopietns gadījums, par kuru ir paredzēta kriminālatbildība.</w:t>
      </w:r>
    </w:p>
    <w:p w:rsidR="007038FF" w:rsidRPr="003C00A4" w:rsidRDefault="007038FF" w:rsidP="00AF6FC2">
      <w:pPr>
        <w:pStyle w:val="Vienkrsteksts"/>
        <w:ind w:firstLine="720"/>
        <w:jc w:val="both"/>
        <w:rPr>
          <w:rFonts w:ascii="Times New Roman" w:hAnsi="Times New Roman" w:cs="Times New Roman"/>
          <w:sz w:val="25"/>
          <w:szCs w:val="25"/>
        </w:rPr>
      </w:pPr>
      <w:r w:rsidRPr="003C00A4">
        <w:rPr>
          <w:rFonts w:ascii="Times New Roman" w:hAnsi="Times New Roman" w:cs="Times New Roman"/>
          <w:sz w:val="25"/>
          <w:szCs w:val="25"/>
        </w:rPr>
        <w:t>2016. gada 1. </w:t>
      </w:r>
      <w:r w:rsidR="007309D3" w:rsidRPr="003C00A4">
        <w:rPr>
          <w:rFonts w:ascii="Times New Roman" w:hAnsi="Times New Roman" w:cs="Times New Roman"/>
          <w:sz w:val="25"/>
          <w:szCs w:val="25"/>
        </w:rPr>
        <w:t xml:space="preserve">martā </w:t>
      </w:r>
      <w:r w:rsidRPr="003C00A4">
        <w:rPr>
          <w:rFonts w:ascii="Times New Roman" w:hAnsi="Times New Roman" w:cs="Times New Roman"/>
          <w:sz w:val="25"/>
          <w:szCs w:val="25"/>
        </w:rPr>
        <w:t xml:space="preserve">spēkā stājās likums </w:t>
      </w:r>
      <w:r w:rsidR="00377F88" w:rsidRPr="003C00A4">
        <w:rPr>
          <w:rFonts w:ascii="Times New Roman" w:hAnsi="Times New Roman" w:cs="Times New Roman"/>
          <w:sz w:val="25"/>
          <w:szCs w:val="25"/>
        </w:rPr>
        <w:t>"</w:t>
      </w:r>
      <w:r w:rsidRPr="003C00A4">
        <w:rPr>
          <w:rFonts w:ascii="Times New Roman" w:hAnsi="Times New Roman" w:cs="Times New Roman"/>
          <w:sz w:val="25"/>
          <w:szCs w:val="25"/>
        </w:rPr>
        <w:t>Grozījumi Krimināllikumā</w:t>
      </w:r>
      <w:r w:rsidR="00377F88" w:rsidRPr="003C00A4">
        <w:rPr>
          <w:rFonts w:ascii="Times New Roman" w:hAnsi="Times New Roman" w:cs="Times New Roman"/>
          <w:sz w:val="25"/>
          <w:szCs w:val="25"/>
        </w:rPr>
        <w:t>"</w:t>
      </w:r>
      <w:r w:rsidRPr="003C00A4">
        <w:rPr>
          <w:rFonts w:ascii="Times New Roman" w:hAnsi="Times New Roman" w:cs="Times New Roman"/>
          <w:sz w:val="25"/>
          <w:szCs w:val="25"/>
        </w:rPr>
        <w:t xml:space="preserve">, ar kuru tiek </w:t>
      </w:r>
      <w:r w:rsidR="007309D3" w:rsidRPr="003C00A4">
        <w:rPr>
          <w:rFonts w:ascii="Times New Roman" w:hAnsi="Times New Roman" w:cs="Times New Roman"/>
          <w:sz w:val="25"/>
          <w:szCs w:val="25"/>
        </w:rPr>
        <w:t xml:space="preserve">veiktas izmaiņas </w:t>
      </w:r>
      <w:r w:rsidRPr="003C00A4">
        <w:rPr>
          <w:rFonts w:ascii="Times New Roman" w:hAnsi="Times New Roman" w:cs="Times New Roman"/>
          <w:sz w:val="25"/>
          <w:szCs w:val="25"/>
        </w:rPr>
        <w:t>atbildīb</w:t>
      </w:r>
      <w:r w:rsidR="007309D3" w:rsidRPr="003C00A4">
        <w:rPr>
          <w:rFonts w:ascii="Times New Roman" w:hAnsi="Times New Roman" w:cs="Times New Roman"/>
          <w:sz w:val="25"/>
          <w:szCs w:val="25"/>
        </w:rPr>
        <w:t>ā</w:t>
      </w:r>
      <w:r w:rsidRPr="003C00A4">
        <w:rPr>
          <w:rFonts w:ascii="Times New Roman" w:hAnsi="Times New Roman" w:cs="Times New Roman"/>
          <w:sz w:val="25"/>
          <w:szCs w:val="25"/>
        </w:rPr>
        <w:t xml:space="preserve"> par iekšējās informācijas nelikumīgu izmantošanu un manipulācijām finanšu tirgos (</w:t>
      </w:r>
      <w:r w:rsidR="007309D3" w:rsidRPr="003C00A4">
        <w:rPr>
          <w:rFonts w:ascii="Times New Roman" w:hAnsi="Times New Roman" w:cs="Times New Roman"/>
          <w:sz w:val="25"/>
          <w:szCs w:val="25"/>
        </w:rPr>
        <w:t>jaun</w:t>
      </w:r>
      <w:r w:rsidR="00AA659D" w:rsidRPr="003C00A4">
        <w:rPr>
          <w:rFonts w:ascii="Times New Roman" w:hAnsi="Times New Roman" w:cs="Times New Roman"/>
          <w:sz w:val="25"/>
          <w:szCs w:val="25"/>
        </w:rPr>
        <w:t>s</w:t>
      </w:r>
      <w:r w:rsidR="007309D3" w:rsidRPr="003C00A4">
        <w:rPr>
          <w:rFonts w:ascii="Times New Roman" w:hAnsi="Times New Roman" w:cs="Times New Roman"/>
          <w:sz w:val="25"/>
          <w:szCs w:val="25"/>
        </w:rPr>
        <w:t xml:space="preserve"> pants Krimināllikumā - </w:t>
      </w:r>
      <w:r w:rsidRPr="003C00A4">
        <w:rPr>
          <w:rFonts w:ascii="Times New Roman" w:hAnsi="Times New Roman" w:cs="Times New Roman"/>
          <w:sz w:val="25"/>
          <w:szCs w:val="25"/>
        </w:rPr>
        <w:t xml:space="preserve">Krimināllikuma </w:t>
      </w:r>
      <w:proofErr w:type="gramStart"/>
      <w:r w:rsidRPr="003C00A4">
        <w:rPr>
          <w:rFonts w:ascii="Times New Roman" w:hAnsi="Times New Roman" w:cs="Times New Roman"/>
          <w:sz w:val="25"/>
          <w:szCs w:val="25"/>
        </w:rPr>
        <w:t>193.</w:t>
      </w:r>
      <w:r w:rsidRPr="003C00A4">
        <w:rPr>
          <w:rFonts w:ascii="Times New Roman" w:hAnsi="Times New Roman" w:cs="Times New Roman"/>
          <w:sz w:val="25"/>
          <w:szCs w:val="25"/>
          <w:vertAlign w:val="superscript"/>
        </w:rPr>
        <w:t>2</w:t>
      </w:r>
      <w:r w:rsidR="00377F88" w:rsidRPr="003C00A4">
        <w:rPr>
          <w:rFonts w:ascii="Times New Roman" w:hAnsi="Times New Roman" w:cs="Times New Roman"/>
          <w:sz w:val="25"/>
          <w:szCs w:val="25"/>
        </w:rPr>
        <w:t> </w:t>
      </w:r>
      <w:r w:rsidRPr="003C00A4">
        <w:rPr>
          <w:rFonts w:ascii="Times New Roman" w:hAnsi="Times New Roman" w:cs="Times New Roman"/>
          <w:sz w:val="25"/>
          <w:szCs w:val="25"/>
        </w:rPr>
        <w:t>pants</w:t>
      </w:r>
      <w:proofErr w:type="gramEnd"/>
      <w:r w:rsidR="007309D3" w:rsidRPr="003C00A4">
        <w:rPr>
          <w:rFonts w:ascii="Times New Roman" w:hAnsi="Times New Roman" w:cs="Times New Roman"/>
          <w:sz w:val="25"/>
          <w:szCs w:val="25"/>
        </w:rPr>
        <w:t>, vienlaikus veicot grozījumus Krimināllikuma 193.</w:t>
      </w:r>
      <w:r w:rsidR="00377F88" w:rsidRPr="003C00A4">
        <w:rPr>
          <w:rFonts w:ascii="Times New Roman" w:hAnsi="Times New Roman" w:cs="Times New Roman"/>
          <w:sz w:val="25"/>
          <w:szCs w:val="25"/>
        </w:rPr>
        <w:t> </w:t>
      </w:r>
      <w:r w:rsidR="007309D3" w:rsidRPr="003C00A4">
        <w:rPr>
          <w:rFonts w:ascii="Times New Roman" w:hAnsi="Times New Roman" w:cs="Times New Roman"/>
          <w:sz w:val="25"/>
          <w:szCs w:val="25"/>
        </w:rPr>
        <w:t>pantā, kurā iepriekš bija paredzēta atbildība par iekšējās informācijas izmantošanu un tirgus manipulācijām</w:t>
      </w:r>
      <w:r w:rsidRPr="003C00A4">
        <w:rPr>
          <w:rFonts w:ascii="Times New Roman" w:hAnsi="Times New Roman" w:cs="Times New Roman"/>
          <w:sz w:val="25"/>
          <w:szCs w:val="25"/>
        </w:rPr>
        <w:t xml:space="preserve">). </w:t>
      </w:r>
      <w:r w:rsidR="00AF6FC2" w:rsidRPr="003C00A4">
        <w:rPr>
          <w:rFonts w:ascii="Times New Roman" w:hAnsi="Times New Roman" w:cs="Times New Roman"/>
          <w:sz w:val="25"/>
          <w:szCs w:val="25"/>
        </w:rPr>
        <w:t>Minētais likums paredz, ka par iekšējās informācijas nelikumīgu izmantošanu finanšu tirgos, ieteikšanu citai personai vai citas personas pamudināšanu iesaistīties iekšējās informācijas nelikumīgā izmantošanā finanšu tirgos, kā arī par manipulācijām finanšu tirgos, ja ar to radītas smagas sekas</w:t>
      </w:r>
      <w:r w:rsidR="007309D3" w:rsidRPr="003C00A4">
        <w:rPr>
          <w:rFonts w:ascii="Times New Roman" w:hAnsi="Times New Roman" w:cs="Times New Roman"/>
          <w:sz w:val="25"/>
          <w:szCs w:val="25"/>
        </w:rPr>
        <w:t xml:space="preserve"> (ar ''smagām sekām'' aizstājot ''būtisko kaitējumu''</w:t>
      </w:r>
      <w:r w:rsidR="00AA659D" w:rsidRPr="003C00A4">
        <w:rPr>
          <w:rFonts w:ascii="Times New Roman" w:hAnsi="Times New Roman" w:cs="Times New Roman"/>
          <w:sz w:val="25"/>
          <w:szCs w:val="25"/>
        </w:rPr>
        <w:t>, kas kā kvalificējošais apstāklis atbildībai bija iepriekš</w:t>
      </w:r>
      <w:r w:rsidR="007309D3" w:rsidRPr="003C00A4">
        <w:rPr>
          <w:rFonts w:ascii="Times New Roman" w:hAnsi="Times New Roman" w:cs="Times New Roman"/>
          <w:sz w:val="25"/>
          <w:szCs w:val="25"/>
        </w:rPr>
        <w:t>)</w:t>
      </w:r>
      <w:r w:rsidR="00AF6FC2" w:rsidRPr="003C00A4">
        <w:rPr>
          <w:rFonts w:ascii="Times New Roman" w:hAnsi="Times New Roman" w:cs="Times New Roman"/>
          <w:sz w:val="25"/>
          <w:szCs w:val="25"/>
        </w:rPr>
        <w:t xml:space="preserve">, soda ar brīvības atņemšanu uz laiku līdz četriem gadiem vai ar īslaicīgu brīvības atņemšanu, vai ar piespiedu darbu, vai ar naudas sodu. </w:t>
      </w:r>
      <w:r w:rsidR="007309D3" w:rsidRPr="003C00A4">
        <w:rPr>
          <w:rFonts w:ascii="Times New Roman" w:hAnsi="Times New Roman" w:cs="Times New Roman"/>
          <w:sz w:val="25"/>
          <w:szCs w:val="25"/>
        </w:rPr>
        <w:t>Vienlaikus</w:t>
      </w:r>
      <w:r w:rsidR="00AF6FC2" w:rsidRPr="003C00A4">
        <w:rPr>
          <w:rFonts w:ascii="Times New Roman" w:hAnsi="Times New Roman" w:cs="Times New Roman"/>
          <w:sz w:val="25"/>
          <w:szCs w:val="25"/>
        </w:rPr>
        <w:t xml:space="preserve"> 2016.</w:t>
      </w:r>
      <w:r w:rsidR="00377F88" w:rsidRPr="003C00A4">
        <w:rPr>
          <w:rFonts w:ascii="Times New Roman" w:hAnsi="Times New Roman" w:cs="Times New Roman"/>
          <w:sz w:val="25"/>
          <w:szCs w:val="25"/>
        </w:rPr>
        <w:t> </w:t>
      </w:r>
      <w:r w:rsidR="00AF6FC2" w:rsidRPr="003C00A4">
        <w:rPr>
          <w:rFonts w:ascii="Times New Roman" w:hAnsi="Times New Roman" w:cs="Times New Roman"/>
          <w:sz w:val="25"/>
          <w:szCs w:val="25"/>
        </w:rPr>
        <w:t>gada 1.</w:t>
      </w:r>
      <w:r w:rsidR="00377F88" w:rsidRPr="003C00A4">
        <w:rPr>
          <w:rFonts w:ascii="Times New Roman" w:hAnsi="Times New Roman" w:cs="Times New Roman"/>
          <w:sz w:val="25"/>
          <w:szCs w:val="25"/>
        </w:rPr>
        <w:t> </w:t>
      </w:r>
      <w:r w:rsidR="00AF6FC2" w:rsidRPr="003C00A4">
        <w:rPr>
          <w:rFonts w:ascii="Times New Roman" w:hAnsi="Times New Roman" w:cs="Times New Roman"/>
          <w:sz w:val="25"/>
          <w:szCs w:val="25"/>
        </w:rPr>
        <w:t xml:space="preserve">martā spēkā stājās likums </w:t>
      </w:r>
      <w:r w:rsidR="00377F88" w:rsidRPr="003C00A4">
        <w:rPr>
          <w:rFonts w:ascii="Times New Roman" w:hAnsi="Times New Roman" w:cs="Times New Roman"/>
          <w:sz w:val="25"/>
          <w:szCs w:val="25"/>
        </w:rPr>
        <w:t>"</w:t>
      </w:r>
      <w:r w:rsidR="00AF6FC2" w:rsidRPr="003C00A4">
        <w:rPr>
          <w:rFonts w:ascii="Times New Roman" w:hAnsi="Times New Roman" w:cs="Times New Roman"/>
          <w:sz w:val="25"/>
          <w:szCs w:val="25"/>
        </w:rPr>
        <w:t xml:space="preserve">Grozījumi likumā </w:t>
      </w:r>
      <w:r w:rsidR="00377F88" w:rsidRPr="003C00A4">
        <w:rPr>
          <w:rFonts w:ascii="Times New Roman" w:hAnsi="Times New Roman" w:cs="Times New Roman"/>
          <w:sz w:val="25"/>
          <w:szCs w:val="25"/>
        </w:rPr>
        <w:t>"</w:t>
      </w:r>
      <w:r w:rsidR="00AF6FC2" w:rsidRPr="003C00A4">
        <w:rPr>
          <w:rFonts w:ascii="Times New Roman" w:hAnsi="Times New Roman" w:cs="Times New Roman"/>
          <w:sz w:val="25"/>
          <w:szCs w:val="25"/>
        </w:rPr>
        <w:t>Par Krimināllikuma spēkā stāšanās un piemērošanas kārtību</w:t>
      </w:r>
      <w:r w:rsidR="00377F88" w:rsidRPr="003C00A4">
        <w:rPr>
          <w:rFonts w:ascii="Times New Roman" w:hAnsi="Times New Roman" w:cs="Times New Roman"/>
          <w:sz w:val="25"/>
          <w:szCs w:val="25"/>
        </w:rPr>
        <w:t>""</w:t>
      </w:r>
      <w:r w:rsidR="007309D3" w:rsidRPr="003C00A4">
        <w:rPr>
          <w:rFonts w:ascii="Times New Roman" w:hAnsi="Times New Roman" w:cs="Times New Roman"/>
          <w:sz w:val="25"/>
          <w:szCs w:val="25"/>
        </w:rPr>
        <w:t>, ar kuru tiek noteikti gadījumi, kad ir ''smagas sekas'' Krimināllikuma 193.</w:t>
      </w:r>
      <w:r w:rsidR="007309D3" w:rsidRPr="003C00A4">
        <w:rPr>
          <w:rFonts w:ascii="Times New Roman" w:hAnsi="Times New Roman" w:cs="Times New Roman"/>
          <w:sz w:val="25"/>
          <w:szCs w:val="25"/>
          <w:vertAlign w:val="superscript"/>
        </w:rPr>
        <w:t>2</w:t>
      </w:r>
      <w:r w:rsidR="00377F88" w:rsidRPr="003C00A4">
        <w:rPr>
          <w:rFonts w:ascii="Times New Roman" w:hAnsi="Times New Roman" w:cs="Times New Roman"/>
          <w:sz w:val="25"/>
          <w:szCs w:val="25"/>
        </w:rPr>
        <w:t> </w:t>
      </w:r>
      <w:r w:rsidR="007309D3" w:rsidRPr="003C00A4">
        <w:rPr>
          <w:rFonts w:ascii="Times New Roman" w:hAnsi="Times New Roman" w:cs="Times New Roman"/>
          <w:sz w:val="25"/>
          <w:szCs w:val="25"/>
        </w:rPr>
        <w:t>panta izpratnē</w:t>
      </w:r>
      <w:r w:rsidR="00AF6FC2" w:rsidRPr="003C00A4">
        <w:rPr>
          <w:rFonts w:ascii="Times New Roman" w:hAnsi="Times New Roman" w:cs="Times New Roman"/>
          <w:sz w:val="25"/>
          <w:szCs w:val="25"/>
        </w:rPr>
        <w:t xml:space="preserve">. Minētais likums paredz, ka atbildība par </w:t>
      </w:r>
      <w:hyperlink r:id="rId20" w:tgtFrame="_blank" w:history="1">
        <w:r w:rsidR="00AF6FC2" w:rsidRPr="003C00A4">
          <w:rPr>
            <w:rFonts w:ascii="Times New Roman" w:hAnsi="Times New Roman" w:cs="Times New Roman"/>
            <w:sz w:val="25"/>
            <w:szCs w:val="25"/>
          </w:rPr>
          <w:t>Krimināllikuma</w:t>
        </w:r>
      </w:hyperlink>
      <w:r w:rsidR="00AF6FC2" w:rsidRPr="003C00A4">
        <w:rPr>
          <w:rFonts w:ascii="Times New Roman" w:hAnsi="Times New Roman" w:cs="Times New Roman"/>
          <w:sz w:val="25"/>
          <w:szCs w:val="25"/>
        </w:rPr>
        <w:t xml:space="preserve"> </w:t>
      </w:r>
      <w:hyperlink r:id="rId21" w:anchor="p193.2" w:tgtFrame="_blank" w:history="1">
        <w:r w:rsidR="00AF6FC2" w:rsidRPr="003C00A4">
          <w:rPr>
            <w:rFonts w:ascii="Times New Roman" w:hAnsi="Times New Roman" w:cs="Times New Roman"/>
            <w:sz w:val="25"/>
            <w:szCs w:val="25"/>
          </w:rPr>
          <w:t>193.</w:t>
        </w:r>
        <w:r w:rsidR="00AF6FC2" w:rsidRPr="003C00A4">
          <w:rPr>
            <w:rFonts w:ascii="Times New Roman" w:hAnsi="Times New Roman" w:cs="Times New Roman"/>
            <w:sz w:val="25"/>
            <w:szCs w:val="25"/>
            <w:vertAlign w:val="superscript"/>
          </w:rPr>
          <w:t>2</w:t>
        </w:r>
        <w:r w:rsidR="00377F88" w:rsidRPr="003C00A4">
          <w:rPr>
            <w:rFonts w:ascii="Times New Roman" w:hAnsi="Times New Roman" w:cs="Times New Roman"/>
            <w:sz w:val="25"/>
            <w:szCs w:val="25"/>
          </w:rPr>
          <w:t> </w:t>
        </w:r>
        <w:r w:rsidR="00AF6FC2" w:rsidRPr="003C00A4">
          <w:rPr>
            <w:rFonts w:ascii="Times New Roman" w:hAnsi="Times New Roman" w:cs="Times New Roman"/>
            <w:sz w:val="25"/>
            <w:szCs w:val="25"/>
          </w:rPr>
          <w:t>pantā</w:t>
        </w:r>
      </w:hyperlink>
      <w:r w:rsidR="00AF6FC2" w:rsidRPr="003C00A4">
        <w:rPr>
          <w:rFonts w:ascii="Times New Roman" w:hAnsi="Times New Roman" w:cs="Times New Roman"/>
          <w:sz w:val="25"/>
          <w:szCs w:val="25"/>
        </w:rPr>
        <w:t xml:space="preserve"> paredzēto noziedzīgo nodarījumu, kas izraisījis smagas sekas, iestājas, ja iegūtā peļņa, novērstie zaudējumi, iesniegto rīkojumu kopējais apmērs, izmantoto finanšu instrumentu vai tūlītēju preču darījuma līgumu vērtība vai izmantoto līdzekļu kopējā summa noziedzīga nodarījuma izdarīšanas brīdī pārsniedz 50 tai laikā Latvijas Republikā noteikto minimālo mēnešalgu kopsummu.</w:t>
      </w:r>
    </w:p>
    <w:p w:rsidR="0077465F" w:rsidRPr="003C00A4" w:rsidRDefault="002337A3" w:rsidP="0077465F">
      <w:pPr>
        <w:pStyle w:val="Default"/>
        <w:ind w:firstLine="720"/>
        <w:jc w:val="both"/>
        <w:rPr>
          <w:rFonts w:ascii="Times New Roman" w:hAnsi="Times New Roman" w:cs="Times New Roman"/>
          <w:sz w:val="25"/>
          <w:szCs w:val="25"/>
        </w:rPr>
      </w:pPr>
      <w:r w:rsidRPr="003C00A4">
        <w:rPr>
          <w:rFonts w:ascii="Times New Roman" w:hAnsi="Times New Roman" w:cs="Times New Roman"/>
          <w:sz w:val="25"/>
          <w:szCs w:val="25"/>
        </w:rPr>
        <w:lastRenderedPageBreak/>
        <w:t>Lai ieviest</w:t>
      </w:r>
      <w:r w:rsidR="0019507B" w:rsidRPr="003C00A4">
        <w:rPr>
          <w:rFonts w:ascii="Times New Roman" w:hAnsi="Times New Roman" w:cs="Times New Roman"/>
          <w:sz w:val="25"/>
          <w:szCs w:val="25"/>
        </w:rPr>
        <w:t>u</w:t>
      </w:r>
      <w:r w:rsidRPr="003C00A4">
        <w:rPr>
          <w:rFonts w:ascii="Times New Roman" w:hAnsi="Times New Roman" w:cs="Times New Roman"/>
          <w:sz w:val="25"/>
          <w:szCs w:val="25"/>
        </w:rPr>
        <w:t xml:space="preserve"> Komisijas 2015.</w:t>
      </w:r>
      <w:r w:rsidR="0019507B" w:rsidRPr="003C00A4">
        <w:rPr>
          <w:rFonts w:ascii="Times New Roman" w:hAnsi="Times New Roman" w:cs="Times New Roman"/>
          <w:sz w:val="25"/>
          <w:szCs w:val="25"/>
        </w:rPr>
        <w:t> </w:t>
      </w:r>
      <w:r w:rsidRPr="003C00A4">
        <w:rPr>
          <w:rFonts w:ascii="Times New Roman" w:hAnsi="Times New Roman" w:cs="Times New Roman"/>
          <w:sz w:val="25"/>
          <w:szCs w:val="25"/>
        </w:rPr>
        <w:t>gada 17.</w:t>
      </w:r>
      <w:r w:rsidR="0019507B" w:rsidRPr="003C00A4">
        <w:rPr>
          <w:rFonts w:ascii="Times New Roman" w:hAnsi="Times New Roman" w:cs="Times New Roman"/>
          <w:sz w:val="25"/>
          <w:szCs w:val="25"/>
        </w:rPr>
        <w:t> </w:t>
      </w:r>
      <w:r w:rsidRPr="003C00A4">
        <w:rPr>
          <w:rFonts w:ascii="Times New Roman" w:hAnsi="Times New Roman" w:cs="Times New Roman"/>
          <w:sz w:val="25"/>
          <w:szCs w:val="25"/>
        </w:rPr>
        <w:t xml:space="preserve">decembra </w:t>
      </w:r>
      <w:r w:rsidR="0019507B" w:rsidRPr="003C00A4">
        <w:rPr>
          <w:rFonts w:ascii="Times New Roman" w:hAnsi="Times New Roman" w:cs="Times New Roman"/>
          <w:sz w:val="25"/>
          <w:szCs w:val="25"/>
        </w:rPr>
        <w:t>Īstenošanas Direktīvu (ES)</w:t>
      </w:r>
      <w:r w:rsidR="0019507B" w:rsidRPr="003C00A4">
        <w:rPr>
          <w:sz w:val="25"/>
          <w:szCs w:val="25"/>
        </w:rPr>
        <w:t xml:space="preserve"> </w:t>
      </w:r>
      <w:r w:rsidR="0019507B" w:rsidRPr="003C00A4">
        <w:rPr>
          <w:rFonts w:ascii="Times New Roman" w:hAnsi="Times New Roman" w:cs="Times New Roman"/>
          <w:sz w:val="25"/>
          <w:szCs w:val="25"/>
        </w:rPr>
        <w:t>par Eiropas Parlament</w:t>
      </w:r>
      <w:r w:rsidR="00482E5D" w:rsidRPr="003C00A4">
        <w:rPr>
          <w:rFonts w:ascii="Times New Roman" w:hAnsi="Times New Roman" w:cs="Times New Roman"/>
          <w:sz w:val="25"/>
          <w:szCs w:val="25"/>
        </w:rPr>
        <w:t>a un Padomes Regulu (ES) Nr.</w:t>
      </w:r>
      <w:r w:rsidR="00377F88" w:rsidRPr="003C00A4">
        <w:rPr>
          <w:rFonts w:ascii="Times New Roman" w:hAnsi="Times New Roman" w:cs="Times New Roman"/>
          <w:sz w:val="25"/>
          <w:szCs w:val="25"/>
        </w:rPr>
        <w:t> </w:t>
      </w:r>
      <w:r w:rsidR="0019507B" w:rsidRPr="003C00A4">
        <w:rPr>
          <w:rFonts w:ascii="Times New Roman" w:hAnsi="Times New Roman" w:cs="Times New Roman"/>
          <w:sz w:val="25"/>
          <w:szCs w:val="25"/>
        </w:rPr>
        <w:t>596/2014 attiecībā uz ziņošanu kompetentajām iestādēm par faktiskajiem vai iespējamajiem minētās regulas pārkāpumiem</w:t>
      </w:r>
      <w:r w:rsidR="00482E5D" w:rsidRPr="003C00A4">
        <w:rPr>
          <w:rFonts w:ascii="Times New Roman" w:hAnsi="Times New Roman" w:cs="Times New Roman"/>
          <w:sz w:val="25"/>
          <w:szCs w:val="25"/>
        </w:rPr>
        <w:t xml:space="preserve">, Finanšu un kapitāla tirgus komisija ir pieņēmusi noteikumus, kas paredz kārtību, kādā personas var ziņot par </w:t>
      </w:r>
      <w:r w:rsidR="0077465F" w:rsidRPr="003C00A4">
        <w:rPr>
          <w:rFonts w:ascii="Times New Roman" w:hAnsi="Times New Roman" w:cs="Times New Roman"/>
          <w:sz w:val="25"/>
          <w:szCs w:val="25"/>
        </w:rPr>
        <w:t xml:space="preserve">gadījumiem, kad pārkāptas prasības, kas izriet no </w:t>
      </w:r>
      <w:r w:rsidR="00F17B6B" w:rsidRPr="003C00A4">
        <w:rPr>
          <w:rFonts w:ascii="Times New Roman" w:hAnsi="Times New Roman" w:cs="Times New Roman"/>
          <w:sz w:val="25"/>
          <w:szCs w:val="25"/>
        </w:rPr>
        <w:t>Regulas Nr. </w:t>
      </w:r>
      <w:r w:rsidR="00F17B6B" w:rsidRPr="003C00A4">
        <w:rPr>
          <w:rFonts w:ascii="Times New Roman" w:hAnsi="Times New Roman" w:cs="Times New Roman"/>
          <w:sz w:val="25"/>
          <w:szCs w:val="25"/>
        </w:rPr>
        <w:t>596/2014</w:t>
      </w:r>
      <w:r w:rsidR="0077465F" w:rsidRPr="003C00A4">
        <w:rPr>
          <w:rFonts w:ascii="Times New Roman" w:hAnsi="Times New Roman" w:cs="Times New Roman"/>
          <w:sz w:val="25"/>
          <w:szCs w:val="25"/>
        </w:rPr>
        <w:t>. Minētie noteikumi paredz, ka Finanšu un kapitāla tirgus komisijai ir pienākums nodrošināt tās personas, kura sniegusi informāciju par potenciālajiem pārkāpumiem, konfidencialitāt</w:t>
      </w:r>
      <w:r w:rsidR="006419B1" w:rsidRPr="003C00A4">
        <w:rPr>
          <w:rFonts w:ascii="Times New Roman" w:hAnsi="Times New Roman" w:cs="Times New Roman"/>
          <w:sz w:val="25"/>
          <w:szCs w:val="25"/>
        </w:rPr>
        <w:t>i</w:t>
      </w:r>
      <w:r w:rsidR="0077465F" w:rsidRPr="003C00A4">
        <w:rPr>
          <w:rFonts w:ascii="Times New Roman" w:hAnsi="Times New Roman" w:cs="Times New Roman"/>
          <w:sz w:val="25"/>
          <w:szCs w:val="25"/>
        </w:rPr>
        <w:t xml:space="preserve"> un datu aizsardzīb</w:t>
      </w:r>
      <w:r w:rsidR="006419B1" w:rsidRPr="003C00A4">
        <w:rPr>
          <w:rFonts w:ascii="Times New Roman" w:hAnsi="Times New Roman" w:cs="Times New Roman"/>
          <w:sz w:val="25"/>
          <w:szCs w:val="25"/>
        </w:rPr>
        <w:t>u</w:t>
      </w:r>
      <w:r w:rsidR="0077465F" w:rsidRPr="003C00A4">
        <w:rPr>
          <w:rFonts w:ascii="Times New Roman" w:hAnsi="Times New Roman" w:cs="Times New Roman"/>
          <w:sz w:val="25"/>
          <w:szCs w:val="25"/>
        </w:rPr>
        <w:t xml:space="preserve">. </w:t>
      </w:r>
    </w:p>
    <w:p w:rsidR="0077465F" w:rsidRPr="003C00A4" w:rsidRDefault="0077465F" w:rsidP="0077465F">
      <w:pPr>
        <w:pStyle w:val="Default"/>
        <w:ind w:firstLine="720"/>
        <w:jc w:val="both"/>
        <w:rPr>
          <w:rFonts w:ascii="Times New Roman" w:hAnsi="Times New Roman" w:cs="Times New Roman"/>
          <w:sz w:val="25"/>
          <w:szCs w:val="25"/>
        </w:rPr>
      </w:pPr>
    </w:p>
    <w:p w:rsidR="00912FE0" w:rsidRPr="003C00A4" w:rsidRDefault="00E17B9D" w:rsidP="00912FE0">
      <w:pPr>
        <w:pStyle w:val="Vienkrsteksts"/>
        <w:ind w:firstLine="720"/>
        <w:jc w:val="both"/>
        <w:rPr>
          <w:rFonts w:ascii="Times New Roman" w:hAnsi="Times New Roman"/>
          <w:sz w:val="25"/>
          <w:szCs w:val="25"/>
        </w:rPr>
      </w:pPr>
      <w:r w:rsidRPr="003C00A4">
        <w:rPr>
          <w:rFonts w:ascii="Times New Roman" w:hAnsi="Times New Roman" w:cs="Times New Roman"/>
          <w:b/>
          <w:sz w:val="25"/>
          <w:szCs w:val="25"/>
        </w:rPr>
        <w:t>Trauksmes cēlēju aizsardzība</w:t>
      </w:r>
      <w:r w:rsidRPr="003C00A4">
        <w:rPr>
          <w:rFonts w:ascii="Times New Roman" w:hAnsi="Times New Roman" w:cs="Times New Roman"/>
          <w:sz w:val="25"/>
          <w:szCs w:val="25"/>
        </w:rPr>
        <w:t>.</w:t>
      </w:r>
      <w:r w:rsidR="00E26311" w:rsidRPr="003C00A4">
        <w:rPr>
          <w:rFonts w:ascii="Times New Roman" w:hAnsi="Times New Roman" w:cs="Times New Roman"/>
          <w:sz w:val="25"/>
          <w:szCs w:val="25"/>
        </w:rPr>
        <w:t xml:space="preserve"> </w:t>
      </w:r>
      <w:r w:rsidR="00912FE0" w:rsidRPr="003C00A4">
        <w:rPr>
          <w:rFonts w:ascii="Times New Roman" w:hAnsi="Times New Roman"/>
          <w:sz w:val="25"/>
          <w:szCs w:val="25"/>
        </w:rPr>
        <w:t xml:space="preserve">Norit darbs pie likumprojekta </w:t>
      </w:r>
      <w:r w:rsidR="00377F88" w:rsidRPr="003C00A4">
        <w:rPr>
          <w:rFonts w:ascii="Times New Roman" w:hAnsi="Times New Roman"/>
          <w:sz w:val="25"/>
          <w:szCs w:val="25"/>
        </w:rPr>
        <w:t>"</w:t>
      </w:r>
      <w:r w:rsidR="00912FE0" w:rsidRPr="003C00A4">
        <w:rPr>
          <w:rFonts w:ascii="Times New Roman" w:hAnsi="Times New Roman"/>
          <w:sz w:val="25"/>
          <w:szCs w:val="25"/>
        </w:rPr>
        <w:t>Trauksmes cēlēju aizsardzības likums</w:t>
      </w:r>
      <w:r w:rsidR="00377F88" w:rsidRPr="003C00A4">
        <w:rPr>
          <w:rFonts w:ascii="Times New Roman" w:hAnsi="Times New Roman"/>
          <w:sz w:val="25"/>
          <w:szCs w:val="25"/>
        </w:rPr>
        <w:t>"</w:t>
      </w:r>
      <w:r w:rsidR="00912FE0" w:rsidRPr="003C00A4">
        <w:rPr>
          <w:rFonts w:ascii="Times New Roman" w:hAnsi="Times New Roman"/>
          <w:sz w:val="25"/>
          <w:szCs w:val="25"/>
        </w:rPr>
        <w:t xml:space="preserve"> izstrādes. Likumprojekta mērķis ir radīt vienotu tiesisko ietvaru trauksmes celšanai un trauksmes cēlēju aizsardzībai gan valsts, gan privātajā sektorā. Likumprojekts ņem vērā ESAO Korporatīvās pārvaldības komitejas izteikto rekomendāciju, un atsauce uz attiecīgo rekomendāciju ir ietverta arī likumprojekta anotācijā. Ņemot vērā minēto rekomendāciju, likumprojektā ir ietverts pants, kas paredz pienākumu izveidot iekšēju ziņošanas kanālu, lai varētu saņemt trauksmes cēlēju ziņojumus un tos izskatīt. Minētais pienākums attiecas uz publiskās personas (vai valsts un pašvaldību) institūcijām un privāto tiesību juridiskajām personām (komercsabiedrībām, biedrībām) ar vairāk nekā 50 darbiniekiem (līdzīgi kā Nīderlandē un Francijā). Papildus šis pants paredz izvirzīt uzticības personu vai struktūru, piemēram, arodbiedrību, kas konsultētu potenciālos trauksmes cēlējus un arī izskatītu to sniegtos ziņojumus. Likumprojekts definē </w:t>
      </w:r>
      <w:r w:rsidR="00377F88" w:rsidRPr="003C00A4">
        <w:rPr>
          <w:rFonts w:ascii="Times New Roman" w:hAnsi="Times New Roman"/>
          <w:sz w:val="25"/>
          <w:szCs w:val="25"/>
        </w:rPr>
        <w:t>"</w:t>
      </w:r>
      <w:r w:rsidR="00912FE0" w:rsidRPr="003C00A4">
        <w:rPr>
          <w:rFonts w:ascii="Times New Roman" w:hAnsi="Times New Roman"/>
          <w:sz w:val="25"/>
          <w:szCs w:val="25"/>
        </w:rPr>
        <w:t>trauksmes cēlēju</w:t>
      </w:r>
      <w:r w:rsidR="00377F88" w:rsidRPr="003C00A4">
        <w:rPr>
          <w:rFonts w:ascii="Times New Roman" w:hAnsi="Times New Roman"/>
          <w:sz w:val="25"/>
          <w:szCs w:val="25"/>
        </w:rPr>
        <w:t>"</w:t>
      </w:r>
      <w:r w:rsidR="00912FE0" w:rsidRPr="003C00A4">
        <w:rPr>
          <w:rFonts w:ascii="Times New Roman" w:hAnsi="Times New Roman"/>
          <w:sz w:val="25"/>
          <w:szCs w:val="25"/>
        </w:rPr>
        <w:t xml:space="preserve"> un </w:t>
      </w:r>
      <w:r w:rsidR="00377F88" w:rsidRPr="003C00A4">
        <w:rPr>
          <w:rFonts w:ascii="Times New Roman" w:hAnsi="Times New Roman"/>
          <w:sz w:val="25"/>
          <w:szCs w:val="25"/>
        </w:rPr>
        <w:t>"</w:t>
      </w:r>
      <w:r w:rsidR="00912FE0" w:rsidRPr="003C00A4">
        <w:rPr>
          <w:rFonts w:ascii="Times New Roman" w:hAnsi="Times New Roman"/>
          <w:sz w:val="25"/>
          <w:szCs w:val="25"/>
        </w:rPr>
        <w:t>trauksmes celšanu</w:t>
      </w:r>
      <w:r w:rsidR="00377F88" w:rsidRPr="003C00A4">
        <w:rPr>
          <w:rFonts w:ascii="Times New Roman" w:hAnsi="Times New Roman"/>
          <w:sz w:val="25"/>
          <w:szCs w:val="25"/>
        </w:rPr>
        <w:t>"</w:t>
      </w:r>
      <w:r w:rsidR="00912FE0" w:rsidRPr="003C00A4">
        <w:rPr>
          <w:rFonts w:ascii="Times New Roman" w:hAnsi="Times New Roman"/>
          <w:sz w:val="25"/>
          <w:szCs w:val="25"/>
        </w:rPr>
        <w:t xml:space="preserve"> un aizliedz trauksmes cēlējiem radīt nelabvēlīgas sekas, kā arī nodrošina trauksmes cēlēju konfidencialitāti un paredz administratīvo atbildību par nelabvēlīgu seku radīšanu trauksmes cēlējiem. Prasības par nelabvēlīgu seku radīšanu trauksmes cēlējiem tiks izskatītas tiesā. </w:t>
      </w:r>
    </w:p>
    <w:p w:rsidR="00912FE0" w:rsidRPr="003C00A4" w:rsidRDefault="00912FE0" w:rsidP="009C0643">
      <w:pPr>
        <w:pStyle w:val="Vienkrsteksts"/>
        <w:ind w:firstLine="709"/>
        <w:jc w:val="both"/>
        <w:rPr>
          <w:rFonts w:ascii="Times New Roman" w:hAnsi="Times New Roman"/>
          <w:sz w:val="25"/>
          <w:szCs w:val="25"/>
        </w:rPr>
      </w:pPr>
      <w:r w:rsidRPr="003C00A4">
        <w:rPr>
          <w:rFonts w:ascii="Times New Roman" w:hAnsi="Times New Roman"/>
          <w:sz w:val="25"/>
          <w:szCs w:val="25"/>
        </w:rPr>
        <w:t>Likumprojektu ir izstrādājusi Valsts kanceleja sadarbībā ar darba grupu, kas izveidota trauksmes cēlēju aizsardzības regulējuma izstrādei. 2016.</w:t>
      </w:r>
      <w:r w:rsidR="00377F88" w:rsidRPr="003C00A4">
        <w:rPr>
          <w:rFonts w:ascii="Times New Roman" w:hAnsi="Times New Roman"/>
          <w:sz w:val="25"/>
          <w:szCs w:val="25"/>
        </w:rPr>
        <w:t> </w:t>
      </w:r>
      <w:r w:rsidRPr="003C00A4">
        <w:rPr>
          <w:rFonts w:ascii="Times New Roman" w:hAnsi="Times New Roman"/>
          <w:sz w:val="25"/>
          <w:szCs w:val="25"/>
        </w:rPr>
        <w:t xml:space="preserve">gada ietvaros valsts institūcijas un nevalstiskā sektora pārstāvji snieguši virkni komentāru par izstrādāto likumprojektu, kas ir ņemami vērā likumprojekta saskaņošanas gaitā. </w:t>
      </w:r>
    </w:p>
    <w:p w:rsidR="00912FE0" w:rsidRPr="003C00A4" w:rsidRDefault="00912FE0" w:rsidP="009C0643">
      <w:pPr>
        <w:pStyle w:val="Vienkrsteksts"/>
        <w:ind w:firstLine="709"/>
        <w:jc w:val="both"/>
        <w:rPr>
          <w:rFonts w:ascii="Times New Roman" w:hAnsi="Times New Roman"/>
          <w:sz w:val="25"/>
          <w:szCs w:val="25"/>
        </w:rPr>
      </w:pPr>
      <w:r w:rsidRPr="003C00A4">
        <w:rPr>
          <w:rFonts w:ascii="Times New Roman" w:hAnsi="Times New Roman"/>
          <w:sz w:val="25"/>
          <w:szCs w:val="25"/>
        </w:rPr>
        <w:t>Pirmā likumprojekta versija tika izsludināta Valsts sekretāru sanāksmē 2015.</w:t>
      </w:r>
      <w:r w:rsidR="00377F88" w:rsidRPr="003C00A4">
        <w:rPr>
          <w:rFonts w:ascii="Times New Roman" w:hAnsi="Times New Roman"/>
          <w:sz w:val="25"/>
          <w:szCs w:val="25"/>
        </w:rPr>
        <w:t> </w:t>
      </w:r>
      <w:r w:rsidRPr="003C00A4">
        <w:rPr>
          <w:rFonts w:ascii="Times New Roman" w:hAnsi="Times New Roman"/>
          <w:sz w:val="25"/>
          <w:szCs w:val="25"/>
        </w:rPr>
        <w:t>gada decembrī. Pēc tam likumprojekts divreiz izskatīts Valsts sekretāru sanāksmē (2016.</w:t>
      </w:r>
      <w:r w:rsidR="00377F88" w:rsidRPr="003C00A4">
        <w:rPr>
          <w:rFonts w:ascii="Times New Roman" w:hAnsi="Times New Roman"/>
          <w:sz w:val="25"/>
          <w:szCs w:val="25"/>
        </w:rPr>
        <w:t> </w:t>
      </w:r>
      <w:r w:rsidRPr="003C00A4">
        <w:rPr>
          <w:rFonts w:ascii="Times New Roman" w:hAnsi="Times New Roman"/>
          <w:sz w:val="25"/>
          <w:szCs w:val="25"/>
        </w:rPr>
        <w:t>gada oktobrī un decembrī). Saskaņā ar 2016. gada 15.</w:t>
      </w:r>
      <w:r w:rsidR="00377F88" w:rsidRPr="003C00A4">
        <w:rPr>
          <w:rFonts w:ascii="Times New Roman" w:hAnsi="Times New Roman"/>
          <w:sz w:val="25"/>
          <w:szCs w:val="25"/>
        </w:rPr>
        <w:t> </w:t>
      </w:r>
      <w:r w:rsidRPr="003C00A4">
        <w:rPr>
          <w:rFonts w:ascii="Times New Roman" w:hAnsi="Times New Roman"/>
          <w:sz w:val="25"/>
          <w:szCs w:val="25"/>
        </w:rPr>
        <w:t>decembra Valsts sekretāru sanāksmes protokollēmumu (prot. Nr.</w:t>
      </w:r>
      <w:r w:rsidR="00377F88" w:rsidRPr="003C00A4">
        <w:rPr>
          <w:rFonts w:ascii="Times New Roman" w:hAnsi="Times New Roman"/>
          <w:sz w:val="25"/>
          <w:szCs w:val="25"/>
        </w:rPr>
        <w:t> </w:t>
      </w:r>
      <w:r w:rsidRPr="003C00A4">
        <w:rPr>
          <w:rFonts w:ascii="Times New Roman" w:hAnsi="Times New Roman"/>
          <w:sz w:val="25"/>
          <w:szCs w:val="25"/>
        </w:rPr>
        <w:t>49 29.</w:t>
      </w:r>
      <w:r w:rsidR="00377F88" w:rsidRPr="003C00A4">
        <w:rPr>
          <w:rFonts w:ascii="Times New Roman" w:hAnsi="Times New Roman"/>
          <w:sz w:val="25"/>
          <w:szCs w:val="25"/>
        </w:rPr>
        <w:t> </w:t>
      </w:r>
      <w:r w:rsidRPr="003C00A4">
        <w:rPr>
          <w:rFonts w:ascii="Times New Roman" w:hAnsi="Times New Roman"/>
          <w:sz w:val="25"/>
          <w:szCs w:val="25"/>
        </w:rPr>
        <w:t>§), likumprojekts ir iesniegts izskatīšanai Ministru kabineta komitejas sēdē.</w:t>
      </w:r>
    </w:p>
    <w:p w:rsidR="00E26311" w:rsidRPr="003C00A4" w:rsidRDefault="00E26311" w:rsidP="00E245F6">
      <w:pPr>
        <w:spacing w:after="0" w:line="240" w:lineRule="auto"/>
        <w:ind w:firstLine="720"/>
        <w:jc w:val="both"/>
        <w:rPr>
          <w:rFonts w:ascii="Times New Roman" w:hAnsi="Times New Roman" w:cs="Times New Roman"/>
          <w:sz w:val="25"/>
          <w:szCs w:val="25"/>
        </w:rPr>
      </w:pPr>
    </w:p>
    <w:p w:rsidR="00AB6D4E" w:rsidRPr="003C00A4" w:rsidRDefault="00AB6D4E" w:rsidP="00334749">
      <w:pPr>
        <w:spacing w:after="0" w:line="240" w:lineRule="auto"/>
        <w:ind w:firstLine="567"/>
        <w:jc w:val="both"/>
        <w:rPr>
          <w:rFonts w:ascii="Times New Roman" w:hAnsi="Times New Roman" w:cs="Times New Roman"/>
          <w:sz w:val="25"/>
          <w:szCs w:val="25"/>
        </w:rPr>
      </w:pPr>
    </w:p>
    <w:p w:rsidR="00AB6D4E" w:rsidRPr="003C00A4" w:rsidRDefault="0026010A" w:rsidP="0026010A">
      <w:pPr>
        <w:spacing w:after="0" w:line="240" w:lineRule="auto"/>
        <w:jc w:val="both"/>
        <w:rPr>
          <w:rFonts w:ascii="Times New Roman" w:hAnsi="Times New Roman" w:cs="Times New Roman"/>
          <w:sz w:val="25"/>
          <w:szCs w:val="25"/>
        </w:rPr>
      </w:pPr>
      <w:r w:rsidRPr="003C00A4">
        <w:rPr>
          <w:rFonts w:ascii="Times New Roman" w:hAnsi="Times New Roman" w:cs="Times New Roman"/>
          <w:sz w:val="25"/>
          <w:szCs w:val="25"/>
        </w:rPr>
        <w:t xml:space="preserve">Tieslietu </w:t>
      </w:r>
      <w:r w:rsidR="001E15E0" w:rsidRPr="003C00A4">
        <w:rPr>
          <w:rFonts w:ascii="Times New Roman" w:hAnsi="Times New Roman" w:cs="Times New Roman"/>
          <w:sz w:val="25"/>
          <w:szCs w:val="25"/>
        </w:rPr>
        <w:t>ministr</w:t>
      </w:r>
      <w:r w:rsidR="001E15E0" w:rsidRPr="003C00A4">
        <w:rPr>
          <w:rFonts w:ascii="Times New Roman" w:hAnsi="Times New Roman" w:cs="Times New Roman"/>
          <w:sz w:val="25"/>
          <w:szCs w:val="25"/>
        </w:rPr>
        <w:t xml:space="preserve">a </w:t>
      </w:r>
      <w:proofErr w:type="spellStart"/>
      <w:r w:rsidR="001E15E0" w:rsidRPr="003C00A4">
        <w:rPr>
          <w:rFonts w:ascii="Times New Roman" w:hAnsi="Times New Roman" w:cs="Times New Roman"/>
          <w:sz w:val="25"/>
          <w:szCs w:val="25"/>
        </w:rPr>
        <w:t>p.i</w:t>
      </w:r>
      <w:proofErr w:type="spellEnd"/>
      <w:r w:rsidR="001E15E0" w:rsidRPr="003C00A4">
        <w:rPr>
          <w:rFonts w:ascii="Times New Roman" w:hAnsi="Times New Roman" w:cs="Times New Roman"/>
          <w:sz w:val="25"/>
          <w:szCs w:val="25"/>
        </w:rPr>
        <w:t>.</w:t>
      </w:r>
      <w:r w:rsidR="003C00A4">
        <w:rPr>
          <w:rFonts w:ascii="Times New Roman" w:hAnsi="Times New Roman" w:cs="Times New Roman"/>
          <w:sz w:val="25"/>
          <w:szCs w:val="25"/>
        </w:rPr>
        <w:tab/>
      </w:r>
      <w:r w:rsidR="003C00A4">
        <w:rPr>
          <w:rFonts w:ascii="Times New Roman" w:hAnsi="Times New Roman" w:cs="Times New Roman"/>
          <w:sz w:val="25"/>
          <w:szCs w:val="25"/>
        </w:rPr>
        <w:tab/>
      </w:r>
      <w:r w:rsidR="003C00A4">
        <w:rPr>
          <w:rFonts w:ascii="Times New Roman" w:hAnsi="Times New Roman" w:cs="Times New Roman"/>
          <w:sz w:val="25"/>
          <w:szCs w:val="25"/>
        </w:rPr>
        <w:tab/>
      </w:r>
      <w:r w:rsidR="003C00A4">
        <w:rPr>
          <w:rFonts w:ascii="Times New Roman" w:hAnsi="Times New Roman" w:cs="Times New Roman"/>
          <w:sz w:val="25"/>
          <w:szCs w:val="25"/>
        </w:rPr>
        <w:tab/>
      </w:r>
      <w:r w:rsidR="003C00A4">
        <w:rPr>
          <w:rFonts w:ascii="Times New Roman" w:hAnsi="Times New Roman" w:cs="Times New Roman"/>
          <w:sz w:val="25"/>
          <w:szCs w:val="25"/>
        </w:rPr>
        <w:tab/>
      </w:r>
      <w:r w:rsidR="003C00A4">
        <w:rPr>
          <w:rFonts w:ascii="Times New Roman" w:hAnsi="Times New Roman" w:cs="Times New Roman"/>
          <w:sz w:val="25"/>
          <w:szCs w:val="25"/>
        </w:rPr>
        <w:tab/>
      </w:r>
      <w:r w:rsidR="003C00A4">
        <w:rPr>
          <w:rFonts w:ascii="Times New Roman" w:hAnsi="Times New Roman" w:cs="Times New Roman"/>
          <w:sz w:val="25"/>
          <w:szCs w:val="25"/>
        </w:rPr>
        <w:tab/>
      </w:r>
      <w:r w:rsidR="001E15E0" w:rsidRPr="003C00A4">
        <w:rPr>
          <w:rFonts w:ascii="Times New Roman" w:hAnsi="Times New Roman" w:cs="Times New Roman"/>
          <w:sz w:val="25"/>
          <w:szCs w:val="25"/>
        </w:rPr>
        <w:t>Kaspars Ger</w:t>
      </w:r>
      <w:bookmarkStart w:id="0" w:name="_GoBack"/>
      <w:bookmarkEnd w:id="0"/>
      <w:r w:rsidR="001E15E0" w:rsidRPr="003C00A4">
        <w:rPr>
          <w:rFonts w:ascii="Times New Roman" w:hAnsi="Times New Roman" w:cs="Times New Roman"/>
          <w:sz w:val="25"/>
          <w:szCs w:val="25"/>
        </w:rPr>
        <w:t>hards</w:t>
      </w:r>
    </w:p>
    <w:p w:rsidR="0026010A" w:rsidRPr="003C00A4" w:rsidRDefault="0026010A" w:rsidP="0026010A">
      <w:pPr>
        <w:spacing w:after="0" w:line="240" w:lineRule="auto"/>
        <w:jc w:val="both"/>
        <w:rPr>
          <w:rFonts w:ascii="Times New Roman" w:hAnsi="Times New Roman" w:cs="Times New Roman"/>
          <w:sz w:val="25"/>
          <w:szCs w:val="25"/>
        </w:rPr>
      </w:pPr>
    </w:p>
    <w:p w:rsidR="0026010A" w:rsidRPr="003C00A4" w:rsidRDefault="006419B1" w:rsidP="0026010A">
      <w:pPr>
        <w:spacing w:after="0" w:line="240" w:lineRule="auto"/>
        <w:jc w:val="both"/>
        <w:rPr>
          <w:rFonts w:ascii="Times New Roman" w:hAnsi="Times New Roman" w:cs="Times New Roman"/>
          <w:sz w:val="20"/>
          <w:szCs w:val="20"/>
        </w:rPr>
      </w:pPr>
      <w:r w:rsidRPr="003C00A4">
        <w:rPr>
          <w:rFonts w:ascii="Times New Roman" w:hAnsi="Times New Roman" w:cs="Times New Roman"/>
          <w:sz w:val="20"/>
          <w:szCs w:val="20"/>
        </w:rPr>
        <w:t>25</w:t>
      </w:r>
      <w:r w:rsidR="00966ACC" w:rsidRPr="003C00A4">
        <w:rPr>
          <w:rFonts w:ascii="Times New Roman" w:hAnsi="Times New Roman" w:cs="Times New Roman"/>
          <w:sz w:val="20"/>
          <w:szCs w:val="20"/>
        </w:rPr>
        <w:t>.01</w:t>
      </w:r>
      <w:r w:rsidR="0026010A" w:rsidRPr="003C00A4">
        <w:rPr>
          <w:rFonts w:ascii="Times New Roman" w:hAnsi="Times New Roman" w:cs="Times New Roman"/>
          <w:sz w:val="20"/>
          <w:szCs w:val="20"/>
        </w:rPr>
        <w:t>.201</w:t>
      </w:r>
      <w:r w:rsidR="00966ACC" w:rsidRPr="003C00A4">
        <w:rPr>
          <w:rFonts w:ascii="Times New Roman" w:hAnsi="Times New Roman" w:cs="Times New Roman"/>
          <w:sz w:val="20"/>
          <w:szCs w:val="20"/>
        </w:rPr>
        <w:t>7</w:t>
      </w:r>
      <w:r w:rsidR="00787F41" w:rsidRPr="003C00A4">
        <w:rPr>
          <w:rFonts w:ascii="Times New Roman" w:hAnsi="Times New Roman" w:cs="Times New Roman"/>
          <w:sz w:val="20"/>
          <w:szCs w:val="20"/>
        </w:rPr>
        <w:t>. 11</w:t>
      </w:r>
      <w:r w:rsidR="0026010A" w:rsidRPr="003C00A4">
        <w:rPr>
          <w:rFonts w:ascii="Times New Roman" w:hAnsi="Times New Roman" w:cs="Times New Roman"/>
          <w:sz w:val="20"/>
          <w:szCs w:val="20"/>
        </w:rPr>
        <w:t>:</w:t>
      </w:r>
      <w:r w:rsidR="00A54606" w:rsidRPr="003C00A4">
        <w:rPr>
          <w:rFonts w:ascii="Times New Roman" w:hAnsi="Times New Roman" w:cs="Times New Roman"/>
          <w:sz w:val="20"/>
          <w:szCs w:val="20"/>
        </w:rPr>
        <w:t>00</w:t>
      </w:r>
    </w:p>
    <w:p w:rsidR="0026010A" w:rsidRPr="003C00A4" w:rsidRDefault="00A54606" w:rsidP="0026010A">
      <w:pPr>
        <w:spacing w:after="0" w:line="240" w:lineRule="auto"/>
        <w:jc w:val="both"/>
        <w:rPr>
          <w:rFonts w:ascii="Times New Roman" w:hAnsi="Times New Roman" w:cs="Times New Roman"/>
          <w:sz w:val="20"/>
          <w:szCs w:val="20"/>
        </w:rPr>
      </w:pPr>
      <w:r w:rsidRPr="003C00A4">
        <w:rPr>
          <w:rFonts w:ascii="Times New Roman" w:hAnsi="Times New Roman" w:cs="Times New Roman"/>
          <w:sz w:val="20"/>
          <w:szCs w:val="20"/>
        </w:rPr>
        <w:t>44</w:t>
      </w:r>
      <w:r w:rsidR="009C4A33" w:rsidRPr="003C00A4">
        <w:rPr>
          <w:rFonts w:ascii="Times New Roman" w:hAnsi="Times New Roman" w:cs="Times New Roman"/>
          <w:sz w:val="20"/>
          <w:szCs w:val="20"/>
        </w:rPr>
        <w:t>81</w:t>
      </w:r>
    </w:p>
    <w:p w:rsidR="00E454F4" w:rsidRPr="003C00A4" w:rsidRDefault="001F617B" w:rsidP="0026010A">
      <w:pPr>
        <w:spacing w:after="0" w:line="240" w:lineRule="auto"/>
        <w:jc w:val="both"/>
        <w:rPr>
          <w:rFonts w:ascii="Times New Roman" w:hAnsi="Times New Roman" w:cs="Times New Roman"/>
          <w:sz w:val="20"/>
          <w:szCs w:val="20"/>
        </w:rPr>
      </w:pPr>
      <w:r w:rsidRPr="003C00A4">
        <w:rPr>
          <w:rFonts w:ascii="Times New Roman" w:hAnsi="Times New Roman" w:cs="Times New Roman"/>
          <w:sz w:val="20"/>
          <w:szCs w:val="20"/>
        </w:rPr>
        <w:t>B.</w:t>
      </w:r>
      <w:r w:rsidR="0026010A" w:rsidRPr="003C00A4">
        <w:rPr>
          <w:rFonts w:ascii="Times New Roman" w:hAnsi="Times New Roman" w:cs="Times New Roman"/>
          <w:sz w:val="20"/>
          <w:szCs w:val="20"/>
        </w:rPr>
        <w:t>Lielkalne 67036949</w:t>
      </w:r>
    </w:p>
    <w:p w:rsidR="0026010A" w:rsidRPr="003C00A4" w:rsidRDefault="00377F88" w:rsidP="0026010A">
      <w:pPr>
        <w:spacing w:after="0" w:line="240" w:lineRule="auto"/>
        <w:jc w:val="both"/>
        <w:rPr>
          <w:rFonts w:ascii="Times New Roman" w:hAnsi="Times New Roman" w:cs="Times New Roman"/>
          <w:sz w:val="20"/>
          <w:szCs w:val="20"/>
        </w:rPr>
      </w:pPr>
      <w:hyperlink r:id="rId22" w:history="1">
        <w:r w:rsidR="0026010A" w:rsidRPr="003C00A4">
          <w:rPr>
            <w:rStyle w:val="Hipersaite"/>
            <w:rFonts w:ascii="Times New Roman" w:hAnsi="Times New Roman" w:cs="Times New Roman"/>
            <w:sz w:val="20"/>
            <w:szCs w:val="20"/>
          </w:rPr>
          <w:t>baiba.lielkalne@tm.gov.lv</w:t>
        </w:r>
      </w:hyperlink>
      <w:r w:rsidR="0026010A" w:rsidRPr="003C00A4">
        <w:rPr>
          <w:rFonts w:ascii="Times New Roman" w:hAnsi="Times New Roman" w:cs="Times New Roman"/>
          <w:sz w:val="20"/>
          <w:szCs w:val="20"/>
        </w:rPr>
        <w:t xml:space="preserve"> </w:t>
      </w:r>
    </w:p>
    <w:p w:rsidR="00794DF9" w:rsidRPr="003C00A4" w:rsidRDefault="00794DF9" w:rsidP="001F617B">
      <w:pPr>
        <w:spacing w:after="0" w:line="240" w:lineRule="auto"/>
        <w:jc w:val="both"/>
        <w:rPr>
          <w:rFonts w:ascii="Times New Roman" w:hAnsi="Times New Roman" w:cs="Times New Roman"/>
          <w:sz w:val="20"/>
          <w:szCs w:val="20"/>
        </w:rPr>
      </w:pPr>
    </w:p>
    <w:p w:rsidR="00E454F4" w:rsidRPr="003C00A4" w:rsidRDefault="001F617B" w:rsidP="001F617B">
      <w:pPr>
        <w:spacing w:after="0" w:line="240" w:lineRule="auto"/>
        <w:jc w:val="both"/>
        <w:rPr>
          <w:rFonts w:ascii="Times New Roman" w:hAnsi="Times New Roman" w:cs="Times New Roman"/>
          <w:sz w:val="20"/>
          <w:szCs w:val="20"/>
        </w:rPr>
      </w:pPr>
      <w:r w:rsidRPr="003C00A4">
        <w:rPr>
          <w:rFonts w:ascii="Times New Roman" w:hAnsi="Times New Roman" w:cs="Times New Roman"/>
          <w:sz w:val="20"/>
          <w:szCs w:val="20"/>
        </w:rPr>
        <w:t>D.Obuka</w:t>
      </w:r>
      <w:r w:rsidR="001769A5" w:rsidRPr="003C00A4">
        <w:rPr>
          <w:rFonts w:ascii="Times New Roman" w:hAnsi="Times New Roman" w:cs="Times New Roman"/>
          <w:sz w:val="20"/>
          <w:szCs w:val="20"/>
        </w:rPr>
        <w:t xml:space="preserve"> </w:t>
      </w:r>
      <w:r w:rsidRPr="003C00A4">
        <w:rPr>
          <w:rFonts w:ascii="Times New Roman" w:hAnsi="Times New Roman" w:cs="Times New Roman"/>
          <w:sz w:val="20"/>
          <w:szCs w:val="20"/>
        </w:rPr>
        <w:t xml:space="preserve">67036833, </w:t>
      </w:r>
    </w:p>
    <w:p w:rsidR="001F617B" w:rsidRPr="003C00A4" w:rsidRDefault="00377F88" w:rsidP="001F617B">
      <w:pPr>
        <w:spacing w:after="0" w:line="240" w:lineRule="auto"/>
        <w:jc w:val="both"/>
        <w:rPr>
          <w:rFonts w:ascii="Times New Roman" w:hAnsi="Times New Roman" w:cs="Times New Roman"/>
          <w:sz w:val="20"/>
          <w:szCs w:val="20"/>
        </w:rPr>
      </w:pPr>
      <w:hyperlink r:id="rId23" w:history="1">
        <w:r w:rsidR="001F617B" w:rsidRPr="003C00A4">
          <w:rPr>
            <w:rStyle w:val="Hipersaite"/>
            <w:rFonts w:ascii="Times New Roman" w:hAnsi="Times New Roman" w:cs="Times New Roman"/>
            <w:sz w:val="20"/>
            <w:szCs w:val="20"/>
          </w:rPr>
          <w:t>daina.obuka@tm.gov.lv</w:t>
        </w:r>
      </w:hyperlink>
    </w:p>
    <w:p w:rsidR="001F617B" w:rsidRPr="003C00A4" w:rsidRDefault="001F617B" w:rsidP="001F617B">
      <w:pPr>
        <w:spacing w:after="0" w:line="240" w:lineRule="auto"/>
        <w:jc w:val="both"/>
        <w:rPr>
          <w:rFonts w:ascii="Times New Roman" w:hAnsi="Times New Roman" w:cs="Times New Roman"/>
          <w:sz w:val="20"/>
          <w:szCs w:val="20"/>
        </w:rPr>
      </w:pPr>
    </w:p>
    <w:p w:rsidR="00E454F4" w:rsidRPr="003C00A4" w:rsidRDefault="00E454F4" w:rsidP="00E454F4">
      <w:pPr>
        <w:spacing w:after="0" w:line="240" w:lineRule="auto"/>
        <w:rPr>
          <w:rFonts w:ascii="Times New Roman" w:hAnsi="Times New Roman" w:cs="Times New Roman"/>
          <w:sz w:val="20"/>
          <w:szCs w:val="20"/>
        </w:rPr>
      </w:pPr>
      <w:r w:rsidRPr="003C00A4">
        <w:rPr>
          <w:rFonts w:ascii="Times New Roman" w:hAnsi="Times New Roman" w:cs="Times New Roman"/>
          <w:sz w:val="20"/>
          <w:szCs w:val="20"/>
        </w:rPr>
        <w:t xml:space="preserve">L.Ozola 67046147, </w:t>
      </w:r>
    </w:p>
    <w:p w:rsidR="00C44AB4" w:rsidRPr="003C00A4" w:rsidRDefault="00377F88" w:rsidP="005E5076">
      <w:pPr>
        <w:spacing w:after="0" w:line="240" w:lineRule="auto"/>
        <w:rPr>
          <w:rFonts w:ascii="Times New Roman" w:hAnsi="Times New Roman" w:cs="Times New Roman"/>
          <w:sz w:val="20"/>
          <w:szCs w:val="20"/>
        </w:rPr>
      </w:pPr>
      <w:hyperlink r:id="rId24" w:history="1">
        <w:r w:rsidR="00E454F4" w:rsidRPr="003C00A4">
          <w:rPr>
            <w:rStyle w:val="Hipersaite"/>
            <w:rFonts w:ascii="Times New Roman" w:hAnsi="Times New Roman" w:cs="Times New Roman"/>
            <w:sz w:val="20"/>
            <w:szCs w:val="20"/>
          </w:rPr>
          <w:t>liene.ozola@tm.gov.lv</w:t>
        </w:r>
      </w:hyperlink>
      <w:r w:rsidR="00E454F4" w:rsidRPr="003C00A4">
        <w:rPr>
          <w:rFonts w:ascii="Times New Roman" w:hAnsi="Times New Roman" w:cs="Times New Roman"/>
          <w:sz w:val="20"/>
          <w:szCs w:val="20"/>
        </w:rPr>
        <w:t xml:space="preserve"> </w:t>
      </w:r>
    </w:p>
    <w:sectPr w:rsidR="00C44AB4" w:rsidRPr="003C00A4" w:rsidSect="00AA2197">
      <w:headerReference w:type="default" r:id="rId25"/>
      <w:footerReference w:type="default" r:id="rId26"/>
      <w:footerReference w:type="first" r:id="rId2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88" w:rsidRDefault="00377F88" w:rsidP="007C488D">
      <w:pPr>
        <w:spacing w:after="0" w:line="240" w:lineRule="auto"/>
      </w:pPr>
      <w:r>
        <w:separator/>
      </w:r>
    </w:p>
  </w:endnote>
  <w:endnote w:type="continuationSeparator" w:id="0">
    <w:p w:rsidR="00377F88" w:rsidRDefault="00377F88" w:rsidP="007C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8" w:rsidRPr="003E656B" w:rsidRDefault="00377F88" w:rsidP="003E656B">
    <w:pPr>
      <w:pStyle w:val="Kjene"/>
      <w:jc w:val="both"/>
      <w:rPr>
        <w:rFonts w:ascii="Times New Roman" w:hAnsi="Times New Roman" w:cs="Times New Roman"/>
        <w:sz w:val="20"/>
        <w:szCs w:val="20"/>
      </w:rPr>
    </w:pPr>
    <w:r w:rsidRPr="00FF173C">
      <w:rPr>
        <w:rFonts w:ascii="Times New Roman" w:hAnsi="Times New Roman" w:cs="Times New Roman"/>
        <w:sz w:val="20"/>
        <w:szCs w:val="20"/>
      </w:rPr>
      <w:t>TM</w:t>
    </w:r>
    <w:r>
      <w:rPr>
        <w:rFonts w:ascii="Times New Roman" w:hAnsi="Times New Roman" w:cs="Times New Roman"/>
        <w:sz w:val="20"/>
        <w:szCs w:val="20"/>
      </w:rPr>
      <w:t>Zino</w:t>
    </w:r>
    <w:r w:rsidRPr="00FF173C">
      <w:rPr>
        <w:rFonts w:ascii="Times New Roman" w:hAnsi="Times New Roman" w:cs="Times New Roman"/>
        <w:sz w:val="20"/>
        <w:szCs w:val="20"/>
      </w:rPr>
      <w:t>_</w:t>
    </w:r>
    <w:r>
      <w:rPr>
        <w:rFonts w:ascii="Times New Roman" w:hAnsi="Times New Roman" w:cs="Times New Roman"/>
        <w:sz w:val="20"/>
        <w:szCs w:val="20"/>
      </w:rPr>
      <w:t>250117</w:t>
    </w:r>
    <w:r w:rsidRPr="00FF173C">
      <w:rPr>
        <w:rFonts w:ascii="Times New Roman" w:hAnsi="Times New Roman" w:cs="Times New Roman"/>
        <w:sz w:val="20"/>
        <w:szCs w:val="20"/>
      </w:rPr>
      <w:t>_</w:t>
    </w:r>
    <w:r>
      <w:rPr>
        <w:rFonts w:ascii="Times New Roman" w:hAnsi="Times New Roman" w:cs="Times New Roman"/>
        <w:sz w:val="20"/>
        <w:szCs w:val="20"/>
      </w:rPr>
      <w:t>ESAOrek</w:t>
    </w:r>
    <w:r w:rsidRPr="00FF173C">
      <w:rPr>
        <w:rFonts w:ascii="Times New Roman" w:hAnsi="Times New Roman" w:cs="Times New Roman"/>
        <w:sz w:val="20"/>
        <w:szCs w:val="20"/>
      </w:rPr>
      <w:t xml:space="preserve">; Informatīvais ziņojums </w:t>
    </w:r>
    <w:r w:rsidRPr="00C73B03">
      <w:rPr>
        <w:rFonts w:ascii="Times New Roman" w:hAnsi="Times New Roman" w:cs="Times New Roman"/>
        <w:sz w:val="20"/>
        <w:szCs w:val="20"/>
      </w:rPr>
      <w:t>"</w:t>
    </w:r>
    <w:r>
      <w:rPr>
        <w:rFonts w:ascii="Times New Roman" w:hAnsi="Times New Roman" w:cs="Times New Roman"/>
        <w:sz w:val="20"/>
        <w:szCs w:val="20"/>
      </w:rPr>
      <w:t>Par Ekonomiskās sadarbības un attīstības organizācijas rekomendācijām korporatīvās pārvaldības jomā</w:t>
    </w:r>
    <w:r w:rsidRPr="00C73B03">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88" w:rsidRDefault="00377F88">
    <w:pPr>
      <w:pStyle w:val="Kjene"/>
      <w:rPr>
        <w:rFonts w:ascii="Times New Roman" w:hAnsi="Times New Roman" w:cs="Times New Roman"/>
        <w:sz w:val="20"/>
        <w:szCs w:val="20"/>
      </w:rPr>
    </w:pPr>
  </w:p>
  <w:p w:rsidR="00377F88" w:rsidRPr="00FF173C" w:rsidRDefault="00377F88" w:rsidP="003E656B">
    <w:pPr>
      <w:pStyle w:val="Kjene"/>
      <w:jc w:val="both"/>
      <w:rPr>
        <w:rFonts w:ascii="Times New Roman" w:hAnsi="Times New Roman" w:cs="Times New Roman"/>
        <w:sz w:val="20"/>
        <w:szCs w:val="20"/>
      </w:rPr>
    </w:pPr>
    <w:r w:rsidRPr="00FF173C">
      <w:rPr>
        <w:rFonts w:ascii="Times New Roman" w:hAnsi="Times New Roman" w:cs="Times New Roman"/>
        <w:sz w:val="20"/>
        <w:szCs w:val="20"/>
      </w:rPr>
      <w:t>TM</w:t>
    </w:r>
    <w:r>
      <w:rPr>
        <w:rFonts w:ascii="Times New Roman" w:hAnsi="Times New Roman" w:cs="Times New Roman"/>
        <w:sz w:val="20"/>
        <w:szCs w:val="20"/>
      </w:rPr>
      <w:t>Zino</w:t>
    </w:r>
    <w:r w:rsidRPr="00FF173C">
      <w:rPr>
        <w:rFonts w:ascii="Times New Roman" w:hAnsi="Times New Roman" w:cs="Times New Roman"/>
        <w:sz w:val="20"/>
        <w:szCs w:val="20"/>
      </w:rPr>
      <w:t>_</w:t>
    </w:r>
    <w:r>
      <w:rPr>
        <w:rFonts w:ascii="Times New Roman" w:hAnsi="Times New Roman" w:cs="Times New Roman"/>
        <w:sz w:val="20"/>
        <w:szCs w:val="20"/>
      </w:rPr>
      <w:t>250117</w:t>
    </w:r>
    <w:r w:rsidRPr="00FF173C">
      <w:rPr>
        <w:rFonts w:ascii="Times New Roman" w:hAnsi="Times New Roman" w:cs="Times New Roman"/>
        <w:sz w:val="20"/>
        <w:szCs w:val="20"/>
      </w:rPr>
      <w:t>_</w:t>
    </w:r>
    <w:r>
      <w:rPr>
        <w:rFonts w:ascii="Times New Roman" w:hAnsi="Times New Roman" w:cs="Times New Roman"/>
        <w:sz w:val="20"/>
        <w:szCs w:val="20"/>
      </w:rPr>
      <w:t>ESAOrek</w:t>
    </w:r>
    <w:r w:rsidRPr="00FF173C">
      <w:rPr>
        <w:rFonts w:ascii="Times New Roman" w:hAnsi="Times New Roman" w:cs="Times New Roman"/>
        <w:sz w:val="20"/>
        <w:szCs w:val="20"/>
      </w:rPr>
      <w:t xml:space="preserve">; Informatīvais ziņojums </w:t>
    </w:r>
    <w:r w:rsidRPr="00C73B03">
      <w:rPr>
        <w:rFonts w:ascii="Times New Roman" w:hAnsi="Times New Roman" w:cs="Times New Roman"/>
        <w:sz w:val="20"/>
        <w:szCs w:val="20"/>
      </w:rPr>
      <w:t>"</w:t>
    </w:r>
    <w:r>
      <w:rPr>
        <w:rFonts w:ascii="Times New Roman" w:hAnsi="Times New Roman" w:cs="Times New Roman"/>
        <w:sz w:val="20"/>
        <w:szCs w:val="20"/>
      </w:rPr>
      <w:t>Par Ekonomiskās sadarbības un attīstības organizācijas rekomendācijām korporatīvās pārvaldības jomā</w:t>
    </w:r>
    <w:r w:rsidRPr="00C73B03">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88" w:rsidRDefault="00377F88" w:rsidP="007C488D">
      <w:pPr>
        <w:spacing w:after="0" w:line="240" w:lineRule="auto"/>
      </w:pPr>
      <w:r>
        <w:separator/>
      </w:r>
    </w:p>
  </w:footnote>
  <w:footnote w:type="continuationSeparator" w:id="0">
    <w:p w:rsidR="00377F88" w:rsidRDefault="00377F88" w:rsidP="007C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51805"/>
      <w:docPartObj>
        <w:docPartGallery w:val="Page Numbers (Top of Page)"/>
        <w:docPartUnique/>
      </w:docPartObj>
    </w:sdtPr>
    <w:sdtEndPr>
      <w:rPr>
        <w:rFonts w:ascii="Times New Roman" w:hAnsi="Times New Roman" w:cs="Times New Roman"/>
        <w:sz w:val="24"/>
        <w:szCs w:val="24"/>
      </w:rPr>
    </w:sdtEndPr>
    <w:sdtContent>
      <w:p w:rsidR="00377F88" w:rsidRPr="00ED0AAE" w:rsidRDefault="00377F88">
        <w:pPr>
          <w:pStyle w:val="Galvene"/>
          <w:jc w:val="center"/>
          <w:rPr>
            <w:rFonts w:ascii="Times New Roman" w:hAnsi="Times New Roman" w:cs="Times New Roman"/>
            <w:sz w:val="24"/>
            <w:szCs w:val="24"/>
          </w:rPr>
        </w:pPr>
        <w:r w:rsidRPr="00ED0AAE">
          <w:rPr>
            <w:rFonts w:ascii="Times New Roman" w:hAnsi="Times New Roman" w:cs="Times New Roman"/>
            <w:sz w:val="24"/>
            <w:szCs w:val="24"/>
          </w:rPr>
          <w:fldChar w:fldCharType="begin"/>
        </w:r>
        <w:r w:rsidRPr="00ED0AAE">
          <w:rPr>
            <w:rFonts w:ascii="Times New Roman" w:hAnsi="Times New Roman" w:cs="Times New Roman"/>
            <w:sz w:val="24"/>
            <w:szCs w:val="24"/>
          </w:rPr>
          <w:instrText>PAGE   \* MERGEFORMAT</w:instrText>
        </w:r>
        <w:r w:rsidRPr="00ED0AAE">
          <w:rPr>
            <w:rFonts w:ascii="Times New Roman" w:hAnsi="Times New Roman" w:cs="Times New Roman"/>
            <w:sz w:val="24"/>
            <w:szCs w:val="24"/>
          </w:rPr>
          <w:fldChar w:fldCharType="separate"/>
        </w:r>
        <w:r w:rsidR="0005476E">
          <w:rPr>
            <w:rFonts w:ascii="Times New Roman" w:hAnsi="Times New Roman" w:cs="Times New Roman"/>
            <w:noProof/>
            <w:sz w:val="24"/>
            <w:szCs w:val="24"/>
          </w:rPr>
          <w:t>10</w:t>
        </w:r>
        <w:r w:rsidRPr="00ED0AAE">
          <w:rPr>
            <w:rFonts w:ascii="Times New Roman" w:hAnsi="Times New Roman" w:cs="Times New Roman"/>
            <w:sz w:val="24"/>
            <w:szCs w:val="24"/>
          </w:rPr>
          <w:fldChar w:fldCharType="end"/>
        </w:r>
      </w:p>
    </w:sdtContent>
  </w:sdt>
  <w:p w:rsidR="00377F88" w:rsidRDefault="00377F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12"/>
    <w:multiLevelType w:val="hybridMultilevel"/>
    <w:tmpl w:val="27CC16BA"/>
    <w:lvl w:ilvl="0" w:tplc="FCDC0D6C">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C386014"/>
    <w:multiLevelType w:val="hybridMultilevel"/>
    <w:tmpl w:val="A8729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A36ADE"/>
    <w:multiLevelType w:val="hybridMultilevel"/>
    <w:tmpl w:val="CBF61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CC0301"/>
    <w:multiLevelType w:val="hybridMultilevel"/>
    <w:tmpl w:val="316C596C"/>
    <w:lvl w:ilvl="0" w:tplc="15744F3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9F5541A"/>
    <w:multiLevelType w:val="hybridMultilevel"/>
    <w:tmpl w:val="64C8C84A"/>
    <w:lvl w:ilvl="0" w:tplc="F93AF2C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6AD654EA"/>
    <w:multiLevelType w:val="hybridMultilevel"/>
    <w:tmpl w:val="0EE0F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3D21B6E"/>
    <w:multiLevelType w:val="hybridMultilevel"/>
    <w:tmpl w:val="EF146F10"/>
    <w:lvl w:ilvl="0" w:tplc="761474A2">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ma">
    <w15:presenceInfo w15:providerId="None" w15:userId="La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B4"/>
    <w:rsid w:val="000009C5"/>
    <w:rsid w:val="0003393F"/>
    <w:rsid w:val="000355F0"/>
    <w:rsid w:val="00042D2D"/>
    <w:rsid w:val="00042D40"/>
    <w:rsid w:val="00046B52"/>
    <w:rsid w:val="00047FD1"/>
    <w:rsid w:val="0005476E"/>
    <w:rsid w:val="000549B2"/>
    <w:rsid w:val="00066672"/>
    <w:rsid w:val="000724CE"/>
    <w:rsid w:val="00072A10"/>
    <w:rsid w:val="000749E8"/>
    <w:rsid w:val="000751A7"/>
    <w:rsid w:val="00077197"/>
    <w:rsid w:val="00077AA5"/>
    <w:rsid w:val="00087335"/>
    <w:rsid w:val="00090CF8"/>
    <w:rsid w:val="000934D7"/>
    <w:rsid w:val="000A66FF"/>
    <w:rsid w:val="000B7713"/>
    <w:rsid w:val="000B7B56"/>
    <w:rsid w:val="000C65B7"/>
    <w:rsid w:val="000D042C"/>
    <w:rsid w:val="000D634A"/>
    <w:rsid w:val="000D77CA"/>
    <w:rsid w:val="000D7A06"/>
    <w:rsid w:val="000E5233"/>
    <w:rsid w:val="000E5C34"/>
    <w:rsid w:val="000F4D1C"/>
    <w:rsid w:val="000F67FD"/>
    <w:rsid w:val="000F74DD"/>
    <w:rsid w:val="000F767D"/>
    <w:rsid w:val="001021E1"/>
    <w:rsid w:val="0010370A"/>
    <w:rsid w:val="0010373B"/>
    <w:rsid w:val="001055FD"/>
    <w:rsid w:val="001063FE"/>
    <w:rsid w:val="00112B78"/>
    <w:rsid w:val="00113CB4"/>
    <w:rsid w:val="0012079C"/>
    <w:rsid w:val="0012248E"/>
    <w:rsid w:val="00124174"/>
    <w:rsid w:val="001264BE"/>
    <w:rsid w:val="00131A8B"/>
    <w:rsid w:val="001333D5"/>
    <w:rsid w:val="001366FE"/>
    <w:rsid w:val="00136ECB"/>
    <w:rsid w:val="0013753E"/>
    <w:rsid w:val="00142254"/>
    <w:rsid w:val="00143047"/>
    <w:rsid w:val="001465E9"/>
    <w:rsid w:val="001532D6"/>
    <w:rsid w:val="0015730D"/>
    <w:rsid w:val="00161106"/>
    <w:rsid w:val="00162057"/>
    <w:rsid w:val="001649CD"/>
    <w:rsid w:val="00165DEA"/>
    <w:rsid w:val="001670D0"/>
    <w:rsid w:val="001769A5"/>
    <w:rsid w:val="001769AC"/>
    <w:rsid w:val="001773DA"/>
    <w:rsid w:val="001827D2"/>
    <w:rsid w:val="00182DB0"/>
    <w:rsid w:val="0019507B"/>
    <w:rsid w:val="001A03B9"/>
    <w:rsid w:val="001A43F9"/>
    <w:rsid w:val="001B4094"/>
    <w:rsid w:val="001B7782"/>
    <w:rsid w:val="001C3C72"/>
    <w:rsid w:val="001C487C"/>
    <w:rsid w:val="001D133F"/>
    <w:rsid w:val="001E029E"/>
    <w:rsid w:val="001E13AF"/>
    <w:rsid w:val="001E15E0"/>
    <w:rsid w:val="001E1CE3"/>
    <w:rsid w:val="001E4905"/>
    <w:rsid w:val="001F2F55"/>
    <w:rsid w:val="001F617B"/>
    <w:rsid w:val="001F6268"/>
    <w:rsid w:val="001F785D"/>
    <w:rsid w:val="00206EDE"/>
    <w:rsid w:val="0021548D"/>
    <w:rsid w:val="0021755D"/>
    <w:rsid w:val="00225D29"/>
    <w:rsid w:val="00226A30"/>
    <w:rsid w:val="00231F38"/>
    <w:rsid w:val="002337A3"/>
    <w:rsid w:val="00237C1F"/>
    <w:rsid w:val="0024320F"/>
    <w:rsid w:val="00245499"/>
    <w:rsid w:val="00256C9B"/>
    <w:rsid w:val="0026010A"/>
    <w:rsid w:val="002603ED"/>
    <w:rsid w:val="00264FBB"/>
    <w:rsid w:val="00265B0C"/>
    <w:rsid w:val="002674AC"/>
    <w:rsid w:val="00270535"/>
    <w:rsid w:val="00270CB9"/>
    <w:rsid w:val="002738D9"/>
    <w:rsid w:val="00282E67"/>
    <w:rsid w:val="00285D7B"/>
    <w:rsid w:val="0029758F"/>
    <w:rsid w:val="002B2B8A"/>
    <w:rsid w:val="002C59FF"/>
    <w:rsid w:val="002C6AE2"/>
    <w:rsid w:val="002D37D2"/>
    <w:rsid w:val="002E1F36"/>
    <w:rsid w:val="002F1A8F"/>
    <w:rsid w:val="002F1E9C"/>
    <w:rsid w:val="002F6219"/>
    <w:rsid w:val="00300F9A"/>
    <w:rsid w:val="003011EB"/>
    <w:rsid w:val="00312299"/>
    <w:rsid w:val="00313ECB"/>
    <w:rsid w:val="00315CB1"/>
    <w:rsid w:val="0031791F"/>
    <w:rsid w:val="00324211"/>
    <w:rsid w:val="00326D16"/>
    <w:rsid w:val="003335E3"/>
    <w:rsid w:val="00334749"/>
    <w:rsid w:val="00354668"/>
    <w:rsid w:val="003564DF"/>
    <w:rsid w:val="00360C4E"/>
    <w:rsid w:val="00366905"/>
    <w:rsid w:val="00367BAD"/>
    <w:rsid w:val="00370350"/>
    <w:rsid w:val="00370568"/>
    <w:rsid w:val="003717D8"/>
    <w:rsid w:val="00377F88"/>
    <w:rsid w:val="0038021B"/>
    <w:rsid w:val="0038788D"/>
    <w:rsid w:val="00391652"/>
    <w:rsid w:val="00391AFF"/>
    <w:rsid w:val="00392E20"/>
    <w:rsid w:val="00395E25"/>
    <w:rsid w:val="0039785C"/>
    <w:rsid w:val="003A0834"/>
    <w:rsid w:val="003A179C"/>
    <w:rsid w:val="003A515B"/>
    <w:rsid w:val="003A6EB8"/>
    <w:rsid w:val="003A7A5C"/>
    <w:rsid w:val="003B3A7C"/>
    <w:rsid w:val="003B6B06"/>
    <w:rsid w:val="003C00A4"/>
    <w:rsid w:val="003C3241"/>
    <w:rsid w:val="003C7752"/>
    <w:rsid w:val="003D27CD"/>
    <w:rsid w:val="003D2839"/>
    <w:rsid w:val="003E07E8"/>
    <w:rsid w:val="003E2C1D"/>
    <w:rsid w:val="003E4776"/>
    <w:rsid w:val="003E656B"/>
    <w:rsid w:val="003F62B7"/>
    <w:rsid w:val="00400964"/>
    <w:rsid w:val="00401B88"/>
    <w:rsid w:val="00404BC2"/>
    <w:rsid w:val="00406318"/>
    <w:rsid w:val="00424924"/>
    <w:rsid w:val="00424B76"/>
    <w:rsid w:val="00425870"/>
    <w:rsid w:val="00431703"/>
    <w:rsid w:val="0043221C"/>
    <w:rsid w:val="00437E43"/>
    <w:rsid w:val="004448C0"/>
    <w:rsid w:val="004534BD"/>
    <w:rsid w:val="00466B4B"/>
    <w:rsid w:val="0047226D"/>
    <w:rsid w:val="00477FAC"/>
    <w:rsid w:val="004807F5"/>
    <w:rsid w:val="00482E5D"/>
    <w:rsid w:val="00487DB4"/>
    <w:rsid w:val="00495C49"/>
    <w:rsid w:val="004971BF"/>
    <w:rsid w:val="004A1D89"/>
    <w:rsid w:val="004A7D48"/>
    <w:rsid w:val="004B4CF6"/>
    <w:rsid w:val="004B772B"/>
    <w:rsid w:val="004B7A20"/>
    <w:rsid w:val="004C0BFD"/>
    <w:rsid w:val="004D3EA2"/>
    <w:rsid w:val="004D6C98"/>
    <w:rsid w:val="0050075F"/>
    <w:rsid w:val="005016E5"/>
    <w:rsid w:val="0050296F"/>
    <w:rsid w:val="00513E19"/>
    <w:rsid w:val="005155E6"/>
    <w:rsid w:val="00521F74"/>
    <w:rsid w:val="0052572F"/>
    <w:rsid w:val="00543230"/>
    <w:rsid w:val="00544546"/>
    <w:rsid w:val="00545F99"/>
    <w:rsid w:val="005531E8"/>
    <w:rsid w:val="00553CC0"/>
    <w:rsid w:val="005665BA"/>
    <w:rsid w:val="00570B38"/>
    <w:rsid w:val="00574457"/>
    <w:rsid w:val="00577490"/>
    <w:rsid w:val="0057796D"/>
    <w:rsid w:val="00577F50"/>
    <w:rsid w:val="00583E45"/>
    <w:rsid w:val="00587779"/>
    <w:rsid w:val="00591430"/>
    <w:rsid w:val="00596B9B"/>
    <w:rsid w:val="00596FCF"/>
    <w:rsid w:val="005A41B7"/>
    <w:rsid w:val="005A4A6F"/>
    <w:rsid w:val="005B002F"/>
    <w:rsid w:val="005B0426"/>
    <w:rsid w:val="005B0BA5"/>
    <w:rsid w:val="005B0D92"/>
    <w:rsid w:val="005C7A06"/>
    <w:rsid w:val="005D1CA9"/>
    <w:rsid w:val="005D5ECE"/>
    <w:rsid w:val="005D6EF9"/>
    <w:rsid w:val="005E1CEC"/>
    <w:rsid w:val="005E4450"/>
    <w:rsid w:val="005E5076"/>
    <w:rsid w:val="005F061C"/>
    <w:rsid w:val="005F51D2"/>
    <w:rsid w:val="005F572F"/>
    <w:rsid w:val="00604016"/>
    <w:rsid w:val="00605F03"/>
    <w:rsid w:val="00623BF7"/>
    <w:rsid w:val="00627CEA"/>
    <w:rsid w:val="00630A04"/>
    <w:rsid w:val="006317AB"/>
    <w:rsid w:val="006419B1"/>
    <w:rsid w:val="006436E7"/>
    <w:rsid w:val="00652B4E"/>
    <w:rsid w:val="0065352A"/>
    <w:rsid w:val="006576FC"/>
    <w:rsid w:val="00665BB5"/>
    <w:rsid w:val="006776CA"/>
    <w:rsid w:val="00681882"/>
    <w:rsid w:val="006851A6"/>
    <w:rsid w:val="00692793"/>
    <w:rsid w:val="00696855"/>
    <w:rsid w:val="00696D3F"/>
    <w:rsid w:val="006A5EC5"/>
    <w:rsid w:val="006A7A4B"/>
    <w:rsid w:val="006B2762"/>
    <w:rsid w:val="006B2916"/>
    <w:rsid w:val="006B4BCF"/>
    <w:rsid w:val="006C226B"/>
    <w:rsid w:val="006C4C4B"/>
    <w:rsid w:val="006C61B1"/>
    <w:rsid w:val="006C70D2"/>
    <w:rsid w:val="006D4276"/>
    <w:rsid w:val="006E276F"/>
    <w:rsid w:val="006E618E"/>
    <w:rsid w:val="006F6C24"/>
    <w:rsid w:val="007038FF"/>
    <w:rsid w:val="00704983"/>
    <w:rsid w:val="007309D3"/>
    <w:rsid w:val="00735332"/>
    <w:rsid w:val="00745A47"/>
    <w:rsid w:val="0075366A"/>
    <w:rsid w:val="00753A11"/>
    <w:rsid w:val="00762FC5"/>
    <w:rsid w:val="007634AA"/>
    <w:rsid w:val="00764AD5"/>
    <w:rsid w:val="0077465F"/>
    <w:rsid w:val="00775F0A"/>
    <w:rsid w:val="00780134"/>
    <w:rsid w:val="00785254"/>
    <w:rsid w:val="00787F41"/>
    <w:rsid w:val="00794DF9"/>
    <w:rsid w:val="007959B8"/>
    <w:rsid w:val="007A1D09"/>
    <w:rsid w:val="007A354A"/>
    <w:rsid w:val="007B309B"/>
    <w:rsid w:val="007B5276"/>
    <w:rsid w:val="007C02F8"/>
    <w:rsid w:val="007C08D1"/>
    <w:rsid w:val="007C234C"/>
    <w:rsid w:val="007C488D"/>
    <w:rsid w:val="007C54C3"/>
    <w:rsid w:val="007D2A94"/>
    <w:rsid w:val="007D7E17"/>
    <w:rsid w:val="007E0D2D"/>
    <w:rsid w:val="007E5918"/>
    <w:rsid w:val="00803CF4"/>
    <w:rsid w:val="00806A54"/>
    <w:rsid w:val="0081133B"/>
    <w:rsid w:val="00811DE9"/>
    <w:rsid w:val="00815F54"/>
    <w:rsid w:val="00816575"/>
    <w:rsid w:val="00832072"/>
    <w:rsid w:val="00836643"/>
    <w:rsid w:val="00851120"/>
    <w:rsid w:val="00864367"/>
    <w:rsid w:val="00874021"/>
    <w:rsid w:val="008807D4"/>
    <w:rsid w:val="008868AC"/>
    <w:rsid w:val="008869D9"/>
    <w:rsid w:val="00891426"/>
    <w:rsid w:val="00891B70"/>
    <w:rsid w:val="00893911"/>
    <w:rsid w:val="0089451F"/>
    <w:rsid w:val="008A0156"/>
    <w:rsid w:val="008B5F9C"/>
    <w:rsid w:val="008B640D"/>
    <w:rsid w:val="008C01F9"/>
    <w:rsid w:val="008C5C25"/>
    <w:rsid w:val="008C7EF3"/>
    <w:rsid w:val="008D53A7"/>
    <w:rsid w:val="008E4D92"/>
    <w:rsid w:val="008F209B"/>
    <w:rsid w:val="008F2D4A"/>
    <w:rsid w:val="008F52DD"/>
    <w:rsid w:val="008F53A1"/>
    <w:rsid w:val="008F5881"/>
    <w:rsid w:val="008F6F10"/>
    <w:rsid w:val="009001D8"/>
    <w:rsid w:val="00901A2A"/>
    <w:rsid w:val="009032A8"/>
    <w:rsid w:val="009047A7"/>
    <w:rsid w:val="00904DEE"/>
    <w:rsid w:val="00907A6B"/>
    <w:rsid w:val="00912FE0"/>
    <w:rsid w:val="0091699A"/>
    <w:rsid w:val="009224E7"/>
    <w:rsid w:val="0092474B"/>
    <w:rsid w:val="009256BA"/>
    <w:rsid w:val="00930D43"/>
    <w:rsid w:val="00931E51"/>
    <w:rsid w:val="00936CD3"/>
    <w:rsid w:val="0094205C"/>
    <w:rsid w:val="00966ACC"/>
    <w:rsid w:val="00967936"/>
    <w:rsid w:val="009722BF"/>
    <w:rsid w:val="009730E8"/>
    <w:rsid w:val="009757F1"/>
    <w:rsid w:val="00976BF7"/>
    <w:rsid w:val="0097779C"/>
    <w:rsid w:val="009816A8"/>
    <w:rsid w:val="009819EE"/>
    <w:rsid w:val="00983A90"/>
    <w:rsid w:val="00984C3A"/>
    <w:rsid w:val="0098523B"/>
    <w:rsid w:val="00996973"/>
    <w:rsid w:val="009A0CFA"/>
    <w:rsid w:val="009B5935"/>
    <w:rsid w:val="009C0643"/>
    <w:rsid w:val="009C1E63"/>
    <w:rsid w:val="009C4A33"/>
    <w:rsid w:val="009C6E54"/>
    <w:rsid w:val="009C7926"/>
    <w:rsid w:val="009D0C7A"/>
    <w:rsid w:val="009D2866"/>
    <w:rsid w:val="009E4AC4"/>
    <w:rsid w:val="009F29B0"/>
    <w:rsid w:val="009F5CB1"/>
    <w:rsid w:val="009F7B11"/>
    <w:rsid w:val="00A04E39"/>
    <w:rsid w:val="00A05DBD"/>
    <w:rsid w:val="00A11613"/>
    <w:rsid w:val="00A12318"/>
    <w:rsid w:val="00A13130"/>
    <w:rsid w:val="00A30B5F"/>
    <w:rsid w:val="00A37A73"/>
    <w:rsid w:val="00A41175"/>
    <w:rsid w:val="00A419CB"/>
    <w:rsid w:val="00A43008"/>
    <w:rsid w:val="00A44C15"/>
    <w:rsid w:val="00A4639D"/>
    <w:rsid w:val="00A52BFC"/>
    <w:rsid w:val="00A531C6"/>
    <w:rsid w:val="00A54606"/>
    <w:rsid w:val="00A553EB"/>
    <w:rsid w:val="00A55709"/>
    <w:rsid w:val="00A57B4A"/>
    <w:rsid w:val="00A625F4"/>
    <w:rsid w:val="00A63B24"/>
    <w:rsid w:val="00A655B9"/>
    <w:rsid w:val="00A7074A"/>
    <w:rsid w:val="00A7396B"/>
    <w:rsid w:val="00A80DB7"/>
    <w:rsid w:val="00A82E76"/>
    <w:rsid w:val="00A90943"/>
    <w:rsid w:val="00A94557"/>
    <w:rsid w:val="00A95887"/>
    <w:rsid w:val="00A9739B"/>
    <w:rsid w:val="00AA080B"/>
    <w:rsid w:val="00AA2197"/>
    <w:rsid w:val="00AA26A2"/>
    <w:rsid w:val="00AA6343"/>
    <w:rsid w:val="00AA659D"/>
    <w:rsid w:val="00AB0950"/>
    <w:rsid w:val="00AB5979"/>
    <w:rsid w:val="00AB6D4E"/>
    <w:rsid w:val="00AC0132"/>
    <w:rsid w:val="00AC3E34"/>
    <w:rsid w:val="00AE055A"/>
    <w:rsid w:val="00AE0E67"/>
    <w:rsid w:val="00AE12B8"/>
    <w:rsid w:val="00AE7A07"/>
    <w:rsid w:val="00AE7B7A"/>
    <w:rsid w:val="00AF0614"/>
    <w:rsid w:val="00AF0FD8"/>
    <w:rsid w:val="00AF4CC7"/>
    <w:rsid w:val="00AF6FC2"/>
    <w:rsid w:val="00B015A7"/>
    <w:rsid w:val="00B10444"/>
    <w:rsid w:val="00B143BC"/>
    <w:rsid w:val="00B17501"/>
    <w:rsid w:val="00B17DD5"/>
    <w:rsid w:val="00B26826"/>
    <w:rsid w:val="00B27B05"/>
    <w:rsid w:val="00B330DD"/>
    <w:rsid w:val="00B36F29"/>
    <w:rsid w:val="00B37260"/>
    <w:rsid w:val="00B43A1A"/>
    <w:rsid w:val="00B465B1"/>
    <w:rsid w:val="00B47C03"/>
    <w:rsid w:val="00B54993"/>
    <w:rsid w:val="00B551DF"/>
    <w:rsid w:val="00B60539"/>
    <w:rsid w:val="00B642AA"/>
    <w:rsid w:val="00B660FF"/>
    <w:rsid w:val="00B74768"/>
    <w:rsid w:val="00B76FB4"/>
    <w:rsid w:val="00B80282"/>
    <w:rsid w:val="00BA1449"/>
    <w:rsid w:val="00BA33E4"/>
    <w:rsid w:val="00BA66D8"/>
    <w:rsid w:val="00BB3C7C"/>
    <w:rsid w:val="00BB6D86"/>
    <w:rsid w:val="00BB7A59"/>
    <w:rsid w:val="00BD2469"/>
    <w:rsid w:val="00BD7BDE"/>
    <w:rsid w:val="00BE7933"/>
    <w:rsid w:val="00BF097A"/>
    <w:rsid w:val="00BF65B3"/>
    <w:rsid w:val="00C00C1E"/>
    <w:rsid w:val="00C01D2B"/>
    <w:rsid w:val="00C1115A"/>
    <w:rsid w:val="00C15D87"/>
    <w:rsid w:val="00C16F2B"/>
    <w:rsid w:val="00C27781"/>
    <w:rsid w:val="00C336C8"/>
    <w:rsid w:val="00C44AB4"/>
    <w:rsid w:val="00C50DD8"/>
    <w:rsid w:val="00C5545E"/>
    <w:rsid w:val="00C567DE"/>
    <w:rsid w:val="00C72EFB"/>
    <w:rsid w:val="00C73B03"/>
    <w:rsid w:val="00C7786F"/>
    <w:rsid w:val="00C81EA3"/>
    <w:rsid w:val="00C83501"/>
    <w:rsid w:val="00C85E12"/>
    <w:rsid w:val="00C9000D"/>
    <w:rsid w:val="00C944AE"/>
    <w:rsid w:val="00C96FC1"/>
    <w:rsid w:val="00CA4DD9"/>
    <w:rsid w:val="00CC07A1"/>
    <w:rsid w:val="00CC1C6D"/>
    <w:rsid w:val="00CC418C"/>
    <w:rsid w:val="00CC57E0"/>
    <w:rsid w:val="00CC7F7A"/>
    <w:rsid w:val="00CD29E3"/>
    <w:rsid w:val="00CD2F05"/>
    <w:rsid w:val="00CD3BE9"/>
    <w:rsid w:val="00CE5AFB"/>
    <w:rsid w:val="00CE679B"/>
    <w:rsid w:val="00CE71A0"/>
    <w:rsid w:val="00CF006A"/>
    <w:rsid w:val="00CF07C5"/>
    <w:rsid w:val="00CF6C6B"/>
    <w:rsid w:val="00CF6D9C"/>
    <w:rsid w:val="00D010AD"/>
    <w:rsid w:val="00D01854"/>
    <w:rsid w:val="00D01DD0"/>
    <w:rsid w:val="00D0202E"/>
    <w:rsid w:val="00D0364A"/>
    <w:rsid w:val="00D03D54"/>
    <w:rsid w:val="00D0479B"/>
    <w:rsid w:val="00D05B71"/>
    <w:rsid w:val="00D2032A"/>
    <w:rsid w:val="00D24CD8"/>
    <w:rsid w:val="00D32D22"/>
    <w:rsid w:val="00D3717E"/>
    <w:rsid w:val="00D40CF9"/>
    <w:rsid w:val="00D42F7B"/>
    <w:rsid w:val="00D437F7"/>
    <w:rsid w:val="00D47960"/>
    <w:rsid w:val="00D51AA0"/>
    <w:rsid w:val="00D54212"/>
    <w:rsid w:val="00D60434"/>
    <w:rsid w:val="00D65BE0"/>
    <w:rsid w:val="00D72CE6"/>
    <w:rsid w:val="00D87A95"/>
    <w:rsid w:val="00D901CC"/>
    <w:rsid w:val="00D94623"/>
    <w:rsid w:val="00D96752"/>
    <w:rsid w:val="00D96BDB"/>
    <w:rsid w:val="00D96FC2"/>
    <w:rsid w:val="00DB4F2E"/>
    <w:rsid w:val="00DC1F84"/>
    <w:rsid w:val="00DD1F44"/>
    <w:rsid w:val="00DD4458"/>
    <w:rsid w:val="00DD6DDD"/>
    <w:rsid w:val="00DE5178"/>
    <w:rsid w:val="00DE5435"/>
    <w:rsid w:val="00DE6EDA"/>
    <w:rsid w:val="00E045CF"/>
    <w:rsid w:val="00E04C6B"/>
    <w:rsid w:val="00E05699"/>
    <w:rsid w:val="00E07A2A"/>
    <w:rsid w:val="00E128C6"/>
    <w:rsid w:val="00E17B9D"/>
    <w:rsid w:val="00E245F6"/>
    <w:rsid w:val="00E24730"/>
    <w:rsid w:val="00E26311"/>
    <w:rsid w:val="00E308F7"/>
    <w:rsid w:val="00E41B15"/>
    <w:rsid w:val="00E420D7"/>
    <w:rsid w:val="00E42245"/>
    <w:rsid w:val="00E454F4"/>
    <w:rsid w:val="00E61770"/>
    <w:rsid w:val="00E700D5"/>
    <w:rsid w:val="00E70C64"/>
    <w:rsid w:val="00E73E99"/>
    <w:rsid w:val="00E74620"/>
    <w:rsid w:val="00E83931"/>
    <w:rsid w:val="00E86CE4"/>
    <w:rsid w:val="00E95200"/>
    <w:rsid w:val="00EA3501"/>
    <w:rsid w:val="00EA3861"/>
    <w:rsid w:val="00EB179F"/>
    <w:rsid w:val="00EB35AC"/>
    <w:rsid w:val="00EB776E"/>
    <w:rsid w:val="00EC26D1"/>
    <w:rsid w:val="00EC3DF9"/>
    <w:rsid w:val="00ED0AAE"/>
    <w:rsid w:val="00ED5A22"/>
    <w:rsid w:val="00EE08B4"/>
    <w:rsid w:val="00EE6A85"/>
    <w:rsid w:val="00EF1629"/>
    <w:rsid w:val="00EF253F"/>
    <w:rsid w:val="00EF2EBB"/>
    <w:rsid w:val="00EF3B00"/>
    <w:rsid w:val="00EF3BE6"/>
    <w:rsid w:val="00EF3D94"/>
    <w:rsid w:val="00EF55B0"/>
    <w:rsid w:val="00F02F88"/>
    <w:rsid w:val="00F03170"/>
    <w:rsid w:val="00F041F7"/>
    <w:rsid w:val="00F11348"/>
    <w:rsid w:val="00F12856"/>
    <w:rsid w:val="00F15945"/>
    <w:rsid w:val="00F17B6B"/>
    <w:rsid w:val="00F2608C"/>
    <w:rsid w:val="00F3140D"/>
    <w:rsid w:val="00F64A4C"/>
    <w:rsid w:val="00F70CC1"/>
    <w:rsid w:val="00F77406"/>
    <w:rsid w:val="00F77E93"/>
    <w:rsid w:val="00F814CC"/>
    <w:rsid w:val="00F82C78"/>
    <w:rsid w:val="00F87C45"/>
    <w:rsid w:val="00F90956"/>
    <w:rsid w:val="00F92998"/>
    <w:rsid w:val="00F92C97"/>
    <w:rsid w:val="00FA15C8"/>
    <w:rsid w:val="00FA49E6"/>
    <w:rsid w:val="00FA6E04"/>
    <w:rsid w:val="00FB0786"/>
    <w:rsid w:val="00FC282D"/>
    <w:rsid w:val="00FC556A"/>
    <w:rsid w:val="00FD11FA"/>
    <w:rsid w:val="00FD2570"/>
    <w:rsid w:val="00FD64D3"/>
    <w:rsid w:val="00FE4CEC"/>
    <w:rsid w:val="00FF1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128C6"/>
    <w:pPr>
      <w:ind w:left="720"/>
      <w:contextualSpacing/>
    </w:pPr>
  </w:style>
  <w:style w:type="paragraph" w:styleId="Vresteksts">
    <w:name w:val="footnote text"/>
    <w:basedOn w:val="Parasts"/>
    <w:link w:val="VrestekstsRakstz"/>
    <w:unhideWhenUsed/>
    <w:rsid w:val="007C488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7C488D"/>
    <w:rPr>
      <w:rFonts w:ascii="Times New Roman" w:eastAsia="Times New Roman" w:hAnsi="Times New Roman" w:cs="Times New Roman"/>
      <w:sz w:val="20"/>
      <w:szCs w:val="20"/>
      <w:lang w:val="en-US"/>
    </w:rPr>
  </w:style>
  <w:style w:type="character" w:styleId="Vresatsauce">
    <w:name w:val="footnote reference"/>
    <w:unhideWhenUsed/>
    <w:rsid w:val="007C488D"/>
    <w:rPr>
      <w:vertAlign w:val="superscript"/>
    </w:rPr>
  </w:style>
  <w:style w:type="character" w:styleId="Komentraatsauce">
    <w:name w:val="annotation reference"/>
    <w:basedOn w:val="Noklusjumarindkopasfonts"/>
    <w:uiPriority w:val="99"/>
    <w:semiHidden/>
    <w:unhideWhenUsed/>
    <w:rsid w:val="00AC0132"/>
    <w:rPr>
      <w:sz w:val="16"/>
      <w:szCs w:val="16"/>
    </w:rPr>
  </w:style>
  <w:style w:type="paragraph" w:styleId="Komentrateksts">
    <w:name w:val="annotation text"/>
    <w:basedOn w:val="Parasts"/>
    <w:link w:val="KomentratekstsRakstz"/>
    <w:uiPriority w:val="99"/>
    <w:semiHidden/>
    <w:unhideWhenUsed/>
    <w:rsid w:val="00AC013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C0132"/>
    <w:rPr>
      <w:sz w:val="20"/>
      <w:szCs w:val="20"/>
    </w:rPr>
  </w:style>
  <w:style w:type="paragraph" w:styleId="Komentratma">
    <w:name w:val="annotation subject"/>
    <w:basedOn w:val="Komentrateksts"/>
    <w:next w:val="Komentrateksts"/>
    <w:link w:val="KomentratmaRakstz"/>
    <w:uiPriority w:val="99"/>
    <w:semiHidden/>
    <w:unhideWhenUsed/>
    <w:rsid w:val="00AC0132"/>
    <w:rPr>
      <w:b/>
      <w:bCs/>
    </w:rPr>
  </w:style>
  <w:style w:type="character" w:customStyle="1" w:styleId="KomentratmaRakstz">
    <w:name w:val="Komentāra tēma Rakstz."/>
    <w:basedOn w:val="KomentratekstsRakstz"/>
    <w:link w:val="Komentratma"/>
    <w:uiPriority w:val="99"/>
    <w:semiHidden/>
    <w:rsid w:val="00AC0132"/>
    <w:rPr>
      <w:b/>
      <w:bCs/>
      <w:sz w:val="20"/>
      <w:szCs w:val="20"/>
    </w:rPr>
  </w:style>
  <w:style w:type="paragraph" w:styleId="Balonteksts">
    <w:name w:val="Balloon Text"/>
    <w:basedOn w:val="Parasts"/>
    <w:link w:val="BalontekstsRakstz"/>
    <w:uiPriority w:val="99"/>
    <w:semiHidden/>
    <w:unhideWhenUsed/>
    <w:rsid w:val="00AC013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0132"/>
    <w:rPr>
      <w:rFonts w:ascii="Tahoma" w:hAnsi="Tahoma" w:cs="Tahoma"/>
      <w:sz w:val="16"/>
      <w:szCs w:val="16"/>
    </w:rPr>
  </w:style>
  <w:style w:type="paragraph" w:styleId="Galvene">
    <w:name w:val="header"/>
    <w:basedOn w:val="Parasts"/>
    <w:link w:val="GalveneRakstz"/>
    <w:uiPriority w:val="99"/>
    <w:unhideWhenUsed/>
    <w:rsid w:val="00ED0A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D0AAE"/>
  </w:style>
  <w:style w:type="paragraph" w:styleId="Kjene">
    <w:name w:val="footer"/>
    <w:basedOn w:val="Parasts"/>
    <w:link w:val="KjeneRakstz"/>
    <w:uiPriority w:val="99"/>
    <w:unhideWhenUsed/>
    <w:rsid w:val="00ED0A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0AAE"/>
  </w:style>
  <w:style w:type="character" w:styleId="Hipersaite">
    <w:name w:val="Hyperlink"/>
    <w:basedOn w:val="Noklusjumarindkopasfonts"/>
    <w:uiPriority w:val="99"/>
    <w:unhideWhenUsed/>
    <w:rsid w:val="0026010A"/>
    <w:rPr>
      <w:color w:val="0000FF" w:themeColor="hyperlink"/>
      <w:u w:val="single"/>
    </w:rPr>
  </w:style>
  <w:style w:type="paragraph" w:styleId="Vienkrsteksts">
    <w:name w:val="Plain Text"/>
    <w:basedOn w:val="Parasts"/>
    <w:link w:val="VienkrstekstsRakstz"/>
    <w:uiPriority w:val="99"/>
    <w:semiHidden/>
    <w:unhideWhenUsed/>
    <w:rsid w:val="00912FE0"/>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912FE0"/>
    <w:rPr>
      <w:rFonts w:ascii="Calibri" w:hAnsi="Calibri"/>
      <w:szCs w:val="21"/>
    </w:rPr>
  </w:style>
  <w:style w:type="paragraph" w:customStyle="1" w:styleId="Default">
    <w:name w:val="Default"/>
    <w:rsid w:val="0019507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77465F"/>
    <w:rPr>
      <w:rFonts w:cstheme="minorBidi"/>
      <w:color w:val="auto"/>
    </w:rPr>
  </w:style>
  <w:style w:type="paragraph" w:customStyle="1" w:styleId="CM3">
    <w:name w:val="CM3"/>
    <w:basedOn w:val="Default"/>
    <w:next w:val="Default"/>
    <w:uiPriority w:val="99"/>
    <w:rsid w:val="0077465F"/>
    <w:rPr>
      <w:rFonts w:cstheme="minorBidi"/>
      <w:color w:val="auto"/>
    </w:rPr>
  </w:style>
  <w:style w:type="paragraph" w:customStyle="1" w:styleId="mt-translation">
    <w:name w:val="mt-translation"/>
    <w:basedOn w:val="Parasts"/>
    <w:rsid w:val="006A7A4B"/>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CM4">
    <w:name w:val="CM4"/>
    <w:basedOn w:val="Default"/>
    <w:next w:val="Default"/>
    <w:uiPriority w:val="99"/>
    <w:rsid w:val="001649CD"/>
    <w:rPr>
      <w:rFonts w:cstheme="minorBidi"/>
      <w:color w:val="auto"/>
    </w:rPr>
  </w:style>
  <w:style w:type="paragraph" w:customStyle="1" w:styleId="tv2132">
    <w:name w:val="tv2132"/>
    <w:basedOn w:val="Parasts"/>
    <w:rsid w:val="00E41B15"/>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128C6"/>
    <w:pPr>
      <w:ind w:left="720"/>
      <w:contextualSpacing/>
    </w:pPr>
  </w:style>
  <w:style w:type="paragraph" w:styleId="Vresteksts">
    <w:name w:val="footnote text"/>
    <w:basedOn w:val="Parasts"/>
    <w:link w:val="VrestekstsRakstz"/>
    <w:unhideWhenUsed/>
    <w:rsid w:val="007C488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7C488D"/>
    <w:rPr>
      <w:rFonts w:ascii="Times New Roman" w:eastAsia="Times New Roman" w:hAnsi="Times New Roman" w:cs="Times New Roman"/>
      <w:sz w:val="20"/>
      <w:szCs w:val="20"/>
      <w:lang w:val="en-US"/>
    </w:rPr>
  </w:style>
  <w:style w:type="character" w:styleId="Vresatsauce">
    <w:name w:val="footnote reference"/>
    <w:unhideWhenUsed/>
    <w:rsid w:val="007C488D"/>
    <w:rPr>
      <w:vertAlign w:val="superscript"/>
    </w:rPr>
  </w:style>
  <w:style w:type="character" w:styleId="Komentraatsauce">
    <w:name w:val="annotation reference"/>
    <w:basedOn w:val="Noklusjumarindkopasfonts"/>
    <w:uiPriority w:val="99"/>
    <w:semiHidden/>
    <w:unhideWhenUsed/>
    <w:rsid w:val="00AC0132"/>
    <w:rPr>
      <w:sz w:val="16"/>
      <w:szCs w:val="16"/>
    </w:rPr>
  </w:style>
  <w:style w:type="paragraph" w:styleId="Komentrateksts">
    <w:name w:val="annotation text"/>
    <w:basedOn w:val="Parasts"/>
    <w:link w:val="KomentratekstsRakstz"/>
    <w:uiPriority w:val="99"/>
    <w:semiHidden/>
    <w:unhideWhenUsed/>
    <w:rsid w:val="00AC013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C0132"/>
    <w:rPr>
      <w:sz w:val="20"/>
      <w:szCs w:val="20"/>
    </w:rPr>
  </w:style>
  <w:style w:type="paragraph" w:styleId="Komentratma">
    <w:name w:val="annotation subject"/>
    <w:basedOn w:val="Komentrateksts"/>
    <w:next w:val="Komentrateksts"/>
    <w:link w:val="KomentratmaRakstz"/>
    <w:uiPriority w:val="99"/>
    <w:semiHidden/>
    <w:unhideWhenUsed/>
    <w:rsid w:val="00AC0132"/>
    <w:rPr>
      <w:b/>
      <w:bCs/>
    </w:rPr>
  </w:style>
  <w:style w:type="character" w:customStyle="1" w:styleId="KomentratmaRakstz">
    <w:name w:val="Komentāra tēma Rakstz."/>
    <w:basedOn w:val="KomentratekstsRakstz"/>
    <w:link w:val="Komentratma"/>
    <w:uiPriority w:val="99"/>
    <w:semiHidden/>
    <w:rsid w:val="00AC0132"/>
    <w:rPr>
      <w:b/>
      <w:bCs/>
      <w:sz w:val="20"/>
      <w:szCs w:val="20"/>
    </w:rPr>
  </w:style>
  <w:style w:type="paragraph" w:styleId="Balonteksts">
    <w:name w:val="Balloon Text"/>
    <w:basedOn w:val="Parasts"/>
    <w:link w:val="BalontekstsRakstz"/>
    <w:uiPriority w:val="99"/>
    <w:semiHidden/>
    <w:unhideWhenUsed/>
    <w:rsid w:val="00AC013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0132"/>
    <w:rPr>
      <w:rFonts w:ascii="Tahoma" w:hAnsi="Tahoma" w:cs="Tahoma"/>
      <w:sz w:val="16"/>
      <w:szCs w:val="16"/>
    </w:rPr>
  </w:style>
  <w:style w:type="paragraph" w:styleId="Galvene">
    <w:name w:val="header"/>
    <w:basedOn w:val="Parasts"/>
    <w:link w:val="GalveneRakstz"/>
    <w:uiPriority w:val="99"/>
    <w:unhideWhenUsed/>
    <w:rsid w:val="00ED0A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D0AAE"/>
  </w:style>
  <w:style w:type="paragraph" w:styleId="Kjene">
    <w:name w:val="footer"/>
    <w:basedOn w:val="Parasts"/>
    <w:link w:val="KjeneRakstz"/>
    <w:uiPriority w:val="99"/>
    <w:unhideWhenUsed/>
    <w:rsid w:val="00ED0A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0AAE"/>
  </w:style>
  <w:style w:type="character" w:styleId="Hipersaite">
    <w:name w:val="Hyperlink"/>
    <w:basedOn w:val="Noklusjumarindkopasfonts"/>
    <w:uiPriority w:val="99"/>
    <w:unhideWhenUsed/>
    <w:rsid w:val="0026010A"/>
    <w:rPr>
      <w:color w:val="0000FF" w:themeColor="hyperlink"/>
      <w:u w:val="single"/>
    </w:rPr>
  </w:style>
  <w:style w:type="paragraph" w:styleId="Vienkrsteksts">
    <w:name w:val="Plain Text"/>
    <w:basedOn w:val="Parasts"/>
    <w:link w:val="VienkrstekstsRakstz"/>
    <w:uiPriority w:val="99"/>
    <w:semiHidden/>
    <w:unhideWhenUsed/>
    <w:rsid w:val="00912FE0"/>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912FE0"/>
    <w:rPr>
      <w:rFonts w:ascii="Calibri" w:hAnsi="Calibri"/>
      <w:szCs w:val="21"/>
    </w:rPr>
  </w:style>
  <w:style w:type="paragraph" w:customStyle="1" w:styleId="Default">
    <w:name w:val="Default"/>
    <w:rsid w:val="0019507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77465F"/>
    <w:rPr>
      <w:rFonts w:cstheme="minorBidi"/>
      <w:color w:val="auto"/>
    </w:rPr>
  </w:style>
  <w:style w:type="paragraph" w:customStyle="1" w:styleId="CM3">
    <w:name w:val="CM3"/>
    <w:basedOn w:val="Default"/>
    <w:next w:val="Default"/>
    <w:uiPriority w:val="99"/>
    <w:rsid w:val="0077465F"/>
    <w:rPr>
      <w:rFonts w:cstheme="minorBidi"/>
      <w:color w:val="auto"/>
    </w:rPr>
  </w:style>
  <w:style w:type="paragraph" w:customStyle="1" w:styleId="mt-translation">
    <w:name w:val="mt-translation"/>
    <w:basedOn w:val="Parasts"/>
    <w:rsid w:val="006A7A4B"/>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CM4">
    <w:name w:val="CM4"/>
    <w:basedOn w:val="Default"/>
    <w:next w:val="Default"/>
    <w:uiPriority w:val="99"/>
    <w:rsid w:val="001649CD"/>
    <w:rPr>
      <w:rFonts w:cstheme="minorBidi"/>
      <w:color w:val="auto"/>
    </w:rPr>
  </w:style>
  <w:style w:type="paragraph" w:customStyle="1" w:styleId="tv2132">
    <w:name w:val="tv2132"/>
    <w:basedOn w:val="Parasts"/>
    <w:rsid w:val="00E41B1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684">
      <w:bodyDiv w:val="1"/>
      <w:marLeft w:val="0"/>
      <w:marRight w:val="0"/>
      <w:marTop w:val="0"/>
      <w:marBottom w:val="0"/>
      <w:divBdr>
        <w:top w:val="none" w:sz="0" w:space="0" w:color="auto"/>
        <w:left w:val="none" w:sz="0" w:space="0" w:color="auto"/>
        <w:bottom w:val="none" w:sz="0" w:space="0" w:color="auto"/>
        <w:right w:val="none" w:sz="0" w:space="0" w:color="auto"/>
      </w:divBdr>
    </w:div>
    <w:div w:id="441264659">
      <w:bodyDiv w:val="1"/>
      <w:marLeft w:val="0"/>
      <w:marRight w:val="0"/>
      <w:marTop w:val="0"/>
      <w:marBottom w:val="0"/>
      <w:divBdr>
        <w:top w:val="none" w:sz="0" w:space="0" w:color="auto"/>
        <w:left w:val="none" w:sz="0" w:space="0" w:color="auto"/>
        <w:bottom w:val="none" w:sz="0" w:space="0" w:color="auto"/>
        <w:right w:val="none" w:sz="0" w:space="0" w:color="auto"/>
      </w:divBdr>
    </w:div>
    <w:div w:id="870798036">
      <w:bodyDiv w:val="1"/>
      <w:marLeft w:val="0"/>
      <w:marRight w:val="0"/>
      <w:marTop w:val="0"/>
      <w:marBottom w:val="0"/>
      <w:divBdr>
        <w:top w:val="none" w:sz="0" w:space="0" w:color="auto"/>
        <w:left w:val="none" w:sz="0" w:space="0" w:color="auto"/>
        <w:bottom w:val="none" w:sz="0" w:space="0" w:color="auto"/>
        <w:right w:val="none" w:sz="0" w:space="0" w:color="auto"/>
      </w:divBdr>
      <w:divsChild>
        <w:div w:id="788277946">
          <w:marLeft w:val="0"/>
          <w:marRight w:val="0"/>
          <w:marTop w:val="0"/>
          <w:marBottom w:val="0"/>
          <w:divBdr>
            <w:top w:val="none" w:sz="0" w:space="0" w:color="auto"/>
            <w:left w:val="none" w:sz="0" w:space="0" w:color="auto"/>
            <w:bottom w:val="none" w:sz="0" w:space="0" w:color="auto"/>
            <w:right w:val="none" w:sz="0" w:space="0" w:color="auto"/>
          </w:divBdr>
          <w:divsChild>
            <w:div w:id="1330403002">
              <w:marLeft w:val="0"/>
              <w:marRight w:val="0"/>
              <w:marTop w:val="0"/>
              <w:marBottom w:val="0"/>
              <w:divBdr>
                <w:top w:val="none" w:sz="0" w:space="0" w:color="auto"/>
                <w:left w:val="none" w:sz="0" w:space="0" w:color="auto"/>
                <w:bottom w:val="none" w:sz="0" w:space="0" w:color="auto"/>
                <w:right w:val="none" w:sz="0" w:space="0" w:color="auto"/>
              </w:divBdr>
              <w:divsChild>
                <w:div w:id="1310014957">
                  <w:marLeft w:val="0"/>
                  <w:marRight w:val="0"/>
                  <w:marTop w:val="0"/>
                  <w:marBottom w:val="0"/>
                  <w:divBdr>
                    <w:top w:val="none" w:sz="0" w:space="0" w:color="auto"/>
                    <w:left w:val="none" w:sz="0" w:space="0" w:color="auto"/>
                    <w:bottom w:val="none" w:sz="0" w:space="0" w:color="auto"/>
                    <w:right w:val="none" w:sz="0" w:space="0" w:color="auto"/>
                  </w:divBdr>
                  <w:divsChild>
                    <w:div w:id="1620919556">
                      <w:marLeft w:val="0"/>
                      <w:marRight w:val="0"/>
                      <w:marTop w:val="0"/>
                      <w:marBottom w:val="0"/>
                      <w:divBdr>
                        <w:top w:val="none" w:sz="0" w:space="0" w:color="auto"/>
                        <w:left w:val="none" w:sz="0" w:space="0" w:color="auto"/>
                        <w:bottom w:val="none" w:sz="0" w:space="0" w:color="auto"/>
                        <w:right w:val="none" w:sz="0" w:space="0" w:color="auto"/>
                      </w:divBdr>
                      <w:divsChild>
                        <w:div w:id="1674526684">
                          <w:marLeft w:val="0"/>
                          <w:marRight w:val="0"/>
                          <w:marTop w:val="0"/>
                          <w:marBottom w:val="0"/>
                          <w:divBdr>
                            <w:top w:val="none" w:sz="0" w:space="0" w:color="auto"/>
                            <w:left w:val="none" w:sz="0" w:space="0" w:color="auto"/>
                            <w:bottom w:val="none" w:sz="0" w:space="0" w:color="auto"/>
                            <w:right w:val="none" w:sz="0" w:space="0" w:color="auto"/>
                          </w:divBdr>
                          <w:divsChild>
                            <w:div w:id="8776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36753">
      <w:bodyDiv w:val="1"/>
      <w:marLeft w:val="0"/>
      <w:marRight w:val="0"/>
      <w:marTop w:val="0"/>
      <w:marBottom w:val="0"/>
      <w:divBdr>
        <w:top w:val="none" w:sz="0" w:space="0" w:color="auto"/>
        <w:left w:val="none" w:sz="0" w:space="0" w:color="auto"/>
        <w:bottom w:val="none" w:sz="0" w:space="0" w:color="auto"/>
        <w:right w:val="none" w:sz="0" w:space="0" w:color="auto"/>
      </w:divBdr>
    </w:div>
    <w:div w:id="1116408203">
      <w:bodyDiv w:val="1"/>
      <w:marLeft w:val="0"/>
      <w:marRight w:val="0"/>
      <w:marTop w:val="0"/>
      <w:marBottom w:val="0"/>
      <w:divBdr>
        <w:top w:val="none" w:sz="0" w:space="0" w:color="auto"/>
        <w:left w:val="none" w:sz="0" w:space="0" w:color="auto"/>
        <w:bottom w:val="none" w:sz="0" w:space="0" w:color="auto"/>
        <w:right w:val="none" w:sz="0" w:space="0" w:color="auto"/>
      </w:divBdr>
    </w:div>
    <w:div w:id="1225945929">
      <w:bodyDiv w:val="1"/>
      <w:marLeft w:val="0"/>
      <w:marRight w:val="0"/>
      <w:marTop w:val="0"/>
      <w:marBottom w:val="0"/>
      <w:divBdr>
        <w:top w:val="none" w:sz="0" w:space="0" w:color="auto"/>
        <w:left w:val="none" w:sz="0" w:space="0" w:color="auto"/>
        <w:bottom w:val="none" w:sz="0" w:space="0" w:color="auto"/>
        <w:right w:val="none" w:sz="0" w:space="0" w:color="auto"/>
      </w:divBdr>
      <w:divsChild>
        <w:div w:id="1884900292">
          <w:marLeft w:val="0"/>
          <w:marRight w:val="0"/>
          <w:marTop w:val="0"/>
          <w:marBottom w:val="0"/>
          <w:divBdr>
            <w:top w:val="none" w:sz="0" w:space="0" w:color="auto"/>
            <w:left w:val="none" w:sz="0" w:space="0" w:color="auto"/>
            <w:bottom w:val="none" w:sz="0" w:space="0" w:color="auto"/>
            <w:right w:val="none" w:sz="0" w:space="0" w:color="auto"/>
          </w:divBdr>
          <w:divsChild>
            <w:div w:id="1333335101">
              <w:marLeft w:val="0"/>
              <w:marRight w:val="0"/>
              <w:marTop w:val="0"/>
              <w:marBottom w:val="0"/>
              <w:divBdr>
                <w:top w:val="none" w:sz="0" w:space="0" w:color="auto"/>
                <w:left w:val="none" w:sz="0" w:space="0" w:color="auto"/>
                <w:bottom w:val="none" w:sz="0" w:space="0" w:color="auto"/>
                <w:right w:val="none" w:sz="0" w:space="0" w:color="auto"/>
              </w:divBdr>
              <w:divsChild>
                <w:div w:id="1732918985">
                  <w:marLeft w:val="0"/>
                  <w:marRight w:val="0"/>
                  <w:marTop w:val="0"/>
                  <w:marBottom w:val="0"/>
                  <w:divBdr>
                    <w:top w:val="none" w:sz="0" w:space="0" w:color="auto"/>
                    <w:left w:val="none" w:sz="0" w:space="0" w:color="auto"/>
                    <w:bottom w:val="none" w:sz="0" w:space="0" w:color="auto"/>
                    <w:right w:val="none" w:sz="0" w:space="0" w:color="auto"/>
                  </w:divBdr>
                  <w:divsChild>
                    <w:div w:id="1393624240">
                      <w:marLeft w:val="0"/>
                      <w:marRight w:val="0"/>
                      <w:marTop w:val="0"/>
                      <w:marBottom w:val="0"/>
                      <w:divBdr>
                        <w:top w:val="none" w:sz="0" w:space="0" w:color="auto"/>
                        <w:left w:val="none" w:sz="0" w:space="0" w:color="auto"/>
                        <w:bottom w:val="none" w:sz="0" w:space="0" w:color="auto"/>
                        <w:right w:val="none" w:sz="0" w:space="0" w:color="auto"/>
                      </w:divBdr>
                      <w:divsChild>
                        <w:div w:id="149098386">
                          <w:marLeft w:val="0"/>
                          <w:marRight w:val="0"/>
                          <w:marTop w:val="0"/>
                          <w:marBottom w:val="0"/>
                          <w:divBdr>
                            <w:top w:val="none" w:sz="0" w:space="0" w:color="auto"/>
                            <w:left w:val="none" w:sz="0" w:space="0" w:color="auto"/>
                            <w:bottom w:val="none" w:sz="0" w:space="0" w:color="auto"/>
                            <w:right w:val="none" w:sz="0" w:space="0" w:color="auto"/>
                          </w:divBdr>
                          <w:divsChild>
                            <w:div w:id="16353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71502">
      <w:bodyDiv w:val="1"/>
      <w:marLeft w:val="0"/>
      <w:marRight w:val="0"/>
      <w:marTop w:val="0"/>
      <w:marBottom w:val="0"/>
      <w:divBdr>
        <w:top w:val="none" w:sz="0" w:space="0" w:color="auto"/>
        <w:left w:val="none" w:sz="0" w:space="0" w:color="auto"/>
        <w:bottom w:val="none" w:sz="0" w:space="0" w:color="auto"/>
        <w:right w:val="none" w:sz="0" w:space="0" w:color="auto"/>
      </w:divBdr>
    </w:div>
    <w:div w:id="1639456836">
      <w:bodyDiv w:val="1"/>
      <w:marLeft w:val="0"/>
      <w:marRight w:val="0"/>
      <w:marTop w:val="0"/>
      <w:marBottom w:val="0"/>
      <w:divBdr>
        <w:top w:val="none" w:sz="0" w:space="0" w:color="auto"/>
        <w:left w:val="none" w:sz="0" w:space="0" w:color="auto"/>
        <w:bottom w:val="none" w:sz="0" w:space="0" w:color="auto"/>
        <w:right w:val="none" w:sz="0" w:space="0" w:color="auto"/>
      </w:divBdr>
    </w:div>
    <w:div w:id="1826584407">
      <w:bodyDiv w:val="1"/>
      <w:marLeft w:val="0"/>
      <w:marRight w:val="0"/>
      <w:marTop w:val="0"/>
      <w:marBottom w:val="0"/>
      <w:divBdr>
        <w:top w:val="none" w:sz="0" w:space="0" w:color="auto"/>
        <w:left w:val="none" w:sz="0" w:space="0" w:color="auto"/>
        <w:bottom w:val="none" w:sz="0" w:space="0" w:color="auto"/>
        <w:right w:val="none" w:sz="0" w:space="0" w:color="auto"/>
      </w:divBdr>
    </w:div>
    <w:div w:id="1872646482">
      <w:bodyDiv w:val="1"/>
      <w:marLeft w:val="0"/>
      <w:marRight w:val="0"/>
      <w:marTop w:val="0"/>
      <w:marBottom w:val="0"/>
      <w:divBdr>
        <w:top w:val="none" w:sz="0" w:space="0" w:color="auto"/>
        <w:left w:val="none" w:sz="0" w:space="0" w:color="auto"/>
        <w:bottom w:val="none" w:sz="0" w:space="0" w:color="auto"/>
        <w:right w:val="none" w:sz="0" w:space="0" w:color="auto"/>
      </w:divBdr>
      <w:divsChild>
        <w:div w:id="1699046960">
          <w:marLeft w:val="0"/>
          <w:marRight w:val="0"/>
          <w:marTop w:val="0"/>
          <w:marBottom w:val="0"/>
          <w:divBdr>
            <w:top w:val="none" w:sz="0" w:space="0" w:color="auto"/>
            <w:left w:val="none" w:sz="0" w:space="0" w:color="auto"/>
            <w:bottom w:val="none" w:sz="0" w:space="0" w:color="auto"/>
            <w:right w:val="none" w:sz="0" w:space="0" w:color="auto"/>
          </w:divBdr>
          <w:divsChild>
            <w:div w:id="1098478411">
              <w:marLeft w:val="0"/>
              <w:marRight w:val="0"/>
              <w:marTop w:val="0"/>
              <w:marBottom w:val="0"/>
              <w:divBdr>
                <w:top w:val="none" w:sz="0" w:space="0" w:color="auto"/>
                <w:left w:val="none" w:sz="0" w:space="0" w:color="auto"/>
                <w:bottom w:val="none" w:sz="0" w:space="0" w:color="auto"/>
                <w:right w:val="none" w:sz="0" w:space="0" w:color="auto"/>
              </w:divBdr>
              <w:divsChild>
                <w:div w:id="1167793799">
                  <w:marLeft w:val="0"/>
                  <w:marRight w:val="0"/>
                  <w:marTop w:val="0"/>
                  <w:marBottom w:val="0"/>
                  <w:divBdr>
                    <w:top w:val="none" w:sz="0" w:space="0" w:color="auto"/>
                    <w:left w:val="single" w:sz="12" w:space="0" w:color="E0E0C4"/>
                    <w:bottom w:val="single" w:sz="12" w:space="6" w:color="E0E0C4"/>
                    <w:right w:val="single" w:sz="12" w:space="0" w:color="E0E0C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7779-gada-parskatu-un-konsolideto-gada-parskatu-likums" TargetMode="External"/><Relationship Id="rId18" Type="http://schemas.openxmlformats.org/officeDocument/2006/relationships/hyperlink" Target="http://likumi.lv/ta/id/277779-gada-parskatu-un-konsolideto-gada-parskatu-liku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kumi.lv/ta/id/88966-kriminallikums" TargetMode="External"/><Relationship Id="rId7" Type="http://schemas.openxmlformats.org/officeDocument/2006/relationships/footnotes" Target="footnotes.xml"/><Relationship Id="rId12" Type="http://schemas.openxmlformats.org/officeDocument/2006/relationships/hyperlink" Target="http://likumi.lv/ta/id/277779-gada-parskatu-un-konsolideto-gada-parskatu-likums" TargetMode="External"/><Relationship Id="rId17" Type="http://schemas.openxmlformats.org/officeDocument/2006/relationships/hyperlink" Target="http://likumi.lv/ta/id/277779-gada-parskatu-un-konsolideto-gada-parskatu-liku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277779-gada-parskatu-un-konsolideto-gada-parskatu-likums" TargetMode="External"/><Relationship Id="rId20" Type="http://schemas.openxmlformats.org/officeDocument/2006/relationships/hyperlink" Target="http://likumi.lv/ta/id/88966-kriminalliku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596/oj/?locale=LV" TargetMode="External"/><Relationship Id="rId24" Type="http://schemas.openxmlformats.org/officeDocument/2006/relationships/hyperlink" Target="mailto:liene.ozola@tm.gov.lv" TargetMode="External"/><Relationship Id="rId5" Type="http://schemas.openxmlformats.org/officeDocument/2006/relationships/settings" Target="settings.xml"/><Relationship Id="rId15" Type="http://schemas.openxmlformats.org/officeDocument/2006/relationships/hyperlink" Target="http://likumi.lv/ta/id/277779-gada-parskatu-un-konsolideto-gada-parskatu-likums" TargetMode="External"/><Relationship Id="rId23" Type="http://schemas.openxmlformats.org/officeDocument/2006/relationships/hyperlink" Target="mailto:daina.obuka@tm.gov.lv" TargetMode="External"/><Relationship Id="rId28" Type="http://schemas.openxmlformats.org/officeDocument/2006/relationships/fontTable" Target="fontTable.xml"/><Relationship Id="rId10" Type="http://schemas.openxmlformats.org/officeDocument/2006/relationships/hyperlink" Target="http://eur-lex.europa.eu/eli/reg/2014/596/oj/?locale=LV" TargetMode="External"/><Relationship Id="rId19" Type="http://schemas.openxmlformats.org/officeDocument/2006/relationships/hyperlink" Target="http://eur-lex.europa.eu/legal-content/EN/TXT/?uri=celex:32014R0537" TargetMode="External"/><Relationship Id="rId4" Type="http://schemas.microsoft.com/office/2007/relationships/stylesWithEffects" Target="stylesWithEffects.xml"/><Relationship Id="rId9" Type="http://schemas.openxmlformats.org/officeDocument/2006/relationships/hyperlink" Target="http://eur-lex.europa.eu/eli/reg/2014/596/oj/?locale=LV" TargetMode="External"/><Relationship Id="rId14" Type="http://schemas.openxmlformats.org/officeDocument/2006/relationships/hyperlink" Target="http://likumi.lv/ta/id/277779-gada-parskatu-un-konsolideto-gada-parskatu-likums" TargetMode="External"/><Relationship Id="rId22" Type="http://schemas.openxmlformats.org/officeDocument/2006/relationships/hyperlink" Target="mailto:baiba.lielkalne@tm.gov.lv" TargetMode="External"/><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C3FF-E506-4E6D-AD9D-0A85C3D9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24312</Words>
  <Characters>13859</Characters>
  <Application>Microsoft Office Word</Application>
  <DocSecurity>0</DocSecurity>
  <Lines>115</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Ekonomiskās sadarbības un attīstības organizācijas rekomendācijām korporatīvās pārvaldības jomā"</vt:lpstr>
      <vt:lpstr/>
    </vt:vector>
  </TitlesOfParts>
  <Company>Tieslietu ministrija</Company>
  <LinksUpToDate>false</LinksUpToDate>
  <CharactersWithSpaces>38095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Ekonomiskās sadarbības un attīstības organizācijas rekomendācijām korporatīvās pārvaldības jomā"</dc:title>
  <dc:subject>Informatīvais ziņojums</dc:subject>
  <dc:creator>Baiba Lielkalne, Daina Obuka, Liene Ozola</dc:creator>
  <dc:description>67036949, baiba.lielkalne@tm.gov.lv
67036833, daina.obuka@tm.gov.lv
67046147, liene.ozola@tm.gov.lv</dc:description>
  <cp:lastModifiedBy>Baiba Lielkalne</cp:lastModifiedBy>
  <cp:revision>15</cp:revision>
  <cp:lastPrinted>2017-01-18T08:58:00Z</cp:lastPrinted>
  <dcterms:created xsi:type="dcterms:W3CDTF">2017-01-26T06:55:00Z</dcterms:created>
  <dcterms:modified xsi:type="dcterms:W3CDTF">2017-01-26T07:21:00Z</dcterms:modified>
</cp:coreProperties>
</file>