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7A" w:rsidRDefault="00A0012E" w:rsidP="00EE5735">
      <w:pPr>
        <w:spacing w:after="0" w:line="240" w:lineRule="auto"/>
        <w:jc w:val="center"/>
        <w:rPr>
          <w:rFonts w:ascii="Times New Roman" w:hAnsi="Times New Roman" w:cs="Times New Roman"/>
          <w:b/>
          <w:sz w:val="24"/>
          <w:szCs w:val="24"/>
        </w:rPr>
      </w:pPr>
      <w:r w:rsidRPr="001607B5">
        <w:rPr>
          <w:rFonts w:ascii="Times New Roman" w:hAnsi="Times New Roman" w:cs="Times New Roman"/>
          <w:b/>
          <w:sz w:val="24"/>
          <w:szCs w:val="24"/>
        </w:rPr>
        <w:t xml:space="preserve">Informatīvais ziņojums </w:t>
      </w:r>
    </w:p>
    <w:p w:rsidR="00A63CFA" w:rsidRPr="001607B5" w:rsidRDefault="00A0012E" w:rsidP="00EE5735">
      <w:pPr>
        <w:spacing w:after="120" w:line="240" w:lineRule="auto"/>
        <w:jc w:val="center"/>
        <w:rPr>
          <w:rFonts w:ascii="Times New Roman" w:hAnsi="Times New Roman" w:cs="Times New Roman"/>
          <w:b/>
          <w:sz w:val="24"/>
          <w:szCs w:val="24"/>
        </w:rPr>
      </w:pPr>
      <w:r w:rsidRPr="001607B5">
        <w:rPr>
          <w:rFonts w:ascii="Times New Roman" w:hAnsi="Times New Roman" w:cs="Times New Roman"/>
          <w:b/>
          <w:sz w:val="24"/>
          <w:szCs w:val="24"/>
        </w:rPr>
        <w:t>"</w:t>
      </w:r>
      <w:r w:rsidR="006B337A">
        <w:rPr>
          <w:rFonts w:ascii="Times New Roman" w:hAnsi="Times New Roman" w:cs="Times New Roman"/>
          <w:b/>
          <w:sz w:val="24"/>
          <w:szCs w:val="24"/>
        </w:rPr>
        <w:t xml:space="preserve">Par </w:t>
      </w:r>
      <w:r w:rsidR="00F21F04" w:rsidRPr="001607B5">
        <w:rPr>
          <w:rFonts w:ascii="Times New Roman" w:hAnsi="Times New Roman" w:cs="Times New Roman"/>
          <w:b/>
          <w:sz w:val="24"/>
          <w:szCs w:val="24"/>
        </w:rPr>
        <w:t>Latvijas</w:t>
      </w:r>
      <w:r w:rsidR="006B337A">
        <w:rPr>
          <w:rFonts w:ascii="Times New Roman" w:hAnsi="Times New Roman" w:cs="Times New Roman"/>
          <w:b/>
          <w:sz w:val="24"/>
          <w:szCs w:val="24"/>
        </w:rPr>
        <w:t xml:space="preserve"> tieslietu sistēmas novērtējuma izstrādi</w:t>
      </w:r>
      <w:r w:rsidRPr="001607B5">
        <w:rPr>
          <w:rFonts w:ascii="Times New Roman" w:hAnsi="Times New Roman" w:cs="Times New Roman"/>
          <w:b/>
          <w:sz w:val="24"/>
          <w:szCs w:val="24"/>
        </w:rPr>
        <w:t>"</w:t>
      </w:r>
    </w:p>
    <w:p w:rsidR="00793C3A" w:rsidRPr="001607B5" w:rsidRDefault="00683044" w:rsidP="00EE5735">
      <w:pPr>
        <w:pStyle w:val="Vresteksts"/>
        <w:spacing w:after="120" w:line="240" w:lineRule="auto"/>
        <w:ind w:firstLine="567"/>
        <w:jc w:val="both"/>
        <w:rPr>
          <w:rFonts w:ascii="Times New Roman" w:hAnsi="Times New Roman"/>
          <w:sz w:val="24"/>
          <w:szCs w:val="24"/>
        </w:rPr>
      </w:pPr>
      <w:r w:rsidRPr="001607B5">
        <w:rPr>
          <w:rFonts w:ascii="Times New Roman" w:hAnsi="Times New Roman"/>
          <w:sz w:val="24"/>
          <w:szCs w:val="24"/>
        </w:rPr>
        <w:t>Atbilstoši Tiesu varas un tiesībaizsardzības iestāžu darbinieku cilvēkresursu kapacitātes stiprināšanas un kompetenču attīstīšanas plānam 2015.-2020.</w:t>
      </w:r>
      <w:r w:rsidR="006C69C7">
        <w:rPr>
          <w:rFonts w:ascii="Times New Roman" w:hAnsi="Times New Roman"/>
          <w:sz w:val="24"/>
          <w:szCs w:val="24"/>
        </w:rPr>
        <w:t> </w:t>
      </w:r>
      <w:r w:rsidRPr="001607B5">
        <w:rPr>
          <w:rFonts w:ascii="Times New Roman" w:hAnsi="Times New Roman"/>
          <w:sz w:val="24"/>
          <w:szCs w:val="24"/>
        </w:rPr>
        <w:t>gadam</w:t>
      </w:r>
      <w:r w:rsidRPr="001607B5">
        <w:rPr>
          <w:rStyle w:val="Vresatsauce"/>
          <w:rFonts w:ascii="Times New Roman" w:hAnsi="Times New Roman"/>
          <w:sz w:val="24"/>
          <w:szCs w:val="24"/>
        </w:rPr>
        <w:footnoteReference w:id="1"/>
      </w:r>
      <w:r w:rsidRPr="001607B5">
        <w:rPr>
          <w:rFonts w:ascii="Times New Roman" w:hAnsi="Times New Roman"/>
          <w:sz w:val="24"/>
          <w:szCs w:val="24"/>
        </w:rPr>
        <w:t xml:space="preserve"> Eiropas Sociālā fonda līdzfinansētā projekta </w:t>
      </w:r>
      <w:r w:rsidR="002470C0" w:rsidRPr="009C352E">
        <w:rPr>
          <w:rFonts w:ascii="Times New Roman" w:hAnsi="Times New Roman"/>
          <w:sz w:val="24"/>
          <w:szCs w:val="24"/>
        </w:rPr>
        <w:t>"</w:t>
      </w:r>
      <w:r w:rsidR="002470C0" w:rsidRPr="001607B5">
        <w:rPr>
          <w:rFonts w:ascii="Times New Roman" w:hAnsi="Times New Roman"/>
          <w:i/>
          <w:sz w:val="24"/>
          <w:szCs w:val="24"/>
        </w:rPr>
        <w:t>Justīcija attīstībai</w:t>
      </w:r>
      <w:r w:rsidR="002470C0" w:rsidRPr="009C352E">
        <w:rPr>
          <w:rFonts w:ascii="Times New Roman" w:hAnsi="Times New Roman"/>
          <w:sz w:val="24"/>
          <w:szCs w:val="24"/>
        </w:rPr>
        <w:t>"</w:t>
      </w:r>
      <w:r w:rsidR="0073410F" w:rsidRPr="001607B5">
        <w:rPr>
          <w:rFonts w:ascii="Times New Roman" w:hAnsi="Times New Roman"/>
          <w:sz w:val="24"/>
          <w:szCs w:val="24"/>
        </w:rPr>
        <w:t xml:space="preserve"> </w:t>
      </w:r>
      <w:r w:rsidRPr="001607B5">
        <w:rPr>
          <w:rFonts w:ascii="Times New Roman" w:hAnsi="Times New Roman"/>
          <w:sz w:val="24"/>
          <w:szCs w:val="24"/>
        </w:rPr>
        <w:t>3.</w:t>
      </w:r>
      <w:r w:rsidR="002470C0" w:rsidRPr="001607B5">
        <w:rPr>
          <w:rFonts w:ascii="Times New Roman" w:hAnsi="Times New Roman"/>
          <w:sz w:val="24"/>
          <w:szCs w:val="24"/>
        </w:rPr>
        <w:t>4.1.</w:t>
      </w:r>
      <w:r w:rsidR="00131ED6">
        <w:rPr>
          <w:rFonts w:ascii="Times New Roman" w:hAnsi="Times New Roman"/>
          <w:sz w:val="24"/>
          <w:szCs w:val="24"/>
        </w:rPr>
        <w:t> </w:t>
      </w:r>
      <w:r w:rsidR="002470C0" w:rsidRPr="001607B5">
        <w:rPr>
          <w:rFonts w:ascii="Times New Roman" w:hAnsi="Times New Roman"/>
          <w:sz w:val="24"/>
          <w:szCs w:val="24"/>
        </w:rPr>
        <w:t>specifiskā atbalsta mērķa "</w:t>
      </w:r>
      <w:r w:rsidRPr="001607B5">
        <w:rPr>
          <w:rFonts w:ascii="Times New Roman" w:hAnsi="Times New Roman"/>
          <w:sz w:val="24"/>
          <w:szCs w:val="24"/>
        </w:rPr>
        <w:t>Paaugstināt tiesu un tiesībsargājošo institūciju personāla kompetenci komercdarbīb</w:t>
      </w:r>
      <w:r w:rsidR="002470C0" w:rsidRPr="001607B5">
        <w:rPr>
          <w:rFonts w:ascii="Times New Roman" w:hAnsi="Times New Roman"/>
          <w:sz w:val="24"/>
          <w:szCs w:val="24"/>
        </w:rPr>
        <w:t xml:space="preserve">as vides uzlabošanas </w:t>
      </w:r>
      <w:r w:rsidR="000C74A5" w:rsidRPr="000C74A5">
        <w:rPr>
          <w:rFonts w:ascii="Times New Roman" w:hAnsi="Times New Roman"/>
          <w:sz w:val="24"/>
          <w:szCs w:val="24"/>
        </w:rPr>
        <w:t>sekmēšanai"</w:t>
      </w:r>
      <w:r w:rsidR="000C74A5" w:rsidRPr="000C74A5">
        <w:rPr>
          <w:rFonts w:ascii="Times New Roman" w:hAnsi="Times New Roman"/>
          <w:sz w:val="24"/>
          <w:szCs w:val="24"/>
          <w:vertAlign w:val="superscript"/>
        </w:rPr>
        <w:footnoteReference w:id="2"/>
      </w:r>
      <w:r w:rsidRPr="001607B5">
        <w:rPr>
          <w:rFonts w:ascii="Times New Roman" w:hAnsi="Times New Roman"/>
          <w:sz w:val="24"/>
          <w:szCs w:val="24"/>
        </w:rPr>
        <w:t xml:space="preserve"> </w:t>
      </w:r>
      <w:r w:rsidR="0003063F" w:rsidRPr="001607B5">
        <w:rPr>
          <w:rFonts w:ascii="Times New Roman" w:hAnsi="Times New Roman"/>
          <w:sz w:val="24"/>
          <w:szCs w:val="24"/>
        </w:rPr>
        <w:t xml:space="preserve">(turpmāk – projekts) </w:t>
      </w:r>
      <w:r w:rsidRPr="001607B5">
        <w:rPr>
          <w:rFonts w:ascii="Times New Roman" w:hAnsi="Times New Roman"/>
          <w:sz w:val="24"/>
          <w:szCs w:val="24"/>
        </w:rPr>
        <w:t xml:space="preserve">ietvaros tiks īstenoti pasākumi, kas paredz </w:t>
      </w:r>
      <w:r w:rsidR="00737075" w:rsidRPr="001607B5">
        <w:rPr>
          <w:rFonts w:ascii="Times New Roman" w:hAnsi="Times New Roman"/>
          <w:sz w:val="24"/>
          <w:szCs w:val="24"/>
        </w:rPr>
        <w:t>īstenot cilvēkresursu kapacitātes stiprināšanu</w:t>
      </w:r>
      <w:r w:rsidRPr="001607B5">
        <w:rPr>
          <w:rFonts w:ascii="Times New Roman" w:hAnsi="Times New Roman"/>
          <w:sz w:val="24"/>
          <w:szCs w:val="24"/>
        </w:rPr>
        <w:t xml:space="preserve">, nodrošinot apmācības </w:t>
      </w:r>
      <w:r w:rsidR="00ED641A" w:rsidRPr="001607B5">
        <w:rPr>
          <w:rFonts w:ascii="Times New Roman" w:hAnsi="Times New Roman"/>
          <w:sz w:val="24"/>
          <w:szCs w:val="24"/>
        </w:rPr>
        <w:t>tiesu sistēmas darbiniekiem un tiesu sistēmai piederīgām personām.</w:t>
      </w:r>
    </w:p>
    <w:p w:rsidR="00793C3A" w:rsidRPr="001607B5" w:rsidRDefault="00ED641A" w:rsidP="00386DB2">
      <w:pPr>
        <w:pStyle w:val="Vresteksts"/>
        <w:spacing w:after="120" w:line="240" w:lineRule="auto"/>
        <w:ind w:firstLine="567"/>
        <w:jc w:val="both"/>
        <w:rPr>
          <w:rFonts w:ascii="Times New Roman" w:hAnsi="Times New Roman"/>
          <w:sz w:val="24"/>
          <w:szCs w:val="24"/>
        </w:rPr>
      </w:pPr>
      <w:r w:rsidRPr="001607B5">
        <w:rPr>
          <w:rFonts w:ascii="Times New Roman" w:hAnsi="Times New Roman"/>
          <w:sz w:val="24"/>
          <w:szCs w:val="24"/>
        </w:rPr>
        <w:t>Papildus apmācībām projekts paredz izstrādāt kompetenču attīstīšanas programmas, rokasgrāmatas un vadlīnijas, judikatū</w:t>
      </w:r>
      <w:r w:rsidR="00A535FD" w:rsidRPr="001607B5">
        <w:rPr>
          <w:rFonts w:ascii="Times New Roman" w:hAnsi="Times New Roman"/>
          <w:sz w:val="24"/>
          <w:szCs w:val="24"/>
        </w:rPr>
        <w:t>ras un tiesu prakses apkopojumu, kā arī</w:t>
      </w:r>
      <w:r w:rsidRPr="001607B5">
        <w:rPr>
          <w:rFonts w:ascii="Times New Roman" w:hAnsi="Times New Roman"/>
          <w:sz w:val="24"/>
          <w:szCs w:val="24"/>
        </w:rPr>
        <w:t xml:space="preserve"> </w:t>
      </w:r>
      <w:r w:rsidR="00683044" w:rsidRPr="001607B5">
        <w:rPr>
          <w:rFonts w:ascii="Times New Roman" w:hAnsi="Times New Roman"/>
          <w:sz w:val="24"/>
          <w:szCs w:val="24"/>
        </w:rPr>
        <w:t>plānots veikt Latvijas tieslietu sistēmas novērtējumu</w:t>
      </w:r>
      <w:r w:rsidR="002A48EF">
        <w:rPr>
          <w:rFonts w:ascii="Times New Roman" w:hAnsi="Times New Roman"/>
          <w:sz w:val="24"/>
          <w:szCs w:val="24"/>
        </w:rPr>
        <w:t xml:space="preserve"> (turpmāk</w:t>
      </w:r>
      <w:r w:rsidR="0003063F" w:rsidRPr="001607B5">
        <w:rPr>
          <w:rFonts w:ascii="Times New Roman" w:hAnsi="Times New Roman"/>
          <w:sz w:val="24"/>
          <w:szCs w:val="24"/>
        </w:rPr>
        <w:t xml:space="preserve"> </w:t>
      </w:r>
      <w:r w:rsidR="002A48EF">
        <w:rPr>
          <w:rFonts w:ascii="Times New Roman" w:hAnsi="Times New Roman"/>
          <w:sz w:val="24"/>
          <w:szCs w:val="24"/>
        </w:rPr>
        <w:t xml:space="preserve">arī - </w:t>
      </w:r>
      <w:r w:rsidR="0003063F" w:rsidRPr="001607B5">
        <w:rPr>
          <w:rFonts w:ascii="Times New Roman" w:hAnsi="Times New Roman"/>
          <w:sz w:val="24"/>
          <w:szCs w:val="24"/>
        </w:rPr>
        <w:t>n</w:t>
      </w:r>
      <w:r w:rsidR="00B01290" w:rsidRPr="001607B5">
        <w:rPr>
          <w:rFonts w:ascii="Times New Roman" w:hAnsi="Times New Roman"/>
          <w:sz w:val="24"/>
          <w:szCs w:val="24"/>
        </w:rPr>
        <w:t>ovērtējums)</w:t>
      </w:r>
      <w:r w:rsidR="0054165D" w:rsidRPr="001607B5">
        <w:rPr>
          <w:rFonts w:ascii="Times New Roman" w:hAnsi="Times New Roman"/>
          <w:sz w:val="24"/>
          <w:szCs w:val="24"/>
        </w:rPr>
        <w:t>,</w:t>
      </w:r>
      <w:r w:rsidR="00A535FD" w:rsidRPr="001607B5">
        <w:rPr>
          <w:rFonts w:ascii="Times New Roman" w:hAnsi="Times New Roman"/>
          <w:sz w:val="24"/>
          <w:szCs w:val="24"/>
        </w:rPr>
        <w:t xml:space="preserve"> </w:t>
      </w:r>
      <w:r w:rsidR="00683044" w:rsidRPr="001607B5">
        <w:rPr>
          <w:rFonts w:ascii="Times New Roman" w:hAnsi="Times New Roman"/>
          <w:sz w:val="24"/>
          <w:szCs w:val="24"/>
        </w:rPr>
        <w:t>kas būs par pamatu visaptveroša tieslietu sistēmas attīstības plāna izstrādei.</w:t>
      </w:r>
    </w:p>
    <w:p w:rsidR="002470C0" w:rsidRPr="00DE746E" w:rsidRDefault="002470C0" w:rsidP="00386DB2">
      <w:pPr>
        <w:spacing w:after="120" w:line="240" w:lineRule="auto"/>
        <w:ind w:firstLine="567"/>
        <w:jc w:val="both"/>
        <w:rPr>
          <w:rFonts w:ascii="Times New Roman" w:hAnsi="Times New Roman"/>
          <w:sz w:val="24"/>
          <w:szCs w:val="24"/>
        </w:rPr>
      </w:pPr>
      <w:r w:rsidRPr="001607B5">
        <w:rPr>
          <w:rFonts w:ascii="Times New Roman" w:hAnsi="Times New Roman"/>
          <w:sz w:val="24"/>
          <w:szCs w:val="24"/>
        </w:rPr>
        <w:t>Šāds uzdevums paredzēts Tiesu varas un tiesībaizsardzības iestāžu darbinieku cilvēkresursu kapacitātes stiprināšanas un kompetenču attīstīšanas plānā 2015.-2020.</w:t>
      </w:r>
      <w:r w:rsidR="00131ED6">
        <w:rPr>
          <w:rFonts w:ascii="Times New Roman" w:hAnsi="Times New Roman"/>
          <w:sz w:val="24"/>
          <w:szCs w:val="24"/>
        </w:rPr>
        <w:t> </w:t>
      </w:r>
      <w:r w:rsidRPr="001607B5">
        <w:rPr>
          <w:rFonts w:ascii="Times New Roman" w:hAnsi="Times New Roman"/>
          <w:sz w:val="24"/>
          <w:szCs w:val="24"/>
        </w:rPr>
        <w:t xml:space="preserve">gadam, kā arī izriet no Eiropas Komisijas izvirzītajiem nosacījumiem, piešķirot Eiropas Sociālā fonda finansējumu Latvijas tieslietu sistēmas </w:t>
      </w:r>
      <w:r w:rsidRPr="00DE746E">
        <w:rPr>
          <w:rFonts w:ascii="Times New Roman" w:hAnsi="Times New Roman"/>
          <w:sz w:val="24"/>
          <w:szCs w:val="24"/>
        </w:rPr>
        <w:t xml:space="preserve">attīstībai. </w:t>
      </w:r>
      <w:r w:rsidR="000C74A5" w:rsidRPr="00DE746E">
        <w:rPr>
          <w:rFonts w:ascii="Times New Roman" w:hAnsi="Times New Roman" w:cs="Times New Roman"/>
          <w:sz w:val="24"/>
          <w:szCs w:val="24"/>
        </w:rPr>
        <w:t>Rekomendācijas Latvijas valsts 2015.</w:t>
      </w:r>
      <w:r w:rsidR="00B91B80" w:rsidRPr="00DE746E">
        <w:rPr>
          <w:rFonts w:ascii="Times New Roman" w:hAnsi="Times New Roman" w:cs="Times New Roman"/>
          <w:sz w:val="24"/>
          <w:szCs w:val="24"/>
        </w:rPr>
        <w:t> </w:t>
      </w:r>
      <w:r w:rsidR="000C74A5" w:rsidRPr="00DE746E">
        <w:rPr>
          <w:rFonts w:ascii="Times New Roman" w:hAnsi="Times New Roman" w:cs="Times New Roman"/>
          <w:sz w:val="24"/>
          <w:szCs w:val="24"/>
        </w:rPr>
        <w:t>gada reformu programmai ietver ieteikumu "uzlabot tiesu iestāžu sistēmas efektivitāti, palielinot visu pušu (tostarp maksātnespējas administratoru) atbildību, nodrošinot piemērotus līdzekļus, lai apkarotu izvairīšanos no nodokļu maksāšanas, un stiprinot Tieslietu padomes nozīmi"</w:t>
      </w:r>
      <w:r w:rsidR="000C74A5" w:rsidRPr="00DE746E">
        <w:rPr>
          <w:rStyle w:val="Vresatsauce"/>
          <w:rFonts w:ascii="Times New Roman" w:hAnsi="Times New Roman" w:cs="Times New Roman"/>
          <w:sz w:val="24"/>
          <w:szCs w:val="24"/>
        </w:rPr>
        <w:footnoteReference w:id="3"/>
      </w:r>
      <w:r w:rsidR="000C74A5" w:rsidRPr="00DE746E">
        <w:rPr>
          <w:rFonts w:ascii="Times New Roman" w:hAnsi="Times New Roman" w:cs="Times New Roman"/>
          <w:sz w:val="24"/>
          <w:szCs w:val="24"/>
        </w:rPr>
        <w:t>, kā arī nepieciešams stiprināt administratīvo kapacitāti ar mērķi radīt pamatu turpmākai politikas plānošanai tiesu varas attīstības jomā.</w:t>
      </w:r>
    </w:p>
    <w:p w:rsidR="002470C0" w:rsidRPr="00DE746E" w:rsidRDefault="002470C0" w:rsidP="00386DB2">
      <w:pPr>
        <w:pStyle w:val="Vresteksts"/>
        <w:spacing w:after="120" w:line="240" w:lineRule="auto"/>
        <w:ind w:firstLine="567"/>
        <w:jc w:val="both"/>
        <w:rPr>
          <w:rFonts w:ascii="Times New Roman" w:eastAsia="Times New Roman" w:hAnsi="Times New Roman"/>
          <w:b/>
          <w:sz w:val="24"/>
          <w:szCs w:val="24"/>
          <w:lang w:eastAsia="lv-LV"/>
        </w:rPr>
      </w:pPr>
      <w:r w:rsidRPr="00DE746E">
        <w:rPr>
          <w:rFonts w:ascii="Times New Roman" w:hAnsi="Times New Roman"/>
          <w:sz w:val="24"/>
          <w:szCs w:val="24"/>
        </w:rPr>
        <w:t>Atbilstoši Ministru kabineta 2015.</w:t>
      </w:r>
      <w:r w:rsidR="00131ED6" w:rsidRPr="00DE746E">
        <w:rPr>
          <w:rFonts w:ascii="Times New Roman" w:hAnsi="Times New Roman"/>
          <w:sz w:val="24"/>
          <w:szCs w:val="24"/>
        </w:rPr>
        <w:t> </w:t>
      </w:r>
      <w:r w:rsidRPr="00DE746E">
        <w:rPr>
          <w:rFonts w:ascii="Times New Roman" w:hAnsi="Times New Roman"/>
          <w:sz w:val="24"/>
          <w:szCs w:val="24"/>
        </w:rPr>
        <w:t>gada 8.</w:t>
      </w:r>
      <w:r w:rsidR="00131ED6" w:rsidRPr="00DE746E">
        <w:rPr>
          <w:rFonts w:ascii="Times New Roman" w:hAnsi="Times New Roman"/>
          <w:sz w:val="24"/>
          <w:szCs w:val="24"/>
        </w:rPr>
        <w:t> </w:t>
      </w:r>
      <w:r w:rsidRPr="00DE746E">
        <w:rPr>
          <w:rFonts w:ascii="Times New Roman" w:hAnsi="Times New Roman"/>
          <w:sz w:val="24"/>
          <w:szCs w:val="24"/>
        </w:rPr>
        <w:t>decembra noteikumiem Nr.</w:t>
      </w:r>
      <w:r w:rsidR="00131ED6" w:rsidRPr="00DE746E">
        <w:rPr>
          <w:rFonts w:ascii="Times New Roman" w:hAnsi="Times New Roman"/>
          <w:sz w:val="24"/>
          <w:szCs w:val="24"/>
        </w:rPr>
        <w:t> </w:t>
      </w:r>
      <w:r w:rsidRPr="00DE746E">
        <w:rPr>
          <w:rFonts w:ascii="Times New Roman" w:hAnsi="Times New Roman"/>
          <w:sz w:val="24"/>
          <w:szCs w:val="24"/>
        </w:rPr>
        <w:t xml:space="preserve">704 </w:t>
      </w:r>
      <w:bookmarkStart w:id="0" w:name="n0"/>
      <w:bookmarkEnd w:id="0"/>
      <w:r w:rsidRPr="00DE746E">
        <w:rPr>
          <w:rFonts w:ascii="Times New Roman" w:hAnsi="Times New Roman"/>
          <w:sz w:val="24"/>
          <w:szCs w:val="24"/>
        </w:rPr>
        <w:t>"</w:t>
      </w:r>
      <w:r w:rsidRPr="00DE746E">
        <w:rPr>
          <w:rFonts w:ascii="Times New Roman" w:eastAsia="Times New Roman" w:hAnsi="Times New Roman"/>
          <w:bCs/>
          <w:sz w:val="24"/>
          <w:szCs w:val="24"/>
          <w:lang w:eastAsia="lv-LV"/>
        </w:rPr>
        <w:t>Darbības programmas "Izaugsme un nodarbinātība" 3.4.1.</w:t>
      </w:r>
      <w:r w:rsidR="00131ED6" w:rsidRPr="00DE746E">
        <w:rPr>
          <w:rFonts w:ascii="Times New Roman" w:eastAsia="Times New Roman" w:hAnsi="Times New Roman"/>
          <w:bCs/>
          <w:sz w:val="24"/>
          <w:szCs w:val="24"/>
          <w:lang w:eastAsia="lv-LV"/>
        </w:rPr>
        <w:t> </w:t>
      </w:r>
      <w:r w:rsidRPr="00DE746E">
        <w:rPr>
          <w:rFonts w:ascii="Times New Roman" w:eastAsia="Times New Roman" w:hAnsi="Times New Roman"/>
          <w:bCs/>
          <w:sz w:val="24"/>
          <w:szCs w:val="24"/>
          <w:lang w:eastAsia="lv-LV"/>
        </w:rPr>
        <w:t xml:space="preserve">specifiskā atbalsta mērķa "Paaugstināt tiesu un tiesībaizsardzības institūciju personāla kompetenci komercdarbības vides uzlabošanas sekmēšanai" īstenošanas noteikumi" </w:t>
      </w:r>
      <w:r w:rsidR="000C74A5" w:rsidRPr="00DE746E">
        <w:rPr>
          <w:rFonts w:ascii="Times New Roman" w:eastAsia="Times New Roman" w:hAnsi="Times New Roman"/>
          <w:bCs/>
          <w:sz w:val="24"/>
          <w:szCs w:val="24"/>
          <w:lang w:eastAsia="lv-LV"/>
        </w:rPr>
        <w:t>par projektu atbildīgā iestāde ir Tieslietu ministrija, bet Tiesu administrācija kā projekta iesniedzējs ir atbildīga par projekta pasākumu īstenošanu.</w:t>
      </w:r>
    </w:p>
    <w:p w:rsidR="0068592A" w:rsidRPr="00DE746E" w:rsidRDefault="00B01290" w:rsidP="00386DB2">
      <w:pPr>
        <w:spacing w:after="120" w:line="240" w:lineRule="auto"/>
        <w:ind w:firstLine="567"/>
        <w:jc w:val="both"/>
        <w:rPr>
          <w:rFonts w:ascii="Times New Roman" w:hAnsi="Times New Roman" w:cs="Times New Roman"/>
          <w:sz w:val="24"/>
          <w:szCs w:val="24"/>
        </w:rPr>
      </w:pPr>
      <w:r w:rsidRPr="001607B5">
        <w:rPr>
          <w:rFonts w:ascii="Times New Roman" w:hAnsi="Times New Roman" w:cs="Times New Roman"/>
          <w:sz w:val="24"/>
          <w:szCs w:val="24"/>
        </w:rPr>
        <w:t>Novērtējuma</w:t>
      </w:r>
      <w:r w:rsidR="00807DCA" w:rsidRPr="001607B5">
        <w:rPr>
          <w:rFonts w:ascii="Times New Roman" w:hAnsi="Times New Roman" w:cs="Times New Roman"/>
          <w:sz w:val="24"/>
          <w:szCs w:val="24"/>
        </w:rPr>
        <w:t xml:space="preserve"> izs</w:t>
      </w:r>
      <w:r w:rsidR="00031990">
        <w:rPr>
          <w:rFonts w:ascii="Times New Roman" w:hAnsi="Times New Roman" w:cs="Times New Roman"/>
          <w:sz w:val="24"/>
          <w:szCs w:val="24"/>
        </w:rPr>
        <w:t>trāde ir tieši saistīta ar mērķi</w:t>
      </w:r>
      <w:r w:rsidR="00807DCA" w:rsidRPr="001607B5">
        <w:rPr>
          <w:rFonts w:ascii="Times New Roman" w:hAnsi="Times New Roman" w:cs="Times New Roman"/>
          <w:sz w:val="24"/>
          <w:szCs w:val="24"/>
        </w:rPr>
        <w:t xml:space="preserve"> </w:t>
      </w:r>
      <w:r w:rsidR="00807DCA" w:rsidRPr="001607B5">
        <w:rPr>
          <w:rFonts w:ascii="Times New Roman" w:hAnsi="Times New Roman" w:cs="Times New Roman"/>
          <w:b/>
          <w:i/>
          <w:sz w:val="24"/>
          <w:szCs w:val="24"/>
        </w:rPr>
        <w:t>uzlabot tieslietu jomas darbību, atbalstīt ekonomikas attīstību un izaugsmi</w:t>
      </w:r>
      <w:r w:rsidR="00807DCA" w:rsidRPr="001607B5">
        <w:rPr>
          <w:rFonts w:ascii="Times New Roman" w:hAnsi="Times New Roman" w:cs="Times New Roman"/>
          <w:sz w:val="24"/>
          <w:szCs w:val="24"/>
        </w:rPr>
        <w:t xml:space="preserve">, kad pēdējo gadu laikā arvien plašāk tiek uzsvērta tieslietu politikas loma un nozīme, atbalstot ekonomiku, izaugsmi un strukturālās reformas. </w:t>
      </w:r>
      <w:r w:rsidR="0068592A" w:rsidRPr="001607B5">
        <w:rPr>
          <w:rFonts w:ascii="Times New Roman" w:hAnsi="Times New Roman" w:cs="Times New Roman"/>
          <w:sz w:val="24"/>
          <w:szCs w:val="24"/>
        </w:rPr>
        <w:t>Eiropas Savienības (turpmāk – ES) līmenī valstu tieslietu sistēmu neatkarības, kvalitātes un efektivitātes uzlabošanas pasākumi ir būtiska daļa no ekonomikas korekciju programmām un Eiropas semestra</w:t>
      </w:r>
      <w:r w:rsidR="00370743">
        <w:rPr>
          <w:rFonts w:ascii="Times New Roman" w:hAnsi="Times New Roman" w:cs="Times New Roman"/>
          <w:sz w:val="24"/>
          <w:szCs w:val="24"/>
        </w:rPr>
        <w:t>,</w:t>
      </w:r>
      <w:r w:rsidR="0068592A" w:rsidRPr="001607B5">
        <w:rPr>
          <w:rStyle w:val="Vresatsauce"/>
          <w:rFonts w:ascii="Times New Roman" w:hAnsi="Times New Roman" w:cs="Times New Roman"/>
          <w:sz w:val="24"/>
          <w:szCs w:val="24"/>
        </w:rPr>
        <w:footnoteReference w:id="4"/>
      </w:r>
      <w:r w:rsidR="0068592A" w:rsidRPr="001607B5">
        <w:rPr>
          <w:rFonts w:ascii="Times New Roman" w:hAnsi="Times New Roman" w:cs="Times New Roman"/>
          <w:sz w:val="24"/>
          <w:szCs w:val="24"/>
        </w:rPr>
        <w:t xml:space="preserve"> kad kopš 2012</w:t>
      </w:r>
      <w:r w:rsidR="00924812">
        <w:rPr>
          <w:rFonts w:ascii="Times New Roman" w:hAnsi="Times New Roman" w:cs="Times New Roman"/>
          <w:sz w:val="24"/>
          <w:szCs w:val="24"/>
        </w:rPr>
        <w:t>.</w:t>
      </w:r>
      <w:r w:rsidR="006C69C7">
        <w:rPr>
          <w:rFonts w:ascii="Times New Roman" w:hAnsi="Times New Roman" w:cs="Times New Roman"/>
          <w:sz w:val="24"/>
          <w:szCs w:val="24"/>
        </w:rPr>
        <w:t> </w:t>
      </w:r>
      <w:r w:rsidR="0068592A" w:rsidRPr="001607B5">
        <w:rPr>
          <w:rFonts w:ascii="Times New Roman" w:hAnsi="Times New Roman" w:cs="Times New Roman"/>
          <w:sz w:val="24"/>
          <w:szCs w:val="24"/>
        </w:rPr>
        <w:t>gada ES ietvaros t</w:t>
      </w:r>
      <w:r w:rsidR="00A0012E" w:rsidRPr="001607B5">
        <w:rPr>
          <w:rFonts w:ascii="Times New Roman" w:hAnsi="Times New Roman" w:cs="Times New Roman"/>
          <w:sz w:val="24"/>
          <w:szCs w:val="24"/>
        </w:rPr>
        <w:t>iek sagatavotas ''</w:t>
      </w:r>
      <w:r w:rsidR="0068592A" w:rsidRPr="001607B5">
        <w:rPr>
          <w:rFonts w:ascii="Times New Roman" w:hAnsi="Times New Roman" w:cs="Times New Roman"/>
          <w:sz w:val="24"/>
          <w:szCs w:val="24"/>
        </w:rPr>
        <w:t>va</w:t>
      </w:r>
      <w:r w:rsidR="00A0012E" w:rsidRPr="001607B5">
        <w:rPr>
          <w:rFonts w:ascii="Times New Roman" w:hAnsi="Times New Roman" w:cs="Times New Roman"/>
          <w:sz w:val="24"/>
          <w:szCs w:val="24"/>
        </w:rPr>
        <w:t xml:space="preserve">lstu specifiskās </w:t>
      </w:r>
      <w:r w:rsidR="00A0012E" w:rsidRPr="00DE746E">
        <w:rPr>
          <w:rFonts w:ascii="Times New Roman" w:hAnsi="Times New Roman" w:cs="Times New Roman"/>
          <w:sz w:val="24"/>
          <w:szCs w:val="24"/>
        </w:rPr>
        <w:t>rekomendācijas''</w:t>
      </w:r>
      <w:r w:rsidR="0068592A" w:rsidRPr="00DE746E">
        <w:rPr>
          <w:rFonts w:ascii="Times New Roman" w:hAnsi="Times New Roman" w:cs="Times New Roman"/>
          <w:sz w:val="24"/>
          <w:szCs w:val="24"/>
        </w:rPr>
        <w:t>, tostarp, ar mērķi uzlabot un stiprināt valstu</w:t>
      </w:r>
      <w:r w:rsidR="000C74A5" w:rsidRPr="00DE746E">
        <w:rPr>
          <w:rFonts w:ascii="Times New Roman" w:hAnsi="Times New Roman" w:cs="Times New Roman"/>
          <w:sz w:val="24"/>
          <w:szCs w:val="24"/>
        </w:rPr>
        <w:t xml:space="preserve"> tieslietu sistēmu darbību. Novērtējuma</w:t>
      </w:r>
      <w:r w:rsidR="0092709C" w:rsidRPr="00DE746E">
        <w:rPr>
          <w:rFonts w:ascii="Times New Roman" w:hAnsi="Times New Roman" w:cs="Times New Roman"/>
          <w:sz w:val="24"/>
          <w:szCs w:val="24"/>
        </w:rPr>
        <w:t xml:space="preserve"> izstrāde ir cieši saistīta ar </w:t>
      </w:r>
      <w:r w:rsidR="000C74A5" w:rsidRPr="00DE746E">
        <w:rPr>
          <w:rFonts w:ascii="Times New Roman" w:hAnsi="Times New Roman" w:cs="Times New Roman"/>
          <w:bCs/>
          <w:sz w:val="24"/>
          <w:szCs w:val="24"/>
        </w:rPr>
        <w:t>Darbības programmas "Izaugsme un nodarbinātība" un projekta noteiktajiem mērķiem.</w:t>
      </w:r>
    </w:p>
    <w:p w:rsidR="00FC2812" w:rsidRPr="001607B5" w:rsidRDefault="001607B5" w:rsidP="00386DB2">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A63CFA" w:rsidRPr="001607B5">
        <w:rPr>
          <w:rFonts w:ascii="Times New Roman" w:hAnsi="Times New Roman" w:cs="Times New Roman"/>
          <w:sz w:val="24"/>
          <w:szCs w:val="24"/>
        </w:rPr>
        <w:t>kaidra, efektīva un neatkarīga tieslietu sistēma, kas nodrošina paredzamu, savlaicīgu un izpildāmu lēmumu</w:t>
      </w:r>
      <w:r>
        <w:rPr>
          <w:rFonts w:ascii="Times New Roman" w:hAnsi="Times New Roman" w:cs="Times New Roman"/>
          <w:sz w:val="24"/>
          <w:szCs w:val="24"/>
        </w:rPr>
        <w:t>,</w:t>
      </w:r>
      <w:r w:rsidR="00A63CFA" w:rsidRPr="001607B5">
        <w:rPr>
          <w:rFonts w:ascii="Times New Roman" w:hAnsi="Times New Roman" w:cs="Times New Roman"/>
          <w:sz w:val="24"/>
          <w:szCs w:val="24"/>
        </w:rPr>
        <w:t xml:space="preserve"> sniedz ieguldījumu uzticēšanās un stabilitātes radīšanā, kas savukārt ir nozīmīgi elementi atbilstošai uzņēmējdarbības un investīciju videi. Labi </w:t>
      </w:r>
      <w:r w:rsidRPr="001607B5">
        <w:rPr>
          <w:rFonts w:ascii="Times New Roman" w:hAnsi="Times New Roman" w:cs="Times New Roman"/>
          <w:sz w:val="24"/>
          <w:szCs w:val="24"/>
        </w:rPr>
        <w:t>funkcionējoš</w:t>
      </w:r>
      <w:r>
        <w:rPr>
          <w:rFonts w:ascii="Times New Roman" w:hAnsi="Times New Roman" w:cs="Times New Roman"/>
          <w:sz w:val="24"/>
          <w:szCs w:val="24"/>
        </w:rPr>
        <w:t>a</w:t>
      </w:r>
      <w:r w:rsidRPr="001607B5">
        <w:rPr>
          <w:rFonts w:ascii="Times New Roman" w:hAnsi="Times New Roman" w:cs="Times New Roman"/>
          <w:sz w:val="24"/>
          <w:szCs w:val="24"/>
        </w:rPr>
        <w:t xml:space="preserve"> </w:t>
      </w:r>
      <w:r w:rsidR="00A63CFA" w:rsidRPr="001607B5">
        <w:rPr>
          <w:rFonts w:ascii="Times New Roman" w:hAnsi="Times New Roman" w:cs="Times New Roman"/>
          <w:sz w:val="24"/>
          <w:szCs w:val="24"/>
        </w:rPr>
        <w:t xml:space="preserve">tiesu sistēma ir viens no pamata elementiem, kas veicina ekonomikas attīstību un </w:t>
      </w:r>
      <w:r w:rsidR="00000156">
        <w:rPr>
          <w:rFonts w:ascii="Times New Roman" w:hAnsi="Times New Roman" w:cs="Times New Roman"/>
          <w:sz w:val="24"/>
          <w:szCs w:val="24"/>
        </w:rPr>
        <w:t>pasargā</w:t>
      </w:r>
      <w:r w:rsidR="00000156" w:rsidRPr="001607B5">
        <w:rPr>
          <w:rFonts w:ascii="Times New Roman" w:hAnsi="Times New Roman" w:cs="Times New Roman"/>
          <w:sz w:val="24"/>
          <w:szCs w:val="24"/>
        </w:rPr>
        <w:t xml:space="preserve"> </w:t>
      </w:r>
      <w:r w:rsidR="00A63CFA" w:rsidRPr="001607B5">
        <w:rPr>
          <w:rFonts w:ascii="Times New Roman" w:hAnsi="Times New Roman" w:cs="Times New Roman"/>
          <w:sz w:val="24"/>
          <w:szCs w:val="24"/>
        </w:rPr>
        <w:t xml:space="preserve">tirgus </w:t>
      </w:r>
      <w:r w:rsidR="00000156">
        <w:rPr>
          <w:rFonts w:ascii="Times New Roman" w:hAnsi="Times New Roman" w:cs="Times New Roman"/>
          <w:sz w:val="24"/>
          <w:szCs w:val="24"/>
        </w:rPr>
        <w:lastRenderedPageBreak/>
        <w:t>ekonomiku no dažādām ļaunprātībām, korupcijas, negodīgās konkurences, tādējādi atbalstot brīvā tirgus mehānismu.</w:t>
      </w:r>
    </w:p>
    <w:p w:rsidR="001F586F" w:rsidRDefault="00B01290" w:rsidP="00386DB2">
      <w:pPr>
        <w:pStyle w:val="Vresteksts"/>
        <w:spacing w:after="120" w:line="240" w:lineRule="auto"/>
        <w:ind w:firstLine="567"/>
        <w:jc w:val="both"/>
        <w:rPr>
          <w:rFonts w:ascii="Times New Roman" w:hAnsi="Times New Roman"/>
          <w:sz w:val="24"/>
          <w:szCs w:val="24"/>
        </w:rPr>
      </w:pPr>
      <w:r w:rsidRPr="001607B5">
        <w:rPr>
          <w:rFonts w:ascii="Times New Roman" w:hAnsi="Times New Roman"/>
          <w:sz w:val="24"/>
          <w:szCs w:val="24"/>
        </w:rPr>
        <w:t>N</w:t>
      </w:r>
      <w:r w:rsidR="00FC2812" w:rsidRPr="001607B5">
        <w:rPr>
          <w:rFonts w:ascii="Times New Roman" w:hAnsi="Times New Roman"/>
          <w:sz w:val="24"/>
          <w:szCs w:val="24"/>
        </w:rPr>
        <w:t>ovērtējuma</w:t>
      </w:r>
      <w:r w:rsidR="00A63CFA" w:rsidRPr="001607B5">
        <w:rPr>
          <w:rFonts w:ascii="Times New Roman" w:hAnsi="Times New Roman"/>
          <w:sz w:val="24"/>
          <w:szCs w:val="24"/>
        </w:rPr>
        <w:t xml:space="preserve"> </w:t>
      </w:r>
      <w:r w:rsidR="00FC2812" w:rsidRPr="001607B5">
        <w:rPr>
          <w:rFonts w:ascii="Times New Roman" w:hAnsi="Times New Roman"/>
          <w:sz w:val="24"/>
          <w:szCs w:val="24"/>
        </w:rPr>
        <w:t>i</w:t>
      </w:r>
      <w:r w:rsidR="008033AB" w:rsidRPr="001607B5">
        <w:rPr>
          <w:rFonts w:ascii="Times New Roman" w:hAnsi="Times New Roman"/>
          <w:sz w:val="24"/>
          <w:szCs w:val="24"/>
        </w:rPr>
        <w:t xml:space="preserve">zstrāde būs tieši saistīta ar mērķi uzlabot tieslietu jomas darbību, atbalstīt ekonomikas attīstību un izaugsmi. </w:t>
      </w:r>
      <w:r w:rsidR="00A63CFA" w:rsidRPr="001607B5">
        <w:rPr>
          <w:rFonts w:ascii="Times New Roman" w:hAnsi="Times New Roman"/>
          <w:sz w:val="24"/>
          <w:szCs w:val="24"/>
        </w:rPr>
        <w:t xml:space="preserve">Novērtējums ietvers neatkarīgu analīzi attiecībā uz Latvijas tiesu sistēmas darbību, kā arī rekomendācijas tās iespējamai pilnveidei un modernizācijai. </w:t>
      </w:r>
      <w:r w:rsidR="001607B5" w:rsidRPr="001607B5">
        <w:rPr>
          <w:rFonts w:ascii="Times New Roman" w:hAnsi="Times New Roman"/>
          <w:sz w:val="24"/>
          <w:szCs w:val="24"/>
        </w:rPr>
        <w:t>Secinājum</w:t>
      </w:r>
      <w:r w:rsidR="001607B5">
        <w:rPr>
          <w:rFonts w:ascii="Times New Roman" w:hAnsi="Times New Roman"/>
          <w:sz w:val="24"/>
          <w:szCs w:val="24"/>
        </w:rPr>
        <w:t>i tiks</w:t>
      </w:r>
      <w:r w:rsidR="001607B5" w:rsidRPr="001607B5">
        <w:rPr>
          <w:rFonts w:ascii="Times New Roman" w:hAnsi="Times New Roman"/>
          <w:sz w:val="24"/>
          <w:szCs w:val="24"/>
        </w:rPr>
        <w:t xml:space="preserve"> izmanto</w:t>
      </w:r>
      <w:r w:rsidR="001607B5">
        <w:rPr>
          <w:rFonts w:ascii="Times New Roman" w:hAnsi="Times New Roman"/>
          <w:sz w:val="24"/>
          <w:szCs w:val="24"/>
        </w:rPr>
        <w:t>ti</w:t>
      </w:r>
      <w:r w:rsidR="001607B5" w:rsidRPr="001607B5">
        <w:rPr>
          <w:rFonts w:ascii="Times New Roman" w:hAnsi="Times New Roman"/>
          <w:sz w:val="24"/>
          <w:szCs w:val="24"/>
        </w:rPr>
        <w:t xml:space="preserve"> </w:t>
      </w:r>
      <w:r w:rsidR="008033AB" w:rsidRPr="001607B5">
        <w:rPr>
          <w:rFonts w:ascii="Times New Roman" w:hAnsi="Times New Roman"/>
          <w:sz w:val="24"/>
          <w:szCs w:val="24"/>
        </w:rPr>
        <w:t>kā bāz</w:t>
      </w:r>
      <w:r w:rsidR="006B337A">
        <w:rPr>
          <w:rFonts w:ascii="Times New Roman" w:hAnsi="Times New Roman"/>
          <w:sz w:val="24"/>
          <w:szCs w:val="24"/>
        </w:rPr>
        <w:t>e</w:t>
      </w:r>
      <w:r w:rsidR="008033AB" w:rsidRPr="001607B5">
        <w:rPr>
          <w:rFonts w:ascii="Times New Roman" w:hAnsi="Times New Roman"/>
          <w:sz w:val="24"/>
          <w:szCs w:val="24"/>
        </w:rPr>
        <w:t xml:space="preserve"> konkrētu reformu plānu sagatavošanai, kā arī normatīvo aktu </w:t>
      </w:r>
      <w:r w:rsidR="008033AB" w:rsidRPr="00104E16">
        <w:rPr>
          <w:rFonts w:ascii="Times New Roman" w:hAnsi="Times New Roman"/>
          <w:sz w:val="24"/>
          <w:szCs w:val="24"/>
        </w:rPr>
        <w:t xml:space="preserve">iespējamiem grozījumiem. </w:t>
      </w:r>
    </w:p>
    <w:p w:rsidR="003F6C20" w:rsidRDefault="003F6C20" w:rsidP="00386DB2">
      <w:pPr>
        <w:pStyle w:val="Vresteksts"/>
        <w:spacing w:after="120" w:line="240" w:lineRule="auto"/>
        <w:ind w:firstLine="567"/>
        <w:jc w:val="both"/>
        <w:rPr>
          <w:rFonts w:ascii="Times New Roman" w:hAnsi="Times New Roman"/>
          <w:b/>
          <w:sz w:val="24"/>
          <w:szCs w:val="24"/>
        </w:rPr>
      </w:pPr>
    </w:p>
    <w:p w:rsidR="006A7435" w:rsidRPr="00104E16" w:rsidRDefault="006F3C38" w:rsidP="00386DB2">
      <w:pPr>
        <w:pStyle w:val="Vresteksts"/>
        <w:spacing w:after="120" w:line="240" w:lineRule="auto"/>
        <w:jc w:val="center"/>
        <w:rPr>
          <w:rFonts w:ascii="Times New Roman" w:hAnsi="Times New Roman"/>
          <w:b/>
          <w:sz w:val="24"/>
          <w:szCs w:val="24"/>
        </w:rPr>
      </w:pPr>
      <w:r w:rsidRPr="0093262B">
        <w:rPr>
          <w:rFonts w:ascii="Times New Roman" w:hAnsi="Times New Roman"/>
          <w:b/>
          <w:sz w:val="24"/>
          <w:szCs w:val="24"/>
        </w:rPr>
        <w:t>Latvijas tieslietu sistēmas novērtējuma saturs</w:t>
      </w:r>
    </w:p>
    <w:p w:rsidR="00AD565A" w:rsidRPr="00104E16" w:rsidRDefault="00F6090C" w:rsidP="00386DB2">
      <w:pPr>
        <w:spacing w:after="120" w:line="240" w:lineRule="auto"/>
        <w:ind w:firstLine="567"/>
        <w:jc w:val="both"/>
        <w:rPr>
          <w:rFonts w:ascii="Times New Roman" w:hAnsi="Times New Roman" w:cs="Times New Roman"/>
          <w:sz w:val="24"/>
          <w:szCs w:val="24"/>
        </w:rPr>
      </w:pPr>
      <w:r w:rsidRPr="00104E16">
        <w:rPr>
          <w:rFonts w:ascii="Times New Roman" w:hAnsi="Times New Roman" w:cs="Times New Roman"/>
          <w:sz w:val="24"/>
          <w:szCs w:val="24"/>
        </w:rPr>
        <w:t>Veicot priekšizpēti</w:t>
      </w:r>
      <w:r w:rsidR="0098718F">
        <w:rPr>
          <w:rFonts w:ascii="Times New Roman" w:hAnsi="Times New Roman" w:cs="Times New Roman"/>
          <w:sz w:val="24"/>
          <w:szCs w:val="24"/>
        </w:rPr>
        <w:t xml:space="preserve"> ar</w:t>
      </w:r>
      <w:r w:rsidRPr="00104E16">
        <w:rPr>
          <w:rFonts w:ascii="Times New Roman" w:hAnsi="Times New Roman" w:cs="Times New Roman"/>
          <w:sz w:val="24"/>
          <w:szCs w:val="24"/>
        </w:rPr>
        <w:t xml:space="preserve"> nolūk</w:t>
      </w:r>
      <w:r w:rsidR="0098718F">
        <w:rPr>
          <w:rFonts w:ascii="Times New Roman" w:hAnsi="Times New Roman" w:cs="Times New Roman"/>
          <w:sz w:val="24"/>
          <w:szCs w:val="24"/>
        </w:rPr>
        <w:t>u</w:t>
      </w:r>
      <w:r w:rsidRPr="00104E16">
        <w:rPr>
          <w:rFonts w:ascii="Times New Roman" w:hAnsi="Times New Roman" w:cs="Times New Roman"/>
          <w:sz w:val="24"/>
          <w:szCs w:val="24"/>
        </w:rPr>
        <w:t xml:space="preserve"> konkretizēt Latvijas tieslietu sistēmas novērtējuma saturu un identificēt pētījuma tēmas, t</w:t>
      </w:r>
      <w:r w:rsidR="00A52AF4">
        <w:rPr>
          <w:rFonts w:ascii="Times New Roman" w:hAnsi="Times New Roman" w:cs="Times New Roman"/>
          <w:sz w:val="24"/>
          <w:szCs w:val="24"/>
        </w:rPr>
        <w:t>ika secināts, ka novērtējums ir</w:t>
      </w:r>
      <w:r w:rsidRPr="00104E16">
        <w:rPr>
          <w:rFonts w:ascii="Times New Roman" w:hAnsi="Times New Roman" w:cs="Times New Roman"/>
          <w:sz w:val="24"/>
          <w:szCs w:val="24"/>
        </w:rPr>
        <w:t xml:space="preserve"> </w:t>
      </w:r>
      <w:r w:rsidR="00E27060" w:rsidRPr="00A52AF4">
        <w:rPr>
          <w:rFonts w:ascii="Times New Roman" w:hAnsi="Times New Roman" w:cs="Times New Roman"/>
          <w:b/>
          <w:bCs/>
          <w:sz w:val="24"/>
          <w:szCs w:val="24"/>
          <w:u w:val="single"/>
        </w:rPr>
        <w:t xml:space="preserve">sadalāms trīs </w:t>
      </w:r>
      <w:r w:rsidR="008108C8" w:rsidRPr="00A52AF4">
        <w:rPr>
          <w:rFonts w:ascii="Times New Roman" w:hAnsi="Times New Roman" w:cs="Times New Roman"/>
          <w:b/>
          <w:bCs/>
          <w:sz w:val="24"/>
          <w:szCs w:val="24"/>
          <w:u w:val="single"/>
        </w:rPr>
        <w:t>patstāvīgos</w:t>
      </w:r>
      <w:r w:rsidR="00E27060" w:rsidRPr="00A52AF4">
        <w:rPr>
          <w:rFonts w:ascii="Times New Roman" w:hAnsi="Times New Roman" w:cs="Times New Roman"/>
          <w:b/>
          <w:bCs/>
          <w:sz w:val="24"/>
          <w:szCs w:val="24"/>
          <w:u w:val="single"/>
        </w:rPr>
        <w:t xml:space="preserve"> pētījumos, attiecīgi:</w:t>
      </w:r>
    </w:p>
    <w:p w:rsidR="00F6090C" w:rsidRPr="00104E16" w:rsidRDefault="00F6090C" w:rsidP="00386DB2">
      <w:pPr>
        <w:pStyle w:val="Sarakstarindkopa"/>
        <w:numPr>
          <w:ilvl w:val="0"/>
          <w:numId w:val="3"/>
        </w:numPr>
        <w:spacing w:after="120"/>
        <w:rPr>
          <w:lang w:val="lv-LV"/>
        </w:rPr>
      </w:pPr>
      <w:r w:rsidRPr="00104E16">
        <w:rPr>
          <w:lang w:val="lv-LV"/>
        </w:rPr>
        <w:t>Tiesu sistēmas novērtējums (darbības efektivitāte un kvalitāte).</w:t>
      </w:r>
    </w:p>
    <w:p w:rsidR="00104E16" w:rsidRDefault="00F6090C" w:rsidP="00386DB2">
      <w:pPr>
        <w:pStyle w:val="Sarakstarindkopa"/>
        <w:numPr>
          <w:ilvl w:val="0"/>
          <w:numId w:val="3"/>
        </w:numPr>
        <w:spacing w:after="120"/>
        <w:rPr>
          <w:lang w:val="lv-LV"/>
        </w:rPr>
      </w:pPr>
      <w:r w:rsidRPr="00104E16">
        <w:rPr>
          <w:lang w:val="lv-LV"/>
        </w:rPr>
        <w:t>Maksātnespējas regulējuma novērtējums (veikto reformu vērtējums).</w:t>
      </w:r>
    </w:p>
    <w:p w:rsidR="00337FCC" w:rsidRPr="00386DB2" w:rsidRDefault="00F6090C" w:rsidP="00386DB2">
      <w:pPr>
        <w:pStyle w:val="Sarakstarindkopa"/>
        <w:numPr>
          <w:ilvl w:val="0"/>
          <w:numId w:val="3"/>
        </w:numPr>
        <w:spacing w:after="120"/>
        <w:rPr>
          <w:lang w:val="lv-LV"/>
        </w:rPr>
      </w:pPr>
      <w:r w:rsidRPr="0093262B">
        <w:rPr>
          <w:lang w:val="lv-LV"/>
        </w:rPr>
        <w:t>Komer</w:t>
      </w:r>
      <w:r w:rsidR="00104E16" w:rsidRPr="0093262B">
        <w:rPr>
          <w:lang w:val="lv-LV"/>
        </w:rPr>
        <w:t xml:space="preserve">ctiesību regulējuma, saistībā ar tā piemērošanu sniegto pakalpojumu, kā arī strīdu risināšanas vides novērtējums. </w:t>
      </w:r>
    </w:p>
    <w:p w:rsidR="00337FCC" w:rsidRPr="00DE746E" w:rsidRDefault="008108C8" w:rsidP="00386DB2">
      <w:pPr>
        <w:spacing w:after="120" w:line="240" w:lineRule="auto"/>
        <w:ind w:firstLine="567"/>
        <w:jc w:val="both"/>
        <w:rPr>
          <w:rFonts w:ascii="Times New Roman" w:hAnsi="Times New Roman" w:cs="Times New Roman"/>
          <w:bCs/>
          <w:sz w:val="24"/>
          <w:szCs w:val="24"/>
        </w:rPr>
      </w:pPr>
      <w:r w:rsidRPr="00DE746E">
        <w:rPr>
          <w:rFonts w:ascii="Times New Roman" w:hAnsi="Times New Roman" w:cs="Times New Roman"/>
          <w:bCs/>
          <w:sz w:val="24"/>
          <w:szCs w:val="24"/>
        </w:rPr>
        <w:t xml:space="preserve">Norādāms, ka </w:t>
      </w:r>
      <w:r w:rsidR="00337FCC" w:rsidRPr="00DE746E">
        <w:rPr>
          <w:rFonts w:ascii="Times New Roman" w:hAnsi="Times New Roman" w:cs="Times New Roman"/>
          <w:bCs/>
          <w:sz w:val="24"/>
          <w:szCs w:val="24"/>
        </w:rPr>
        <w:t>Darbības programmas "Izaugsme un nodarbinātība" 3.4.1. specifiskā atbalsta mērķis</w:t>
      </w:r>
      <w:r w:rsidR="00335FB5" w:rsidRPr="00DE746E">
        <w:rPr>
          <w:rFonts w:ascii="Times New Roman" w:hAnsi="Times New Roman" w:cs="Times New Roman"/>
          <w:bCs/>
          <w:sz w:val="24"/>
          <w:szCs w:val="24"/>
        </w:rPr>
        <w:t xml:space="preserve"> (turpmāk –</w:t>
      </w:r>
      <w:r w:rsidR="0092709C" w:rsidRPr="00DE746E">
        <w:rPr>
          <w:rFonts w:ascii="Times New Roman" w:hAnsi="Times New Roman" w:cs="Times New Roman"/>
          <w:bCs/>
          <w:sz w:val="24"/>
          <w:szCs w:val="24"/>
        </w:rPr>
        <w:t xml:space="preserve"> arī</w:t>
      </w:r>
      <w:r w:rsidR="00335FB5" w:rsidRPr="00DE746E">
        <w:rPr>
          <w:rFonts w:ascii="Times New Roman" w:hAnsi="Times New Roman" w:cs="Times New Roman"/>
          <w:bCs/>
          <w:sz w:val="24"/>
          <w:szCs w:val="24"/>
        </w:rPr>
        <w:t xml:space="preserve"> SAM 3.4.1.)</w:t>
      </w:r>
      <w:r w:rsidR="00193770" w:rsidRPr="00DE746E">
        <w:rPr>
          <w:rFonts w:ascii="Times New Roman" w:hAnsi="Times New Roman" w:cs="Times New Roman"/>
          <w:bCs/>
          <w:sz w:val="24"/>
          <w:szCs w:val="24"/>
        </w:rPr>
        <w:t xml:space="preserve"> ir</w:t>
      </w:r>
      <w:r w:rsidR="00337FCC" w:rsidRPr="00DE746E">
        <w:rPr>
          <w:rFonts w:ascii="Times New Roman" w:hAnsi="Times New Roman" w:cs="Times New Roman"/>
          <w:bCs/>
          <w:sz w:val="24"/>
          <w:szCs w:val="24"/>
        </w:rPr>
        <w:t xml:space="preserve"> paaugstināt tiesu un tiesībaizsardzības institūciju personāla kompetenci komercdarbības vides uzlabošanas sekmēšanai.</w:t>
      </w:r>
      <w:r w:rsidR="00705ADF" w:rsidRPr="00DE746E">
        <w:rPr>
          <w:rFonts w:ascii="Times New Roman" w:hAnsi="Times New Roman" w:cs="Times New Roman"/>
          <w:bCs/>
          <w:sz w:val="24"/>
          <w:szCs w:val="24"/>
        </w:rPr>
        <w:t xml:space="preserve"> Apsverot iespējamo finansējuma modeli, lai veicinātu pēc iespējas efektīvāku </w:t>
      </w:r>
      <w:r w:rsidR="00F8186C" w:rsidRPr="00DE746E">
        <w:rPr>
          <w:rFonts w:ascii="Times New Roman" w:hAnsi="Times New Roman" w:cs="Times New Roman"/>
          <w:bCs/>
          <w:sz w:val="24"/>
          <w:szCs w:val="24"/>
        </w:rPr>
        <w:t>risinājumu mērķa sasniegšanai un nodrošinātu plašākas pētījuma iespējas, piesaistot resursus, panākta vienošanās</w:t>
      </w:r>
      <w:r w:rsidR="00337FCC" w:rsidRPr="00DE746E">
        <w:rPr>
          <w:rFonts w:ascii="Times New Roman" w:hAnsi="Times New Roman" w:cs="Times New Roman"/>
          <w:bCs/>
          <w:sz w:val="24"/>
          <w:szCs w:val="24"/>
        </w:rPr>
        <w:t xml:space="preserve"> ar Eiropas Komisiju par finansējuma piešķiršanu no Eiropas Sociālā fonda, Latvijas tieslietu sistēmas novērtējuma veikšan</w:t>
      </w:r>
      <w:r w:rsidR="00F8186C" w:rsidRPr="00DE746E">
        <w:rPr>
          <w:rFonts w:ascii="Times New Roman" w:hAnsi="Times New Roman" w:cs="Times New Roman"/>
          <w:bCs/>
          <w:sz w:val="24"/>
          <w:szCs w:val="24"/>
        </w:rPr>
        <w:t>ai</w:t>
      </w:r>
      <w:r w:rsidR="00337FCC" w:rsidRPr="00DE746E">
        <w:rPr>
          <w:rFonts w:ascii="Times New Roman" w:hAnsi="Times New Roman" w:cs="Times New Roman"/>
          <w:bCs/>
          <w:sz w:val="24"/>
          <w:szCs w:val="24"/>
        </w:rPr>
        <w:t>, kas nepastarpināti sniegtu ieguldījumu sistēmas kapacitātes stiprināšanā ilgtermiņā. Novērtējuma mērķis ir identificēt problēmu aspektus sistēmā un sniegt rekomendācijas, paredzot atbilstošus risin</w:t>
      </w:r>
      <w:r w:rsidR="00335FB5" w:rsidRPr="00DE746E">
        <w:rPr>
          <w:rFonts w:ascii="Times New Roman" w:hAnsi="Times New Roman" w:cs="Times New Roman"/>
          <w:bCs/>
          <w:sz w:val="24"/>
          <w:szCs w:val="24"/>
        </w:rPr>
        <w:t>ājumus, tādējādi nodrošinot visaptverošo pieeju sistēmas kapacitātes stiprināšan</w:t>
      </w:r>
      <w:r w:rsidR="00193770" w:rsidRPr="00DE746E">
        <w:rPr>
          <w:rFonts w:ascii="Times New Roman" w:hAnsi="Times New Roman" w:cs="Times New Roman"/>
          <w:bCs/>
          <w:sz w:val="24"/>
          <w:szCs w:val="24"/>
        </w:rPr>
        <w:t>ā.</w:t>
      </w:r>
    </w:p>
    <w:p w:rsidR="00335FB5" w:rsidRPr="00DE746E" w:rsidRDefault="00335FB5" w:rsidP="00386DB2">
      <w:pPr>
        <w:spacing w:after="120" w:line="240" w:lineRule="auto"/>
        <w:ind w:firstLine="567"/>
        <w:jc w:val="both"/>
        <w:rPr>
          <w:rFonts w:ascii="Times New Roman" w:hAnsi="Times New Roman" w:cs="Times New Roman"/>
          <w:bCs/>
          <w:sz w:val="24"/>
          <w:szCs w:val="24"/>
        </w:rPr>
      </w:pPr>
      <w:r w:rsidRPr="00DE746E">
        <w:rPr>
          <w:rFonts w:ascii="Times New Roman" w:hAnsi="Times New Roman" w:cs="Times New Roman"/>
          <w:bCs/>
          <w:sz w:val="24"/>
          <w:szCs w:val="24"/>
        </w:rPr>
        <w:t xml:space="preserve">Paredzēts, ka novērtējuma rekomendāciju ieviešana, kā arī izstrādes process, plaši iesaistot diskusijās tieslietu jomas ekspertus, </w:t>
      </w:r>
      <w:r w:rsidR="00DF19E3" w:rsidRPr="00DE746E">
        <w:rPr>
          <w:rFonts w:ascii="Times New Roman" w:hAnsi="Times New Roman" w:cs="Times New Roman"/>
          <w:bCs/>
          <w:sz w:val="24"/>
          <w:szCs w:val="24"/>
        </w:rPr>
        <w:t>sekmēs</w:t>
      </w:r>
      <w:r w:rsidRPr="00DE746E">
        <w:rPr>
          <w:rFonts w:ascii="Times New Roman" w:hAnsi="Times New Roman" w:cs="Times New Roman"/>
          <w:bCs/>
          <w:sz w:val="24"/>
          <w:szCs w:val="24"/>
        </w:rPr>
        <w:t xml:space="preserve"> citu projekta </w:t>
      </w:r>
      <w:r w:rsidR="005E3DFD" w:rsidRPr="00DE746E">
        <w:rPr>
          <w:rFonts w:ascii="Times New Roman" w:hAnsi="Times New Roman" w:cs="Times New Roman"/>
          <w:bCs/>
          <w:sz w:val="24"/>
          <w:szCs w:val="24"/>
        </w:rPr>
        <w:t>"</w:t>
      </w:r>
      <w:r w:rsidRPr="00DE746E">
        <w:rPr>
          <w:rFonts w:ascii="Times New Roman" w:hAnsi="Times New Roman" w:cs="Times New Roman"/>
          <w:bCs/>
          <w:i/>
          <w:iCs/>
          <w:sz w:val="24"/>
          <w:szCs w:val="24"/>
        </w:rPr>
        <w:t>Justīcija attīstībai</w:t>
      </w:r>
      <w:r w:rsidR="005E3DFD" w:rsidRPr="00DE746E">
        <w:rPr>
          <w:rFonts w:ascii="Times New Roman" w:hAnsi="Times New Roman" w:cs="Times New Roman"/>
          <w:bCs/>
          <w:iCs/>
          <w:sz w:val="24"/>
          <w:szCs w:val="24"/>
        </w:rPr>
        <w:t>"</w:t>
      </w:r>
      <w:r w:rsidRPr="00DE746E">
        <w:rPr>
          <w:rFonts w:ascii="Times New Roman" w:hAnsi="Times New Roman" w:cs="Times New Roman"/>
          <w:bCs/>
          <w:sz w:val="24"/>
          <w:szCs w:val="24"/>
        </w:rPr>
        <w:t xml:space="preserve"> darbību ieviešanu, kas vērstas uz tiesu un tiesībaizsardzības institūciju personāla kompetences stiprināšanu.</w:t>
      </w:r>
    </w:p>
    <w:p w:rsidR="008108C8" w:rsidRPr="00DE746E" w:rsidRDefault="00335FB5" w:rsidP="00386DB2">
      <w:pPr>
        <w:spacing w:after="120" w:line="240" w:lineRule="auto"/>
        <w:ind w:firstLine="567"/>
        <w:jc w:val="both"/>
        <w:rPr>
          <w:rFonts w:ascii="Times New Roman" w:hAnsi="Times New Roman" w:cs="Times New Roman"/>
          <w:bCs/>
          <w:sz w:val="24"/>
          <w:szCs w:val="24"/>
        </w:rPr>
      </w:pPr>
      <w:r w:rsidRPr="00DE746E">
        <w:rPr>
          <w:rFonts w:ascii="Times New Roman" w:hAnsi="Times New Roman" w:cs="Times New Roman"/>
          <w:bCs/>
          <w:sz w:val="24"/>
          <w:szCs w:val="24"/>
        </w:rPr>
        <w:t>Turklāt novērtējuma tvērums tika definēts atbilstoši SAM 3.4.1., proti, tieslietu sistēmas ieguldījums komercdarbības vides uzlabošanas sekmē</w:t>
      </w:r>
      <w:r w:rsidR="00193770" w:rsidRPr="00DE746E">
        <w:rPr>
          <w:rFonts w:ascii="Times New Roman" w:hAnsi="Times New Roman" w:cs="Times New Roman"/>
          <w:bCs/>
          <w:sz w:val="24"/>
          <w:szCs w:val="24"/>
        </w:rPr>
        <w:t>šanā</w:t>
      </w:r>
      <w:r w:rsidRPr="00DE746E">
        <w:rPr>
          <w:rFonts w:ascii="Times New Roman" w:hAnsi="Times New Roman" w:cs="Times New Roman"/>
          <w:bCs/>
          <w:sz w:val="24"/>
          <w:szCs w:val="24"/>
        </w:rPr>
        <w:t>. Novērtējuma A sadaļa ir vērsta uz tiesu sistēmas darbības efektivitātes uzlabošanu, samazinot tiesvedības termiņus un radot uzticību Latvijas tiesu sistēmai, kas ir nozīmīga labvēlīgas investīciju vides izveidošanai. Attiecīgi arī B un C sadaļas paredz izvērtēt tieslietu sistēmas elementus, kas būtu nozīmīgi uzņēmē</w:t>
      </w:r>
      <w:r w:rsidR="00193770" w:rsidRPr="00DE746E">
        <w:rPr>
          <w:rFonts w:ascii="Times New Roman" w:hAnsi="Times New Roman" w:cs="Times New Roman"/>
          <w:bCs/>
          <w:sz w:val="24"/>
          <w:szCs w:val="24"/>
        </w:rPr>
        <w:t>jam, veicot uzņēmējdarbību Latvijā.</w:t>
      </w:r>
    </w:p>
    <w:p w:rsidR="00337FCC" w:rsidRPr="00DE746E" w:rsidRDefault="008108C8" w:rsidP="00386DB2">
      <w:pPr>
        <w:spacing w:after="120" w:line="240" w:lineRule="auto"/>
        <w:ind w:firstLine="567"/>
        <w:jc w:val="both"/>
        <w:rPr>
          <w:rFonts w:ascii="Times New Roman" w:hAnsi="Times New Roman" w:cs="Times New Roman"/>
          <w:bCs/>
          <w:sz w:val="24"/>
          <w:szCs w:val="24"/>
        </w:rPr>
      </w:pPr>
      <w:r w:rsidRPr="00DE746E">
        <w:rPr>
          <w:rFonts w:ascii="Times New Roman" w:hAnsi="Times New Roman" w:cs="Times New Roman"/>
          <w:bCs/>
          <w:sz w:val="24"/>
          <w:szCs w:val="24"/>
        </w:rPr>
        <w:t xml:space="preserve">Tādējādi novērtējuma plānotais tvērums atbilst darbības programmā </w:t>
      </w:r>
      <w:r w:rsidR="00B91B80" w:rsidRPr="00DE746E">
        <w:rPr>
          <w:rFonts w:ascii="Times New Roman" w:hAnsi="Times New Roman" w:cs="Times New Roman"/>
          <w:bCs/>
          <w:sz w:val="24"/>
          <w:szCs w:val="24"/>
        </w:rPr>
        <w:t>"</w:t>
      </w:r>
      <w:r w:rsidRPr="00DE746E">
        <w:rPr>
          <w:rFonts w:ascii="Times New Roman" w:hAnsi="Times New Roman" w:cs="Times New Roman"/>
          <w:bCs/>
          <w:sz w:val="24"/>
          <w:szCs w:val="24"/>
        </w:rPr>
        <w:t>Izaugsme un nodarbinātība</w:t>
      </w:r>
      <w:r w:rsidR="00B91B80" w:rsidRPr="00DE746E">
        <w:rPr>
          <w:rFonts w:ascii="Times New Roman" w:hAnsi="Times New Roman" w:cs="Times New Roman"/>
          <w:bCs/>
          <w:sz w:val="24"/>
          <w:szCs w:val="24"/>
        </w:rPr>
        <w:t>"</w:t>
      </w:r>
      <w:r w:rsidRPr="00DE746E">
        <w:rPr>
          <w:rFonts w:ascii="Times New Roman" w:hAnsi="Times New Roman" w:cs="Times New Roman"/>
          <w:bCs/>
          <w:sz w:val="24"/>
          <w:szCs w:val="24"/>
        </w:rPr>
        <w:t xml:space="preserve"> noteiktā 3.4.1. specifiskā atbalsta mērķim </w:t>
      </w:r>
      <w:r w:rsidR="00B91B80" w:rsidRPr="00DE746E">
        <w:rPr>
          <w:rFonts w:ascii="Times New Roman" w:hAnsi="Times New Roman" w:cs="Times New Roman"/>
          <w:bCs/>
          <w:sz w:val="24"/>
          <w:szCs w:val="24"/>
        </w:rPr>
        <w:t>"</w:t>
      </w:r>
      <w:r w:rsidRPr="00DE746E">
        <w:rPr>
          <w:rFonts w:ascii="Times New Roman" w:hAnsi="Times New Roman" w:cs="Times New Roman"/>
          <w:bCs/>
          <w:sz w:val="24"/>
          <w:szCs w:val="24"/>
        </w:rPr>
        <w:t>Paaugstināt tiesu un tiesībsargājošo institūciju personāla kompetenci komercdarbības vides uzlabošanas sekmēšanai</w:t>
      </w:r>
      <w:r w:rsidR="00B91B80" w:rsidRPr="00DE746E">
        <w:rPr>
          <w:rFonts w:ascii="Times New Roman" w:hAnsi="Times New Roman" w:cs="Times New Roman"/>
          <w:bCs/>
          <w:sz w:val="24"/>
          <w:szCs w:val="24"/>
        </w:rPr>
        <w:t>"</w:t>
      </w:r>
      <w:r w:rsidRPr="00DE746E">
        <w:rPr>
          <w:rFonts w:ascii="Times New Roman" w:hAnsi="Times New Roman" w:cs="Times New Roman"/>
          <w:bCs/>
          <w:sz w:val="24"/>
          <w:szCs w:val="24"/>
        </w:rPr>
        <w:t>.</w:t>
      </w:r>
    </w:p>
    <w:p w:rsidR="003F6C20" w:rsidRDefault="000413D8" w:rsidP="00EE5735">
      <w:pPr>
        <w:spacing w:after="120" w:line="240" w:lineRule="auto"/>
        <w:ind w:firstLine="567"/>
        <w:jc w:val="both"/>
        <w:rPr>
          <w:rFonts w:ascii="Times New Roman" w:hAnsi="Times New Roman" w:cs="Times New Roman"/>
          <w:sz w:val="24"/>
          <w:szCs w:val="24"/>
        </w:rPr>
      </w:pPr>
      <w:r w:rsidRPr="001607B5">
        <w:rPr>
          <w:rFonts w:ascii="Times New Roman" w:hAnsi="Times New Roman" w:cs="Times New Roman"/>
          <w:sz w:val="24"/>
          <w:szCs w:val="24"/>
        </w:rPr>
        <w:t>Tiesu si</w:t>
      </w:r>
      <w:r w:rsidR="006550E0">
        <w:rPr>
          <w:rFonts w:ascii="Times New Roman" w:hAnsi="Times New Roman" w:cs="Times New Roman"/>
          <w:sz w:val="24"/>
          <w:szCs w:val="24"/>
        </w:rPr>
        <w:t>stēmas novērtējumam ir jāietver</w:t>
      </w:r>
      <w:r w:rsidRPr="001607B5">
        <w:rPr>
          <w:rFonts w:ascii="Times New Roman" w:hAnsi="Times New Roman" w:cs="Times New Roman"/>
          <w:sz w:val="24"/>
          <w:szCs w:val="24"/>
        </w:rPr>
        <w:t xml:space="preserve"> tiesu iestāžu darbīb</w:t>
      </w:r>
      <w:r w:rsidR="00DF19E3">
        <w:rPr>
          <w:rFonts w:ascii="Times New Roman" w:hAnsi="Times New Roman" w:cs="Times New Roman"/>
          <w:sz w:val="24"/>
          <w:szCs w:val="24"/>
        </w:rPr>
        <w:t>as analīze</w:t>
      </w:r>
      <w:r w:rsidRPr="001607B5">
        <w:rPr>
          <w:rFonts w:ascii="Times New Roman" w:hAnsi="Times New Roman" w:cs="Times New Roman"/>
          <w:sz w:val="24"/>
          <w:szCs w:val="24"/>
        </w:rPr>
        <w:t>, tostarp, apskatot aspektus, kas skar tiesu sistēmai piederīgo personu darbību, vadošās iestādes tieslietu politikas un tieslietu administrēšanas nozares darbību, kā arī institūcij</w:t>
      </w:r>
      <w:r w:rsidR="0098718F">
        <w:rPr>
          <w:rFonts w:ascii="Times New Roman" w:hAnsi="Times New Roman" w:cs="Times New Roman"/>
          <w:sz w:val="24"/>
          <w:szCs w:val="24"/>
        </w:rPr>
        <w:t>u</w:t>
      </w:r>
      <w:r w:rsidRPr="001607B5">
        <w:rPr>
          <w:rFonts w:ascii="Times New Roman" w:hAnsi="Times New Roman" w:cs="Times New Roman"/>
          <w:sz w:val="24"/>
          <w:szCs w:val="24"/>
        </w:rPr>
        <w:t xml:space="preserve">, kas piedalās tiesu sistēmas politikas un stratēģijas izstrādē, tiesu sistēmas darba organizācijas pilnveidošanas darbību, kā arī tiesu un citu institūciju nolēmumu izpildes procesu. Novērtējuma ietvaros nepieciešams sniegt </w:t>
      </w:r>
      <w:r w:rsidR="00DF19E3" w:rsidRPr="001607B5">
        <w:rPr>
          <w:rFonts w:ascii="Times New Roman" w:hAnsi="Times New Roman" w:cs="Times New Roman"/>
          <w:sz w:val="24"/>
          <w:szCs w:val="24"/>
        </w:rPr>
        <w:t>proces</w:t>
      </w:r>
      <w:r w:rsidR="00DF19E3">
        <w:rPr>
          <w:rFonts w:ascii="Times New Roman" w:hAnsi="Times New Roman" w:cs="Times New Roman"/>
          <w:sz w:val="24"/>
          <w:szCs w:val="24"/>
        </w:rPr>
        <w:t>u</w:t>
      </w:r>
      <w:r w:rsidR="00DF19E3" w:rsidRPr="001607B5">
        <w:rPr>
          <w:rFonts w:ascii="Times New Roman" w:hAnsi="Times New Roman" w:cs="Times New Roman"/>
          <w:sz w:val="24"/>
          <w:szCs w:val="24"/>
        </w:rPr>
        <w:t xml:space="preserve"> </w:t>
      </w:r>
      <w:r w:rsidRPr="001607B5">
        <w:rPr>
          <w:rFonts w:ascii="Times New Roman" w:hAnsi="Times New Roman" w:cs="Times New Roman"/>
          <w:sz w:val="24"/>
          <w:szCs w:val="24"/>
        </w:rPr>
        <w:t>efektivitātes un kvalitātes vērtējumu, neatkarības vērtējumu, attīstības potenciāla vērtējumu.</w:t>
      </w:r>
    </w:p>
    <w:p w:rsidR="000B0F3D" w:rsidRPr="00DE746E" w:rsidRDefault="00CA313E" w:rsidP="00386DB2">
      <w:pPr>
        <w:spacing w:after="120" w:line="240" w:lineRule="auto"/>
        <w:ind w:firstLine="567"/>
        <w:jc w:val="both"/>
        <w:rPr>
          <w:rFonts w:ascii="Times New Roman" w:hAnsi="Times New Roman" w:cs="Times New Roman"/>
          <w:sz w:val="24"/>
          <w:szCs w:val="24"/>
        </w:rPr>
      </w:pPr>
      <w:r w:rsidRPr="00DE746E">
        <w:rPr>
          <w:rFonts w:ascii="Times New Roman" w:hAnsi="Times New Roman" w:cs="Times New Roman"/>
          <w:sz w:val="24"/>
          <w:szCs w:val="24"/>
        </w:rPr>
        <w:lastRenderedPageBreak/>
        <w:t xml:space="preserve">Maksātnespējas </w:t>
      </w:r>
      <w:r w:rsidR="0098718F" w:rsidRPr="00DE746E">
        <w:rPr>
          <w:rFonts w:ascii="Times New Roman" w:hAnsi="Times New Roman" w:cs="Times New Roman"/>
          <w:sz w:val="24"/>
          <w:szCs w:val="24"/>
        </w:rPr>
        <w:t xml:space="preserve">tiesiskā </w:t>
      </w:r>
      <w:r w:rsidRPr="00DE746E">
        <w:rPr>
          <w:rFonts w:ascii="Times New Roman" w:hAnsi="Times New Roman" w:cs="Times New Roman"/>
          <w:sz w:val="24"/>
          <w:szCs w:val="24"/>
        </w:rPr>
        <w:t xml:space="preserve">regulējuma novērtējumam ir jāietver </w:t>
      </w:r>
      <w:r w:rsidR="00F0528D" w:rsidRPr="00DE746E">
        <w:rPr>
          <w:rFonts w:ascii="Times New Roman" w:hAnsi="Times New Roman" w:cs="Times New Roman"/>
          <w:sz w:val="24"/>
          <w:szCs w:val="24"/>
        </w:rPr>
        <w:t>darbības, kas attiec</w:t>
      </w:r>
      <w:r w:rsidR="00677C3F" w:rsidRPr="00DE746E">
        <w:rPr>
          <w:rFonts w:ascii="Times New Roman" w:hAnsi="Times New Roman" w:cs="Times New Roman"/>
          <w:sz w:val="24"/>
          <w:szCs w:val="24"/>
        </w:rPr>
        <w:t>a</w:t>
      </w:r>
      <w:r w:rsidR="00F0528D" w:rsidRPr="00DE746E">
        <w:rPr>
          <w:rFonts w:ascii="Times New Roman" w:hAnsi="Times New Roman" w:cs="Times New Roman"/>
          <w:sz w:val="24"/>
          <w:szCs w:val="24"/>
        </w:rPr>
        <w:t xml:space="preserve">s uz maksātnespējas administrēšanas </w:t>
      </w:r>
      <w:r w:rsidR="008108C8" w:rsidRPr="00DE746E">
        <w:rPr>
          <w:rFonts w:ascii="Times New Roman" w:hAnsi="Times New Roman" w:cs="Times New Roman"/>
          <w:sz w:val="24"/>
          <w:szCs w:val="24"/>
        </w:rPr>
        <w:t>sistēmas pilnveides iespēju izvērtēšanu, ī</w:t>
      </w:r>
      <w:r w:rsidR="006145E6" w:rsidRPr="00DE746E">
        <w:rPr>
          <w:rFonts w:ascii="Times New Roman" w:hAnsi="Times New Roman" w:cs="Times New Roman"/>
          <w:sz w:val="24"/>
          <w:szCs w:val="24"/>
        </w:rPr>
        <w:t xml:space="preserve">paši </w:t>
      </w:r>
      <w:r w:rsidR="008108C8" w:rsidRPr="00DE746E">
        <w:rPr>
          <w:rFonts w:ascii="Times New Roman" w:hAnsi="Times New Roman" w:cs="Times New Roman"/>
          <w:sz w:val="24"/>
          <w:szCs w:val="24"/>
        </w:rPr>
        <w:t xml:space="preserve">attiecībā uz </w:t>
      </w:r>
      <w:r w:rsidR="000B0F3D" w:rsidRPr="00DE746E">
        <w:rPr>
          <w:rFonts w:ascii="Times New Roman" w:hAnsi="Times New Roman" w:cs="Times New Roman"/>
          <w:sz w:val="24"/>
          <w:szCs w:val="24"/>
        </w:rPr>
        <w:t xml:space="preserve">maksātnespējas administratoru darbības </w:t>
      </w:r>
      <w:r w:rsidR="008108C8" w:rsidRPr="00DE746E">
        <w:rPr>
          <w:rFonts w:ascii="Times New Roman" w:hAnsi="Times New Roman" w:cs="Times New Roman"/>
          <w:sz w:val="24"/>
          <w:szCs w:val="24"/>
        </w:rPr>
        <w:t xml:space="preserve">uzraudzību, kā arī </w:t>
      </w:r>
      <w:r w:rsidR="000B0F3D" w:rsidRPr="00DE746E">
        <w:rPr>
          <w:rFonts w:ascii="Times New Roman" w:hAnsi="Times New Roman" w:cs="Times New Roman"/>
          <w:sz w:val="24"/>
          <w:szCs w:val="24"/>
        </w:rPr>
        <w:t xml:space="preserve">maksātnespējas procesa </w:t>
      </w:r>
      <w:r w:rsidR="008108C8" w:rsidRPr="00DE746E">
        <w:rPr>
          <w:rFonts w:ascii="Times New Roman" w:hAnsi="Times New Roman" w:cs="Times New Roman"/>
          <w:sz w:val="24"/>
          <w:szCs w:val="24"/>
        </w:rPr>
        <w:t xml:space="preserve">caurskatāmību </w:t>
      </w:r>
      <w:r w:rsidR="000B0F3D" w:rsidRPr="00DE746E">
        <w:rPr>
          <w:rFonts w:ascii="Times New Roman" w:hAnsi="Times New Roman" w:cs="Times New Roman"/>
          <w:sz w:val="24"/>
          <w:szCs w:val="24"/>
        </w:rPr>
        <w:t>un kreditoru labāko interešu ievērošanu.</w:t>
      </w:r>
    </w:p>
    <w:p w:rsidR="008108C8" w:rsidRPr="00DE746E" w:rsidRDefault="008108C8" w:rsidP="00386DB2">
      <w:pPr>
        <w:spacing w:after="120" w:line="240" w:lineRule="auto"/>
        <w:ind w:firstLine="567"/>
        <w:jc w:val="both"/>
        <w:rPr>
          <w:rFonts w:ascii="Times New Roman" w:hAnsi="Times New Roman"/>
          <w:color w:val="000000"/>
          <w:sz w:val="24"/>
          <w:szCs w:val="24"/>
        </w:rPr>
      </w:pPr>
      <w:r w:rsidRPr="00DE746E">
        <w:rPr>
          <w:rFonts w:ascii="Times New Roman" w:hAnsi="Times New Roman"/>
          <w:color w:val="000000"/>
          <w:sz w:val="24"/>
          <w:szCs w:val="24"/>
        </w:rPr>
        <w:t xml:space="preserve">Maksātnespējas jomai ir būtiska ietekme ne tikai uz personām, </w:t>
      </w:r>
      <w:proofErr w:type="gramStart"/>
      <w:r w:rsidRPr="00DE746E">
        <w:rPr>
          <w:rFonts w:ascii="Times New Roman" w:hAnsi="Times New Roman"/>
          <w:color w:val="000000"/>
          <w:sz w:val="24"/>
          <w:szCs w:val="24"/>
        </w:rPr>
        <w:t>kuras ir tieši</w:t>
      </w:r>
      <w:proofErr w:type="gramEnd"/>
      <w:r w:rsidRPr="00DE746E">
        <w:rPr>
          <w:rFonts w:ascii="Times New Roman" w:hAnsi="Times New Roman"/>
          <w:color w:val="000000"/>
          <w:sz w:val="24"/>
          <w:szCs w:val="24"/>
        </w:rPr>
        <w:t xml:space="preserve"> iesaistītas maksātnespējas procesā, bet arī uz ekonomiku kopumā. Kā norādījusi Pasaules Banka </w:t>
      </w:r>
      <w:proofErr w:type="spellStart"/>
      <w:r w:rsidRPr="00DE746E">
        <w:rPr>
          <w:rFonts w:ascii="Times New Roman" w:hAnsi="Times New Roman"/>
          <w:i/>
          <w:iCs/>
          <w:color w:val="000000"/>
          <w:sz w:val="24"/>
          <w:szCs w:val="24"/>
        </w:rPr>
        <w:t>Doing</w:t>
      </w:r>
      <w:proofErr w:type="spellEnd"/>
      <w:r w:rsidRPr="00DE746E">
        <w:rPr>
          <w:rFonts w:ascii="Times New Roman" w:hAnsi="Times New Roman"/>
          <w:i/>
          <w:iCs/>
          <w:color w:val="000000"/>
          <w:sz w:val="24"/>
          <w:szCs w:val="24"/>
        </w:rPr>
        <w:t xml:space="preserve"> </w:t>
      </w:r>
      <w:proofErr w:type="spellStart"/>
      <w:r w:rsidRPr="00DE746E">
        <w:rPr>
          <w:rFonts w:ascii="Times New Roman" w:hAnsi="Times New Roman"/>
          <w:i/>
          <w:iCs/>
          <w:color w:val="000000"/>
          <w:sz w:val="24"/>
          <w:szCs w:val="24"/>
        </w:rPr>
        <w:t>Business</w:t>
      </w:r>
      <w:proofErr w:type="spellEnd"/>
      <w:r w:rsidRPr="00DE746E">
        <w:rPr>
          <w:rFonts w:ascii="Times New Roman" w:hAnsi="Times New Roman"/>
          <w:color w:val="000000"/>
          <w:sz w:val="24"/>
          <w:szCs w:val="24"/>
        </w:rPr>
        <w:t xml:space="preserve"> ietvaros, maksātnespējas joma kā iespēja savlaicīgi risināt finansiālās problēmas vai arī maksimāli efektīvi likvidēt tādus uzņēmumus, kas nav dzīvotspējīgi, rada būtisku ietekmi uz investoru vēlmi investēt savus līdzekļus konkrētā valstī.</w:t>
      </w:r>
    </w:p>
    <w:p w:rsidR="008108C8" w:rsidRPr="00DE746E" w:rsidRDefault="008108C8" w:rsidP="00386DB2">
      <w:pPr>
        <w:spacing w:after="120" w:line="240" w:lineRule="auto"/>
        <w:ind w:firstLine="567"/>
        <w:jc w:val="both"/>
        <w:rPr>
          <w:rFonts w:ascii="Times New Roman" w:hAnsi="Times New Roman"/>
          <w:color w:val="000000"/>
          <w:sz w:val="24"/>
          <w:szCs w:val="24"/>
        </w:rPr>
      </w:pPr>
      <w:r w:rsidRPr="00DE746E">
        <w:rPr>
          <w:rFonts w:ascii="Times New Roman" w:hAnsi="Times New Roman"/>
          <w:color w:val="000000"/>
          <w:sz w:val="24"/>
          <w:szCs w:val="24"/>
        </w:rPr>
        <w:t xml:space="preserve">Maksātnespējas jomas būtiskumu nacionālā līmenī papildus apstiprina arī vairākos plānošanas dokumentos iekļauti pasākumi par maksātnespējas jomu, kā arī saistībā ar to. Nacionālās attīstības plānā 2020 noteikts rīcības virziens – izcilas uzņēmējdarbības vides nodrošināšana. Tās sasniegšanai Nacionālā attīstības plāna 2020 141.-146. punktā ir noteikti rezultatīvie rādītāji, tajā skaitā Latvijas vieta </w:t>
      </w:r>
      <w:proofErr w:type="spellStart"/>
      <w:r w:rsidRPr="00DE746E">
        <w:rPr>
          <w:rFonts w:ascii="Times New Roman" w:hAnsi="Times New Roman"/>
          <w:i/>
          <w:iCs/>
          <w:color w:val="000000"/>
          <w:sz w:val="24"/>
          <w:szCs w:val="24"/>
        </w:rPr>
        <w:t>Doing</w:t>
      </w:r>
      <w:proofErr w:type="spellEnd"/>
      <w:r w:rsidRPr="00DE746E">
        <w:rPr>
          <w:rFonts w:ascii="Times New Roman" w:hAnsi="Times New Roman"/>
          <w:i/>
          <w:iCs/>
          <w:color w:val="000000"/>
          <w:sz w:val="24"/>
          <w:szCs w:val="24"/>
        </w:rPr>
        <w:t xml:space="preserve"> </w:t>
      </w:r>
      <w:proofErr w:type="spellStart"/>
      <w:r w:rsidRPr="00DE746E">
        <w:rPr>
          <w:rFonts w:ascii="Times New Roman" w:hAnsi="Times New Roman"/>
          <w:i/>
          <w:iCs/>
          <w:color w:val="000000"/>
          <w:sz w:val="24"/>
          <w:szCs w:val="24"/>
        </w:rPr>
        <w:t>Business</w:t>
      </w:r>
      <w:proofErr w:type="spellEnd"/>
      <w:r w:rsidRPr="00DE746E">
        <w:rPr>
          <w:rFonts w:ascii="Times New Roman" w:hAnsi="Times New Roman"/>
          <w:color w:val="000000"/>
          <w:sz w:val="24"/>
          <w:szCs w:val="24"/>
        </w:rPr>
        <w:t xml:space="preserve"> indeksā (Nacionālā attīstības plāna 2020 143. punkts), kurš raksturo valstu uzņēmējdarbības vides konkurētspēju pasaulē un kura viens no uzņēmējdarbības vidi raksturojošiem indikatoriem ir uzņēmējdarbības izbeigšana – maksātnespēja.</w:t>
      </w:r>
    </w:p>
    <w:p w:rsidR="008108C8" w:rsidRPr="00DE746E" w:rsidRDefault="008108C8" w:rsidP="00386DB2">
      <w:pPr>
        <w:spacing w:after="120" w:line="240" w:lineRule="auto"/>
        <w:ind w:firstLine="567"/>
        <w:jc w:val="both"/>
        <w:rPr>
          <w:rFonts w:ascii="Times New Roman" w:hAnsi="Times New Roman"/>
          <w:color w:val="000000"/>
          <w:sz w:val="24"/>
          <w:szCs w:val="24"/>
        </w:rPr>
      </w:pPr>
      <w:r w:rsidRPr="00DE746E">
        <w:rPr>
          <w:rFonts w:ascii="Times New Roman" w:hAnsi="Times New Roman"/>
          <w:color w:val="000000"/>
          <w:sz w:val="24"/>
          <w:szCs w:val="24"/>
        </w:rPr>
        <w:t xml:space="preserve">Maksātnespējas jomas pilnveidošanas pasākumi notiek ne tikai katrā </w:t>
      </w:r>
      <w:r w:rsidR="00B91B80" w:rsidRPr="00DE746E">
        <w:rPr>
          <w:rFonts w:ascii="Times New Roman" w:hAnsi="Times New Roman"/>
          <w:color w:val="000000"/>
          <w:sz w:val="24"/>
          <w:szCs w:val="24"/>
        </w:rPr>
        <w:t>ES</w:t>
      </w:r>
      <w:r w:rsidRPr="00DE746E">
        <w:rPr>
          <w:rFonts w:ascii="Times New Roman" w:hAnsi="Times New Roman"/>
          <w:color w:val="000000"/>
          <w:sz w:val="24"/>
          <w:szCs w:val="24"/>
        </w:rPr>
        <w:t xml:space="preserve"> dalībvalstī, tai skaitā Latvijā, atsevišķi, bet arī </w:t>
      </w:r>
      <w:r w:rsidR="00B91B80" w:rsidRPr="00DE746E">
        <w:rPr>
          <w:rFonts w:ascii="Times New Roman" w:hAnsi="Times New Roman"/>
          <w:color w:val="000000"/>
          <w:sz w:val="24"/>
          <w:szCs w:val="24"/>
        </w:rPr>
        <w:t>ES</w:t>
      </w:r>
      <w:r w:rsidRPr="00DE746E">
        <w:rPr>
          <w:rFonts w:ascii="Times New Roman" w:hAnsi="Times New Roman"/>
          <w:color w:val="000000"/>
          <w:sz w:val="24"/>
          <w:szCs w:val="24"/>
        </w:rPr>
        <w:t xml:space="preserve"> līmenī, tādējādi vēl vairāk stiprinot maksātnespējas jomas nozīmīgumu. </w:t>
      </w:r>
      <w:r w:rsidR="00B91B80" w:rsidRPr="00DE746E">
        <w:rPr>
          <w:rFonts w:ascii="Times New Roman" w:hAnsi="Times New Roman"/>
          <w:color w:val="000000"/>
          <w:sz w:val="24"/>
          <w:szCs w:val="24"/>
        </w:rPr>
        <w:t>ES</w:t>
      </w:r>
      <w:r w:rsidRPr="00DE746E">
        <w:rPr>
          <w:rFonts w:ascii="Times New Roman" w:hAnsi="Times New Roman"/>
          <w:color w:val="000000"/>
          <w:sz w:val="24"/>
          <w:szCs w:val="24"/>
        </w:rPr>
        <w:t xml:space="preserve"> Komisija ir izstrādājusi priekšlikumu jaunai direktīvai, kas paredz harmonizēt dalībvalstīs esošos regulējumus attiecībā uz agrīnu pārstrukturēšanu, kā arī procesu efektivitāti kopumā, lai nodrošinātu </w:t>
      </w:r>
      <w:r w:rsidR="003945E5" w:rsidRPr="00DE746E">
        <w:rPr>
          <w:rFonts w:ascii="Times New Roman" w:hAnsi="Times New Roman"/>
          <w:color w:val="000000"/>
          <w:sz w:val="24"/>
          <w:szCs w:val="24"/>
        </w:rPr>
        <w:t>ES</w:t>
      </w:r>
      <w:r w:rsidRPr="00DE746E">
        <w:rPr>
          <w:rFonts w:ascii="Times New Roman" w:hAnsi="Times New Roman"/>
          <w:color w:val="000000"/>
          <w:sz w:val="24"/>
          <w:szCs w:val="24"/>
        </w:rPr>
        <w:t xml:space="preserve"> iekšējā tirgus uzlabošanos, kapitāla brīvu apriti un ekonomisko izaugsmi vai tās saglabāšanu visās Eiropas Savienības dalībvalstīs.</w:t>
      </w:r>
    </w:p>
    <w:p w:rsidR="003F6C20" w:rsidRPr="00DE746E" w:rsidRDefault="00690661" w:rsidP="00386DB2">
      <w:pPr>
        <w:spacing w:after="120" w:line="240" w:lineRule="auto"/>
        <w:ind w:firstLine="567"/>
        <w:jc w:val="both"/>
        <w:rPr>
          <w:rFonts w:ascii="Times New Roman" w:hAnsi="Times New Roman"/>
          <w:color w:val="000000"/>
          <w:sz w:val="24"/>
          <w:szCs w:val="24"/>
        </w:rPr>
      </w:pPr>
      <w:r w:rsidRPr="00DE746E">
        <w:rPr>
          <w:rFonts w:ascii="Times New Roman" w:hAnsi="Times New Roman"/>
          <w:color w:val="000000"/>
          <w:sz w:val="24"/>
          <w:szCs w:val="24"/>
        </w:rPr>
        <w:t xml:space="preserve">Ņemot vērā minēto, </w:t>
      </w:r>
      <w:r w:rsidR="008108C8" w:rsidRPr="00DE746E">
        <w:rPr>
          <w:rFonts w:ascii="Times New Roman" w:hAnsi="Times New Roman"/>
          <w:color w:val="000000"/>
          <w:sz w:val="24"/>
          <w:szCs w:val="24"/>
        </w:rPr>
        <w:t xml:space="preserve">ir nepieciešams objektīvs, neatkarīgs un vispusīgs </w:t>
      </w:r>
      <w:r w:rsidRPr="00DE746E">
        <w:rPr>
          <w:rFonts w:ascii="Times New Roman" w:hAnsi="Times New Roman"/>
          <w:color w:val="000000"/>
          <w:sz w:val="24"/>
          <w:szCs w:val="24"/>
        </w:rPr>
        <w:t>novērtējums gan</w:t>
      </w:r>
      <w:r w:rsidR="008108C8" w:rsidRPr="00DE746E">
        <w:rPr>
          <w:rFonts w:ascii="Times New Roman" w:hAnsi="Times New Roman"/>
          <w:color w:val="000000"/>
          <w:sz w:val="24"/>
          <w:szCs w:val="24"/>
        </w:rPr>
        <w:t xml:space="preserve"> par </w:t>
      </w:r>
      <w:r w:rsidRPr="00DE746E">
        <w:rPr>
          <w:rFonts w:ascii="Times New Roman" w:hAnsi="Times New Roman"/>
          <w:color w:val="000000"/>
          <w:sz w:val="24"/>
          <w:szCs w:val="24"/>
        </w:rPr>
        <w:t>sistēma</w:t>
      </w:r>
      <w:r w:rsidR="003945E5" w:rsidRPr="00DE746E">
        <w:rPr>
          <w:rFonts w:ascii="Times New Roman" w:hAnsi="Times New Roman"/>
          <w:color w:val="000000"/>
          <w:sz w:val="24"/>
          <w:szCs w:val="24"/>
        </w:rPr>
        <w:t>s</w:t>
      </w:r>
      <w:r w:rsidRPr="00DE746E">
        <w:rPr>
          <w:rFonts w:ascii="Times New Roman" w:hAnsi="Times New Roman"/>
          <w:color w:val="000000"/>
          <w:sz w:val="24"/>
          <w:szCs w:val="24"/>
        </w:rPr>
        <w:t xml:space="preserve"> līdzšinējo attīstību, gan attīstības tendencēm</w:t>
      </w:r>
      <w:r w:rsidR="008108C8" w:rsidRPr="00DE746E">
        <w:rPr>
          <w:rFonts w:ascii="Times New Roman" w:hAnsi="Times New Roman"/>
          <w:color w:val="000000"/>
          <w:sz w:val="24"/>
          <w:szCs w:val="24"/>
        </w:rPr>
        <w:t xml:space="preserve">. </w:t>
      </w:r>
    </w:p>
    <w:p w:rsidR="006F3C38" w:rsidRPr="00DE746E" w:rsidRDefault="008A6B2F" w:rsidP="00386DB2">
      <w:pPr>
        <w:spacing w:after="120" w:line="240" w:lineRule="auto"/>
        <w:ind w:firstLine="720"/>
        <w:jc w:val="both"/>
        <w:rPr>
          <w:rFonts w:ascii="Times New Roman" w:hAnsi="Times New Roman" w:cs="Times New Roman"/>
          <w:sz w:val="24"/>
          <w:szCs w:val="24"/>
        </w:rPr>
      </w:pPr>
      <w:r w:rsidRPr="00DE746E">
        <w:rPr>
          <w:rFonts w:ascii="Times New Roman" w:hAnsi="Times New Roman" w:cs="Times New Roman"/>
          <w:sz w:val="24"/>
          <w:szCs w:val="24"/>
        </w:rPr>
        <w:t>Komerc</w:t>
      </w:r>
      <w:r w:rsidR="00973FBE" w:rsidRPr="00DE746E">
        <w:rPr>
          <w:rFonts w:ascii="Times New Roman" w:hAnsi="Times New Roman" w:cs="Times New Roman"/>
          <w:sz w:val="24"/>
          <w:szCs w:val="24"/>
        </w:rPr>
        <w:t xml:space="preserve">tiesību regulējuma novērtējuma mērķis ir identificēt </w:t>
      </w:r>
      <w:r w:rsidR="0040556D" w:rsidRPr="00DE746E">
        <w:rPr>
          <w:rFonts w:ascii="Times New Roman" w:hAnsi="Times New Roman" w:cs="Times New Roman"/>
          <w:sz w:val="24"/>
          <w:szCs w:val="24"/>
        </w:rPr>
        <w:t>Komerclikuma regulējuma un piemērošanas prakses</w:t>
      </w:r>
      <w:r w:rsidR="00532B91" w:rsidRPr="00DE746E">
        <w:rPr>
          <w:rFonts w:ascii="Times New Roman" w:hAnsi="Times New Roman" w:cs="Times New Roman"/>
          <w:sz w:val="24"/>
          <w:szCs w:val="24"/>
        </w:rPr>
        <w:t xml:space="preserve"> trūkumus, </w:t>
      </w:r>
      <w:r w:rsidR="0040556D" w:rsidRPr="00DE746E">
        <w:rPr>
          <w:rFonts w:ascii="Times New Roman" w:hAnsi="Times New Roman" w:cs="Times New Roman"/>
          <w:sz w:val="24"/>
          <w:szCs w:val="24"/>
        </w:rPr>
        <w:t xml:space="preserve">kas traucē mūsdienīgai </w:t>
      </w:r>
      <w:r w:rsidR="00537528" w:rsidRPr="00DE746E">
        <w:rPr>
          <w:rFonts w:ascii="Times New Roman" w:hAnsi="Times New Roman" w:cs="Times New Roman"/>
          <w:sz w:val="24"/>
          <w:szCs w:val="24"/>
        </w:rPr>
        <w:t>uzņēmējdarbības</w:t>
      </w:r>
      <w:r w:rsidR="0040556D" w:rsidRPr="00DE746E">
        <w:rPr>
          <w:rFonts w:ascii="Times New Roman" w:hAnsi="Times New Roman" w:cs="Times New Roman"/>
          <w:sz w:val="24"/>
          <w:szCs w:val="24"/>
        </w:rPr>
        <w:t xml:space="preserve"> videi, </w:t>
      </w:r>
      <w:r w:rsidR="00532B91" w:rsidRPr="00DE746E">
        <w:rPr>
          <w:rFonts w:ascii="Times New Roman" w:hAnsi="Times New Roman" w:cs="Times New Roman"/>
          <w:sz w:val="24"/>
          <w:szCs w:val="24"/>
        </w:rPr>
        <w:t>kā arī tieslietu sistēmas pakalpojumu nepieciešamību uzņēmējiem, lai nodrošinātu draudzīgu tiesisko vidi attiecībās ar valsts iestādēm. Novērtējums paredz</w:t>
      </w:r>
      <w:r w:rsidR="0040556D" w:rsidRPr="00DE746E">
        <w:rPr>
          <w:rFonts w:ascii="Times New Roman" w:hAnsi="Times New Roman" w:cs="Times New Roman"/>
          <w:sz w:val="24"/>
          <w:szCs w:val="24"/>
        </w:rPr>
        <w:t xml:space="preserve"> sni</w:t>
      </w:r>
      <w:r w:rsidR="00537528" w:rsidRPr="00DE746E">
        <w:rPr>
          <w:rFonts w:ascii="Times New Roman" w:hAnsi="Times New Roman" w:cs="Times New Roman"/>
          <w:sz w:val="24"/>
          <w:szCs w:val="24"/>
        </w:rPr>
        <w:t>egt rekomendācijas Komerclikuma</w:t>
      </w:r>
      <w:r w:rsidR="00C96A5E" w:rsidRPr="00DE746E">
        <w:rPr>
          <w:rFonts w:ascii="Times New Roman" w:hAnsi="Times New Roman" w:cs="Times New Roman"/>
          <w:sz w:val="24"/>
          <w:szCs w:val="24"/>
        </w:rPr>
        <w:t>m</w:t>
      </w:r>
      <w:r w:rsidR="00537528" w:rsidRPr="00DE746E">
        <w:rPr>
          <w:rFonts w:ascii="Times New Roman" w:hAnsi="Times New Roman" w:cs="Times New Roman"/>
          <w:sz w:val="24"/>
          <w:szCs w:val="24"/>
        </w:rPr>
        <w:t>, ar tā piemērošanu saistīto sniegto</w:t>
      </w:r>
      <w:r w:rsidR="00973FBE" w:rsidRPr="00DE746E">
        <w:rPr>
          <w:rFonts w:ascii="Times New Roman" w:hAnsi="Times New Roman" w:cs="Times New Roman"/>
          <w:sz w:val="24"/>
          <w:szCs w:val="24"/>
        </w:rPr>
        <w:t xml:space="preserve"> pakalpojumu </w:t>
      </w:r>
      <w:r w:rsidR="00537528" w:rsidRPr="00DE746E">
        <w:rPr>
          <w:rFonts w:ascii="Times New Roman" w:hAnsi="Times New Roman" w:cs="Times New Roman"/>
          <w:sz w:val="24"/>
          <w:szCs w:val="24"/>
        </w:rPr>
        <w:t xml:space="preserve">pilnveidošanai, </w:t>
      </w:r>
      <w:r w:rsidR="006F3C38" w:rsidRPr="00DE746E">
        <w:rPr>
          <w:rFonts w:ascii="Times New Roman" w:hAnsi="Times New Roman" w:cs="Times New Roman"/>
          <w:sz w:val="24"/>
          <w:szCs w:val="24"/>
        </w:rPr>
        <w:t>kā arī strīdu risināšanas vides uzlabošanai, tostarp, veicinot alternatīvu strīdu risināšanas veidu ieviešanu.</w:t>
      </w:r>
    </w:p>
    <w:p w:rsidR="006F3C38" w:rsidRPr="00DE746E" w:rsidRDefault="006F3C38" w:rsidP="00386DB2">
      <w:pPr>
        <w:spacing w:after="120" w:line="240" w:lineRule="auto"/>
        <w:ind w:firstLine="720"/>
        <w:jc w:val="both"/>
        <w:rPr>
          <w:rFonts w:ascii="Times New Roman" w:hAnsi="Times New Roman" w:cs="Times New Roman"/>
          <w:sz w:val="24"/>
          <w:szCs w:val="24"/>
        </w:rPr>
      </w:pPr>
      <w:r w:rsidRPr="00DE746E">
        <w:rPr>
          <w:rFonts w:ascii="Times New Roman" w:hAnsi="Times New Roman" w:cs="Times New Roman"/>
          <w:sz w:val="24"/>
          <w:szCs w:val="24"/>
        </w:rPr>
        <w:t>Latvijas tieslietu sistēmas novērtējuma</w:t>
      </w:r>
      <w:r w:rsidR="008108C8" w:rsidRPr="00DE746E">
        <w:rPr>
          <w:rFonts w:ascii="Times New Roman" w:hAnsi="Times New Roman" w:cs="Times New Roman"/>
          <w:sz w:val="24"/>
          <w:szCs w:val="24"/>
        </w:rPr>
        <w:t xml:space="preserve"> </w:t>
      </w:r>
      <w:r w:rsidRPr="00DE746E">
        <w:rPr>
          <w:rFonts w:ascii="Times New Roman" w:hAnsi="Times New Roman" w:cs="Times New Roman"/>
          <w:sz w:val="24"/>
          <w:szCs w:val="24"/>
        </w:rPr>
        <w:t>sagatavošanas termiņš ir 2018.</w:t>
      </w:r>
      <w:r w:rsidR="00131ED6" w:rsidRPr="00DE746E">
        <w:rPr>
          <w:rFonts w:ascii="Times New Roman" w:hAnsi="Times New Roman" w:cs="Times New Roman"/>
          <w:sz w:val="24"/>
          <w:szCs w:val="24"/>
        </w:rPr>
        <w:t> </w:t>
      </w:r>
      <w:r w:rsidRPr="00DE746E">
        <w:rPr>
          <w:rFonts w:ascii="Times New Roman" w:hAnsi="Times New Roman" w:cs="Times New Roman"/>
          <w:sz w:val="24"/>
          <w:szCs w:val="24"/>
        </w:rPr>
        <w:t>gada 31.</w:t>
      </w:r>
      <w:r w:rsidR="00131ED6" w:rsidRPr="00DE746E">
        <w:rPr>
          <w:rFonts w:ascii="Times New Roman" w:hAnsi="Times New Roman" w:cs="Times New Roman"/>
          <w:sz w:val="24"/>
          <w:szCs w:val="24"/>
        </w:rPr>
        <w:t> </w:t>
      </w:r>
      <w:r w:rsidRPr="00DE746E">
        <w:rPr>
          <w:rFonts w:ascii="Times New Roman" w:hAnsi="Times New Roman" w:cs="Times New Roman"/>
          <w:sz w:val="24"/>
          <w:szCs w:val="24"/>
        </w:rPr>
        <w:t xml:space="preserve">decembris. </w:t>
      </w:r>
      <w:r w:rsidR="00193770" w:rsidRPr="00DE746E">
        <w:rPr>
          <w:rFonts w:ascii="Times New Roman" w:hAnsi="Times New Roman" w:cs="Times New Roman"/>
          <w:sz w:val="24"/>
          <w:szCs w:val="24"/>
        </w:rPr>
        <w:t>A sadaļas indikatīvais izstrādes termiņš ir 2018.</w:t>
      </w:r>
      <w:r w:rsidR="00DA5A29" w:rsidRPr="00DE746E">
        <w:rPr>
          <w:rFonts w:ascii="Times New Roman" w:hAnsi="Times New Roman" w:cs="Times New Roman"/>
          <w:sz w:val="24"/>
          <w:szCs w:val="24"/>
        </w:rPr>
        <w:t> </w:t>
      </w:r>
      <w:r w:rsidR="00193770" w:rsidRPr="00DE746E">
        <w:rPr>
          <w:rFonts w:ascii="Times New Roman" w:hAnsi="Times New Roman" w:cs="Times New Roman"/>
          <w:sz w:val="24"/>
          <w:szCs w:val="24"/>
        </w:rPr>
        <w:t>gada septembris. Savukārt B un C sadaļas sagatavošanas termiņš ir 2018.</w:t>
      </w:r>
      <w:r w:rsidR="00DA5A29" w:rsidRPr="00DE746E">
        <w:rPr>
          <w:rFonts w:ascii="Times New Roman" w:hAnsi="Times New Roman" w:cs="Times New Roman"/>
          <w:sz w:val="24"/>
          <w:szCs w:val="24"/>
        </w:rPr>
        <w:t> </w:t>
      </w:r>
      <w:r w:rsidR="00193770" w:rsidRPr="00DE746E">
        <w:rPr>
          <w:rFonts w:ascii="Times New Roman" w:hAnsi="Times New Roman" w:cs="Times New Roman"/>
          <w:sz w:val="24"/>
          <w:szCs w:val="24"/>
        </w:rPr>
        <w:t xml:space="preserve">gada decembris. </w:t>
      </w:r>
    </w:p>
    <w:p w:rsidR="006F3C38" w:rsidRDefault="006F3C38" w:rsidP="00386DB2">
      <w:pPr>
        <w:spacing w:after="120" w:line="240" w:lineRule="auto"/>
        <w:ind w:firstLine="720"/>
        <w:jc w:val="both"/>
        <w:rPr>
          <w:rFonts w:ascii="Times New Roman" w:hAnsi="Times New Roman" w:cs="Times New Roman"/>
          <w:sz w:val="24"/>
          <w:szCs w:val="24"/>
        </w:rPr>
      </w:pPr>
    </w:p>
    <w:p w:rsidR="001633AF" w:rsidRPr="006F3C38" w:rsidRDefault="006F3C38" w:rsidP="00386DB2">
      <w:pPr>
        <w:spacing w:after="120" w:line="240" w:lineRule="auto"/>
        <w:jc w:val="center"/>
        <w:rPr>
          <w:rFonts w:ascii="Times New Roman" w:hAnsi="Times New Roman" w:cs="Times New Roman"/>
          <w:b/>
          <w:bCs/>
          <w:sz w:val="24"/>
          <w:szCs w:val="24"/>
        </w:rPr>
      </w:pPr>
      <w:r w:rsidRPr="0093262B">
        <w:rPr>
          <w:rFonts w:ascii="Times New Roman" w:hAnsi="Times New Roman" w:cs="Times New Roman"/>
          <w:b/>
          <w:bCs/>
          <w:sz w:val="24"/>
          <w:szCs w:val="24"/>
        </w:rPr>
        <w:t>Novērtējuma veikšanai piesaistāmās institūcijas</w:t>
      </w:r>
    </w:p>
    <w:p w:rsidR="006F3C38" w:rsidRDefault="00B15EBE" w:rsidP="00386DB2">
      <w:pPr>
        <w:spacing w:after="120" w:line="240" w:lineRule="auto"/>
        <w:ind w:firstLine="720"/>
        <w:jc w:val="both"/>
        <w:rPr>
          <w:rFonts w:ascii="Times New Roman" w:hAnsi="Times New Roman" w:cs="Times New Roman"/>
          <w:sz w:val="24"/>
          <w:szCs w:val="24"/>
        </w:rPr>
      </w:pPr>
      <w:r w:rsidRPr="001607B5">
        <w:rPr>
          <w:rFonts w:ascii="Times New Roman" w:hAnsi="Times New Roman" w:cs="Times New Roman"/>
          <w:sz w:val="24"/>
          <w:szCs w:val="24"/>
        </w:rPr>
        <w:t>Lai spētu realizēt labāko ekspertīzi katrā jomā, Tiesu administrācija sadarbībā ar Tieslietu ministriju ir identificējusi institūcijas, kuras būtu vislietderīgāk piesaistīt pētījumu veikšanai.</w:t>
      </w:r>
    </w:p>
    <w:p w:rsidR="00B15EBE" w:rsidRPr="001607B5" w:rsidRDefault="00B15EBE" w:rsidP="00386DB2">
      <w:pPr>
        <w:spacing w:after="120" w:line="240" w:lineRule="auto"/>
        <w:ind w:firstLine="720"/>
        <w:jc w:val="both"/>
        <w:rPr>
          <w:rFonts w:ascii="Times New Roman" w:hAnsi="Times New Roman" w:cs="Times New Roman"/>
          <w:sz w:val="24"/>
          <w:szCs w:val="24"/>
        </w:rPr>
      </w:pPr>
      <w:r w:rsidRPr="001607B5">
        <w:rPr>
          <w:rFonts w:ascii="Times New Roman" w:hAnsi="Times New Roman" w:cs="Times New Roman"/>
          <w:sz w:val="24"/>
          <w:szCs w:val="24"/>
        </w:rPr>
        <w:t xml:space="preserve">Eiropas Padomes Komisiju Tiesu efektivitātei </w:t>
      </w:r>
      <w:r w:rsidRPr="001607B5">
        <w:rPr>
          <w:rFonts w:ascii="Times New Roman" w:hAnsi="Times New Roman" w:cs="Times New Roman"/>
          <w:i/>
          <w:sz w:val="24"/>
          <w:szCs w:val="24"/>
        </w:rPr>
        <w:t>(</w:t>
      </w:r>
      <w:proofErr w:type="spellStart"/>
      <w:r w:rsidRPr="001607B5">
        <w:rPr>
          <w:rFonts w:ascii="Times New Roman" w:hAnsi="Times New Roman" w:cs="Times New Roman"/>
          <w:i/>
          <w:sz w:val="24"/>
          <w:szCs w:val="24"/>
        </w:rPr>
        <w:t>European</w:t>
      </w:r>
      <w:proofErr w:type="spellEnd"/>
      <w:r w:rsidRPr="001607B5">
        <w:rPr>
          <w:rFonts w:ascii="Times New Roman" w:hAnsi="Times New Roman" w:cs="Times New Roman"/>
          <w:i/>
          <w:sz w:val="24"/>
          <w:szCs w:val="24"/>
        </w:rPr>
        <w:t xml:space="preserve"> </w:t>
      </w:r>
      <w:proofErr w:type="spellStart"/>
      <w:r w:rsidRPr="001607B5">
        <w:rPr>
          <w:rFonts w:ascii="Times New Roman" w:hAnsi="Times New Roman" w:cs="Times New Roman"/>
          <w:i/>
          <w:sz w:val="24"/>
          <w:szCs w:val="24"/>
        </w:rPr>
        <w:t>Commission</w:t>
      </w:r>
      <w:proofErr w:type="spellEnd"/>
      <w:r w:rsidRPr="001607B5">
        <w:rPr>
          <w:rFonts w:ascii="Times New Roman" w:hAnsi="Times New Roman" w:cs="Times New Roman"/>
          <w:i/>
          <w:sz w:val="24"/>
          <w:szCs w:val="24"/>
        </w:rPr>
        <w:t xml:space="preserve"> </w:t>
      </w:r>
      <w:proofErr w:type="spellStart"/>
      <w:r w:rsidRPr="001607B5">
        <w:rPr>
          <w:rFonts w:ascii="Times New Roman" w:hAnsi="Times New Roman" w:cs="Times New Roman"/>
          <w:i/>
          <w:sz w:val="24"/>
          <w:szCs w:val="24"/>
        </w:rPr>
        <w:t>for</w:t>
      </w:r>
      <w:proofErr w:type="spellEnd"/>
      <w:r w:rsidRPr="001607B5">
        <w:rPr>
          <w:rFonts w:ascii="Times New Roman" w:hAnsi="Times New Roman" w:cs="Times New Roman"/>
          <w:i/>
          <w:sz w:val="24"/>
          <w:szCs w:val="24"/>
        </w:rPr>
        <w:t xml:space="preserve"> </w:t>
      </w:r>
      <w:proofErr w:type="spellStart"/>
      <w:r w:rsidRPr="001607B5">
        <w:rPr>
          <w:rFonts w:ascii="Times New Roman" w:hAnsi="Times New Roman" w:cs="Times New Roman"/>
          <w:i/>
          <w:sz w:val="24"/>
          <w:szCs w:val="24"/>
        </w:rPr>
        <w:t>the</w:t>
      </w:r>
      <w:proofErr w:type="spellEnd"/>
      <w:r w:rsidR="002A48EF">
        <w:rPr>
          <w:rFonts w:ascii="Times New Roman" w:hAnsi="Times New Roman" w:cs="Times New Roman"/>
          <w:i/>
          <w:sz w:val="24"/>
          <w:szCs w:val="24"/>
        </w:rPr>
        <w:t xml:space="preserve"> </w:t>
      </w:r>
      <w:proofErr w:type="spellStart"/>
      <w:r w:rsidR="002A48EF">
        <w:rPr>
          <w:rFonts w:ascii="Times New Roman" w:hAnsi="Times New Roman" w:cs="Times New Roman"/>
          <w:i/>
          <w:sz w:val="24"/>
          <w:szCs w:val="24"/>
        </w:rPr>
        <w:t>Effieciency</w:t>
      </w:r>
      <w:proofErr w:type="spellEnd"/>
      <w:r w:rsidR="002A48EF">
        <w:rPr>
          <w:rFonts w:ascii="Times New Roman" w:hAnsi="Times New Roman" w:cs="Times New Roman"/>
          <w:i/>
          <w:sz w:val="24"/>
          <w:szCs w:val="24"/>
        </w:rPr>
        <w:t xml:space="preserve"> </w:t>
      </w:r>
      <w:proofErr w:type="spellStart"/>
      <w:r w:rsidR="002A48EF">
        <w:rPr>
          <w:rFonts w:ascii="Times New Roman" w:hAnsi="Times New Roman" w:cs="Times New Roman"/>
          <w:i/>
          <w:sz w:val="24"/>
          <w:szCs w:val="24"/>
        </w:rPr>
        <w:t>of</w:t>
      </w:r>
      <w:proofErr w:type="spellEnd"/>
      <w:r w:rsidR="002A48EF">
        <w:rPr>
          <w:rFonts w:ascii="Times New Roman" w:hAnsi="Times New Roman" w:cs="Times New Roman"/>
          <w:i/>
          <w:sz w:val="24"/>
          <w:szCs w:val="24"/>
        </w:rPr>
        <w:t xml:space="preserve"> </w:t>
      </w:r>
      <w:proofErr w:type="spellStart"/>
      <w:r w:rsidR="002A48EF">
        <w:rPr>
          <w:rFonts w:ascii="Times New Roman" w:hAnsi="Times New Roman" w:cs="Times New Roman"/>
          <w:i/>
          <w:sz w:val="24"/>
          <w:szCs w:val="24"/>
        </w:rPr>
        <w:t>Justice</w:t>
      </w:r>
      <w:proofErr w:type="spellEnd"/>
      <w:r w:rsidR="002A48EF">
        <w:rPr>
          <w:rFonts w:ascii="Times New Roman" w:hAnsi="Times New Roman" w:cs="Times New Roman"/>
          <w:i/>
          <w:sz w:val="24"/>
          <w:szCs w:val="24"/>
        </w:rPr>
        <w:t>, CEPEJ)</w:t>
      </w:r>
      <w:r w:rsidRPr="001607B5">
        <w:rPr>
          <w:rFonts w:ascii="Times New Roman" w:hAnsi="Times New Roman" w:cs="Times New Roman"/>
          <w:sz w:val="24"/>
          <w:szCs w:val="24"/>
        </w:rPr>
        <w:t xml:space="preserve"> attiecībā uz tiesu sistēmas darbību</w:t>
      </w:r>
      <w:r w:rsidR="006F3C38">
        <w:rPr>
          <w:rFonts w:ascii="Times New Roman" w:hAnsi="Times New Roman" w:cs="Times New Roman"/>
          <w:sz w:val="24"/>
          <w:szCs w:val="24"/>
        </w:rPr>
        <w:t xml:space="preserve"> (A sadaļa)</w:t>
      </w:r>
      <w:r w:rsidRPr="001607B5">
        <w:rPr>
          <w:rFonts w:ascii="Times New Roman" w:hAnsi="Times New Roman" w:cs="Times New Roman"/>
          <w:sz w:val="24"/>
          <w:szCs w:val="24"/>
        </w:rPr>
        <w:t>, Starptautisko Valūtas fond</w:t>
      </w:r>
      <w:r w:rsidR="002A48EF">
        <w:rPr>
          <w:rFonts w:ascii="Times New Roman" w:hAnsi="Times New Roman" w:cs="Times New Roman"/>
          <w:sz w:val="24"/>
          <w:szCs w:val="24"/>
        </w:rPr>
        <w:t>u</w:t>
      </w:r>
      <w:r w:rsidRPr="001607B5">
        <w:rPr>
          <w:rFonts w:ascii="Times New Roman" w:hAnsi="Times New Roman" w:cs="Times New Roman"/>
          <w:sz w:val="24"/>
          <w:szCs w:val="24"/>
        </w:rPr>
        <w:t xml:space="preserve"> attiecībā uz maksātnespējas sadaļu</w:t>
      </w:r>
      <w:r w:rsidR="006F3C38">
        <w:rPr>
          <w:rFonts w:ascii="Times New Roman" w:hAnsi="Times New Roman" w:cs="Times New Roman"/>
          <w:sz w:val="24"/>
          <w:szCs w:val="24"/>
        </w:rPr>
        <w:t xml:space="preserve"> (B sadaļa)</w:t>
      </w:r>
      <w:r w:rsidRPr="001607B5">
        <w:rPr>
          <w:rFonts w:ascii="Times New Roman" w:hAnsi="Times New Roman" w:cs="Times New Roman"/>
          <w:sz w:val="24"/>
          <w:szCs w:val="24"/>
        </w:rPr>
        <w:t xml:space="preserve"> un Ekonomiskās sadarbības un attīstības organizāciju</w:t>
      </w:r>
      <w:r w:rsidR="00683CD7">
        <w:rPr>
          <w:rFonts w:ascii="Times New Roman" w:hAnsi="Times New Roman" w:cs="Times New Roman"/>
          <w:sz w:val="24"/>
          <w:szCs w:val="24"/>
        </w:rPr>
        <w:t xml:space="preserve"> (</w:t>
      </w:r>
      <w:r w:rsidR="00683CD7" w:rsidRPr="00683CD7">
        <w:rPr>
          <w:rFonts w:ascii="Times New Roman" w:hAnsi="Times New Roman" w:cs="Times New Roman"/>
          <w:i/>
          <w:sz w:val="24"/>
          <w:szCs w:val="24"/>
        </w:rPr>
        <w:t>OECD</w:t>
      </w:r>
      <w:r w:rsidR="00683CD7">
        <w:rPr>
          <w:rFonts w:ascii="Times New Roman" w:hAnsi="Times New Roman" w:cs="Times New Roman"/>
          <w:sz w:val="24"/>
          <w:szCs w:val="24"/>
        </w:rPr>
        <w:t>)</w:t>
      </w:r>
      <w:r w:rsidRPr="001607B5">
        <w:rPr>
          <w:rFonts w:ascii="Times New Roman" w:hAnsi="Times New Roman" w:cs="Times New Roman"/>
          <w:sz w:val="24"/>
          <w:szCs w:val="24"/>
        </w:rPr>
        <w:t xml:space="preserve"> attiecībā uz komerctiesību regulējumu</w:t>
      </w:r>
      <w:r w:rsidR="006F3C38">
        <w:rPr>
          <w:rFonts w:ascii="Times New Roman" w:hAnsi="Times New Roman" w:cs="Times New Roman"/>
          <w:sz w:val="24"/>
          <w:szCs w:val="24"/>
        </w:rPr>
        <w:t xml:space="preserve"> </w:t>
      </w:r>
      <w:proofErr w:type="gramStart"/>
      <w:r w:rsidR="006F3C38">
        <w:rPr>
          <w:rFonts w:ascii="Times New Roman" w:hAnsi="Times New Roman" w:cs="Times New Roman"/>
          <w:sz w:val="24"/>
          <w:szCs w:val="24"/>
        </w:rPr>
        <w:t>(</w:t>
      </w:r>
      <w:proofErr w:type="gramEnd"/>
      <w:r w:rsidR="006F3C38">
        <w:rPr>
          <w:rFonts w:ascii="Times New Roman" w:hAnsi="Times New Roman" w:cs="Times New Roman"/>
          <w:sz w:val="24"/>
          <w:szCs w:val="24"/>
        </w:rPr>
        <w:t>C sadaļa)</w:t>
      </w:r>
      <w:r w:rsidRPr="001607B5">
        <w:rPr>
          <w:rFonts w:ascii="Times New Roman" w:hAnsi="Times New Roman" w:cs="Times New Roman"/>
          <w:sz w:val="24"/>
          <w:szCs w:val="24"/>
        </w:rPr>
        <w:t>.</w:t>
      </w:r>
    </w:p>
    <w:p w:rsidR="00FF1F30" w:rsidRPr="001607B5" w:rsidRDefault="00B15EBE" w:rsidP="00386DB2">
      <w:pPr>
        <w:spacing w:after="120" w:line="240" w:lineRule="auto"/>
        <w:ind w:firstLine="720"/>
        <w:jc w:val="both"/>
        <w:rPr>
          <w:rFonts w:ascii="Times New Roman" w:hAnsi="Times New Roman" w:cs="Times New Roman"/>
          <w:sz w:val="24"/>
          <w:szCs w:val="24"/>
        </w:rPr>
      </w:pPr>
      <w:r w:rsidRPr="001607B5">
        <w:rPr>
          <w:rFonts w:ascii="Times New Roman" w:hAnsi="Times New Roman" w:cs="Times New Roman"/>
          <w:sz w:val="24"/>
          <w:szCs w:val="24"/>
        </w:rPr>
        <w:lastRenderedPageBreak/>
        <w:t>Katra no institūcijām ir izvēlēta, pamatojoties uz tās unikālo pieredzi attiecīgajā jomā, ko tā varētu sniegt Latvijas tieslietu sistēmas novērtējuma izstrādē, kā arī, ņemot vērā iepriekšējo iesaisti attiecīgās politikas jomas attīstībā Latvijā.</w:t>
      </w:r>
    </w:p>
    <w:p w:rsidR="00FF1F30" w:rsidRDefault="00793C3A" w:rsidP="00386DB2">
      <w:pPr>
        <w:pStyle w:val="Vresteksts"/>
        <w:spacing w:after="120" w:line="240" w:lineRule="auto"/>
        <w:ind w:firstLine="567"/>
        <w:jc w:val="both"/>
        <w:rPr>
          <w:rFonts w:ascii="Times New Roman" w:hAnsi="Times New Roman"/>
          <w:sz w:val="24"/>
          <w:szCs w:val="24"/>
        </w:rPr>
      </w:pPr>
      <w:r w:rsidRPr="001607B5">
        <w:rPr>
          <w:rFonts w:ascii="Times New Roman" w:hAnsi="Times New Roman"/>
          <w:sz w:val="24"/>
          <w:szCs w:val="24"/>
        </w:rPr>
        <w:t>Eiropas Padomes Komisija Tiesu efektivitātei</w:t>
      </w:r>
      <w:r w:rsidR="00FF1F30" w:rsidRPr="001607B5">
        <w:rPr>
          <w:rFonts w:ascii="Times New Roman" w:hAnsi="Times New Roman"/>
          <w:sz w:val="24"/>
          <w:szCs w:val="24"/>
        </w:rPr>
        <w:t xml:space="preserve"> kā </w:t>
      </w:r>
      <w:r w:rsidRPr="001607B5">
        <w:rPr>
          <w:rFonts w:ascii="Times New Roman" w:hAnsi="Times New Roman"/>
          <w:sz w:val="24"/>
          <w:szCs w:val="24"/>
        </w:rPr>
        <w:t>n</w:t>
      </w:r>
      <w:r w:rsidR="002A48EF">
        <w:rPr>
          <w:rFonts w:ascii="Times New Roman" w:hAnsi="Times New Roman"/>
          <w:sz w:val="24"/>
          <w:szCs w:val="24"/>
        </w:rPr>
        <w:t>ovērtējuma veicējs</w:t>
      </w:r>
      <w:r w:rsidR="00FF1F30" w:rsidRPr="001607B5">
        <w:rPr>
          <w:rFonts w:ascii="Times New Roman" w:hAnsi="Times New Roman"/>
          <w:sz w:val="24"/>
          <w:szCs w:val="24"/>
        </w:rPr>
        <w:t xml:space="preserve"> tika izvēlēta pamatojoties uz tās ekspertu ilggadējo pieredzi tiesiskuma attīstībā Eiropas Padomes 47 valstīs, tās rīcībā esošajiem resursiem, metodoloģijām un labākās prakses standartiem, padziļinātai izpratnei un ekspertīze</w:t>
      </w:r>
      <w:r w:rsidR="00EF5110">
        <w:rPr>
          <w:rFonts w:ascii="Times New Roman" w:hAnsi="Times New Roman"/>
          <w:sz w:val="24"/>
          <w:szCs w:val="24"/>
        </w:rPr>
        <w:t>i</w:t>
      </w:r>
      <w:r w:rsidR="00FF1F30" w:rsidRPr="001607B5">
        <w:rPr>
          <w:rFonts w:ascii="Times New Roman" w:hAnsi="Times New Roman"/>
          <w:sz w:val="24"/>
          <w:szCs w:val="24"/>
        </w:rPr>
        <w:t xml:space="preserve"> par Eiropas tieslietu sistēmu attīstību, kā arī, ņemot vērā jau pastāvošo veiksmīgo Latvijas valsts institūciju pieredzi sadarbībā ar komiteju. </w:t>
      </w:r>
    </w:p>
    <w:p w:rsidR="00F0528D" w:rsidRDefault="002A48EF" w:rsidP="00386DB2">
      <w:pPr>
        <w:spacing w:after="120" w:line="240" w:lineRule="auto"/>
        <w:ind w:firstLine="567"/>
        <w:jc w:val="both"/>
        <w:rPr>
          <w:rFonts w:ascii="Times New Roman" w:hAnsi="Times New Roman"/>
          <w:sz w:val="24"/>
          <w:szCs w:val="24"/>
        </w:rPr>
      </w:pPr>
      <w:r>
        <w:rPr>
          <w:rFonts w:ascii="Times New Roman" w:hAnsi="Times New Roman"/>
          <w:sz w:val="24"/>
          <w:szCs w:val="24"/>
        </w:rPr>
        <w:t>Starptautiskais Valūtas fonds kā novērtējuma veicējs</w:t>
      </w:r>
      <w:r w:rsidR="00F0528D">
        <w:rPr>
          <w:rFonts w:ascii="Times New Roman" w:hAnsi="Times New Roman"/>
          <w:sz w:val="24"/>
          <w:szCs w:val="24"/>
        </w:rPr>
        <w:t xml:space="preserve"> tika izvēlēts</w:t>
      </w:r>
      <w:r w:rsidR="003945E5">
        <w:rPr>
          <w:rFonts w:ascii="Times New Roman" w:hAnsi="Times New Roman"/>
          <w:sz w:val="24"/>
          <w:szCs w:val="24"/>
        </w:rPr>
        <w:t>,</w:t>
      </w:r>
      <w:r w:rsidR="00F0528D">
        <w:rPr>
          <w:rFonts w:ascii="Times New Roman" w:hAnsi="Times New Roman"/>
          <w:sz w:val="24"/>
          <w:szCs w:val="24"/>
        </w:rPr>
        <w:t xml:space="preserve"> pamatojoties uz to, ka Maksātnespējas likums, kas stājās spēkā 2010. gada 1. novembrī, tika izstrādāts ciešā sadarbībā ar Starptautiskā Valūtas fonda ekspertiem.</w:t>
      </w:r>
      <w:r w:rsidR="00F0528D" w:rsidRPr="00F0528D">
        <w:rPr>
          <w:rFonts w:ascii="Times New Roman" w:hAnsi="Times New Roman"/>
          <w:sz w:val="24"/>
          <w:szCs w:val="24"/>
        </w:rPr>
        <w:t xml:space="preserve"> </w:t>
      </w:r>
      <w:r w:rsidR="00F0528D">
        <w:rPr>
          <w:rFonts w:ascii="Times New Roman" w:hAnsi="Times New Roman"/>
          <w:sz w:val="24"/>
          <w:szCs w:val="24"/>
        </w:rPr>
        <w:t>Tāpat Maksātnespējas politikas attīstības pamatnostādņu 2016.–2020. gadam un to īstenošanas plāna izstrādes gaitā tika saņemts Starptautiskā Valūtas fonda ekspertu viedoklis un ierosinājumi</w:t>
      </w:r>
      <w:r w:rsidR="00683CD7">
        <w:rPr>
          <w:rFonts w:ascii="Times New Roman" w:hAnsi="Times New Roman"/>
          <w:sz w:val="24"/>
          <w:szCs w:val="24"/>
        </w:rPr>
        <w:t>,</w:t>
      </w:r>
      <w:r w:rsidR="00F0528D">
        <w:rPr>
          <w:rFonts w:ascii="Times New Roman" w:hAnsi="Times New Roman"/>
          <w:sz w:val="24"/>
          <w:szCs w:val="24"/>
        </w:rPr>
        <w:t xml:space="preserve"> </w:t>
      </w:r>
      <w:r w:rsidR="00683CD7">
        <w:rPr>
          <w:rFonts w:ascii="Times New Roman" w:hAnsi="Times New Roman"/>
          <w:sz w:val="24"/>
          <w:szCs w:val="24"/>
        </w:rPr>
        <w:t>t</w:t>
      </w:r>
      <w:r w:rsidR="00F0528D">
        <w:rPr>
          <w:rFonts w:ascii="Times New Roman" w:hAnsi="Times New Roman"/>
          <w:sz w:val="24"/>
          <w:szCs w:val="24"/>
        </w:rPr>
        <w:t>ādējādi Starptautiskajam Valūtas fondam jau ir padziļināta izpratne par tiesisko regulējumu un esošo situāciju maksātnespējas jomā Latvijā un varētu visaptveroši un kvalitatīvi izvērtēt izmaiņas maksātnespējas jomā, īstenojot Maksātnespējas politikas attīstības pamatnostādnes 2016.–2020. gadam un to īstenošanas plānu.</w:t>
      </w:r>
    </w:p>
    <w:p w:rsidR="00F0528D" w:rsidRPr="00386DB2" w:rsidRDefault="00683CD7" w:rsidP="00386DB2">
      <w:pPr>
        <w:spacing w:after="120" w:line="240" w:lineRule="auto"/>
        <w:ind w:firstLine="567"/>
        <w:jc w:val="both"/>
        <w:rPr>
          <w:rFonts w:ascii="Times New Roman" w:hAnsi="Times New Roman"/>
          <w:color w:val="000000"/>
          <w:sz w:val="24"/>
          <w:szCs w:val="24"/>
        </w:rPr>
      </w:pPr>
      <w:r w:rsidRPr="0093262B">
        <w:rPr>
          <w:rFonts w:ascii="Times New Roman" w:hAnsi="Times New Roman"/>
          <w:color w:val="000000"/>
          <w:sz w:val="24"/>
          <w:szCs w:val="24"/>
        </w:rPr>
        <w:t>Ekonomiskās sadarbības un</w:t>
      </w:r>
      <w:r w:rsidR="002A48EF">
        <w:rPr>
          <w:rFonts w:ascii="Times New Roman" w:hAnsi="Times New Roman"/>
          <w:color w:val="000000"/>
          <w:sz w:val="24"/>
          <w:szCs w:val="24"/>
        </w:rPr>
        <w:t xml:space="preserve"> attīstības organizācija (OECD) kā novērtējuma veicējs</w:t>
      </w:r>
      <w:r w:rsidRPr="0093262B">
        <w:rPr>
          <w:rFonts w:ascii="Times New Roman" w:hAnsi="Times New Roman"/>
          <w:color w:val="000000"/>
          <w:sz w:val="24"/>
          <w:szCs w:val="24"/>
        </w:rPr>
        <w:t xml:space="preserve"> tika izvēlēt</w:t>
      </w:r>
      <w:r w:rsidR="009D05CB" w:rsidRPr="0093262B">
        <w:rPr>
          <w:rFonts w:ascii="Times New Roman" w:hAnsi="Times New Roman"/>
          <w:color w:val="000000"/>
          <w:sz w:val="24"/>
          <w:szCs w:val="24"/>
        </w:rPr>
        <w:t>a</w:t>
      </w:r>
      <w:r w:rsidR="00BF40DD">
        <w:rPr>
          <w:rFonts w:ascii="Times New Roman" w:hAnsi="Times New Roman"/>
          <w:color w:val="000000"/>
          <w:sz w:val="24"/>
          <w:szCs w:val="24"/>
        </w:rPr>
        <w:t>,</w:t>
      </w:r>
      <w:r w:rsidRPr="0093262B">
        <w:rPr>
          <w:rFonts w:ascii="Times New Roman" w:hAnsi="Times New Roman"/>
          <w:color w:val="000000"/>
          <w:sz w:val="24"/>
          <w:szCs w:val="24"/>
        </w:rPr>
        <w:t xml:space="preserve"> pamatojoties uz </w:t>
      </w:r>
      <w:r w:rsidR="006F3C38" w:rsidRPr="0093262B">
        <w:rPr>
          <w:rFonts w:ascii="Times New Roman" w:hAnsi="Times New Roman"/>
          <w:color w:val="000000"/>
          <w:sz w:val="24"/>
          <w:szCs w:val="24"/>
        </w:rPr>
        <w:t>tās unikālo redzējumu un pieeju attiecībā uz uzņēmējdarbības un ekonomikas attīstību, atbalstot valsts sniegto pakalpojumu realizēšanas kvalitāt</w:t>
      </w:r>
      <w:r w:rsidR="009D05CB" w:rsidRPr="0093262B">
        <w:rPr>
          <w:rFonts w:ascii="Times New Roman" w:hAnsi="Times New Roman"/>
          <w:color w:val="000000"/>
          <w:sz w:val="24"/>
          <w:szCs w:val="24"/>
        </w:rPr>
        <w:t>i, pētot dažādu pakalpojumu un procesu starpā pastāvošās likumsakarības, kas rezultātā atstāj ietekmi uz uzņēmēja interesēm. Turklāt</w:t>
      </w:r>
      <w:r w:rsidR="005D7A47" w:rsidRPr="0093262B">
        <w:rPr>
          <w:rFonts w:ascii="Times New Roman" w:hAnsi="Times New Roman"/>
          <w:color w:val="000000"/>
          <w:sz w:val="24"/>
          <w:szCs w:val="24"/>
        </w:rPr>
        <w:t xml:space="preserve"> Latvijas i</w:t>
      </w:r>
      <w:r w:rsidR="009D05CB" w:rsidRPr="0093262B">
        <w:rPr>
          <w:rFonts w:ascii="Times New Roman" w:hAnsi="Times New Roman"/>
          <w:color w:val="000000"/>
          <w:sz w:val="24"/>
          <w:szCs w:val="24"/>
        </w:rPr>
        <w:t xml:space="preserve">estāšanās procesā </w:t>
      </w:r>
      <w:r w:rsidR="00EF5110" w:rsidRPr="0093262B">
        <w:rPr>
          <w:rFonts w:ascii="Times New Roman" w:hAnsi="Times New Roman"/>
          <w:color w:val="000000"/>
          <w:sz w:val="24"/>
          <w:szCs w:val="24"/>
        </w:rPr>
        <w:t>Ekonomiskās sadarbības un attīstības organizācij</w:t>
      </w:r>
      <w:r w:rsidR="00DE746E">
        <w:rPr>
          <w:rFonts w:ascii="Times New Roman" w:hAnsi="Times New Roman"/>
          <w:color w:val="000000"/>
          <w:sz w:val="24"/>
          <w:szCs w:val="24"/>
        </w:rPr>
        <w:t>ā</w:t>
      </w:r>
      <w:r w:rsidR="005D7A47" w:rsidRPr="0093262B">
        <w:rPr>
          <w:rFonts w:ascii="Times New Roman" w:hAnsi="Times New Roman"/>
          <w:color w:val="000000"/>
          <w:sz w:val="24"/>
          <w:szCs w:val="24"/>
        </w:rPr>
        <w:t xml:space="preserve"> </w:t>
      </w:r>
      <w:r w:rsidR="009D05CB" w:rsidRPr="0093262B">
        <w:rPr>
          <w:rFonts w:ascii="Times New Roman" w:hAnsi="Times New Roman"/>
          <w:color w:val="000000"/>
          <w:sz w:val="24"/>
          <w:szCs w:val="24"/>
        </w:rPr>
        <w:t xml:space="preserve">Latvijas Tieslietu ministrijas un OECD dažādu </w:t>
      </w:r>
      <w:r w:rsidR="005D7A47" w:rsidRPr="0093262B">
        <w:rPr>
          <w:rFonts w:ascii="Times New Roman" w:hAnsi="Times New Roman"/>
          <w:color w:val="000000"/>
          <w:sz w:val="24"/>
          <w:szCs w:val="24"/>
        </w:rPr>
        <w:t>komiteju ekspertu starpā ir nodibināta sadarbība, kā arī ir veikts Komerclikuma regulējuma novērtējums attiecībā uz korporatīvās pārvaldības jautājumiem.</w:t>
      </w:r>
      <w:r w:rsidR="005D7A47">
        <w:rPr>
          <w:rFonts w:ascii="Times New Roman" w:hAnsi="Times New Roman"/>
          <w:color w:val="000000"/>
          <w:sz w:val="24"/>
          <w:szCs w:val="24"/>
        </w:rPr>
        <w:t xml:space="preserve"> </w:t>
      </w:r>
    </w:p>
    <w:p w:rsidR="00690661" w:rsidRPr="00386DB2" w:rsidRDefault="00E076F6" w:rsidP="00386DB2">
      <w:pPr>
        <w:spacing w:after="120" w:line="240" w:lineRule="auto"/>
        <w:ind w:firstLine="567"/>
        <w:jc w:val="both"/>
        <w:rPr>
          <w:rFonts w:ascii="Times New Roman" w:hAnsi="Times New Roman"/>
          <w:color w:val="000000"/>
          <w:sz w:val="24"/>
          <w:szCs w:val="24"/>
        </w:rPr>
      </w:pPr>
      <w:r w:rsidRPr="00D83CB0">
        <w:rPr>
          <w:rFonts w:ascii="Times New Roman" w:hAnsi="Times New Roman" w:cs="Times New Roman"/>
          <w:bCs/>
          <w:sz w:val="24"/>
          <w:szCs w:val="24"/>
        </w:rPr>
        <w:t>Paredzēts, ka ar Eiropas Padomi tiks noslēgts līgums par novērtējuma veikšanu. Savukārt, ar</w:t>
      </w:r>
      <w:r w:rsidRPr="00D83CB0">
        <w:rPr>
          <w:rFonts w:ascii="Times New Roman" w:hAnsi="Times New Roman"/>
          <w:color w:val="000000"/>
          <w:sz w:val="24"/>
          <w:szCs w:val="24"/>
        </w:rPr>
        <w:t xml:space="preserve"> Starptautisko Valūtas fondu un Ekonomiskās sadarbības u</w:t>
      </w:r>
      <w:r w:rsidR="002A48EF">
        <w:rPr>
          <w:rFonts w:ascii="Times New Roman" w:hAnsi="Times New Roman"/>
          <w:color w:val="000000"/>
          <w:sz w:val="24"/>
          <w:szCs w:val="24"/>
        </w:rPr>
        <w:t>n attīstības organizāciju notiks</w:t>
      </w:r>
      <w:r w:rsidRPr="00D83CB0">
        <w:rPr>
          <w:rFonts w:ascii="Times New Roman" w:hAnsi="Times New Roman"/>
          <w:color w:val="000000"/>
          <w:sz w:val="24"/>
          <w:szCs w:val="24"/>
        </w:rPr>
        <w:t xml:space="preserve"> nodomu vēstuļu apmaiņa.</w:t>
      </w:r>
    </w:p>
    <w:p w:rsidR="00E076F6" w:rsidRPr="00E70D11" w:rsidRDefault="00E70D11" w:rsidP="00386DB2">
      <w:pPr>
        <w:spacing w:after="120" w:line="240" w:lineRule="auto"/>
        <w:ind w:firstLine="567"/>
        <w:jc w:val="both"/>
        <w:rPr>
          <w:rFonts w:ascii="Times New Roman" w:hAnsi="Times New Roman"/>
          <w:sz w:val="24"/>
          <w:szCs w:val="24"/>
          <w:lang w:eastAsia="lv-LV"/>
        </w:rPr>
      </w:pPr>
      <w:r w:rsidRPr="00BC1C9C">
        <w:rPr>
          <w:rFonts w:ascii="Times New Roman" w:hAnsi="Times New Roman"/>
          <w:sz w:val="24"/>
          <w:szCs w:val="24"/>
        </w:rPr>
        <w:t xml:space="preserve">Līgums ar Eiropas Padomi tiek slēgts, kā arī </w:t>
      </w:r>
      <w:r w:rsidRPr="00BC1C9C">
        <w:rPr>
          <w:rFonts w:ascii="Times New Roman" w:hAnsi="Times New Roman"/>
          <w:color w:val="000000"/>
          <w:sz w:val="24"/>
          <w:szCs w:val="24"/>
        </w:rPr>
        <w:t>nodomu vēstuļu apmaiņa ar Starptautisko Valūtas fondu un Ekonomiskās sadarbības un attīstības organizāciju notiks, pamatojoties uz katras organizācijas īpašajām procedūrām, ko paredz to darbību reglamentējošie tiesību akti. Īpašās procedūras ir piemērojamas, ņemot vērā izvēlēto partneru statusu (publisko tiesību subjekti), Latvijas lomu un iesaisti to darbībā, kā arī apstākli, ka novērtējuma izstrāde katrā no sadaļām paredzēta atbilstoši katras organizācijas ietvaros izstrādātajām metodoloģijām.</w:t>
      </w:r>
    </w:p>
    <w:p w:rsidR="006C69C7" w:rsidRDefault="00F27B02" w:rsidP="00386DB2">
      <w:pPr>
        <w:spacing w:after="120" w:line="240" w:lineRule="auto"/>
        <w:ind w:firstLine="720"/>
        <w:jc w:val="both"/>
        <w:rPr>
          <w:rFonts w:ascii="Times New Roman" w:hAnsi="Times New Roman" w:cs="Times New Roman"/>
          <w:sz w:val="24"/>
          <w:szCs w:val="24"/>
        </w:rPr>
      </w:pPr>
      <w:r w:rsidRPr="001607B5">
        <w:rPr>
          <w:rFonts w:ascii="Times New Roman" w:hAnsi="Times New Roman" w:cs="Times New Roman"/>
          <w:sz w:val="24"/>
          <w:szCs w:val="24"/>
        </w:rPr>
        <w:t>Ar minēt</w:t>
      </w:r>
      <w:r w:rsidR="008F79C0">
        <w:rPr>
          <w:rFonts w:ascii="Times New Roman" w:hAnsi="Times New Roman" w:cs="Times New Roman"/>
          <w:sz w:val="24"/>
          <w:szCs w:val="24"/>
        </w:rPr>
        <w:t>aj</w:t>
      </w:r>
      <w:r w:rsidRPr="001607B5">
        <w:rPr>
          <w:rFonts w:ascii="Times New Roman" w:hAnsi="Times New Roman" w:cs="Times New Roman"/>
          <w:sz w:val="24"/>
          <w:szCs w:val="24"/>
        </w:rPr>
        <w:t>ām organizācijām Tiesu administrācija ir uzsākusi sākotnējās sarunas un saņēmusi apliecinā</w:t>
      </w:r>
      <w:r w:rsidR="006C69C7">
        <w:rPr>
          <w:rFonts w:ascii="Times New Roman" w:hAnsi="Times New Roman" w:cs="Times New Roman"/>
          <w:sz w:val="24"/>
          <w:szCs w:val="24"/>
        </w:rPr>
        <w:t>jumu par gatavību veikt izpēti, katra</w:t>
      </w:r>
      <w:r w:rsidR="006145E6">
        <w:rPr>
          <w:rFonts w:ascii="Times New Roman" w:hAnsi="Times New Roman" w:cs="Times New Roman"/>
          <w:sz w:val="24"/>
          <w:szCs w:val="24"/>
        </w:rPr>
        <w:t>s</w:t>
      </w:r>
      <w:r w:rsidR="006C69C7">
        <w:rPr>
          <w:rFonts w:ascii="Times New Roman" w:hAnsi="Times New Roman" w:cs="Times New Roman"/>
          <w:sz w:val="24"/>
          <w:szCs w:val="24"/>
        </w:rPr>
        <w:t xml:space="preserve"> sadaļas kontekstā ir </w:t>
      </w:r>
      <w:r w:rsidR="006C69C7" w:rsidRPr="0093262B">
        <w:rPr>
          <w:rFonts w:ascii="Times New Roman" w:hAnsi="Times New Roman" w:cs="Times New Roman"/>
          <w:sz w:val="24"/>
          <w:szCs w:val="24"/>
        </w:rPr>
        <w:t>izstrādāts novērtējuma projekts, iezīmējot konkrētus pasākumus un termiņus.</w:t>
      </w:r>
      <w:r w:rsidR="006C69C7">
        <w:rPr>
          <w:rFonts w:ascii="Times New Roman" w:hAnsi="Times New Roman" w:cs="Times New Roman"/>
          <w:sz w:val="24"/>
          <w:szCs w:val="24"/>
        </w:rPr>
        <w:t xml:space="preserve"> </w:t>
      </w:r>
    </w:p>
    <w:p w:rsidR="00A52AF4" w:rsidRDefault="00EB3995" w:rsidP="00386DB2">
      <w:pPr>
        <w:spacing w:after="120" w:line="240" w:lineRule="auto"/>
        <w:ind w:firstLine="720"/>
        <w:jc w:val="both"/>
        <w:rPr>
          <w:rFonts w:ascii="Times New Roman" w:hAnsi="Times New Roman" w:cs="Times New Roman"/>
          <w:sz w:val="24"/>
          <w:szCs w:val="24"/>
        </w:rPr>
      </w:pPr>
      <w:r w:rsidRPr="00B46AD5">
        <w:rPr>
          <w:rFonts w:ascii="Times New Roman" w:hAnsi="Times New Roman" w:cs="Times New Roman"/>
          <w:sz w:val="24"/>
          <w:szCs w:val="24"/>
        </w:rPr>
        <w:t>Sākotnēji Latvijas tieslietu sistēmas novērtējuma veikšanai tika iezīmēts provizoriskais Eiropas Sociālā fonda finansējuma apmērs – 300</w:t>
      </w:r>
      <w:r w:rsidR="00131ED6">
        <w:rPr>
          <w:rFonts w:ascii="Times New Roman" w:hAnsi="Times New Roman" w:cs="Times New Roman"/>
          <w:sz w:val="24"/>
          <w:szCs w:val="24"/>
        </w:rPr>
        <w:t> </w:t>
      </w:r>
      <w:r w:rsidRPr="00B46AD5">
        <w:rPr>
          <w:rFonts w:ascii="Times New Roman" w:hAnsi="Times New Roman" w:cs="Times New Roman"/>
          <w:sz w:val="24"/>
          <w:szCs w:val="24"/>
        </w:rPr>
        <w:t>000</w:t>
      </w:r>
      <w:r w:rsidR="00131ED6">
        <w:rPr>
          <w:rFonts w:ascii="Times New Roman" w:hAnsi="Times New Roman" w:cs="Times New Roman"/>
          <w:sz w:val="24"/>
          <w:szCs w:val="24"/>
        </w:rPr>
        <w:t> </w:t>
      </w:r>
      <w:r w:rsidR="00131ED6">
        <w:rPr>
          <w:rFonts w:ascii="Times New Roman" w:hAnsi="Times New Roman" w:cs="Times New Roman"/>
          <w:i/>
          <w:sz w:val="24"/>
          <w:szCs w:val="24"/>
        </w:rPr>
        <w:t>euro</w:t>
      </w:r>
      <w:r w:rsidRPr="00B46AD5">
        <w:rPr>
          <w:rFonts w:ascii="Times New Roman" w:hAnsi="Times New Roman" w:cs="Times New Roman"/>
          <w:sz w:val="24"/>
          <w:szCs w:val="24"/>
        </w:rPr>
        <w:t xml:space="preserve">. Detalizētāk izstrādājot darba uzdevumus katrā sadaļā un konsultējoties ar novērtējuma izstrādātājiem, konstatēts, ka tieslietu sistēmas novērtējuma izmaksas (triju pētījumu ietvaros) kopsumma </w:t>
      </w:r>
      <w:r w:rsidRPr="00DE746E">
        <w:rPr>
          <w:rFonts w:ascii="Times New Roman" w:hAnsi="Times New Roman" w:cs="Times New Roman"/>
          <w:sz w:val="24"/>
          <w:szCs w:val="24"/>
        </w:rPr>
        <w:t>veido 450</w:t>
      </w:r>
      <w:r w:rsidR="00131ED6" w:rsidRPr="00DE746E">
        <w:rPr>
          <w:rFonts w:ascii="Times New Roman" w:hAnsi="Times New Roman" w:cs="Times New Roman"/>
          <w:sz w:val="24"/>
          <w:szCs w:val="24"/>
        </w:rPr>
        <w:t> </w:t>
      </w:r>
      <w:r w:rsidRPr="00DE746E">
        <w:rPr>
          <w:rFonts w:ascii="Times New Roman" w:hAnsi="Times New Roman" w:cs="Times New Roman"/>
          <w:sz w:val="24"/>
          <w:szCs w:val="24"/>
        </w:rPr>
        <w:t>000</w:t>
      </w:r>
      <w:r w:rsidR="00131ED6" w:rsidRPr="00DE746E">
        <w:rPr>
          <w:rFonts w:ascii="Times New Roman" w:hAnsi="Times New Roman" w:cs="Times New Roman"/>
          <w:sz w:val="24"/>
          <w:szCs w:val="24"/>
        </w:rPr>
        <w:t> </w:t>
      </w:r>
      <w:r w:rsidR="00131ED6" w:rsidRPr="00DE746E">
        <w:rPr>
          <w:rFonts w:ascii="Times New Roman" w:hAnsi="Times New Roman" w:cs="Times New Roman"/>
          <w:i/>
          <w:sz w:val="24"/>
          <w:szCs w:val="24"/>
        </w:rPr>
        <w:t>euro</w:t>
      </w:r>
      <w:r w:rsidR="00C94496" w:rsidRPr="00DE746E">
        <w:rPr>
          <w:rFonts w:ascii="Times New Roman" w:hAnsi="Times New Roman" w:cs="Times New Roman"/>
          <w:sz w:val="24"/>
          <w:szCs w:val="24"/>
        </w:rPr>
        <w:t xml:space="preserve">. </w:t>
      </w:r>
      <w:r w:rsidR="00B46AD5" w:rsidRPr="00DE746E">
        <w:rPr>
          <w:rFonts w:ascii="Times New Roman" w:hAnsi="Times New Roman" w:cs="Times New Roman"/>
          <w:sz w:val="24"/>
          <w:szCs w:val="24"/>
        </w:rPr>
        <w:t xml:space="preserve">Finansējums </w:t>
      </w:r>
      <w:r w:rsidR="00C94496" w:rsidRPr="00DE746E">
        <w:rPr>
          <w:rFonts w:ascii="Times New Roman" w:hAnsi="Times New Roman" w:cs="Times New Roman"/>
          <w:sz w:val="24"/>
          <w:szCs w:val="24"/>
        </w:rPr>
        <w:t xml:space="preserve">tika </w:t>
      </w:r>
      <w:r w:rsidR="00B46AD5" w:rsidRPr="00DE746E">
        <w:rPr>
          <w:rFonts w:ascii="Times New Roman" w:hAnsi="Times New Roman" w:cs="Times New Roman"/>
          <w:sz w:val="24"/>
          <w:szCs w:val="24"/>
        </w:rPr>
        <w:t>palielināts, pārdalot to no apmācību aktivitātēm projektā</w:t>
      </w:r>
      <w:r w:rsidR="00AF5682" w:rsidRPr="00DE746E">
        <w:rPr>
          <w:rFonts w:ascii="Times New Roman" w:hAnsi="Times New Roman" w:cs="Times New Roman"/>
          <w:sz w:val="24"/>
          <w:szCs w:val="24"/>
        </w:rPr>
        <w:t xml:space="preserve">. </w:t>
      </w:r>
      <w:r w:rsidR="009C5039" w:rsidRPr="00DE746E">
        <w:rPr>
          <w:rFonts w:ascii="Times New Roman" w:hAnsi="Times New Roman" w:cs="Times New Roman"/>
          <w:sz w:val="24"/>
          <w:szCs w:val="24"/>
        </w:rPr>
        <w:t>F</w:t>
      </w:r>
      <w:r w:rsidR="00E27060" w:rsidRPr="00DE746E">
        <w:rPr>
          <w:rFonts w:ascii="Times New Roman" w:hAnsi="Times New Roman" w:cs="Times New Roman"/>
          <w:sz w:val="24"/>
          <w:szCs w:val="24"/>
        </w:rPr>
        <w:t>inansējuma pārdales rezultātā netiks ietekmēti apmācību aktivitātes sasniedzamie uzraudzības rādītāji un projektā plānotie mērķi, un uzraudzības rādītāji tiks sasniegti.</w:t>
      </w:r>
      <w:r w:rsidR="00B46AD5" w:rsidRPr="00DE746E">
        <w:rPr>
          <w:rFonts w:ascii="Times New Roman" w:hAnsi="Times New Roman" w:cs="Times New Roman"/>
          <w:sz w:val="24"/>
          <w:szCs w:val="24"/>
        </w:rPr>
        <w:t xml:space="preserve"> Ietekme uz rezultatīviem rādītājiem</w:t>
      </w:r>
      <w:r w:rsidR="009C5039" w:rsidRPr="00DE746E">
        <w:rPr>
          <w:rFonts w:ascii="Times New Roman" w:hAnsi="Times New Roman" w:cs="Times New Roman"/>
          <w:sz w:val="24"/>
          <w:szCs w:val="24"/>
        </w:rPr>
        <w:t>, apmācāmo personu skaitu,</w:t>
      </w:r>
      <w:r w:rsidR="00B46AD5" w:rsidRPr="00DE746E">
        <w:rPr>
          <w:rFonts w:ascii="Times New Roman" w:hAnsi="Times New Roman" w:cs="Times New Roman"/>
          <w:sz w:val="24"/>
          <w:szCs w:val="24"/>
        </w:rPr>
        <w:t xml:space="preserve"> netiek radīta, ņemot vērā apstākli, ka, pirmkārt, turpinot darbu pie mācību vajadzību detalizācijas</w:t>
      </w:r>
      <w:r w:rsidR="00FE240F" w:rsidRPr="00DE746E">
        <w:rPr>
          <w:rFonts w:ascii="Times New Roman" w:hAnsi="Times New Roman" w:cs="Times New Roman"/>
          <w:sz w:val="24"/>
          <w:szCs w:val="24"/>
        </w:rPr>
        <w:t>,</w:t>
      </w:r>
      <w:r w:rsidR="00B46AD5" w:rsidRPr="00DE746E">
        <w:rPr>
          <w:rFonts w:ascii="Times New Roman" w:hAnsi="Times New Roman" w:cs="Times New Roman"/>
          <w:sz w:val="24"/>
          <w:szCs w:val="24"/>
        </w:rPr>
        <w:t xml:space="preserve"> ir pārdomāta un skaidrāk iezīmējusies arī mācību struktūra un veidi, kā</w:t>
      </w:r>
      <w:r w:rsidR="00B46AD5" w:rsidRPr="00B46AD5">
        <w:rPr>
          <w:rFonts w:ascii="Times New Roman" w:hAnsi="Times New Roman" w:cs="Times New Roman"/>
          <w:sz w:val="24"/>
          <w:szCs w:val="24"/>
        </w:rPr>
        <w:t xml:space="preserve"> rezultātā precīzāk var tikt prognozēta mācību vajadzību nodrošināšanai nepieciešamā summa. Otrkārt, vērā ņemams apstāklis, ka </w:t>
      </w:r>
      <w:r w:rsidR="00B46AD5" w:rsidRPr="00B46AD5">
        <w:rPr>
          <w:rFonts w:ascii="Times New Roman" w:hAnsi="Times New Roman" w:cs="Times New Roman"/>
          <w:sz w:val="24"/>
          <w:szCs w:val="24"/>
        </w:rPr>
        <w:lastRenderedPageBreak/>
        <w:t xml:space="preserve">novērtējuma rezultāti tiks izmantoti mācību procesā, veidojot </w:t>
      </w:r>
      <w:r w:rsidR="00386DB2">
        <w:rPr>
          <w:rFonts w:ascii="Times New Roman" w:hAnsi="Times New Roman" w:cs="Times New Roman"/>
          <w:sz w:val="24"/>
          <w:szCs w:val="24"/>
        </w:rPr>
        <w:t xml:space="preserve">mācību programmas kodolu tēmās, </w:t>
      </w:r>
      <w:r w:rsidR="00B46AD5" w:rsidRPr="00B46AD5">
        <w:rPr>
          <w:rFonts w:ascii="Times New Roman" w:hAnsi="Times New Roman" w:cs="Times New Roman"/>
          <w:sz w:val="24"/>
          <w:szCs w:val="24"/>
        </w:rPr>
        <w:t>kas ietilpst novērtējuma tvērumā.</w:t>
      </w:r>
      <w:r w:rsidR="00B46AD5">
        <w:rPr>
          <w:rFonts w:ascii="Times New Roman" w:hAnsi="Times New Roman" w:cs="Times New Roman"/>
          <w:sz w:val="24"/>
          <w:szCs w:val="24"/>
        </w:rPr>
        <w:t xml:space="preserve"> </w:t>
      </w:r>
      <w:r w:rsidR="00BC1C9C" w:rsidRPr="00BC1C9C">
        <w:rPr>
          <w:rFonts w:ascii="Times New Roman" w:hAnsi="Times New Roman" w:cs="Times New Roman"/>
          <w:sz w:val="24"/>
          <w:szCs w:val="24"/>
        </w:rPr>
        <w:t xml:space="preserve">Eiropas Komisija ir informēta par plānoto novērtējuma veikšanu trīs </w:t>
      </w:r>
      <w:r w:rsidR="00E27060">
        <w:rPr>
          <w:rFonts w:ascii="Times New Roman" w:hAnsi="Times New Roman" w:cs="Times New Roman"/>
          <w:sz w:val="24"/>
          <w:szCs w:val="24"/>
        </w:rPr>
        <w:t>atsevišķos posmos</w:t>
      </w:r>
      <w:r w:rsidR="00BC1C9C" w:rsidRPr="00BC1C9C">
        <w:rPr>
          <w:rFonts w:ascii="Times New Roman" w:hAnsi="Times New Roman" w:cs="Times New Roman"/>
          <w:sz w:val="24"/>
          <w:szCs w:val="24"/>
        </w:rPr>
        <w:t xml:space="preserve"> un ir sniegusi savus norādījumus attiecībā uz novērtējuma budžetu, saturu un piesaistāmām organizācijām</w:t>
      </w:r>
      <w:r w:rsidR="00BC1C9C">
        <w:rPr>
          <w:rFonts w:ascii="Times New Roman" w:hAnsi="Times New Roman" w:cs="Times New Roman"/>
          <w:sz w:val="24"/>
          <w:szCs w:val="24"/>
        </w:rPr>
        <w:t>.</w:t>
      </w:r>
    </w:p>
    <w:p w:rsidR="00E27060" w:rsidRPr="00DE746E" w:rsidRDefault="00E27060" w:rsidP="00386DB2">
      <w:pPr>
        <w:spacing w:after="120" w:line="240" w:lineRule="auto"/>
        <w:ind w:firstLine="720"/>
        <w:jc w:val="both"/>
        <w:rPr>
          <w:rFonts w:ascii="Times New Roman" w:hAnsi="Times New Roman" w:cs="Times New Roman"/>
          <w:sz w:val="24"/>
          <w:szCs w:val="24"/>
        </w:rPr>
      </w:pPr>
      <w:r w:rsidRPr="00DE746E">
        <w:rPr>
          <w:rFonts w:ascii="Times New Roman" w:hAnsi="Times New Roman" w:cs="Times New Roman"/>
          <w:sz w:val="24"/>
          <w:szCs w:val="24"/>
        </w:rPr>
        <w:t>Eiropas Komisija izteica</w:t>
      </w:r>
      <w:r w:rsidR="009C5039" w:rsidRPr="00DE746E">
        <w:rPr>
          <w:rFonts w:ascii="Times New Roman" w:hAnsi="Times New Roman" w:cs="Times New Roman"/>
          <w:sz w:val="24"/>
          <w:szCs w:val="24"/>
        </w:rPr>
        <w:t xml:space="preserve"> šādus</w:t>
      </w:r>
      <w:r w:rsidRPr="00DE746E">
        <w:rPr>
          <w:rFonts w:ascii="Times New Roman" w:hAnsi="Times New Roman" w:cs="Times New Roman"/>
          <w:sz w:val="24"/>
          <w:szCs w:val="24"/>
        </w:rPr>
        <w:t xml:space="preserve"> priekšlikumus attiecībā uz triju pētījumu saturu: </w:t>
      </w:r>
    </w:p>
    <w:p w:rsidR="00E27060" w:rsidRPr="00DE746E" w:rsidRDefault="00E27060" w:rsidP="00386DB2">
      <w:pPr>
        <w:pStyle w:val="Sarakstarindkopa"/>
        <w:numPr>
          <w:ilvl w:val="0"/>
          <w:numId w:val="5"/>
        </w:numPr>
        <w:spacing w:after="120"/>
        <w:ind w:left="0" w:firstLine="0"/>
        <w:rPr>
          <w:lang w:val="lv-LV"/>
        </w:rPr>
      </w:pPr>
      <w:r w:rsidRPr="00DE746E">
        <w:rPr>
          <w:lang w:val="lv-LV"/>
        </w:rPr>
        <w:t>attiecībā uz A sadaļu (Tiesu sistēmas novērtējums (darbības efektivitāte un kvalitāte)</w:t>
      </w:r>
      <w:r w:rsidR="00386DB2" w:rsidRPr="00DE746E">
        <w:rPr>
          <w:lang w:val="lv-LV"/>
        </w:rPr>
        <w:t>)</w:t>
      </w:r>
      <w:r w:rsidRPr="00DE746E">
        <w:rPr>
          <w:lang w:val="lv-LV"/>
        </w:rPr>
        <w:t xml:space="preserve">, </w:t>
      </w:r>
      <w:r w:rsidR="009C5039" w:rsidRPr="00DE746E">
        <w:rPr>
          <w:lang w:val="lv-LV"/>
        </w:rPr>
        <w:t>tika ieteikts</w:t>
      </w:r>
      <w:r w:rsidRPr="00DE746E">
        <w:rPr>
          <w:lang w:val="lv-LV"/>
        </w:rPr>
        <w:t xml:space="preserve"> fokusēties uz tiesu sistēmas kvalitāti, jo ziņojumā par valsti ir identificētas</w:t>
      </w:r>
      <w:r w:rsidR="00386DB2" w:rsidRPr="00DE746E">
        <w:rPr>
          <w:lang w:val="lv-LV"/>
        </w:rPr>
        <w:t xml:space="preserve"> dažas nepilnības, kuras attieca</w:t>
      </w:r>
      <w:r w:rsidRPr="00DE746E">
        <w:rPr>
          <w:lang w:val="lv-LV"/>
        </w:rPr>
        <w:t>s uz kvalitāti, kā arī iesaka izmantot pieejamos ESIF resursus, lai uzlabotu un novērtētu tieslietu sistēmu</w:t>
      </w:r>
      <w:r w:rsidR="00386DB2" w:rsidRPr="00DE746E">
        <w:rPr>
          <w:lang w:val="lv-LV"/>
        </w:rPr>
        <w:t>,</w:t>
      </w:r>
      <w:r w:rsidRPr="00DE746E">
        <w:rPr>
          <w:lang w:val="lv-LV"/>
        </w:rPr>
        <w:t xml:space="preserve"> it īpaši izmantojot aptaujas.</w:t>
      </w:r>
    </w:p>
    <w:p w:rsidR="00E27060" w:rsidRPr="00DE746E" w:rsidRDefault="00E27060" w:rsidP="00386DB2">
      <w:pPr>
        <w:pStyle w:val="Sarakstarindkopa"/>
        <w:numPr>
          <w:ilvl w:val="0"/>
          <w:numId w:val="5"/>
        </w:numPr>
        <w:spacing w:after="120"/>
        <w:ind w:left="0" w:firstLine="0"/>
        <w:rPr>
          <w:lang w:val="lv-LV"/>
        </w:rPr>
      </w:pPr>
      <w:r w:rsidRPr="00DE746E">
        <w:rPr>
          <w:lang w:val="lv-LV"/>
        </w:rPr>
        <w:t>B sadaļā (Maksātnespējas regulējuma novērtējums (veikto refor</w:t>
      </w:r>
      <w:r w:rsidR="009C5039" w:rsidRPr="00DE746E">
        <w:rPr>
          <w:lang w:val="lv-LV"/>
        </w:rPr>
        <w:t>mu vērtējums)</w:t>
      </w:r>
      <w:r w:rsidR="00386DB2" w:rsidRPr="00DE746E">
        <w:rPr>
          <w:lang w:val="lv-LV"/>
        </w:rPr>
        <w:t>)</w:t>
      </w:r>
      <w:r w:rsidRPr="00DE746E">
        <w:rPr>
          <w:lang w:val="lv-LV"/>
        </w:rPr>
        <w:t xml:space="preserve"> ieteikums ir virzītie</w:t>
      </w:r>
      <w:r w:rsidR="009C5039" w:rsidRPr="00DE746E">
        <w:rPr>
          <w:lang w:val="lv-LV"/>
        </w:rPr>
        <w:t>s prom no vispārējā novērtējuma</w:t>
      </w:r>
      <w:r w:rsidRPr="00DE746E">
        <w:rPr>
          <w:lang w:val="lv-LV"/>
        </w:rPr>
        <w:t xml:space="preserve"> un fokusēties uz jautājumu apskati attiecībā uz ES tiesību pārņemšanu, kā tiek ieviestas va</w:t>
      </w:r>
      <w:r w:rsidR="00386DB2" w:rsidRPr="00DE746E">
        <w:rPr>
          <w:lang w:val="lv-LV"/>
        </w:rPr>
        <w:t>lstī specifiskās rekomendācijas</w:t>
      </w:r>
      <w:r w:rsidRPr="00DE746E">
        <w:rPr>
          <w:lang w:val="lv-LV"/>
        </w:rPr>
        <w:t xml:space="preserve"> kontekstā ar Eiropas Semestra ziņojumu.</w:t>
      </w:r>
    </w:p>
    <w:p w:rsidR="00E27060" w:rsidRPr="00DE746E" w:rsidRDefault="00E27060" w:rsidP="00386DB2">
      <w:pPr>
        <w:pStyle w:val="Sarakstarindkopa"/>
        <w:numPr>
          <w:ilvl w:val="0"/>
          <w:numId w:val="5"/>
        </w:numPr>
        <w:spacing w:after="120"/>
        <w:ind w:left="0" w:firstLine="0"/>
        <w:rPr>
          <w:b/>
          <w:lang w:val="lv-LV"/>
        </w:rPr>
      </w:pPr>
      <w:r w:rsidRPr="00DE746E">
        <w:rPr>
          <w:lang w:val="lv-LV"/>
        </w:rPr>
        <w:t>C sadaļā (Komerctiesību regulējuma, saistībā ar tā piemērošanu sniegto pakalpojumu, kā arī strīdu</w:t>
      </w:r>
      <w:r w:rsidR="009C5039" w:rsidRPr="00DE746E">
        <w:rPr>
          <w:lang w:val="lv-LV"/>
        </w:rPr>
        <w:t xml:space="preserve"> risināšanas vides novērtējums)</w:t>
      </w:r>
      <w:r w:rsidRPr="00DE746E">
        <w:rPr>
          <w:lang w:val="lv-LV"/>
        </w:rPr>
        <w:t xml:space="preserve"> s</w:t>
      </w:r>
      <w:r w:rsidR="009C5039" w:rsidRPr="00DE746E">
        <w:rPr>
          <w:lang w:val="lv-LV"/>
        </w:rPr>
        <w:t>aņemts ieteikums specializēties</w:t>
      </w:r>
      <w:r w:rsidRPr="00DE746E">
        <w:rPr>
          <w:lang w:val="lv-LV"/>
        </w:rPr>
        <w:t xml:space="preserve"> un fokusēties uz noteiktu izvēlētu jautājumu pētīšanu, t.sk. uz reģistrāciju vai citām problēmā</w:t>
      </w:r>
      <w:r w:rsidR="009C5039" w:rsidRPr="00DE746E">
        <w:rPr>
          <w:lang w:val="lv-LV"/>
        </w:rPr>
        <w:t>m,</w:t>
      </w:r>
      <w:r w:rsidRPr="00DE746E">
        <w:rPr>
          <w:lang w:val="lv-LV"/>
        </w:rPr>
        <w:t xml:space="preserve"> ko uzņēmumiem jāveic valsts iestādēs un tiesās.</w:t>
      </w:r>
    </w:p>
    <w:p w:rsidR="00C94496" w:rsidRPr="00DE746E" w:rsidRDefault="00C94496" w:rsidP="00386DB2">
      <w:pPr>
        <w:spacing w:after="120" w:line="240" w:lineRule="auto"/>
        <w:ind w:firstLine="720"/>
        <w:jc w:val="both"/>
        <w:rPr>
          <w:rFonts w:ascii="Times New Roman" w:hAnsi="Times New Roman" w:cs="Times New Roman"/>
          <w:sz w:val="24"/>
          <w:szCs w:val="24"/>
        </w:rPr>
      </w:pPr>
      <w:r w:rsidRPr="00DE746E">
        <w:rPr>
          <w:rFonts w:ascii="Times New Roman" w:hAnsi="Times New Roman" w:cs="Times New Roman"/>
          <w:sz w:val="24"/>
          <w:szCs w:val="24"/>
        </w:rPr>
        <w:t>Finansējums iezīmēts katras novērtējuma sadaļas izstrādes saturiskajos aprakstos, līguma projektā ar Eiropas Padomi un nodomu vēstuļu projektos ar Starptautisko Valūtas fondu un Ekonomiskās sadarbības un attīstības organizāciju.</w:t>
      </w:r>
    </w:p>
    <w:p w:rsidR="00B46AD5" w:rsidRPr="00DE746E" w:rsidRDefault="00193770" w:rsidP="00386DB2">
      <w:pPr>
        <w:spacing w:after="120" w:line="240" w:lineRule="auto"/>
        <w:ind w:firstLine="720"/>
        <w:jc w:val="both"/>
        <w:rPr>
          <w:rFonts w:ascii="Times New Roman" w:hAnsi="Times New Roman" w:cs="Times New Roman"/>
          <w:b/>
          <w:sz w:val="24"/>
          <w:szCs w:val="24"/>
        </w:rPr>
      </w:pPr>
      <w:r w:rsidRPr="00DE746E">
        <w:rPr>
          <w:rFonts w:ascii="Times New Roman" w:hAnsi="Times New Roman" w:cs="Times New Roman"/>
          <w:sz w:val="24"/>
          <w:szCs w:val="24"/>
        </w:rPr>
        <w:t xml:space="preserve">Ņemot vērā, ka novērtējuma veikšanā tiks iesaistītas vairākas institūcijas, novērtējuma veikšanas procesu organizēs un koordinēs Tiesu administrācija, kā projekta </w:t>
      </w:r>
      <w:r w:rsidR="009C5039" w:rsidRPr="00DE746E">
        <w:rPr>
          <w:rFonts w:ascii="Times New Roman" w:hAnsi="Times New Roman" w:cs="Times New Roman"/>
          <w:sz w:val="24"/>
          <w:szCs w:val="24"/>
        </w:rPr>
        <w:t>"</w:t>
      </w:r>
      <w:r w:rsidRPr="00DE746E">
        <w:rPr>
          <w:rFonts w:ascii="Times New Roman" w:hAnsi="Times New Roman" w:cs="Times New Roman"/>
          <w:i/>
          <w:sz w:val="24"/>
          <w:szCs w:val="24"/>
        </w:rPr>
        <w:t>Justīcija attīstība</w:t>
      </w:r>
      <w:r w:rsidR="009C5039" w:rsidRPr="00DE746E">
        <w:rPr>
          <w:rFonts w:ascii="Times New Roman" w:hAnsi="Times New Roman" w:cs="Times New Roman"/>
          <w:i/>
          <w:sz w:val="24"/>
          <w:szCs w:val="24"/>
        </w:rPr>
        <w:t>i</w:t>
      </w:r>
      <w:r w:rsidR="009C5039" w:rsidRPr="00DE746E">
        <w:rPr>
          <w:rFonts w:ascii="Times New Roman" w:hAnsi="Times New Roman" w:cs="Times New Roman"/>
          <w:sz w:val="24"/>
          <w:szCs w:val="24"/>
        </w:rPr>
        <w:t>"</w:t>
      </w:r>
      <w:r w:rsidRPr="00DE746E">
        <w:rPr>
          <w:rFonts w:ascii="Times New Roman" w:hAnsi="Times New Roman" w:cs="Times New Roman"/>
          <w:sz w:val="24"/>
          <w:szCs w:val="24"/>
        </w:rPr>
        <w:t xml:space="preserve"> ieviesējs. Lai nodrošinātu atbilstošu uzraudzības meh</w:t>
      </w:r>
      <w:r w:rsidR="00CF26EE" w:rsidRPr="00DE746E">
        <w:rPr>
          <w:rFonts w:ascii="Times New Roman" w:hAnsi="Times New Roman" w:cs="Times New Roman"/>
          <w:sz w:val="24"/>
          <w:szCs w:val="24"/>
        </w:rPr>
        <w:t>ānism</w:t>
      </w:r>
      <w:r w:rsidRPr="00DE746E">
        <w:rPr>
          <w:rFonts w:ascii="Times New Roman" w:hAnsi="Times New Roman" w:cs="Times New Roman"/>
          <w:sz w:val="24"/>
          <w:szCs w:val="24"/>
        </w:rPr>
        <w:t>u</w:t>
      </w:r>
      <w:r w:rsidR="00705ADF" w:rsidRPr="00DE746E">
        <w:rPr>
          <w:rFonts w:ascii="Times New Roman" w:hAnsi="Times New Roman" w:cs="Times New Roman"/>
          <w:sz w:val="24"/>
          <w:szCs w:val="24"/>
        </w:rPr>
        <w:t xml:space="preserve"> pētījuma veikšanai</w:t>
      </w:r>
      <w:r w:rsidRPr="00DE746E">
        <w:rPr>
          <w:rFonts w:ascii="Times New Roman" w:hAnsi="Times New Roman" w:cs="Times New Roman"/>
          <w:sz w:val="24"/>
          <w:szCs w:val="24"/>
        </w:rPr>
        <w:t>, Tiesu administrācija plāno izveidot darba grupu, iesaistot Tieslietu ministrijas, Augstākās tiesas, Tieslietu padomes, Maksātnespējas administrācijas, Uzņēmumu reģistra u.c. iestāžu pārstāvjus. Darba grupas kompetencē būs nodrošināt kvalitātes kontroli</w:t>
      </w:r>
      <w:r w:rsidR="00CF26EE" w:rsidRPr="00DE746E">
        <w:rPr>
          <w:rFonts w:ascii="Times New Roman" w:hAnsi="Times New Roman" w:cs="Times New Roman"/>
          <w:sz w:val="24"/>
          <w:szCs w:val="24"/>
        </w:rPr>
        <w:t xml:space="preserve">, īstenojot novērtējuma izstrādi. </w:t>
      </w:r>
    </w:p>
    <w:p w:rsidR="008108C8" w:rsidRDefault="008108C8" w:rsidP="00386DB2">
      <w:pPr>
        <w:spacing w:after="120" w:line="240" w:lineRule="auto"/>
        <w:jc w:val="center"/>
        <w:rPr>
          <w:rFonts w:ascii="Times New Roman" w:hAnsi="Times New Roman" w:cs="Times New Roman"/>
          <w:b/>
          <w:sz w:val="24"/>
          <w:szCs w:val="24"/>
        </w:rPr>
      </w:pPr>
    </w:p>
    <w:p w:rsidR="001633AF" w:rsidRPr="00BC1C9C" w:rsidRDefault="00FE74BB" w:rsidP="00386DB2">
      <w:pPr>
        <w:spacing w:after="120" w:line="240" w:lineRule="auto"/>
        <w:jc w:val="center"/>
        <w:rPr>
          <w:rFonts w:ascii="Times New Roman" w:hAnsi="Times New Roman" w:cs="Times New Roman"/>
          <w:b/>
          <w:sz w:val="24"/>
          <w:szCs w:val="24"/>
        </w:rPr>
      </w:pPr>
      <w:r w:rsidRPr="00BC1C9C">
        <w:rPr>
          <w:rFonts w:ascii="Times New Roman" w:hAnsi="Times New Roman" w:cs="Times New Roman"/>
          <w:b/>
          <w:sz w:val="24"/>
          <w:szCs w:val="24"/>
        </w:rPr>
        <w:t>Priekšlikums tālākai rīcībai.</w:t>
      </w:r>
    </w:p>
    <w:p w:rsidR="007E7AEC" w:rsidRDefault="00FE74BB" w:rsidP="00386DB2">
      <w:pPr>
        <w:spacing w:after="120" w:line="240" w:lineRule="auto"/>
        <w:ind w:firstLine="720"/>
        <w:jc w:val="both"/>
        <w:rPr>
          <w:rFonts w:ascii="Times New Roman" w:hAnsi="Times New Roman" w:cs="Times New Roman"/>
          <w:sz w:val="24"/>
          <w:szCs w:val="24"/>
        </w:rPr>
      </w:pPr>
      <w:r w:rsidRPr="00BC1C9C">
        <w:rPr>
          <w:rFonts w:ascii="Times New Roman" w:hAnsi="Times New Roman" w:cs="Times New Roman"/>
          <w:sz w:val="24"/>
          <w:szCs w:val="24"/>
        </w:rPr>
        <w:t>Lai nodrošinātu Latvijas tieslietu sistēmas novērtējumu, Tiesu administrācijai nepieciešams noslēgt līgumu ar Eiropas Padomi</w:t>
      </w:r>
      <w:r w:rsidR="001A1B31" w:rsidRPr="00BC1C9C">
        <w:rPr>
          <w:rFonts w:ascii="Times New Roman" w:hAnsi="Times New Roman" w:cs="Times New Roman"/>
          <w:sz w:val="24"/>
          <w:szCs w:val="24"/>
        </w:rPr>
        <w:t>,</w:t>
      </w:r>
      <w:r w:rsidRPr="00BC1C9C">
        <w:rPr>
          <w:rFonts w:ascii="Times New Roman" w:hAnsi="Times New Roman" w:cs="Times New Roman"/>
          <w:sz w:val="24"/>
          <w:szCs w:val="24"/>
        </w:rPr>
        <w:t xml:space="preserve"> un </w:t>
      </w:r>
      <w:r w:rsidRPr="00BC1C9C">
        <w:rPr>
          <w:rFonts w:ascii="Times New Roman" w:hAnsi="Times New Roman" w:cs="Times New Roman"/>
          <w:bCs/>
          <w:sz w:val="24"/>
          <w:szCs w:val="24"/>
        </w:rPr>
        <w:t>ar</w:t>
      </w:r>
      <w:r w:rsidRPr="00BC1C9C">
        <w:rPr>
          <w:rFonts w:ascii="Times New Roman" w:hAnsi="Times New Roman"/>
          <w:color w:val="000000"/>
          <w:sz w:val="24"/>
          <w:szCs w:val="24"/>
        </w:rPr>
        <w:t xml:space="preserve"> Starptautisko Valūtas fondu un Ekonomiskās sadarbības un attīstības organizāciju veikt nodomu vēstuļu apmaiņu.</w:t>
      </w:r>
    </w:p>
    <w:p w:rsidR="0067090E" w:rsidRDefault="0067090E" w:rsidP="006B337A">
      <w:pPr>
        <w:spacing w:after="0" w:line="240" w:lineRule="auto"/>
        <w:jc w:val="both"/>
        <w:rPr>
          <w:rFonts w:ascii="Times New Roman" w:hAnsi="Times New Roman" w:cs="Times New Roman"/>
          <w:sz w:val="24"/>
          <w:szCs w:val="24"/>
        </w:rPr>
      </w:pPr>
    </w:p>
    <w:p w:rsidR="000062F8" w:rsidRPr="001607B5" w:rsidRDefault="0086354E" w:rsidP="00DF522C">
      <w:pPr>
        <w:tabs>
          <w:tab w:val="left" w:pos="6946"/>
        </w:tabs>
        <w:spacing w:after="0" w:line="240" w:lineRule="auto"/>
        <w:jc w:val="both"/>
        <w:rPr>
          <w:rFonts w:ascii="Times New Roman" w:hAnsi="Times New Roman" w:cs="Times New Roman"/>
          <w:sz w:val="24"/>
          <w:szCs w:val="24"/>
        </w:rPr>
      </w:pPr>
      <w:r w:rsidRPr="001607B5">
        <w:rPr>
          <w:rFonts w:ascii="Times New Roman" w:hAnsi="Times New Roman" w:cs="Times New Roman"/>
          <w:sz w:val="24"/>
          <w:szCs w:val="24"/>
        </w:rPr>
        <w:t>Tieslietu ministrs</w:t>
      </w:r>
      <w:r w:rsidR="00DF522C">
        <w:rPr>
          <w:rFonts w:ascii="Times New Roman" w:hAnsi="Times New Roman" w:cs="Times New Roman"/>
          <w:color w:val="FFFFFF" w:themeColor="background1"/>
          <w:sz w:val="24"/>
          <w:szCs w:val="24"/>
        </w:rPr>
        <w:tab/>
      </w:r>
      <w:r w:rsidRPr="001607B5">
        <w:rPr>
          <w:rFonts w:ascii="Times New Roman" w:hAnsi="Times New Roman" w:cs="Times New Roman"/>
          <w:sz w:val="24"/>
          <w:szCs w:val="24"/>
        </w:rPr>
        <w:t>Dzintars Rasnačs</w:t>
      </w:r>
    </w:p>
    <w:p w:rsidR="0067090E" w:rsidRDefault="0067090E" w:rsidP="007544D3">
      <w:pPr>
        <w:spacing w:after="0" w:line="240" w:lineRule="auto"/>
        <w:jc w:val="both"/>
        <w:rPr>
          <w:rFonts w:ascii="Times New Roman" w:hAnsi="Times New Roman" w:cs="Times New Roman"/>
          <w:sz w:val="24"/>
          <w:szCs w:val="24"/>
        </w:rPr>
      </w:pPr>
      <w:bookmarkStart w:id="1" w:name="_GoBack"/>
      <w:bookmarkEnd w:id="1"/>
    </w:p>
    <w:p w:rsidR="00131ED6" w:rsidRDefault="00131ED6" w:rsidP="00754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131ED6" w:rsidRDefault="00BF40DD" w:rsidP="000648E0">
      <w:pPr>
        <w:tabs>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31ED6">
        <w:rPr>
          <w:rFonts w:ascii="Times New Roman" w:hAnsi="Times New Roman" w:cs="Times New Roman"/>
          <w:sz w:val="24"/>
          <w:szCs w:val="24"/>
        </w:rPr>
        <w:t>ieslietu ministrs</w:t>
      </w:r>
      <w:r w:rsidR="00131ED6">
        <w:rPr>
          <w:rFonts w:ascii="Times New Roman" w:hAnsi="Times New Roman" w:cs="Times New Roman"/>
          <w:sz w:val="24"/>
          <w:szCs w:val="24"/>
        </w:rPr>
        <w:tab/>
        <w:t>Dzintars Rasnačs</w:t>
      </w:r>
    </w:p>
    <w:p w:rsidR="00131ED6" w:rsidRPr="001607B5" w:rsidRDefault="00131ED6" w:rsidP="000648E0">
      <w:pPr>
        <w:tabs>
          <w:tab w:val="left" w:pos="6946"/>
        </w:tabs>
        <w:spacing w:after="0" w:line="240" w:lineRule="auto"/>
        <w:jc w:val="both"/>
        <w:rPr>
          <w:rFonts w:ascii="Times New Roman" w:hAnsi="Times New Roman" w:cs="Times New Roman"/>
          <w:sz w:val="24"/>
          <w:szCs w:val="24"/>
        </w:rPr>
      </w:pPr>
    </w:p>
    <w:p w:rsidR="00EE5735" w:rsidRDefault="00EE5735" w:rsidP="006B337A">
      <w:pPr>
        <w:spacing w:after="0" w:line="240" w:lineRule="auto"/>
        <w:jc w:val="both"/>
        <w:rPr>
          <w:rFonts w:ascii="Times New Roman" w:hAnsi="Times New Roman" w:cs="Times New Roman"/>
          <w:sz w:val="20"/>
          <w:szCs w:val="20"/>
        </w:rPr>
      </w:pPr>
    </w:p>
    <w:p w:rsidR="000062F8" w:rsidRPr="008C2A56" w:rsidRDefault="009C5039" w:rsidP="006B33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r w:rsidR="00B46AD5" w:rsidRPr="008C2A56">
        <w:rPr>
          <w:rFonts w:ascii="Times New Roman" w:hAnsi="Times New Roman" w:cs="Times New Roman"/>
          <w:sz w:val="20"/>
          <w:szCs w:val="20"/>
        </w:rPr>
        <w:t>.01.2017</w:t>
      </w:r>
      <w:r w:rsidR="000062F8" w:rsidRPr="008C2A56">
        <w:rPr>
          <w:rFonts w:ascii="Times New Roman" w:hAnsi="Times New Roman" w:cs="Times New Roman"/>
          <w:sz w:val="20"/>
          <w:szCs w:val="20"/>
        </w:rPr>
        <w:t>.</w:t>
      </w:r>
      <w:r w:rsidR="0086354E" w:rsidRPr="008C2A56">
        <w:rPr>
          <w:rFonts w:ascii="Times New Roman" w:hAnsi="Times New Roman" w:cs="Times New Roman"/>
          <w:sz w:val="20"/>
          <w:szCs w:val="20"/>
        </w:rPr>
        <w:t xml:space="preserve"> </w:t>
      </w:r>
      <w:r w:rsidR="008715A0">
        <w:rPr>
          <w:rFonts w:ascii="Times New Roman" w:hAnsi="Times New Roman" w:cs="Times New Roman"/>
          <w:sz w:val="20"/>
          <w:szCs w:val="20"/>
        </w:rPr>
        <w:t>13</w:t>
      </w:r>
      <w:r w:rsidR="0088645C" w:rsidRPr="008C2A56">
        <w:rPr>
          <w:rFonts w:ascii="Times New Roman" w:hAnsi="Times New Roman" w:cs="Times New Roman"/>
          <w:sz w:val="20"/>
          <w:szCs w:val="20"/>
        </w:rPr>
        <w:t>:</w:t>
      </w:r>
      <w:r w:rsidR="008715A0">
        <w:rPr>
          <w:rFonts w:ascii="Times New Roman" w:hAnsi="Times New Roman" w:cs="Times New Roman"/>
          <w:sz w:val="20"/>
          <w:szCs w:val="20"/>
        </w:rPr>
        <w:t>22</w:t>
      </w:r>
    </w:p>
    <w:p w:rsidR="009B217B" w:rsidRPr="006C7A19" w:rsidRDefault="00DE746E" w:rsidP="006B33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2077</w:t>
      </w:r>
    </w:p>
    <w:p w:rsidR="009B217B" w:rsidRPr="006C7A19" w:rsidRDefault="007510F4" w:rsidP="006B33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Ābols</w:t>
      </w:r>
    </w:p>
    <w:p w:rsidR="00A63CFA" w:rsidRPr="006C7A19" w:rsidRDefault="009B217B" w:rsidP="006B337A">
      <w:pPr>
        <w:spacing w:after="0" w:line="240" w:lineRule="auto"/>
        <w:jc w:val="both"/>
        <w:rPr>
          <w:rFonts w:ascii="Times New Roman" w:hAnsi="Times New Roman" w:cs="Times New Roman"/>
          <w:sz w:val="20"/>
          <w:szCs w:val="20"/>
        </w:rPr>
      </w:pPr>
      <w:r w:rsidRPr="006C7A19">
        <w:rPr>
          <w:rFonts w:ascii="Times New Roman" w:hAnsi="Times New Roman" w:cs="Times New Roman"/>
          <w:sz w:val="20"/>
          <w:szCs w:val="20"/>
        </w:rPr>
        <w:t>6703683</w:t>
      </w:r>
      <w:r w:rsidR="007510F4">
        <w:rPr>
          <w:rFonts w:ascii="Times New Roman" w:hAnsi="Times New Roman" w:cs="Times New Roman"/>
          <w:sz w:val="20"/>
          <w:szCs w:val="20"/>
        </w:rPr>
        <w:t>0</w:t>
      </w:r>
      <w:r w:rsidRPr="006C7A19">
        <w:rPr>
          <w:rFonts w:ascii="Times New Roman" w:hAnsi="Times New Roman" w:cs="Times New Roman"/>
          <w:sz w:val="20"/>
          <w:szCs w:val="20"/>
        </w:rPr>
        <w:t xml:space="preserve">, </w:t>
      </w:r>
      <w:r w:rsidR="007510F4">
        <w:rPr>
          <w:rFonts w:ascii="Times New Roman" w:hAnsi="Times New Roman" w:cs="Times New Roman"/>
          <w:sz w:val="20"/>
          <w:szCs w:val="20"/>
        </w:rPr>
        <w:t>Janis.Abols@tm.gov.lv</w:t>
      </w:r>
    </w:p>
    <w:p w:rsidR="006B337A" w:rsidRPr="006C7A19" w:rsidRDefault="006B337A" w:rsidP="006B337A">
      <w:pPr>
        <w:spacing w:after="0" w:line="240" w:lineRule="auto"/>
        <w:jc w:val="both"/>
        <w:rPr>
          <w:rFonts w:ascii="Times New Roman" w:hAnsi="Times New Roman" w:cs="Times New Roman"/>
          <w:sz w:val="20"/>
          <w:szCs w:val="20"/>
        </w:rPr>
      </w:pPr>
    </w:p>
    <w:sectPr w:rsidR="006B337A" w:rsidRPr="006C7A19" w:rsidSect="00984C3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E30FA5" w15:done="0"/>
  <w15:commentEx w15:paraId="6FDBF6AB" w15:done="0"/>
  <w15:commentEx w15:paraId="60340D35" w15:done="0"/>
  <w15:commentEx w15:paraId="6492F4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0A" w:rsidRDefault="003D620A" w:rsidP="00807DCA">
      <w:pPr>
        <w:spacing w:after="0" w:line="240" w:lineRule="auto"/>
      </w:pPr>
      <w:r>
        <w:separator/>
      </w:r>
    </w:p>
  </w:endnote>
  <w:endnote w:type="continuationSeparator" w:id="0">
    <w:p w:rsidR="003D620A" w:rsidRDefault="003D620A" w:rsidP="0080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BF" w:rsidRDefault="005252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1E" w:rsidRPr="001607B5" w:rsidRDefault="000457FE" w:rsidP="00514A1E">
    <w:pPr>
      <w:spacing w:after="0" w:line="240" w:lineRule="auto"/>
      <w:rPr>
        <w:rFonts w:ascii="Times New Roman" w:hAnsi="Times New Roman" w:cs="Times New Roman"/>
        <w:b/>
        <w:sz w:val="24"/>
        <w:szCs w:val="24"/>
      </w:rPr>
    </w:pPr>
    <w:r w:rsidRPr="00C32445">
      <w:rPr>
        <w:rFonts w:ascii="Times New Roman" w:hAnsi="Times New Roman" w:cs="Times New Roman"/>
        <w:sz w:val="20"/>
        <w:szCs w:val="20"/>
      </w:rPr>
      <w:t>TMZino_</w:t>
    </w:r>
    <w:r w:rsidR="00505215">
      <w:rPr>
        <w:rFonts w:ascii="Times New Roman" w:hAnsi="Times New Roman" w:cs="Times New Roman"/>
        <w:sz w:val="20"/>
        <w:szCs w:val="20"/>
      </w:rPr>
      <w:t>2501</w:t>
    </w:r>
    <w:r w:rsidR="005252BF">
      <w:rPr>
        <w:rFonts w:ascii="Times New Roman" w:hAnsi="Times New Roman" w:cs="Times New Roman"/>
        <w:sz w:val="20"/>
        <w:szCs w:val="20"/>
      </w:rPr>
      <w:t>17</w:t>
    </w:r>
    <w:r w:rsidR="000B5D6E" w:rsidRPr="00C32445">
      <w:rPr>
        <w:rFonts w:ascii="Times New Roman" w:hAnsi="Times New Roman" w:cs="Times New Roman"/>
        <w:sz w:val="20"/>
        <w:szCs w:val="20"/>
      </w:rPr>
      <w:t>_Nov</w:t>
    </w:r>
    <w:r w:rsidR="00131ED6">
      <w:rPr>
        <w:rFonts w:ascii="Times New Roman" w:hAnsi="Times New Roman" w:cs="Times New Roman"/>
        <w:sz w:val="20"/>
        <w:szCs w:val="20"/>
      </w:rPr>
      <w:t>e</w:t>
    </w:r>
    <w:r w:rsidR="000B5D6E" w:rsidRPr="00C32445">
      <w:rPr>
        <w:rFonts w:ascii="Times New Roman" w:hAnsi="Times New Roman" w:cs="Times New Roman"/>
        <w:sz w:val="20"/>
        <w:szCs w:val="20"/>
      </w:rPr>
      <w:t>r</w:t>
    </w:r>
    <w:r w:rsidRPr="00C32445">
      <w:rPr>
        <w:rFonts w:ascii="Times New Roman" w:hAnsi="Times New Roman" w:cs="Times New Roman"/>
        <w:sz w:val="20"/>
        <w:szCs w:val="20"/>
      </w:rPr>
      <w:t xml:space="preserve">t; Informatīvais ziņojums </w:t>
    </w:r>
    <w:r w:rsidR="00514A1E" w:rsidRPr="00514A1E">
      <w:rPr>
        <w:rFonts w:ascii="Times New Roman" w:hAnsi="Times New Roman" w:cs="Times New Roman"/>
        <w:sz w:val="20"/>
        <w:szCs w:val="20"/>
      </w:rPr>
      <w:t>"Par Latvijas tieslietu sistēmas novērtējuma izstrādi"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1E" w:rsidRPr="001607B5" w:rsidRDefault="00514A1E" w:rsidP="00514A1E">
    <w:pPr>
      <w:spacing w:after="0" w:line="240" w:lineRule="auto"/>
      <w:rPr>
        <w:rFonts w:ascii="Times New Roman" w:hAnsi="Times New Roman" w:cs="Times New Roman"/>
        <w:b/>
        <w:sz w:val="24"/>
        <w:szCs w:val="24"/>
      </w:rPr>
    </w:pPr>
    <w:r w:rsidRPr="00C32445">
      <w:rPr>
        <w:rFonts w:ascii="Times New Roman" w:hAnsi="Times New Roman" w:cs="Times New Roman"/>
        <w:sz w:val="20"/>
        <w:szCs w:val="20"/>
      </w:rPr>
      <w:t>TMZino_</w:t>
    </w:r>
    <w:r w:rsidR="00505215">
      <w:rPr>
        <w:rFonts w:ascii="Times New Roman" w:hAnsi="Times New Roman" w:cs="Times New Roman"/>
        <w:sz w:val="20"/>
        <w:szCs w:val="20"/>
      </w:rPr>
      <w:t>2501</w:t>
    </w:r>
    <w:r w:rsidR="005252BF">
      <w:rPr>
        <w:rFonts w:ascii="Times New Roman" w:hAnsi="Times New Roman" w:cs="Times New Roman"/>
        <w:sz w:val="20"/>
        <w:szCs w:val="20"/>
      </w:rPr>
      <w:t>17</w:t>
    </w:r>
    <w:r w:rsidRPr="00C32445">
      <w:rPr>
        <w:rFonts w:ascii="Times New Roman" w:hAnsi="Times New Roman" w:cs="Times New Roman"/>
        <w:sz w:val="20"/>
        <w:szCs w:val="20"/>
      </w:rPr>
      <w:t>_Nov</w:t>
    </w:r>
    <w:r w:rsidR="00131ED6">
      <w:rPr>
        <w:rFonts w:ascii="Times New Roman" w:hAnsi="Times New Roman" w:cs="Times New Roman"/>
        <w:sz w:val="20"/>
        <w:szCs w:val="20"/>
      </w:rPr>
      <w:t>e</w:t>
    </w:r>
    <w:r w:rsidRPr="00C32445">
      <w:rPr>
        <w:rFonts w:ascii="Times New Roman" w:hAnsi="Times New Roman" w:cs="Times New Roman"/>
        <w:sz w:val="20"/>
        <w:szCs w:val="20"/>
      </w:rPr>
      <w:t xml:space="preserve">rt; Informatīvais ziņojums </w:t>
    </w:r>
    <w:r w:rsidRPr="00514A1E">
      <w:rPr>
        <w:rFonts w:ascii="Times New Roman" w:hAnsi="Times New Roman" w:cs="Times New Roman"/>
        <w:sz w:val="20"/>
        <w:szCs w:val="20"/>
      </w:rPr>
      <w:t>"Par Latvijas tieslietu sistēmas novērtējuma izstrādi"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0A" w:rsidRDefault="003D620A" w:rsidP="00807DCA">
      <w:pPr>
        <w:spacing w:after="0" w:line="240" w:lineRule="auto"/>
      </w:pPr>
      <w:r>
        <w:separator/>
      </w:r>
    </w:p>
  </w:footnote>
  <w:footnote w:type="continuationSeparator" w:id="0">
    <w:p w:rsidR="003D620A" w:rsidRDefault="003D620A" w:rsidP="00807DCA">
      <w:pPr>
        <w:spacing w:after="0" w:line="240" w:lineRule="auto"/>
      </w:pPr>
      <w:r>
        <w:continuationSeparator/>
      </w:r>
    </w:p>
  </w:footnote>
  <w:footnote w:id="1">
    <w:p w:rsidR="00683044" w:rsidRDefault="00683044" w:rsidP="00683044">
      <w:pPr>
        <w:pStyle w:val="Vresteksts"/>
        <w:spacing w:after="0" w:line="240" w:lineRule="auto"/>
        <w:jc w:val="both"/>
        <w:rPr>
          <w:rFonts w:ascii="Times New Roman" w:hAnsi="Times New Roman"/>
        </w:rPr>
      </w:pPr>
      <w:r>
        <w:rPr>
          <w:rStyle w:val="Vresatsauce"/>
          <w:rFonts w:ascii="Times New Roman" w:hAnsi="Times New Roman"/>
        </w:rPr>
        <w:footnoteRef/>
      </w:r>
      <w:r w:rsidR="00370743">
        <w:rPr>
          <w:rFonts w:ascii="Times New Roman" w:hAnsi="Times New Roman"/>
        </w:rPr>
        <w:t> </w:t>
      </w:r>
      <w:r>
        <w:rPr>
          <w:rFonts w:ascii="Times New Roman" w:hAnsi="Times New Roman"/>
        </w:rPr>
        <w:t xml:space="preserve">Ministru kabineta </w:t>
      </w:r>
      <w:r w:rsidR="00924812">
        <w:rPr>
          <w:rFonts w:ascii="Times New Roman" w:hAnsi="Times New Roman"/>
        </w:rPr>
        <w:t xml:space="preserve">2015. gada 9. marta </w:t>
      </w:r>
      <w:r>
        <w:rPr>
          <w:rFonts w:ascii="Times New Roman" w:hAnsi="Times New Roman"/>
        </w:rPr>
        <w:t>rīkojums Nr.</w:t>
      </w:r>
      <w:r w:rsidR="00131ED6">
        <w:rPr>
          <w:rFonts w:ascii="Times New Roman" w:hAnsi="Times New Roman"/>
        </w:rPr>
        <w:t> </w:t>
      </w:r>
      <w:r>
        <w:rPr>
          <w:rFonts w:ascii="Times New Roman" w:hAnsi="Times New Roman"/>
        </w:rPr>
        <w:t>115</w:t>
      </w:r>
      <w:r w:rsidR="00131ED6">
        <w:rPr>
          <w:rFonts w:ascii="Times New Roman" w:hAnsi="Times New Roman"/>
        </w:rPr>
        <w:t xml:space="preserve"> </w:t>
      </w:r>
      <w:r w:rsidR="00924812" w:rsidRPr="00924812">
        <w:rPr>
          <w:rFonts w:ascii="Times New Roman" w:hAnsi="Times New Roman"/>
        </w:rPr>
        <w:t>"</w:t>
      </w:r>
      <w:r>
        <w:rPr>
          <w:rFonts w:ascii="Times New Roman" w:hAnsi="Times New Roman"/>
        </w:rPr>
        <w:t>Par tiesu varas un tiesībaizsardzības iestāžu darbinieku cilvēkresursu kapacitātes stiprināšanas un kompetenču attīstīšanas plānu 2015.-2020.</w:t>
      </w:r>
      <w:r w:rsidR="00924812">
        <w:rPr>
          <w:rFonts w:ascii="Times New Roman" w:hAnsi="Times New Roman"/>
        </w:rPr>
        <w:t> </w:t>
      </w:r>
      <w:r>
        <w:rPr>
          <w:rFonts w:ascii="Times New Roman" w:hAnsi="Times New Roman"/>
        </w:rPr>
        <w:t>gadam</w:t>
      </w:r>
      <w:r w:rsidR="00924812" w:rsidRPr="00924812">
        <w:rPr>
          <w:rFonts w:ascii="Times New Roman" w:hAnsi="Times New Roman"/>
        </w:rPr>
        <w:t>"</w:t>
      </w:r>
    </w:p>
  </w:footnote>
  <w:footnote w:id="2">
    <w:p w:rsidR="000C74A5" w:rsidRPr="00DC5AEE" w:rsidRDefault="000C74A5" w:rsidP="00A52AF4">
      <w:pPr>
        <w:pStyle w:val="Vresteksts"/>
        <w:spacing w:after="0"/>
        <w:jc w:val="both"/>
        <w:rPr>
          <w:rFonts w:ascii="Times New Roman" w:hAnsi="Times New Roman"/>
        </w:rPr>
      </w:pPr>
      <w:r w:rsidRPr="00A52AF4">
        <w:rPr>
          <w:rStyle w:val="Vresatsauce"/>
          <w:rFonts w:ascii="Times New Roman" w:hAnsi="Times New Roman"/>
        </w:rPr>
        <w:footnoteRef/>
      </w:r>
      <w:r w:rsidRPr="00A52AF4">
        <w:rPr>
          <w:rFonts w:ascii="Times New Roman" w:hAnsi="Times New Roman"/>
        </w:rPr>
        <w:t xml:space="preserve"> </w:t>
      </w:r>
      <w:r w:rsidR="002D72A2">
        <w:rPr>
          <w:rFonts w:ascii="Times New Roman" w:hAnsi="Times New Roman"/>
        </w:rPr>
        <w:t xml:space="preserve">Skat. </w:t>
      </w:r>
      <w:r w:rsidRPr="00A52AF4">
        <w:rPr>
          <w:rFonts w:ascii="Times New Roman" w:hAnsi="Times New Roman"/>
        </w:rPr>
        <w:t xml:space="preserve">Darbības programma "Izaugsme un nodarbinātība" </w:t>
      </w:r>
      <w:hyperlink r:id="rId1" w:history="1">
        <w:r w:rsidR="002D72A2" w:rsidRPr="002D72A2">
          <w:rPr>
            <w:rStyle w:val="Hipersaite"/>
            <w:rFonts w:ascii="Times New Roman" w:hAnsi="Times New Roman"/>
          </w:rPr>
          <w:t>http://www.esfondi.lv/upload/Planosana/FMProg_</w:t>
        </w:r>
        <w:r w:rsidR="002D72A2" w:rsidRPr="002D72A2">
          <w:rPr>
            <w:rStyle w:val="Hipersaite"/>
            <w:rFonts w:ascii="Times New Roman" w:hAnsi="Times New Roman"/>
          </w:rPr>
          <w:br/>
          <w:t>270115_DP_2.pdf</w:t>
        </w:r>
      </w:hyperlink>
      <w:r w:rsidR="002D72A2">
        <w:rPr>
          <w:rFonts w:ascii="Times New Roman" w:hAnsi="Times New Roman"/>
        </w:rPr>
        <w:t>, 78. lpp.</w:t>
      </w:r>
    </w:p>
  </w:footnote>
  <w:footnote w:id="3">
    <w:p w:rsidR="000C74A5" w:rsidRDefault="000C74A5" w:rsidP="000C74A5">
      <w:pPr>
        <w:pStyle w:val="Vresteksts"/>
        <w:spacing w:after="0"/>
        <w:jc w:val="both"/>
        <w:rPr>
          <w:rFonts w:ascii="Times New Roman" w:hAnsi="Times New Roman"/>
        </w:rPr>
      </w:pPr>
      <w:r>
        <w:rPr>
          <w:rStyle w:val="Vresatsauce"/>
          <w:rFonts w:ascii="Times New Roman" w:hAnsi="Times New Roman"/>
        </w:rPr>
        <w:footnoteRef/>
      </w:r>
      <w:r>
        <w:rPr>
          <w:rFonts w:ascii="Times New Roman" w:hAnsi="Times New Roman"/>
        </w:rPr>
        <w:t xml:space="preserve"> 2015.</w:t>
      </w:r>
      <w:r w:rsidR="007D04D7">
        <w:rPr>
          <w:rFonts w:ascii="Times New Roman" w:hAnsi="Times New Roman"/>
        </w:rPr>
        <w:t> </w:t>
      </w:r>
      <w:r>
        <w:rPr>
          <w:rFonts w:ascii="Times New Roman" w:hAnsi="Times New Roman"/>
        </w:rPr>
        <w:t>gada 14.</w:t>
      </w:r>
      <w:r w:rsidR="007D04D7">
        <w:rPr>
          <w:rFonts w:ascii="Times New Roman" w:hAnsi="Times New Roman"/>
        </w:rPr>
        <w:t> </w:t>
      </w:r>
      <w:r>
        <w:rPr>
          <w:rFonts w:ascii="Times New Roman" w:hAnsi="Times New Roman"/>
        </w:rPr>
        <w:t>jūlija Padomes ieteikums par Latvijas 2015.</w:t>
      </w:r>
      <w:r w:rsidR="007D04D7">
        <w:rPr>
          <w:rFonts w:ascii="Times New Roman" w:hAnsi="Times New Roman"/>
        </w:rPr>
        <w:t> </w:t>
      </w:r>
      <w:r>
        <w:rPr>
          <w:rFonts w:ascii="Times New Roman" w:hAnsi="Times New Roman"/>
        </w:rPr>
        <w:t>gada valsts reformu programmu un ar ko sniedz Padomes atzinumu par Latvijas 2015.</w:t>
      </w:r>
      <w:r w:rsidR="00DC5AEE">
        <w:rPr>
          <w:rFonts w:ascii="Times New Roman" w:hAnsi="Times New Roman"/>
        </w:rPr>
        <w:t> </w:t>
      </w:r>
      <w:r w:rsidR="00370743">
        <w:rPr>
          <w:rFonts w:ascii="Times New Roman" w:hAnsi="Times New Roman"/>
        </w:rPr>
        <w:t>gada stabilitātes programmu.</w:t>
      </w:r>
    </w:p>
  </w:footnote>
  <w:footnote w:id="4">
    <w:p w:rsidR="0068592A" w:rsidRDefault="0068592A" w:rsidP="0068592A">
      <w:pPr>
        <w:pStyle w:val="Vresteksts"/>
        <w:spacing w:after="0" w:line="240" w:lineRule="auto"/>
        <w:jc w:val="both"/>
        <w:rPr>
          <w:rFonts w:ascii="Times New Roman" w:hAnsi="Times New Roman"/>
        </w:rPr>
      </w:pPr>
      <w:r>
        <w:rPr>
          <w:rStyle w:val="Vresatsauce"/>
          <w:rFonts w:ascii="Times New Roman" w:hAnsi="Times New Roman"/>
        </w:rPr>
        <w:footnoteRef/>
      </w:r>
      <w:r>
        <w:rPr>
          <w:rFonts w:ascii="Times New Roman" w:hAnsi="Times New Roman"/>
        </w:rPr>
        <w:t xml:space="preserve"> Komisijas paziņojums Eiropas Parlamentam, Padomei, Eiropas Ekonomikas un Sociālo lietu komitejai un Reģionu komitejai. ES Tiesiskuma programma laikposmam līdz 2020.</w:t>
      </w:r>
      <w:r w:rsidR="00131ED6">
        <w:rPr>
          <w:rFonts w:ascii="Times New Roman" w:hAnsi="Times New Roman"/>
        </w:rPr>
        <w:t> </w:t>
      </w:r>
      <w:r>
        <w:rPr>
          <w:rFonts w:ascii="Times New Roman" w:hAnsi="Times New Roman"/>
        </w:rPr>
        <w:t>gadam – uzticēšanās, mobilitātes un izaugsmes stiprināšana Savienībā</w:t>
      </w:r>
      <w:r w:rsidR="00370743">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BF" w:rsidRDefault="005252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538527"/>
      <w:docPartObj>
        <w:docPartGallery w:val="Page Numbers (Top of Page)"/>
        <w:docPartUnique/>
      </w:docPartObj>
    </w:sdtPr>
    <w:sdtEndPr>
      <w:rPr>
        <w:rFonts w:ascii="Times New Roman" w:hAnsi="Times New Roman" w:cs="Times New Roman"/>
      </w:rPr>
    </w:sdtEndPr>
    <w:sdtContent>
      <w:p w:rsidR="008F79C0" w:rsidRPr="00984C3F" w:rsidRDefault="008F79C0">
        <w:pPr>
          <w:pStyle w:val="Galvene"/>
          <w:jc w:val="center"/>
          <w:rPr>
            <w:rFonts w:ascii="Times New Roman" w:hAnsi="Times New Roman" w:cs="Times New Roman"/>
          </w:rPr>
        </w:pPr>
        <w:r w:rsidRPr="00984C3F">
          <w:rPr>
            <w:rFonts w:ascii="Times New Roman" w:hAnsi="Times New Roman" w:cs="Times New Roman"/>
          </w:rPr>
          <w:fldChar w:fldCharType="begin"/>
        </w:r>
        <w:r w:rsidRPr="00984C3F">
          <w:rPr>
            <w:rFonts w:ascii="Times New Roman" w:hAnsi="Times New Roman" w:cs="Times New Roman"/>
          </w:rPr>
          <w:instrText>PAGE   \* MERGEFORMAT</w:instrText>
        </w:r>
        <w:r w:rsidRPr="00984C3F">
          <w:rPr>
            <w:rFonts w:ascii="Times New Roman" w:hAnsi="Times New Roman" w:cs="Times New Roman"/>
          </w:rPr>
          <w:fldChar w:fldCharType="separate"/>
        </w:r>
        <w:r w:rsidR="00DE746E">
          <w:rPr>
            <w:rFonts w:ascii="Times New Roman" w:hAnsi="Times New Roman" w:cs="Times New Roman"/>
            <w:noProof/>
          </w:rPr>
          <w:t>4</w:t>
        </w:r>
        <w:r w:rsidRPr="00984C3F">
          <w:rPr>
            <w:rFonts w:ascii="Times New Roman" w:hAnsi="Times New Roman" w:cs="Times New Roman"/>
          </w:rPr>
          <w:fldChar w:fldCharType="end"/>
        </w:r>
      </w:p>
    </w:sdtContent>
  </w:sdt>
  <w:p w:rsidR="004A0462" w:rsidRDefault="004A046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BF" w:rsidRDefault="005252B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580"/>
    <w:multiLevelType w:val="hybridMultilevel"/>
    <w:tmpl w:val="958816D6"/>
    <w:lvl w:ilvl="0" w:tplc="04260017">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1992667"/>
    <w:multiLevelType w:val="hybridMultilevel"/>
    <w:tmpl w:val="F39E7C7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36563CD9"/>
    <w:multiLevelType w:val="hybridMultilevel"/>
    <w:tmpl w:val="59F20224"/>
    <w:lvl w:ilvl="0" w:tplc="15FCA494">
      <w:start w:val="1"/>
      <w:numFmt w:val="upp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3E5572C8"/>
    <w:multiLevelType w:val="hybridMultilevel"/>
    <w:tmpl w:val="A72017F4"/>
    <w:lvl w:ilvl="0" w:tplc="4768F61E">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52B6497D"/>
    <w:multiLevelType w:val="hybridMultilevel"/>
    <w:tmpl w:val="FEEC68B2"/>
    <w:lvl w:ilvl="0" w:tplc="6F3EF52A">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Skrjabina">
    <w15:presenceInfo w15:providerId="AD" w15:userId="S-1-5-21-3313685600-2057428580-2752540593-20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04"/>
    <w:rsid w:val="00000156"/>
    <w:rsid w:val="000062F8"/>
    <w:rsid w:val="0003063F"/>
    <w:rsid w:val="00031990"/>
    <w:rsid w:val="000370B1"/>
    <w:rsid w:val="00040113"/>
    <w:rsid w:val="000413D8"/>
    <w:rsid w:val="000457FE"/>
    <w:rsid w:val="000516F5"/>
    <w:rsid w:val="000648E0"/>
    <w:rsid w:val="00082F6A"/>
    <w:rsid w:val="000B0F3D"/>
    <w:rsid w:val="000B5D6E"/>
    <w:rsid w:val="000C74A5"/>
    <w:rsid w:val="000D1540"/>
    <w:rsid w:val="000F78DB"/>
    <w:rsid w:val="00104E16"/>
    <w:rsid w:val="00131ED6"/>
    <w:rsid w:val="001607B5"/>
    <w:rsid w:val="001633AF"/>
    <w:rsid w:val="00193770"/>
    <w:rsid w:val="001A0E2D"/>
    <w:rsid w:val="001A1B31"/>
    <w:rsid w:val="001B30D0"/>
    <w:rsid w:val="001C5ACC"/>
    <w:rsid w:val="001F1F95"/>
    <w:rsid w:val="001F586F"/>
    <w:rsid w:val="002470C0"/>
    <w:rsid w:val="002514F8"/>
    <w:rsid w:val="002705C5"/>
    <w:rsid w:val="00274424"/>
    <w:rsid w:val="002A1625"/>
    <w:rsid w:val="002A48EF"/>
    <w:rsid w:val="002B059C"/>
    <w:rsid w:val="002B4A6C"/>
    <w:rsid w:val="002D72A2"/>
    <w:rsid w:val="003126D3"/>
    <w:rsid w:val="00321832"/>
    <w:rsid w:val="00335FB5"/>
    <w:rsid w:val="00337FCC"/>
    <w:rsid w:val="00355671"/>
    <w:rsid w:val="0035699E"/>
    <w:rsid w:val="003657E1"/>
    <w:rsid w:val="00370743"/>
    <w:rsid w:val="00381104"/>
    <w:rsid w:val="00386DB2"/>
    <w:rsid w:val="003945E5"/>
    <w:rsid w:val="003A1A04"/>
    <w:rsid w:val="003A7626"/>
    <w:rsid w:val="003D620A"/>
    <w:rsid w:val="003F6C20"/>
    <w:rsid w:val="004002FE"/>
    <w:rsid w:val="00403916"/>
    <w:rsid w:val="0040556D"/>
    <w:rsid w:val="00433D6B"/>
    <w:rsid w:val="004A0462"/>
    <w:rsid w:val="004B12B7"/>
    <w:rsid w:val="004B150F"/>
    <w:rsid w:val="004C1342"/>
    <w:rsid w:val="004C6B87"/>
    <w:rsid w:val="004F70E9"/>
    <w:rsid w:val="00505215"/>
    <w:rsid w:val="00514A1E"/>
    <w:rsid w:val="005246A3"/>
    <w:rsid w:val="005252BF"/>
    <w:rsid w:val="00532B91"/>
    <w:rsid w:val="00537528"/>
    <w:rsid w:val="0054165D"/>
    <w:rsid w:val="005535DE"/>
    <w:rsid w:val="0057237E"/>
    <w:rsid w:val="005B5659"/>
    <w:rsid w:val="005D4B4B"/>
    <w:rsid w:val="005D7A47"/>
    <w:rsid w:val="005E3DFD"/>
    <w:rsid w:val="006044FD"/>
    <w:rsid w:val="006145E6"/>
    <w:rsid w:val="00652782"/>
    <w:rsid w:val="006550E0"/>
    <w:rsid w:val="006605C4"/>
    <w:rsid w:val="00664472"/>
    <w:rsid w:val="0067090E"/>
    <w:rsid w:val="00677C3F"/>
    <w:rsid w:val="00683044"/>
    <w:rsid w:val="00683CD7"/>
    <w:rsid w:val="0068592A"/>
    <w:rsid w:val="00690661"/>
    <w:rsid w:val="006A7435"/>
    <w:rsid w:val="006B337A"/>
    <w:rsid w:val="006C0815"/>
    <w:rsid w:val="006C69C7"/>
    <w:rsid w:val="006C7A19"/>
    <w:rsid w:val="006F3C38"/>
    <w:rsid w:val="00705ADF"/>
    <w:rsid w:val="0073410F"/>
    <w:rsid w:val="00737075"/>
    <w:rsid w:val="007510F4"/>
    <w:rsid w:val="007544D3"/>
    <w:rsid w:val="00777878"/>
    <w:rsid w:val="007816EE"/>
    <w:rsid w:val="00793C3A"/>
    <w:rsid w:val="007D04D7"/>
    <w:rsid w:val="007D4360"/>
    <w:rsid w:val="007E7AEC"/>
    <w:rsid w:val="008033AB"/>
    <w:rsid w:val="00806389"/>
    <w:rsid w:val="00807DCA"/>
    <w:rsid w:val="008108C8"/>
    <w:rsid w:val="00835869"/>
    <w:rsid w:val="0084657E"/>
    <w:rsid w:val="00853937"/>
    <w:rsid w:val="0086354E"/>
    <w:rsid w:val="008658C6"/>
    <w:rsid w:val="008715A0"/>
    <w:rsid w:val="008775FD"/>
    <w:rsid w:val="00881937"/>
    <w:rsid w:val="0088645C"/>
    <w:rsid w:val="008A4746"/>
    <w:rsid w:val="008A6B2F"/>
    <w:rsid w:val="008C2A56"/>
    <w:rsid w:val="008D6578"/>
    <w:rsid w:val="008F486F"/>
    <w:rsid w:val="008F79C0"/>
    <w:rsid w:val="00924812"/>
    <w:rsid w:val="0092709C"/>
    <w:rsid w:val="0093262B"/>
    <w:rsid w:val="009417E2"/>
    <w:rsid w:val="00973FBE"/>
    <w:rsid w:val="00984C3F"/>
    <w:rsid w:val="0098718F"/>
    <w:rsid w:val="00990C8D"/>
    <w:rsid w:val="0099211C"/>
    <w:rsid w:val="009965F5"/>
    <w:rsid w:val="009B08AD"/>
    <w:rsid w:val="009B217B"/>
    <w:rsid w:val="009C352E"/>
    <w:rsid w:val="009C5039"/>
    <w:rsid w:val="009D05CB"/>
    <w:rsid w:val="00A0012E"/>
    <w:rsid w:val="00A10B95"/>
    <w:rsid w:val="00A12344"/>
    <w:rsid w:val="00A14D2F"/>
    <w:rsid w:val="00A268E7"/>
    <w:rsid w:val="00A42205"/>
    <w:rsid w:val="00A52AF4"/>
    <w:rsid w:val="00A535FD"/>
    <w:rsid w:val="00A63CFA"/>
    <w:rsid w:val="00AA19AA"/>
    <w:rsid w:val="00AA499E"/>
    <w:rsid w:val="00AD565A"/>
    <w:rsid w:val="00AF05DD"/>
    <w:rsid w:val="00AF5682"/>
    <w:rsid w:val="00B01290"/>
    <w:rsid w:val="00B15EBE"/>
    <w:rsid w:val="00B44A8A"/>
    <w:rsid w:val="00B46AD5"/>
    <w:rsid w:val="00B55768"/>
    <w:rsid w:val="00B7165F"/>
    <w:rsid w:val="00B81E38"/>
    <w:rsid w:val="00B91B80"/>
    <w:rsid w:val="00BC1C9C"/>
    <w:rsid w:val="00BE2432"/>
    <w:rsid w:val="00BF40DD"/>
    <w:rsid w:val="00C13F3A"/>
    <w:rsid w:val="00C319D5"/>
    <w:rsid w:val="00C32445"/>
    <w:rsid w:val="00C44437"/>
    <w:rsid w:val="00C5223F"/>
    <w:rsid w:val="00C63959"/>
    <w:rsid w:val="00C94486"/>
    <w:rsid w:val="00C94496"/>
    <w:rsid w:val="00C951A2"/>
    <w:rsid w:val="00C96A5E"/>
    <w:rsid w:val="00CA313E"/>
    <w:rsid w:val="00CE6519"/>
    <w:rsid w:val="00CF26EE"/>
    <w:rsid w:val="00D51335"/>
    <w:rsid w:val="00D76ECE"/>
    <w:rsid w:val="00D83CB0"/>
    <w:rsid w:val="00DA2C86"/>
    <w:rsid w:val="00DA5A29"/>
    <w:rsid w:val="00DB46E3"/>
    <w:rsid w:val="00DC5AEE"/>
    <w:rsid w:val="00DE746E"/>
    <w:rsid w:val="00DF19E3"/>
    <w:rsid w:val="00DF522C"/>
    <w:rsid w:val="00E076F6"/>
    <w:rsid w:val="00E25ED1"/>
    <w:rsid w:val="00E27060"/>
    <w:rsid w:val="00E50786"/>
    <w:rsid w:val="00E70D11"/>
    <w:rsid w:val="00E932F4"/>
    <w:rsid w:val="00E945CC"/>
    <w:rsid w:val="00EB3995"/>
    <w:rsid w:val="00ED01B5"/>
    <w:rsid w:val="00ED641A"/>
    <w:rsid w:val="00EE5735"/>
    <w:rsid w:val="00EF5110"/>
    <w:rsid w:val="00F04823"/>
    <w:rsid w:val="00F0528D"/>
    <w:rsid w:val="00F12EE6"/>
    <w:rsid w:val="00F212EA"/>
    <w:rsid w:val="00F21F04"/>
    <w:rsid w:val="00F27B02"/>
    <w:rsid w:val="00F3670C"/>
    <w:rsid w:val="00F4467C"/>
    <w:rsid w:val="00F6090C"/>
    <w:rsid w:val="00F77D4F"/>
    <w:rsid w:val="00F80DB7"/>
    <w:rsid w:val="00F8186C"/>
    <w:rsid w:val="00FA2C91"/>
    <w:rsid w:val="00FC2812"/>
    <w:rsid w:val="00FE240F"/>
    <w:rsid w:val="00FE74BB"/>
    <w:rsid w:val="00FF1F30"/>
    <w:rsid w:val="00FF6E0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807DCA"/>
    <w:pPr>
      <w:widowControl w:val="0"/>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rsid w:val="00807DCA"/>
    <w:rPr>
      <w:rFonts w:ascii="Calibri" w:eastAsia="Calibri" w:hAnsi="Calibri" w:cs="Times New Roman"/>
      <w:sz w:val="20"/>
      <w:szCs w:val="20"/>
    </w:rPr>
  </w:style>
  <w:style w:type="character" w:styleId="Vresatsauce">
    <w:name w:val="footnote reference"/>
    <w:uiPriority w:val="99"/>
    <w:unhideWhenUsed/>
    <w:rsid w:val="00807DCA"/>
    <w:rPr>
      <w:vertAlign w:val="superscript"/>
    </w:rPr>
  </w:style>
  <w:style w:type="character" w:styleId="Hipersaite">
    <w:name w:val="Hyperlink"/>
    <w:basedOn w:val="Noklusjumarindkopasfonts"/>
    <w:uiPriority w:val="99"/>
    <w:unhideWhenUsed/>
    <w:rsid w:val="00A63CFA"/>
    <w:rPr>
      <w:color w:val="0000FF" w:themeColor="hyperlink"/>
      <w:u w:val="single"/>
    </w:rPr>
  </w:style>
  <w:style w:type="paragraph" w:styleId="Vienkrsteksts">
    <w:name w:val="Plain Text"/>
    <w:basedOn w:val="Parasts"/>
    <w:link w:val="VienkrstekstsRakstz"/>
    <w:uiPriority w:val="99"/>
    <w:semiHidden/>
    <w:unhideWhenUsed/>
    <w:rsid w:val="00806389"/>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806389"/>
    <w:rPr>
      <w:rFonts w:ascii="Calibri" w:hAnsi="Calibri"/>
      <w:szCs w:val="21"/>
    </w:rPr>
  </w:style>
  <w:style w:type="paragraph" w:styleId="Sarakstarindkopa">
    <w:name w:val="List Paragraph"/>
    <w:aliases w:val="Table Heading"/>
    <w:basedOn w:val="Parasts"/>
    <w:link w:val="SarakstarindkopaRakstz"/>
    <w:uiPriority w:val="34"/>
    <w:qFormat/>
    <w:rsid w:val="00652782"/>
    <w:pPr>
      <w:spacing w:after="0" w:line="240" w:lineRule="auto"/>
      <w:ind w:left="720"/>
      <w:contextualSpacing/>
      <w:jc w:val="both"/>
    </w:pPr>
    <w:rPr>
      <w:rFonts w:ascii="Times New Roman" w:hAnsi="Times New Roman" w:cs="Times New Roman"/>
      <w:sz w:val="24"/>
      <w:szCs w:val="24"/>
      <w:lang w:val="en-GB"/>
    </w:rPr>
  </w:style>
  <w:style w:type="paragraph" w:styleId="Galvene">
    <w:name w:val="header"/>
    <w:basedOn w:val="Parasts"/>
    <w:link w:val="GalveneRakstz"/>
    <w:uiPriority w:val="99"/>
    <w:unhideWhenUsed/>
    <w:rsid w:val="00C639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3959"/>
  </w:style>
  <w:style w:type="paragraph" w:styleId="Kjene">
    <w:name w:val="footer"/>
    <w:basedOn w:val="Parasts"/>
    <w:link w:val="KjeneRakstz"/>
    <w:uiPriority w:val="99"/>
    <w:unhideWhenUsed/>
    <w:rsid w:val="00C639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3959"/>
  </w:style>
  <w:style w:type="character" w:styleId="Komentraatsauce">
    <w:name w:val="annotation reference"/>
    <w:basedOn w:val="Noklusjumarindkopasfonts"/>
    <w:uiPriority w:val="99"/>
    <w:semiHidden/>
    <w:unhideWhenUsed/>
    <w:rsid w:val="00F77D4F"/>
    <w:rPr>
      <w:sz w:val="16"/>
      <w:szCs w:val="16"/>
    </w:rPr>
  </w:style>
  <w:style w:type="paragraph" w:styleId="Komentrateksts">
    <w:name w:val="annotation text"/>
    <w:basedOn w:val="Parasts"/>
    <w:link w:val="KomentratekstsRakstz"/>
    <w:uiPriority w:val="99"/>
    <w:semiHidden/>
    <w:unhideWhenUsed/>
    <w:rsid w:val="00F77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77D4F"/>
    <w:rPr>
      <w:sz w:val="20"/>
      <w:szCs w:val="20"/>
    </w:rPr>
  </w:style>
  <w:style w:type="paragraph" w:styleId="Komentratma">
    <w:name w:val="annotation subject"/>
    <w:basedOn w:val="Komentrateksts"/>
    <w:next w:val="Komentrateksts"/>
    <w:link w:val="KomentratmaRakstz"/>
    <w:uiPriority w:val="99"/>
    <w:semiHidden/>
    <w:unhideWhenUsed/>
    <w:rsid w:val="00F77D4F"/>
    <w:rPr>
      <w:b/>
      <w:bCs/>
    </w:rPr>
  </w:style>
  <w:style w:type="character" w:customStyle="1" w:styleId="KomentratmaRakstz">
    <w:name w:val="Komentāra tēma Rakstz."/>
    <w:basedOn w:val="KomentratekstsRakstz"/>
    <w:link w:val="Komentratma"/>
    <w:uiPriority w:val="99"/>
    <w:semiHidden/>
    <w:rsid w:val="00F77D4F"/>
    <w:rPr>
      <w:b/>
      <w:bCs/>
      <w:sz w:val="20"/>
      <w:szCs w:val="20"/>
    </w:rPr>
  </w:style>
  <w:style w:type="paragraph" w:styleId="Balonteksts">
    <w:name w:val="Balloon Text"/>
    <w:basedOn w:val="Parasts"/>
    <w:link w:val="BalontekstsRakstz"/>
    <w:uiPriority w:val="99"/>
    <w:semiHidden/>
    <w:unhideWhenUsed/>
    <w:rsid w:val="00F77D4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7D4F"/>
    <w:rPr>
      <w:rFonts w:ascii="Tahoma" w:hAnsi="Tahoma" w:cs="Tahoma"/>
      <w:sz w:val="16"/>
      <w:szCs w:val="16"/>
    </w:rPr>
  </w:style>
  <w:style w:type="character" w:customStyle="1" w:styleId="SarakstarindkopaRakstz">
    <w:name w:val="Saraksta rindkopa Rakstz."/>
    <w:aliases w:val="Table Heading Rakstz."/>
    <w:basedOn w:val="Noklusjumarindkopasfonts"/>
    <w:link w:val="Sarakstarindkopa"/>
    <w:uiPriority w:val="34"/>
    <w:locked/>
    <w:rsid w:val="00104E16"/>
    <w:rPr>
      <w:rFonts w:ascii="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2D72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807DCA"/>
    <w:pPr>
      <w:widowControl w:val="0"/>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rsid w:val="00807DCA"/>
    <w:rPr>
      <w:rFonts w:ascii="Calibri" w:eastAsia="Calibri" w:hAnsi="Calibri" w:cs="Times New Roman"/>
      <w:sz w:val="20"/>
      <w:szCs w:val="20"/>
    </w:rPr>
  </w:style>
  <w:style w:type="character" w:styleId="Vresatsauce">
    <w:name w:val="footnote reference"/>
    <w:uiPriority w:val="99"/>
    <w:unhideWhenUsed/>
    <w:rsid w:val="00807DCA"/>
    <w:rPr>
      <w:vertAlign w:val="superscript"/>
    </w:rPr>
  </w:style>
  <w:style w:type="character" w:styleId="Hipersaite">
    <w:name w:val="Hyperlink"/>
    <w:basedOn w:val="Noklusjumarindkopasfonts"/>
    <w:uiPriority w:val="99"/>
    <w:unhideWhenUsed/>
    <w:rsid w:val="00A63CFA"/>
    <w:rPr>
      <w:color w:val="0000FF" w:themeColor="hyperlink"/>
      <w:u w:val="single"/>
    </w:rPr>
  </w:style>
  <w:style w:type="paragraph" w:styleId="Vienkrsteksts">
    <w:name w:val="Plain Text"/>
    <w:basedOn w:val="Parasts"/>
    <w:link w:val="VienkrstekstsRakstz"/>
    <w:uiPriority w:val="99"/>
    <w:semiHidden/>
    <w:unhideWhenUsed/>
    <w:rsid w:val="00806389"/>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806389"/>
    <w:rPr>
      <w:rFonts w:ascii="Calibri" w:hAnsi="Calibri"/>
      <w:szCs w:val="21"/>
    </w:rPr>
  </w:style>
  <w:style w:type="paragraph" w:styleId="Sarakstarindkopa">
    <w:name w:val="List Paragraph"/>
    <w:aliases w:val="Table Heading"/>
    <w:basedOn w:val="Parasts"/>
    <w:link w:val="SarakstarindkopaRakstz"/>
    <w:uiPriority w:val="34"/>
    <w:qFormat/>
    <w:rsid w:val="00652782"/>
    <w:pPr>
      <w:spacing w:after="0" w:line="240" w:lineRule="auto"/>
      <w:ind w:left="720"/>
      <w:contextualSpacing/>
      <w:jc w:val="both"/>
    </w:pPr>
    <w:rPr>
      <w:rFonts w:ascii="Times New Roman" w:hAnsi="Times New Roman" w:cs="Times New Roman"/>
      <w:sz w:val="24"/>
      <w:szCs w:val="24"/>
      <w:lang w:val="en-GB"/>
    </w:rPr>
  </w:style>
  <w:style w:type="paragraph" w:styleId="Galvene">
    <w:name w:val="header"/>
    <w:basedOn w:val="Parasts"/>
    <w:link w:val="GalveneRakstz"/>
    <w:uiPriority w:val="99"/>
    <w:unhideWhenUsed/>
    <w:rsid w:val="00C639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3959"/>
  </w:style>
  <w:style w:type="paragraph" w:styleId="Kjene">
    <w:name w:val="footer"/>
    <w:basedOn w:val="Parasts"/>
    <w:link w:val="KjeneRakstz"/>
    <w:uiPriority w:val="99"/>
    <w:unhideWhenUsed/>
    <w:rsid w:val="00C639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3959"/>
  </w:style>
  <w:style w:type="character" w:styleId="Komentraatsauce">
    <w:name w:val="annotation reference"/>
    <w:basedOn w:val="Noklusjumarindkopasfonts"/>
    <w:uiPriority w:val="99"/>
    <w:semiHidden/>
    <w:unhideWhenUsed/>
    <w:rsid w:val="00F77D4F"/>
    <w:rPr>
      <w:sz w:val="16"/>
      <w:szCs w:val="16"/>
    </w:rPr>
  </w:style>
  <w:style w:type="paragraph" w:styleId="Komentrateksts">
    <w:name w:val="annotation text"/>
    <w:basedOn w:val="Parasts"/>
    <w:link w:val="KomentratekstsRakstz"/>
    <w:uiPriority w:val="99"/>
    <w:semiHidden/>
    <w:unhideWhenUsed/>
    <w:rsid w:val="00F77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77D4F"/>
    <w:rPr>
      <w:sz w:val="20"/>
      <w:szCs w:val="20"/>
    </w:rPr>
  </w:style>
  <w:style w:type="paragraph" w:styleId="Komentratma">
    <w:name w:val="annotation subject"/>
    <w:basedOn w:val="Komentrateksts"/>
    <w:next w:val="Komentrateksts"/>
    <w:link w:val="KomentratmaRakstz"/>
    <w:uiPriority w:val="99"/>
    <w:semiHidden/>
    <w:unhideWhenUsed/>
    <w:rsid w:val="00F77D4F"/>
    <w:rPr>
      <w:b/>
      <w:bCs/>
    </w:rPr>
  </w:style>
  <w:style w:type="character" w:customStyle="1" w:styleId="KomentratmaRakstz">
    <w:name w:val="Komentāra tēma Rakstz."/>
    <w:basedOn w:val="KomentratekstsRakstz"/>
    <w:link w:val="Komentratma"/>
    <w:uiPriority w:val="99"/>
    <w:semiHidden/>
    <w:rsid w:val="00F77D4F"/>
    <w:rPr>
      <w:b/>
      <w:bCs/>
      <w:sz w:val="20"/>
      <w:szCs w:val="20"/>
    </w:rPr>
  </w:style>
  <w:style w:type="paragraph" w:styleId="Balonteksts">
    <w:name w:val="Balloon Text"/>
    <w:basedOn w:val="Parasts"/>
    <w:link w:val="BalontekstsRakstz"/>
    <w:uiPriority w:val="99"/>
    <w:semiHidden/>
    <w:unhideWhenUsed/>
    <w:rsid w:val="00F77D4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7D4F"/>
    <w:rPr>
      <w:rFonts w:ascii="Tahoma" w:hAnsi="Tahoma" w:cs="Tahoma"/>
      <w:sz w:val="16"/>
      <w:szCs w:val="16"/>
    </w:rPr>
  </w:style>
  <w:style w:type="character" w:customStyle="1" w:styleId="SarakstarindkopaRakstz">
    <w:name w:val="Saraksta rindkopa Rakstz."/>
    <w:aliases w:val="Table Heading Rakstz."/>
    <w:basedOn w:val="Noklusjumarindkopasfonts"/>
    <w:link w:val="Sarakstarindkopa"/>
    <w:uiPriority w:val="34"/>
    <w:locked/>
    <w:rsid w:val="00104E16"/>
    <w:rPr>
      <w:rFonts w:ascii="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2D7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149">
      <w:bodyDiv w:val="1"/>
      <w:marLeft w:val="0"/>
      <w:marRight w:val="0"/>
      <w:marTop w:val="0"/>
      <w:marBottom w:val="0"/>
      <w:divBdr>
        <w:top w:val="none" w:sz="0" w:space="0" w:color="auto"/>
        <w:left w:val="none" w:sz="0" w:space="0" w:color="auto"/>
        <w:bottom w:val="none" w:sz="0" w:space="0" w:color="auto"/>
        <w:right w:val="none" w:sz="0" w:space="0" w:color="auto"/>
      </w:divBdr>
      <w:divsChild>
        <w:div w:id="536044754">
          <w:marLeft w:val="0"/>
          <w:marRight w:val="0"/>
          <w:marTop w:val="0"/>
          <w:marBottom w:val="0"/>
          <w:divBdr>
            <w:top w:val="none" w:sz="0" w:space="0" w:color="auto"/>
            <w:left w:val="none" w:sz="0" w:space="0" w:color="auto"/>
            <w:bottom w:val="none" w:sz="0" w:space="0" w:color="auto"/>
            <w:right w:val="none" w:sz="0" w:space="0" w:color="auto"/>
          </w:divBdr>
          <w:divsChild>
            <w:div w:id="966424682">
              <w:marLeft w:val="0"/>
              <w:marRight w:val="0"/>
              <w:marTop w:val="0"/>
              <w:marBottom w:val="0"/>
              <w:divBdr>
                <w:top w:val="none" w:sz="0" w:space="0" w:color="auto"/>
                <w:left w:val="none" w:sz="0" w:space="0" w:color="auto"/>
                <w:bottom w:val="none" w:sz="0" w:space="0" w:color="auto"/>
                <w:right w:val="none" w:sz="0" w:space="0" w:color="auto"/>
              </w:divBdr>
              <w:divsChild>
                <w:div w:id="48311230">
                  <w:marLeft w:val="0"/>
                  <w:marRight w:val="0"/>
                  <w:marTop w:val="0"/>
                  <w:marBottom w:val="0"/>
                  <w:divBdr>
                    <w:top w:val="none" w:sz="0" w:space="0" w:color="auto"/>
                    <w:left w:val="none" w:sz="0" w:space="0" w:color="auto"/>
                    <w:bottom w:val="none" w:sz="0" w:space="0" w:color="auto"/>
                    <w:right w:val="none" w:sz="0" w:space="0" w:color="auto"/>
                  </w:divBdr>
                  <w:divsChild>
                    <w:div w:id="1403219062">
                      <w:marLeft w:val="0"/>
                      <w:marRight w:val="0"/>
                      <w:marTop w:val="0"/>
                      <w:marBottom w:val="0"/>
                      <w:divBdr>
                        <w:top w:val="none" w:sz="0" w:space="0" w:color="auto"/>
                        <w:left w:val="none" w:sz="0" w:space="0" w:color="auto"/>
                        <w:bottom w:val="none" w:sz="0" w:space="0" w:color="auto"/>
                        <w:right w:val="none" w:sz="0" w:space="0" w:color="auto"/>
                      </w:divBdr>
                      <w:divsChild>
                        <w:div w:id="1415514712">
                          <w:marLeft w:val="0"/>
                          <w:marRight w:val="0"/>
                          <w:marTop w:val="0"/>
                          <w:marBottom w:val="0"/>
                          <w:divBdr>
                            <w:top w:val="none" w:sz="0" w:space="0" w:color="auto"/>
                            <w:left w:val="none" w:sz="0" w:space="0" w:color="auto"/>
                            <w:bottom w:val="none" w:sz="0" w:space="0" w:color="auto"/>
                            <w:right w:val="none" w:sz="0" w:space="0" w:color="auto"/>
                          </w:divBdr>
                          <w:divsChild>
                            <w:div w:id="19774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6831">
      <w:bodyDiv w:val="1"/>
      <w:marLeft w:val="0"/>
      <w:marRight w:val="0"/>
      <w:marTop w:val="0"/>
      <w:marBottom w:val="0"/>
      <w:divBdr>
        <w:top w:val="none" w:sz="0" w:space="0" w:color="auto"/>
        <w:left w:val="none" w:sz="0" w:space="0" w:color="auto"/>
        <w:bottom w:val="none" w:sz="0" w:space="0" w:color="auto"/>
        <w:right w:val="none" w:sz="0" w:space="0" w:color="auto"/>
      </w:divBdr>
      <w:divsChild>
        <w:div w:id="649673505">
          <w:marLeft w:val="0"/>
          <w:marRight w:val="0"/>
          <w:marTop w:val="0"/>
          <w:marBottom w:val="0"/>
          <w:divBdr>
            <w:top w:val="none" w:sz="0" w:space="0" w:color="auto"/>
            <w:left w:val="none" w:sz="0" w:space="0" w:color="auto"/>
            <w:bottom w:val="none" w:sz="0" w:space="0" w:color="auto"/>
            <w:right w:val="none" w:sz="0" w:space="0" w:color="auto"/>
          </w:divBdr>
          <w:divsChild>
            <w:div w:id="1942489163">
              <w:marLeft w:val="0"/>
              <w:marRight w:val="0"/>
              <w:marTop w:val="0"/>
              <w:marBottom w:val="0"/>
              <w:divBdr>
                <w:top w:val="none" w:sz="0" w:space="0" w:color="auto"/>
                <w:left w:val="none" w:sz="0" w:space="0" w:color="auto"/>
                <w:bottom w:val="none" w:sz="0" w:space="0" w:color="auto"/>
                <w:right w:val="none" w:sz="0" w:space="0" w:color="auto"/>
              </w:divBdr>
              <w:divsChild>
                <w:div w:id="80689656">
                  <w:marLeft w:val="0"/>
                  <w:marRight w:val="0"/>
                  <w:marTop w:val="0"/>
                  <w:marBottom w:val="0"/>
                  <w:divBdr>
                    <w:top w:val="none" w:sz="0" w:space="0" w:color="auto"/>
                    <w:left w:val="none" w:sz="0" w:space="0" w:color="auto"/>
                    <w:bottom w:val="none" w:sz="0" w:space="0" w:color="auto"/>
                    <w:right w:val="none" w:sz="0" w:space="0" w:color="auto"/>
                  </w:divBdr>
                  <w:divsChild>
                    <w:div w:id="1480878875">
                      <w:marLeft w:val="0"/>
                      <w:marRight w:val="0"/>
                      <w:marTop w:val="0"/>
                      <w:marBottom w:val="0"/>
                      <w:divBdr>
                        <w:top w:val="none" w:sz="0" w:space="0" w:color="auto"/>
                        <w:left w:val="none" w:sz="0" w:space="0" w:color="auto"/>
                        <w:bottom w:val="none" w:sz="0" w:space="0" w:color="auto"/>
                        <w:right w:val="none" w:sz="0" w:space="0" w:color="auto"/>
                      </w:divBdr>
                      <w:divsChild>
                        <w:div w:id="770321086">
                          <w:marLeft w:val="0"/>
                          <w:marRight w:val="0"/>
                          <w:marTop w:val="0"/>
                          <w:marBottom w:val="0"/>
                          <w:divBdr>
                            <w:top w:val="none" w:sz="0" w:space="0" w:color="auto"/>
                            <w:left w:val="none" w:sz="0" w:space="0" w:color="auto"/>
                            <w:bottom w:val="none" w:sz="0" w:space="0" w:color="auto"/>
                            <w:right w:val="none" w:sz="0" w:space="0" w:color="auto"/>
                          </w:divBdr>
                          <w:divsChild>
                            <w:div w:id="15460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93170">
      <w:bodyDiv w:val="1"/>
      <w:marLeft w:val="0"/>
      <w:marRight w:val="0"/>
      <w:marTop w:val="0"/>
      <w:marBottom w:val="0"/>
      <w:divBdr>
        <w:top w:val="none" w:sz="0" w:space="0" w:color="auto"/>
        <w:left w:val="none" w:sz="0" w:space="0" w:color="auto"/>
        <w:bottom w:val="none" w:sz="0" w:space="0" w:color="auto"/>
        <w:right w:val="none" w:sz="0" w:space="0" w:color="auto"/>
      </w:divBdr>
    </w:div>
    <w:div w:id="359090964">
      <w:bodyDiv w:val="1"/>
      <w:marLeft w:val="0"/>
      <w:marRight w:val="0"/>
      <w:marTop w:val="0"/>
      <w:marBottom w:val="0"/>
      <w:divBdr>
        <w:top w:val="none" w:sz="0" w:space="0" w:color="auto"/>
        <w:left w:val="none" w:sz="0" w:space="0" w:color="auto"/>
        <w:bottom w:val="none" w:sz="0" w:space="0" w:color="auto"/>
        <w:right w:val="none" w:sz="0" w:space="0" w:color="auto"/>
      </w:divBdr>
      <w:divsChild>
        <w:div w:id="1689602120">
          <w:marLeft w:val="0"/>
          <w:marRight w:val="0"/>
          <w:marTop w:val="0"/>
          <w:marBottom w:val="0"/>
          <w:divBdr>
            <w:top w:val="none" w:sz="0" w:space="0" w:color="auto"/>
            <w:left w:val="none" w:sz="0" w:space="0" w:color="auto"/>
            <w:bottom w:val="none" w:sz="0" w:space="0" w:color="auto"/>
            <w:right w:val="none" w:sz="0" w:space="0" w:color="auto"/>
          </w:divBdr>
          <w:divsChild>
            <w:div w:id="290210850">
              <w:marLeft w:val="0"/>
              <w:marRight w:val="0"/>
              <w:marTop w:val="0"/>
              <w:marBottom w:val="0"/>
              <w:divBdr>
                <w:top w:val="none" w:sz="0" w:space="0" w:color="auto"/>
                <w:left w:val="none" w:sz="0" w:space="0" w:color="auto"/>
                <w:bottom w:val="none" w:sz="0" w:space="0" w:color="auto"/>
                <w:right w:val="none" w:sz="0" w:space="0" w:color="auto"/>
              </w:divBdr>
              <w:divsChild>
                <w:div w:id="1859199629">
                  <w:marLeft w:val="0"/>
                  <w:marRight w:val="0"/>
                  <w:marTop w:val="0"/>
                  <w:marBottom w:val="0"/>
                  <w:divBdr>
                    <w:top w:val="none" w:sz="0" w:space="0" w:color="auto"/>
                    <w:left w:val="none" w:sz="0" w:space="0" w:color="auto"/>
                    <w:bottom w:val="none" w:sz="0" w:space="0" w:color="auto"/>
                    <w:right w:val="none" w:sz="0" w:space="0" w:color="auto"/>
                  </w:divBdr>
                  <w:divsChild>
                    <w:div w:id="1767770959">
                      <w:marLeft w:val="0"/>
                      <w:marRight w:val="0"/>
                      <w:marTop w:val="0"/>
                      <w:marBottom w:val="0"/>
                      <w:divBdr>
                        <w:top w:val="none" w:sz="0" w:space="0" w:color="auto"/>
                        <w:left w:val="none" w:sz="0" w:space="0" w:color="auto"/>
                        <w:bottom w:val="none" w:sz="0" w:space="0" w:color="auto"/>
                        <w:right w:val="none" w:sz="0" w:space="0" w:color="auto"/>
                      </w:divBdr>
                      <w:divsChild>
                        <w:div w:id="1809010917">
                          <w:marLeft w:val="0"/>
                          <w:marRight w:val="0"/>
                          <w:marTop w:val="0"/>
                          <w:marBottom w:val="0"/>
                          <w:divBdr>
                            <w:top w:val="none" w:sz="0" w:space="0" w:color="auto"/>
                            <w:left w:val="none" w:sz="0" w:space="0" w:color="auto"/>
                            <w:bottom w:val="none" w:sz="0" w:space="0" w:color="auto"/>
                            <w:right w:val="none" w:sz="0" w:space="0" w:color="auto"/>
                          </w:divBdr>
                          <w:divsChild>
                            <w:div w:id="11290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3050">
      <w:bodyDiv w:val="1"/>
      <w:marLeft w:val="0"/>
      <w:marRight w:val="0"/>
      <w:marTop w:val="0"/>
      <w:marBottom w:val="0"/>
      <w:divBdr>
        <w:top w:val="none" w:sz="0" w:space="0" w:color="auto"/>
        <w:left w:val="none" w:sz="0" w:space="0" w:color="auto"/>
        <w:bottom w:val="none" w:sz="0" w:space="0" w:color="auto"/>
        <w:right w:val="none" w:sz="0" w:space="0" w:color="auto"/>
      </w:divBdr>
    </w:div>
    <w:div w:id="450171867">
      <w:bodyDiv w:val="1"/>
      <w:marLeft w:val="0"/>
      <w:marRight w:val="0"/>
      <w:marTop w:val="0"/>
      <w:marBottom w:val="0"/>
      <w:divBdr>
        <w:top w:val="none" w:sz="0" w:space="0" w:color="auto"/>
        <w:left w:val="none" w:sz="0" w:space="0" w:color="auto"/>
        <w:bottom w:val="none" w:sz="0" w:space="0" w:color="auto"/>
        <w:right w:val="none" w:sz="0" w:space="0" w:color="auto"/>
      </w:divBdr>
    </w:div>
    <w:div w:id="697001867">
      <w:bodyDiv w:val="1"/>
      <w:marLeft w:val="0"/>
      <w:marRight w:val="0"/>
      <w:marTop w:val="0"/>
      <w:marBottom w:val="0"/>
      <w:divBdr>
        <w:top w:val="none" w:sz="0" w:space="0" w:color="auto"/>
        <w:left w:val="none" w:sz="0" w:space="0" w:color="auto"/>
        <w:bottom w:val="none" w:sz="0" w:space="0" w:color="auto"/>
        <w:right w:val="none" w:sz="0" w:space="0" w:color="auto"/>
      </w:divBdr>
    </w:div>
    <w:div w:id="861943585">
      <w:bodyDiv w:val="1"/>
      <w:marLeft w:val="0"/>
      <w:marRight w:val="0"/>
      <w:marTop w:val="0"/>
      <w:marBottom w:val="0"/>
      <w:divBdr>
        <w:top w:val="none" w:sz="0" w:space="0" w:color="auto"/>
        <w:left w:val="none" w:sz="0" w:space="0" w:color="auto"/>
        <w:bottom w:val="none" w:sz="0" w:space="0" w:color="auto"/>
        <w:right w:val="none" w:sz="0" w:space="0" w:color="auto"/>
      </w:divBdr>
    </w:div>
    <w:div w:id="951596577">
      <w:bodyDiv w:val="1"/>
      <w:marLeft w:val="0"/>
      <w:marRight w:val="0"/>
      <w:marTop w:val="0"/>
      <w:marBottom w:val="0"/>
      <w:divBdr>
        <w:top w:val="none" w:sz="0" w:space="0" w:color="auto"/>
        <w:left w:val="none" w:sz="0" w:space="0" w:color="auto"/>
        <w:bottom w:val="none" w:sz="0" w:space="0" w:color="auto"/>
        <w:right w:val="none" w:sz="0" w:space="0" w:color="auto"/>
      </w:divBdr>
    </w:div>
    <w:div w:id="955528767">
      <w:bodyDiv w:val="1"/>
      <w:marLeft w:val="0"/>
      <w:marRight w:val="0"/>
      <w:marTop w:val="0"/>
      <w:marBottom w:val="0"/>
      <w:divBdr>
        <w:top w:val="none" w:sz="0" w:space="0" w:color="auto"/>
        <w:left w:val="none" w:sz="0" w:space="0" w:color="auto"/>
        <w:bottom w:val="none" w:sz="0" w:space="0" w:color="auto"/>
        <w:right w:val="none" w:sz="0" w:space="0" w:color="auto"/>
      </w:divBdr>
    </w:div>
    <w:div w:id="1047527546">
      <w:bodyDiv w:val="1"/>
      <w:marLeft w:val="0"/>
      <w:marRight w:val="0"/>
      <w:marTop w:val="0"/>
      <w:marBottom w:val="0"/>
      <w:divBdr>
        <w:top w:val="none" w:sz="0" w:space="0" w:color="auto"/>
        <w:left w:val="none" w:sz="0" w:space="0" w:color="auto"/>
        <w:bottom w:val="none" w:sz="0" w:space="0" w:color="auto"/>
        <w:right w:val="none" w:sz="0" w:space="0" w:color="auto"/>
      </w:divBdr>
    </w:div>
    <w:div w:id="1077751712">
      <w:bodyDiv w:val="1"/>
      <w:marLeft w:val="0"/>
      <w:marRight w:val="0"/>
      <w:marTop w:val="0"/>
      <w:marBottom w:val="0"/>
      <w:divBdr>
        <w:top w:val="none" w:sz="0" w:space="0" w:color="auto"/>
        <w:left w:val="none" w:sz="0" w:space="0" w:color="auto"/>
        <w:bottom w:val="none" w:sz="0" w:space="0" w:color="auto"/>
        <w:right w:val="none" w:sz="0" w:space="0" w:color="auto"/>
      </w:divBdr>
    </w:div>
    <w:div w:id="1174565591">
      <w:bodyDiv w:val="1"/>
      <w:marLeft w:val="0"/>
      <w:marRight w:val="0"/>
      <w:marTop w:val="0"/>
      <w:marBottom w:val="0"/>
      <w:divBdr>
        <w:top w:val="none" w:sz="0" w:space="0" w:color="auto"/>
        <w:left w:val="none" w:sz="0" w:space="0" w:color="auto"/>
        <w:bottom w:val="none" w:sz="0" w:space="0" w:color="auto"/>
        <w:right w:val="none" w:sz="0" w:space="0" w:color="auto"/>
      </w:divBdr>
    </w:div>
    <w:div w:id="1682587056">
      <w:bodyDiv w:val="1"/>
      <w:marLeft w:val="0"/>
      <w:marRight w:val="0"/>
      <w:marTop w:val="0"/>
      <w:marBottom w:val="0"/>
      <w:divBdr>
        <w:top w:val="none" w:sz="0" w:space="0" w:color="auto"/>
        <w:left w:val="none" w:sz="0" w:space="0" w:color="auto"/>
        <w:bottom w:val="none" w:sz="0" w:space="0" w:color="auto"/>
        <w:right w:val="none" w:sz="0" w:space="0" w:color="auto"/>
      </w:divBdr>
    </w:div>
    <w:div w:id="1836264436">
      <w:bodyDiv w:val="1"/>
      <w:marLeft w:val="0"/>
      <w:marRight w:val="0"/>
      <w:marTop w:val="0"/>
      <w:marBottom w:val="0"/>
      <w:divBdr>
        <w:top w:val="none" w:sz="0" w:space="0" w:color="auto"/>
        <w:left w:val="none" w:sz="0" w:space="0" w:color="auto"/>
        <w:bottom w:val="none" w:sz="0" w:space="0" w:color="auto"/>
        <w:right w:val="none" w:sz="0" w:space="0" w:color="auto"/>
      </w:divBdr>
    </w:div>
    <w:div w:id="19904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Planosana/FMProg_270115_DP_2.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579F-C69C-4F0D-9B1A-EC51690F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10700</Words>
  <Characters>6100</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Latvijas tieslietu sistēmas novērtējuma izstrādi"</vt:lpstr>
      <vt:lpstr>Informatīvais ziņojums "Par Latvijas tieslietu sistēmas novērtējuma izstrādi"</vt:lpstr>
    </vt:vector>
  </TitlesOfParts>
  <Company>Tieslietu ministrija</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tieslietu sistēmas novērtējuma izstrādi"</dc:title>
  <dc:subject>Informatīvais ziņojums</dc:subject>
  <dc:creator>Jānis Ābols</dc:creator>
  <dc:description>67036830, Janis.Abols@tm.gov.lv</dc:description>
  <cp:lastModifiedBy>Janis Abols</cp:lastModifiedBy>
  <cp:revision>8</cp:revision>
  <cp:lastPrinted>2017-01-27T11:30:00Z</cp:lastPrinted>
  <dcterms:created xsi:type="dcterms:W3CDTF">2017-01-31T13:32:00Z</dcterms:created>
  <dcterms:modified xsi:type="dcterms:W3CDTF">2017-02-01T13:52:00Z</dcterms:modified>
</cp:coreProperties>
</file>