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F4" w:rsidRPr="00EE1444" w:rsidRDefault="009717F4" w:rsidP="001E77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444">
        <w:rPr>
          <w:rFonts w:ascii="Times New Roman" w:hAnsi="Times New Roman" w:cs="Times New Roman"/>
          <w:b/>
          <w:sz w:val="28"/>
          <w:szCs w:val="28"/>
        </w:rPr>
        <w:t>Ministru kabineta noteikumu projekta „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 xml:space="preserve"> Grozījumi Ministru kabineta 2013.</w:t>
      </w:r>
      <w:r w:rsidR="007558AD">
        <w:rPr>
          <w:rFonts w:ascii="Times New Roman" w:hAnsi="Times New Roman" w:cs="Times New Roman"/>
          <w:b/>
          <w:sz w:val="28"/>
          <w:szCs w:val="28"/>
        </w:rPr>
        <w:t> 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>gada 30.</w:t>
      </w:r>
      <w:r w:rsidR="007558AD">
        <w:rPr>
          <w:rFonts w:ascii="Times New Roman" w:hAnsi="Times New Roman" w:cs="Times New Roman"/>
          <w:b/>
          <w:sz w:val="28"/>
          <w:szCs w:val="28"/>
        </w:rPr>
        <w:t> 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>aprīļa noteikumos Nr.</w:t>
      </w:r>
      <w:r w:rsidR="007558AD">
        <w:rPr>
          <w:rFonts w:ascii="Times New Roman" w:hAnsi="Times New Roman" w:cs="Times New Roman"/>
          <w:b/>
          <w:sz w:val="28"/>
          <w:szCs w:val="28"/>
        </w:rPr>
        <w:t> 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="007558AD">
        <w:rPr>
          <w:rFonts w:ascii="Times New Roman" w:hAnsi="Times New Roman" w:cs="Times New Roman"/>
          <w:b/>
          <w:sz w:val="28"/>
          <w:szCs w:val="28"/>
        </w:rPr>
        <w:t>„</w:t>
      </w:r>
      <w:r w:rsidR="001E770E" w:rsidRPr="00EE1444">
        <w:rPr>
          <w:rFonts w:ascii="Times New Roman" w:hAnsi="Times New Roman" w:cs="Times New Roman"/>
          <w:b/>
          <w:bCs/>
          <w:sz w:val="28"/>
          <w:szCs w:val="28"/>
        </w:rPr>
        <w:t>Vispārīgie teritorijas plānošanas</w:t>
      </w:r>
      <w:r w:rsidR="00A85F19" w:rsidRPr="00EE14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770E" w:rsidRPr="00EE1444">
        <w:rPr>
          <w:rFonts w:ascii="Times New Roman" w:hAnsi="Times New Roman" w:cs="Times New Roman"/>
          <w:b/>
          <w:bCs/>
          <w:sz w:val="28"/>
          <w:szCs w:val="28"/>
        </w:rPr>
        <w:t>izmantošanas</w:t>
      </w:r>
      <w:r w:rsidR="00A85F19" w:rsidRPr="00EE1444">
        <w:rPr>
          <w:rFonts w:ascii="Times New Roman" w:hAnsi="Times New Roman" w:cs="Times New Roman"/>
          <w:b/>
          <w:bCs/>
          <w:sz w:val="28"/>
          <w:szCs w:val="28"/>
        </w:rPr>
        <w:t xml:space="preserve"> un apbūves</w:t>
      </w:r>
      <w:r w:rsidR="001E770E" w:rsidRPr="00EE1444">
        <w:rPr>
          <w:rFonts w:ascii="Times New Roman" w:hAnsi="Times New Roman" w:cs="Times New Roman"/>
          <w:b/>
          <w:bCs/>
          <w:sz w:val="28"/>
          <w:szCs w:val="28"/>
        </w:rPr>
        <w:t xml:space="preserve"> noteikumi</w:t>
      </w:r>
      <w:r w:rsidRPr="00EE1444">
        <w:rPr>
          <w:rFonts w:ascii="Times New Roman" w:hAnsi="Times New Roman" w:cs="Times New Roman"/>
          <w:b/>
          <w:sz w:val="28"/>
          <w:szCs w:val="28"/>
        </w:rPr>
        <w:t>”” sākotnējās ietekmes novērtējuma ziņojums (anotācija)</w:t>
      </w:r>
    </w:p>
    <w:p w:rsidR="00800965" w:rsidRPr="00EE1444" w:rsidRDefault="00800965" w:rsidP="00AE5E08">
      <w:pPr>
        <w:pStyle w:val="naislab"/>
        <w:spacing w:before="0" w:after="0"/>
        <w:jc w:val="left"/>
        <w:outlineLvl w:val="0"/>
        <w:rPr>
          <w:i/>
        </w:rPr>
      </w:pPr>
    </w:p>
    <w:p w:rsidR="007631B0" w:rsidRPr="00EE1444" w:rsidRDefault="007631B0" w:rsidP="00AE5E08">
      <w:pPr>
        <w:pStyle w:val="naislab"/>
        <w:spacing w:before="0" w:after="0"/>
        <w:jc w:val="left"/>
        <w:outlineLvl w:val="0"/>
        <w:rPr>
          <w:i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9"/>
        <w:gridCol w:w="2859"/>
        <w:gridCol w:w="6389"/>
      </w:tblGrid>
      <w:tr w:rsidR="00EE1444" w:rsidRPr="00EE1444" w:rsidTr="00F968AE">
        <w:trPr>
          <w:trHeight w:val="270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D358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</w:t>
            </w:r>
            <w:r w:rsidR="009717F4"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EE1444" w:rsidRPr="00EE1444" w:rsidTr="00C83A9A">
        <w:trPr>
          <w:trHeight w:val="270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17F4" w:rsidRPr="00EE1444" w:rsidRDefault="001E770E" w:rsidP="006868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Teritorijas attīstības plānošanas likuma 7.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panta pirmās daļas 6. un 7.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</w:tr>
      <w:tr w:rsidR="00EE1444" w:rsidRPr="00EE1444" w:rsidTr="00C83A9A">
        <w:trPr>
          <w:trHeight w:val="310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7B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C10C7B" w:rsidRPr="00C10C7B" w:rsidRDefault="00C10C7B" w:rsidP="008D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Pr="00C10C7B" w:rsidRDefault="00C10C7B" w:rsidP="008D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Pr="00C10C7B" w:rsidRDefault="00C10C7B" w:rsidP="008D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Default="00C10C7B" w:rsidP="00C10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Default="00C10C7B" w:rsidP="00C10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717F4" w:rsidRPr="00C10C7B" w:rsidRDefault="009717F4" w:rsidP="008D21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650" w:rsidRPr="00EE1444" w:rsidRDefault="00D50CF4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</w:t>
            </w:r>
            <w:r w:rsidR="00B15D2A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mērojot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praksē Ministru kabineta 2013.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 Nr.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 „Vispārīgie teritorijas plānošanas</w:t>
            </w:r>
            <w:r w:rsidR="00A85F1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5F1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izmantošanas 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apbūves noteikumi” (turpmāk - Noteikumi) normas, ir atklājušās vairākas nepilnības </w:t>
            </w:r>
            <w:r w:rsidR="00484DD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esošajā regulējumā, kā arī konstatēta atsevišķu normu dažāda interpretācija. Vienlaikus konstatēts, ka Noteikumi neregulē būtiskus jautājumus, kas saistīti ar būvju izvietošanu.</w:t>
            </w:r>
          </w:p>
          <w:p w:rsidR="00386723" w:rsidRPr="00EE1444" w:rsidRDefault="00386723" w:rsidP="0038672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Noteikumu projektā (turpmāk – Projekts) precizētas atsevišķu Noteikumu punktu normas, kā arī novērstas konstatētās nepilnības un pretrunas.</w:t>
            </w:r>
          </w:p>
          <w:p w:rsidR="00386723" w:rsidRPr="00EE1444" w:rsidRDefault="00386723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62650" w:rsidRPr="00EE1444" w:rsidRDefault="00D50CF4" w:rsidP="00686854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EE1444">
              <w:rPr>
                <w:color w:val="auto"/>
              </w:rPr>
              <w:t xml:space="preserve">    </w:t>
            </w:r>
            <w:r w:rsidR="00762650" w:rsidRPr="00EE1444">
              <w:rPr>
                <w:color w:val="auto"/>
              </w:rPr>
              <w:t xml:space="preserve">Tāpat </w:t>
            </w:r>
            <w:r w:rsidR="00386723" w:rsidRPr="00EE1444">
              <w:rPr>
                <w:color w:val="auto"/>
              </w:rPr>
              <w:t>bija</w:t>
            </w:r>
            <w:r w:rsidR="00762650" w:rsidRPr="00EE1444">
              <w:rPr>
                <w:color w:val="auto"/>
              </w:rPr>
              <w:t xml:space="preserve"> nepieciešams saskaņot Noteikumus ar citiem normatīvajiem aktiem - Ūdenssaimniecības pakalpojumu likumu, Būvniecības likumu, kā arī </w:t>
            </w:r>
            <w:r w:rsidR="00484DD7" w:rsidRPr="00EE1444">
              <w:rPr>
                <w:color w:val="auto"/>
              </w:rPr>
              <w:t xml:space="preserve">panākt Noteikumu atbilstību </w:t>
            </w:r>
            <w:r w:rsidR="00762650" w:rsidRPr="00EE1444">
              <w:rPr>
                <w:color w:val="auto"/>
              </w:rPr>
              <w:t xml:space="preserve">Eiropas Parlamenta un Padomes </w:t>
            </w:r>
            <w:r w:rsidR="00484DD7" w:rsidRPr="00EE1444">
              <w:rPr>
                <w:color w:val="auto"/>
              </w:rPr>
              <w:t>2012.</w:t>
            </w:r>
            <w:r w:rsidR="007558AD">
              <w:rPr>
                <w:color w:val="auto"/>
              </w:rPr>
              <w:t> </w:t>
            </w:r>
            <w:r w:rsidR="00484DD7" w:rsidRPr="00EE1444">
              <w:rPr>
                <w:color w:val="auto"/>
              </w:rPr>
              <w:t>gada 4.</w:t>
            </w:r>
            <w:r w:rsidR="007558AD">
              <w:rPr>
                <w:color w:val="auto"/>
              </w:rPr>
              <w:t> </w:t>
            </w:r>
            <w:r w:rsidR="00484DD7" w:rsidRPr="00EE1444">
              <w:rPr>
                <w:color w:val="auto"/>
              </w:rPr>
              <w:t>jūlija D</w:t>
            </w:r>
            <w:r w:rsidR="00A12D5E" w:rsidRPr="00EE1444">
              <w:rPr>
                <w:color w:val="auto"/>
              </w:rPr>
              <w:t>irektīv</w:t>
            </w:r>
            <w:r w:rsidR="00484DD7" w:rsidRPr="00EE1444">
              <w:rPr>
                <w:color w:val="auto"/>
              </w:rPr>
              <w:t>as</w:t>
            </w:r>
            <w:r w:rsidR="00A12D5E" w:rsidRPr="00EE1444">
              <w:rPr>
                <w:color w:val="auto"/>
              </w:rPr>
              <w:t xml:space="preserve"> 2012/18/ES</w:t>
            </w:r>
            <w:r w:rsidR="00762650" w:rsidRPr="00EE1444">
              <w:rPr>
                <w:color w:val="auto"/>
              </w:rPr>
              <w:t xml:space="preserve"> </w:t>
            </w:r>
            <w:r w:rsidR="00A12D5E" w:rsidRPr="00EE1444">
              <w:rPr>
                <w:color w:val="auto"/>
              </w:rPr>
              <w:t>p</w:t>
            </w:r>
            <w:r w:rsidR="00762650" w:rsidRPr="00EE1444">
              <w:rPr>
                <w:color w:val="auto"/>
              </w:rPr>
              <w:t>ar lielu ar bīstamām vielām sai</w:t>
            </w:r>
            <w:r w:rsidR="00A12D5E" w:rsidRPr="00EE1444">
              <w:rPr>
                <w:color w:val="auto"/>
              </w:rPr>
              <w:t xml:space="preserve">stītu avāriju risku pārvaldību, </w:t>
            </w:r>
            <w:r w:rsidR="00A12D5E" w:rsidRPr="00EE1444">
              <w:rPr>
                <w:bCs/>
                <w:color w:val="auto"/>
              </w:rPr>
              <w:t>ar kuru groza un vēlāk atceļ Padomes Direktīvu 96/82/EK</w:t>
            </w:r>
            <w:r w:rsidR="00FE6803" w:rsidRPr="00EE1444">
              <w:rPr>
                <w:bCs/>
                <w:color w:val="auto"/>
              </w:rPr>
              <w:t xml:space="preserve"> (turpmāk – Direktīva</w:t>
            </w:r>
            <w:r w:rsidR="00484DD7" w:rsidRPr="00EE1444">
              <w:rPr>
                <w:bCs/>
                <w:color w:val="auto"/>
              </w:rPr>
              <w:t xml:space="preserve"> 2012/18/ES</w:t>
            </w:r>
            <w:r w:rsidR="00FE6803" w:rsidRPr="00EE1444">
              <w:rPr>
                <w:bCs/>
                <w:color w:val="auto"/>
              </w:rPr>
              <w:t>)</w:t>
            </w:r>
            <w:r w:rsidR="00DF55C1" w:rsidRPr="00EE1444">
              <w:rPr>
                <w:bCs/>
                <w:color w:val="auto"/>
              </w:rPr>
              <w:t>.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F1CA7" w:rsidRPr="00EE1444" w:rsidRDefault="005F1CA7" w:rsidP="005F1C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būvniecības normatīvajos aktos lietoto terminoloģiju, termins 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inženierkomunikācija” visā Noteikumu tekstā ir aizstāts ar terminu 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inženiertīkls”.</w:t>
            </w:r>
          </w:p>
          <w:p w:rsidR="005F1CA7" w:rsidRPr="00EE1444" w:rsidRDefault="005F1CA7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86F73" w:rsidRPr="00EE1444" w:rsidRDefault="009717F4" w:rsidP="00876007">
            <w:pPr>
              <w:pStyle w:val="ListParagraph"/>
              <w:numPr>
                <w:ilvl w:val="0"/>
                <w:numId w:val="22"/>
              </w:numPr>
              <w:tabs>
                <w:tab w:val="left" w:pos="113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86F73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apildināti un p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recizēt</w:t>
            </w:r>
            <w:r w:rsidR="00886F73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 w:rsidR="005F1CA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2.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F1CA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definētie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termin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5F1CA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</w:p>
          <w:p w:rsidR="00C429E2" w:rsidRPr="009E0C67" w:rsidRDefault="005960D2" w:rsidP="00C72D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Precizēts termin</w:t>
            </w:r>
            <w:r w:rsidR="0072404C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publiskā ārtelpa</w:t>
            </w:r>
            <w:r w:rsidR="0072404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” skaidrojums, 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norādot, ka jēdziens </w:t>
            </w:r>
            <w:r w:rsidR="00942D52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>publisks</w:t>
            </w:r>
            <w:r w:rsidR="00942D52" w:rsidRPr="00EE14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var ietvert arī tādus objektus</w:t>
            </w:r>
            <w:r w:rsidR="0046175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teritorijas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>, kas sabiedrībai pieejami tikai daļēji. Tādi</w:t>
            </w:r>
            <w:r w:rsidR="00DF55C1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piemēram</w:t>
            </w:r>
            <w:r w:rsidR="00DF55C1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var būt daudzdzīvokļu māju pagalmi, kas pieejam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i tikai šo māju iedzīvotājiem, vai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arī parki</w:t>
            </w:r>
            <w:r w:rsidR="00DD1206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C67" w:rsidRPr="009E0C67">
              <w:rPr>
                <w:rFonts w:ascii="Times New Roman" w:hAnsi="Times New Roman"/>
                <w:sz w:val="24"/>
                <w:szCs w:val="24"/>
              </w:rPr>
              <w:t>dārzi un tamlīdzīgi objekti, kur ierobežots apmeklēšanas laiks, jeb noteikta ieejas maksa, kā arī kapsētas</w:t>
            </w:r>
            <w:r w:rsidR="00942D52" w:rsidRPr="009E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9E2" w:rsidRPr="009E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007" w:rsidRPr="00EE1444" w:rsidRDefault="005F1CA7" w:rsidP="00C72D0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papildināti ar termin</w:t>
            </w:r>
            <w:r w:rsidR="002D52F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terminālis”, kas līdz šim nebija skaidrot</w:t>
            </w:r>
            <w:r w:rsidR="002D52F7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normatīvajos aktos, kā rezultātā t</w:t>
            </w:r>
            <w:r w:rsidR="002D52F7" w:rsidRPr="00EE144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tika dažādi interpretēt</w:t>
            </w:r>
            <w:r w:rsidR="002D52F7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007" w:rsidRPr="00EE1444" w:rsidRDefault="00876007" w:rsidP="00876007">
            <w:pPr>
              <w:pStyle w:val="NoSpacing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D6" w:rsidRPr="00EE1444" w:rsidRDefault="00876007" w:rsidP="00A362C5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Noteikumu 5.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 </w:t>
            </w:r>
            <w:r w:rsidR="0038672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papildināts ar vārdu “lokālplānojumā”, </w:t>
            </w:r>
            <w:r w:rsidR="00615D8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pēc lokālplānojuma spēkā stāšanās tajā noteiktās prasības aizstāj pašvaldības teritorijas plānojumā noteiktās prasības. </w:t>
            </w:r>
          </w:p>
          <w:p w:rsidR="00615D8B" w:rsidRPr="00EE1444" w:rsidRDefault="00615D8B" w:rsidP="008D2179">
            <w:pPr>
              <w:pStyle w:val="NoSpacing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23" w:rsidRPr="00EE1444" w:rsidRDefault="00386723" w:rsidP="00A362C5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precizēta Noteikumu 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punkta redakcija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kas iepriekš radīja </w:t>
            </w:r>
            <w:r w:rsidR="00615D8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atšķirīgu interpretāciju tā piemērošanā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nodalot publisko ārtelpu, ielas, ceļus, laukumus no publiskiem mērķiem. Būtībā publiskie mērķi ietver visu publisko infrastruktūru, atbilstoši Teritorijas attīstības plānošanas likuma 1.pantā dotajam skaidrojumam. </w:t>
            </w:r>
          </w:p>
          <w:p w:rsidR="00386723" w:rsidRPr="00EE1444" w:rsidRDefault="00386723" w:rsidP="003867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A2" w:rsidRPr="00EE1444" w:rsidRDefault="00615D8B" w:rsidP="00F925D6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31C64" w:rsidRPr="00EE1444">
              <w:rPr>
                <w:rFonts w:ascii="Times New Roman" w:hAnsi="Times New Roman" w:cs="Times New Roman"/>
                <w:sz w:val="24"/>
                <w:szCs w:val="24"/>
              </w:rPr>
              <w:t>iemērojot Noteikumu 10. un 12.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1C64" w:rsidRPr="00EE1444">
              <w:rPr>
                <w:rFonts w:ascii="Times New Roman" w:hAnsi="Times New Roman" w:cs="Times New Roman"/>
                <w:sz w:val="24"/>
                <w:szCs w:val="24"/>
              </w:rPr>
              <w:t>punktu par pieļaujamām atkāpēm no teritorijas plānojumā vai lokālplānojumā noteiktās jaunveidojamās zemes vienības minimālās platības</w:t>
            </w:r>
            <w:r w:rsidR="00236FF7" w:rsidRPr="00EE1444">
              <w:rPr>
                <w:rFonts w:ascii="Times New Roman" w:hAnsi="Times New Roman" w:cs="Times New Roman"/>
                <w:sz w:val="24"/>
                <w:szCs w:val="24"/>
              </w:rPr>
              <w:t>, ir konstatējama šo normu dažāda interpretācija</w:t>
            </w:r>
            <w:r w:rsidR="00B31C64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EA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paredz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="00301EA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12.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punkta 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precīzākas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redakcij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>. Noteikumu 10.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punktā ietvertais regulējums, kas  dod pašvaldībai tiesības noteikt pieļaujamās atkāpes no teritorijas plānojumā vai lokālplānojumā noteiktās  minimālās  platības, ir attiecināms tikai uz tādiem gadījumiem, kad tiek veidotas jaunas apbūves teritorijas. 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>Savukārt 12.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 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>attiecas uz gadījumiem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kad nepieciešams sadalīt 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līdz šo noteikumu spēkā stāšanās brīdim </w:t>
            </w:r>
            <w:r w:rsidR="00B87AC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jau 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>likumīgi apbūvētas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>, kopīpašumā esošas zemes vienības, kā arī apbūvētas zemes vienības, kad bū</w:t>
            </w:r>
            <w:r w:rsidR="00236FF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vei un zemei ir </w:t>
            </w:r>
            <w:r w:rsidR="00AE5E08" w:rsidRPr="00EE1444">
              <w:rPr>
                <w:rFonts w:ascii="Times New Roman" w:hAnsi="Times New Roman" w:cs="Times New Roman"/>
                <w:sz w:val="24"/>
                <w:szCs w:val="24"/>
              </w:rPr>
              <w:t>dažādi</w:t>
            </w:r>
            <w:r w:rsidR="00236FF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īpašniek</w:t>
            </w:r>
            <w:r w:rsidR="00AE5E08"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r w:rsidR="002E75CB" w:rsidRPr="00EE1444">
              <w:rPr>
                <w:rFonts w:ascii="Times New Roman" w:hAnsi="Times New Roman"/>
                <w:sz w:val="24"/>
                <w:szCs w:val="24"/>
              </w:rPr>
              <w:t>veicot nekustamā īpašuma sadalīšanu, nav iespējams nodrošināt teritorijas plānojumā vai lokālplānojumā noteikto minimālo zemes vienības platību.</w:t>
            </w:r>
          </w:p>
          <w:p w:rsidR="004E2D40" w:rsidRPr="00EE1444" w:rsidRDefault="004E2D40" w:rsidP="00A362C5">
            <w:pPr>
              <w:pStyle w:val="ListParagraph"/>
              <w:spacing w:line="240" w:lineRule="auto"/>
              <w:ind w:left="4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33A" w:rsidRPr="00EE1444">
              <w:rPr>
                <w:rFonts w:ascii="Times New Roman" w:hAnsi="Times New Roman" w:cs="Times New Roman"/>
                <w:sz w:val="24"/>
                <w:szCs w:val="24"/>
              </w:rPr>
              <w:t>Vienlaikus</w:t>
            </w:r>
            <w:r w:rsidR="0029233A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Noteikumi papildināti ar 12.</w:t>
            </w:r>
            <w:r w:rsidR="0029233A" w:rsidRPr="00EE14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9233A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punktu, kas paredz nosacījumus atdalīto zemes vienību turpmākai izmantošanai</w:t>
            </w:r>
            <w:r w:rsidR="00D04379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 nosakot, ka zemes vienībai ar esošo apbūvi platību nosaka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04379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vadoties pēc funkcionālās nepieciešamības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 savukārt atlikušā neapbūvētā zemes gabala sīkāka sadalīšana iespējama tikai tad, ja jaunveidojamo zemes vienību platība atbilst teritorijas plānojumā vai lokālplānojumā noteiktajai minimālajai platībai.</w:t>
            </w:r>
          </w:p>
          <w:p w:rsidR="0029233A" w:rsidRPr="00EE1444" w:rsidRDefault="004E2D40" w:rsidP="00A362C5">
            <w:pPr>
              <w:pStyle w:val="ListParagraph"/>
              <w:spacing w:line="240" w:lineRule="auto"/>
              <w:ind w:left="4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Piemērojot 12.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punktu</w:t>
            </w:r>
            <w:r w:rsidR="000B4B7F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jāievēro Zemes ierīcības likuma 16.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pantā un 16.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pantā noteiktais attiecībā uz starpgabalu veidošanu, kā arī jānodrošina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lai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atlikuš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ais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neapbūvēt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ais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zemes gabal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s būtu</w:t>
            </w:r>
            <w:r w:rsidR="000B4B7F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funkcionāli izmantojams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4B7F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3865" w:rsidRPr="00EE1444" w:rsidRDefault="00493865" w:rsidP="002923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A2" w:rsidRPr="00EE1444" w:rsidRDefault="0029233A" w:rsidP="00F925D6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novērstu pārpratumus un neskaidrības par funkcionāl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ajām zonām un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apakšzonām, Noteikumu 19.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ir izteikts jaunā redakcijā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23F2" w:rsidRPr="00EE1444">
              <w:rPr>
                <w:rFonts w:ascii="Times New Roman" w:hAnsi="Times New Roman" w:cs="Times New Roman"/>
                <w:sz w:val="24"/>
                <w:szCs w:val="24"/>
              </w:rPr>
              <w:t>Tas dod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skaidrāku norādi par iespēju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veidot apakšzonas atsevišķās teritorijas daļās, kur izvirzāmi specifiski nosacījumi vai ierobežojumi atbilstoši Noteikumu 3.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pielikumā noteikto izmantošanas veidu aprakstam, kā arī lokālplānojumā sīkāk detalizēt pašvaldības teritorijas plānojumā noteikto funkcionālo zonējumu</w:t>
            </w:r>
            <w:r w:rsidR="00493865" w:rsidRPr="00EE1444">
              <w:rPr>
                <w:rFonts w:ascii="Times New Roman" w:hAnsi="Times New Roman" w:cs="Times New Roman"/>
                <w:sz w:val="24"/>
                <w:szCs w:val="24"/>
              </w:rPr>
              <w:t>. Atbilstoši papildināts arī Noteikumu 24.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3865" w:rsidRPr="00EE1444">
              <w:rPr>
                <w:rFonts w:ascii="Times New Roman" w:hAnsi="Times New Roman" w:cs="Times New Roman"/>
                <w:sz w:val="24"/>
                <w:szCs w:val="24"/>
              </w:rPr>
              <w:t>punkts.</w:t>
            </w:r>
          </w:p>
          <w:p w:rsidR="00A127F9" w:rsidRPr="00EE1444" w:rsidRDefault="00A127F9" w:rsidP="00A127F9">
            <w:pPr>
              <w:pStyle w:val="ListParagraph"/>
              <w:tabs>
                <w:tab w:val="left" w:pos="421"/>
              </w:tabs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Funkcionālās zonas galvenajā izmantošanas veidā ietilpst arī funkcionāli nepieciešamā apbūve – palīgēkas, kā </w:t>
            </w:r>
            <w:r w:rsidR="00B3035E" w:rsidRPr="00EE1444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s izriet no </w:t>
            </w:r>
            <w:r w:rsidR="00A3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2009.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gada 22.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decembra noteikumu Nr.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1620 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Noteikumi par būvju klasifikāciju” pielikuma 119.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punkta, kurā norādīts, ka 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palīgēkas” ir </w:t>
            </w:r>
            <w:r w:rsidRPr="00EE14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EE144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ie dzīvojamām mājām un nedzīvojamām ēkām uzbūvētas saimniecības ēkas, individuālās garāžas, siltumnīcas, pagrabi, nojumes, tualetes u.tml. ēkas. 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Šādu ēku atrašanos zemes vienībā va</w:t>
            </w:r>
            <w:r w:rsidR="00892E52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ierobežot tikai pašvaldības teritorijas izmantošanas un apbūves noteikumos noteiktie pieļaujamie apbūves rādītāji, piemēram, apbūves blīvums vai kādi īpaši nosacījumi</w:t>
            </w:r>
            <w:r w:rsidR="00E938C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tai skaitā </w:t>
            </w:r>
            <w:r w:rsidR="0042473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prasības</w:t>
            </w:r>
            <w:r w:rsidR="00E938C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2473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kas izriet no </w:t>
            </w:r>
            <w:r w:rsidR="00E938C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kultūrvēsturiskās vides un ainavisko vērtību saglabāšanas aspekta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E6D87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3F28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Piemēram,</w:t>
            </w:r>
            <w:r w:rsidR="002E6D87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pašvaldība ir tiesīga kādā konkrētā teritorijā ierobežot palīgēku skaitu</w:t>
            </w:r>
            <w:r w:rsidR="00D94C23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E6D87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neatļaut izvietot būves dzīvniekiem, siltumnīcas</w:t>
            </w:r>
            <w:r w:rsidR="00D94C23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pagrabus.</w:t>
            </w:r>
          </w:p>
          <w:p w:rsidR="00493865" w:rsidRPr="00EE1444" w:rsidRDefault="00493865" w:rsidP="0049386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5205" w:rsidRPr="00EE1444" w:rsidRDefault="00B82EA9" w:rsidP="00F652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Lai novērstu atšķirīgo interpretāciju par atļautajiem papildizmantošanas veidiem, Noteikumi tiek papildināti ar diviem punktiem. 24.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 noteic, ka gadījumā, ja pašvaldība nav noteikusi kādā funkcionālajā zonā 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vai apakšzonā atļautos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papildizmantošanas veidus, 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atļauta tikai galvenā izmantošana. </w:t>
            </w:r>
            <w:r w:rsidR="00AA5205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205" w:rsidRPr="00EE1444" w:rsidRDefault="00AA5205" w:rsidP="00AA520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05" w:rsidRPr="00EE1444" w:rsidRDefault="00AA5205" w:rsidP="00AA5205">
            <w:pPr>
              <w:pStyle w:val="ListParagraph"/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>avukārt 24.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>punkts noteic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, ka pašvald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var noteikt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maksimālo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pieļaujamo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papildizmantošanas veida procentuālo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attiecību pret galveno izmantošanas veidu katrā konkrētā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funkcionālajā zonā vai apakšzonā.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Nereti praksē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>papildizmantošana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 procentuālā attiecība tiek kļūdaini aprēķināta, to attiecin</w:t>
            </w:r>
            <w:r w:rsidR="00C923F2" w:rsidRPr="00EE1444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uz galvenās izmatošanas būvēm.  Tādēļ 24.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punktā ir noteikts, ka </w:t>
            </w:r>
            <w:r w:rsidR="00A127F9" w:rsidRPr="00EE1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apildizmantošanas aprēķinu piemēro teritorijai - apbūves kvartālam, vai atbilstošās funkcionālās zonas vai apakšzonas teritoriāli vienotai daļai vai zemes vienībai, atkarībā no konkrētās situācijas.</w:t>
            </w:r>
          </w:p>
          <w:p w:rsidR="00B82EA9" w:rsidRPr="00EE1444" w:rsidRDefault="00B82EA9" w:rsidP="00B82EA9">
            <w:pPr>
              <w:tabs>
                <w:tab w:val="left" w:pos="421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EE" w:rsidRPr="00EE1444" w:rsidRDefault="00B82EA9" w:rsidP="001F5811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Projektā ir precizēti vairāku funkcionālo zonu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papildizmantošanas veidi</w:t>
            </w:r>
            <w:r w:rsidR="008C5E4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gan papildinot ar tur iederīg</w:t>
            </w:r>
            <w:r w:rsidR="00CE4A8B" w:rsidRPr="00EE144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m, gan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>, izslēdzot neatbilstošos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>Piemēram,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E9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575C4B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audzstāvu dzīvojamās apbūves teritorijās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kā papildizmantošana būs atļauta arī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rindu māju apbūve”, 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avukārt papildizmantošana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dārza māju apbūve”</w:t>
            </w:r>
            <w:r w:rsidR="00CE4A8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8B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Dabas un apstādījumu teritorijā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, kā neatbilstoša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ir aizvietota ar</w:t>
            </w:r>
            <w:r w:rsidR="0031186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papildizmantošanu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lauksaimnieciska izmantošana</w:t>
            </w:r>
            <w:r w:rsidR="003D219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pilsētās un ciemos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”. Kā s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aturiski neiederīgs ir svītrots izmantošanas veids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mežs īpaši aizsargājamās teritorijās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E08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D6" w:rsidRPr="00EE1444" w:rsidRDefault="002579D6" w:rsidP="00A362C5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labiekārtotu publiskā ārtelpu, tiek saprasts, ka tur var atrasties būves. Jebkurš labiekārtojuma elements publiskajā ārtelpā – celiņi, apgaismes ķermeņi, norādes stabs, soliņi, karoga masti u.c., ir uzskatāms par būvi - atbilstoši 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2014. gada 19. augusta noteikumiem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 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Vispārīgie būvnoteikumi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tās ir I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grupas inženierbūves. </w:t>
            </w:r>
          </w:p>
          <w:p w:rsidR="002579D6" w:rsidRPr="00EE1444" w:rsidRDefault="002579D6" w:rsidP="00A362C5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Savukārt </w:t>
            </w:r>
            <w:r w:rsidRPr="00EE1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Publiskā ārtelpa bez labiekārtojuma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nozīmē, ka šajā teritorijā nav nekādi labiekārtojuma elementi.</w:t>
            </w:r>
          </w:p>
          <w:p w:rsidR="002579D6" w:rsidRPr="00EE1444" w:rsidRDefault="002579D6" w:rsidP="00AE5E08">
            <w:pPr>
              <w:pStyle w:val="ListParagraph"/>
              <w:tabs>
                <w:tab w:val="left" w:pos="421"/>
              </w:tabs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4C" w:rsidRPr="00EE1444" w:rsidRDefault="000E1602" w:rsidP="00AE5E0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Lai novērstu neskaidrības par pieļaujamo stāvu skaitu </w:t>
            </w:r>
            <w:r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Mazstāvu dzīvojamās apbūves teritorijās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ir precizēta Noteikumu 27.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punkta redakcija, </w:t>
            </w:r>
            <w:r w:rsidR="00101F8D" w:rsidRPr="00EE1444">
              <w:rPr>
                <w:rFonts w:ascii="Times New Roman" w:hAnsi="Times New Roman" w:cs="Times New Roman"/>
                <w:sz w:val="24"/>
                <w:szCs w:val="24"/>
              </w:rPr>
              <w:t>atbil</w:t>
            </w:r>
            <w:r w:rsidR="00182344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1F8D" w:rsidRPr="00EE1444">
              <w:rPr>
                <w:rFonts w:ascii="Times New Roman" w:hAnsi="Times New Roman" w:cs="Times New Roman"/>
                <w:sz w:val="24"/>
                <w:szCs w:val="24"/>
              </w:rPr>
              <w:t>toši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2.18.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apakšpunktā 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sniegtajam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skaidrojumam.</w:t>
            </w:r>
          </w:p>
          <w:p w:rsidR="001A044C" w:rsidRPr="00EE1444" w:rsidRDefault="001A044C" w:rsidP="001A044C">
            <w:pPr>
              <w:pStyle w:val="ListParagraph"/>
              <w:tabs>
                <w:tab w:val="left" w:pos="0"/>
                <w:tab w:val="left" w:pos="421"/>
              </w:tabs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EE1444" w:rsidRDefault="00FA049F" w:rsidP="00407C8B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7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Lai atvieglotu Noteikumu uztveramību un tajos ietverto normu piemērošanu, </w:t>
            </w:r>
            <w:r w:rsidR="005267EE" w:rsidRPr="00EE14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punkts ir izteikts</w:t>
            </w:r>
            <w:r w:rsidR="0031186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jaunā redakcijā</w:t>
            </w:r>
            <w:r w:rsidR="005267EE" w:rsidRPr="00EE1444">
              <w:rPr>
                <w:rFonts w:ascii="Times New Roman" w:hAnsi="Times New Roman" w:cs="Times New Roman"/>
                <w:sz w:val="24"/>
                <w:szCs w:val="24"/>
              </w:rPr>
              <w:t>, tai skaitā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apakšpunktā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precizēts gadījums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kad lauku teritorijā no pārējā zemes īpašuma var atdalīt esošo viensētu, kas likumīgi uzbūvēta līdz Noteikumu spēkā stāšanās brīdim (2013.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gada 22.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maijs)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67EE" w:rsidRPr="00EE1444">
              <w:rPr>
                <w:rFonts w:ascii="Times New Roman" w:hAnsi="Times New Roman" w:cs="Times New Roman"/>
                <w:sz w:val="24"/>
                <w:szCs w:val="24"/>
              </w:rPr>
              <w:t>Attiecīgi ir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svītro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as paredz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nosacījum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punkta un 65.4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apakšpunkta piemērošanai.</w:t>
            </w:r>
          </w:p>
          <w:p w:rsidR="00BE49D9" w:rsidRPr="00EE1444" w:rsidRDefault="00BE49D9" w:rsidP="006868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EE1444" w:rsidRDefault="00BE49D9" w:rsidP="004B27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>apakšnodaļa</w:t>
            </w:r>
            <w:r w:rsidR="007B1A00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>Ielu un ceļu iedalījums”</w:t>
            </w:r>
            <w:r w:rsidR="007B1A0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nosaukumā tiek svītroti vārdi „un ceļu”, tādēj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ādi novēršot 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nosaukuma 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neatbilstību </w:t>
            </w:r>
            <w:r w:rsidR="00CE4A8B" w:rsidRPr="00EE1444">
              <w:rPr>
                <w:rFonts w:ascii="Times New Roman" w:hAnsi="Times New Roman" w:cs="Times New Roman"/>
                <w:sz w:val="24"/>
                <w:szCs w:val="24"/>
              </w:rPr>
              <w:t>šīs apakšnodaļas saturam.</w:t>
            </w:r>
            <w:r w:rsidR="001A044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Projektā </w:t>
            </w:r>
            <w:r w:rsidR="0027713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5267EE" w:rsidRPr="00EE1444">
              <w:rPr>
                <w:rFonts w:ascii="Times New Roman" w:hAnsi="Times New Roman" w:cs="Times New Roman"/>
                <w:sz w:val="24"/>
                <w:szCs w:val="24"/>
              </w:rPr>
              <w:t>precizēta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punkta redakcija,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paredzot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ielu kategoriju iedalījumu atbilstoši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Latvijas plānošanas praksē 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>izmantotajai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terminoloģijai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vienkāršojot Noteikumu uztveramību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Ievērojot minēto, a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tbilstoši precizēts arī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apakšpunkts. 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Vienlaikus 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>svītrots Noteikumu 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pielikums, kurā 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>norādītais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ielu un ceļu iedalījums bija mehāniski pārņemts no AS </w:t>
            </w:r>
            <w:r w:rsidR="009D2461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Ceļu projekts” 2004.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gadā izstrādātā metodiskā materiāla </w:t>
            </w:r>
            <w:r w:rsidR="009D2461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Ieteikumi ceļu tīkla plānošanai”, kas savukārt bija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pārņemts no Vācijas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Federatīvās Republikas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normatīvajiem aktiem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1E3" w:rsidRPr="00EE1444">
              <w:rPr>
                <w:rFonts w:ascii="Times New Roman" w:hAnsi="Times New Roman" w:cs="Times New Roman"/>
                <w:sz w:val="24"/>
                <w:szCs w:val="24"/>
              </w:rPr>
              <w:t>Turklāt</w:t>
            </w:r>
            <w:r w:rsidR="00FA049F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autoceļu iedalījums</w:t>
            </w:r>
            <w:r w:rsidR="0027713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9F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noteikts likumā </w:t>
            </w:r>
            <w:r w:rsidR="009D2461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A049F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Par autoceļiem”. </w:t>
            </w:r>
          </w:p>
          <w:p w:rsidR="00B75F26" w:rsidRPr="00EE1444" w:rsidRDefault="00B75F26" w:rsidP="001A044C">
            <w:pPr>
              <w:pStyle w:val="ListParagraph"/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EE" w:rsidRPr="00EE1444" w:rsidRDefault="005267EE" w:rsidP="008E2B85">
            <w:pPr>
              <w:pStyle w:val="Default"/>
              <w:numPr>
                <w:ilvl w:val="0"/>
                <w:numId w:val="22"/>
              </w:numPr>
              <w:ind w:right="57"/>
              <w:jc w:val="both"/>
              <w:rPr>
                <w:color w:val="auto"/>
              </w:rPr>
            </w:pPr>
            <w:r w:rsidRPr="00EE1444">
              <w:rPr>
                <w:color w:val="auto"/>
              </w:rPr>
              <w:t>Ap 60</w:t>
            </w:r>
            <w:r w:rsidR="007558AD">
              <w:rPr>
                <w:color w:val="auto"/>
              </w:rPr>
              <w:t> </w:t>
            </w:r>
            <w:r w:rsidRPr="00EE1444">
              <w:rPr>
                <w:color w:val="auto"/>
              </w:rPr>
              <w:t>%</w:t>
            </w:r>
            <w:r w:rsidR="00380624" w:rsidRPr="00EE1444">
              <w:rPr>
                <w:color w:val="auto"/>
              </w:rPr>
              <w:t xml:space="preserve"> pašvaldību ielu sarkanās līnijas </w:t>
            </w:r>
            <w:r w:rsidRPr="00EE1444">
              <w:rPr>
                <w:color w:val="auto"/>
              </w:rPr>
              <w:t xml:space="preserve">ir noteikušas </w:t>
            </w:r>
            <w:r w:rsidR="00380624" w:rsidRPr="00EE1444">
              <w:rPr>
                <w:color w:val="auto"/>
              </w:rPr>
              <w:t xml:space="preserve">savos teritorijas plānojumos, taču aktuāls </w:t>
            </w:r>
            <w:r w:rsidRPr="00EE1444">
              <w:rPr>
                <w:color w:val="auto"/>
              </w:rPr>
              <w:t xml:space="preserve">ir </w:t>
            </w:r>
            <w:r w:rsidR="00380624" w:rsidRPr="00EE1444">
              <w:rPr>
                <w:color w:val="auto"/>
              </w:rPr>
              <w:t>jautājums par šo iepriekš noteikto sarkano līniju tiesisko statusu. Saskaņā ar 2011.</w:t>
            </w:r>
            <w:r w:rsidR="007558AD">
              <w:rPr>
                <w:color w:val="auto"/>
              </w:rPr>
              <w:t> </w:t>
            </w:r>
            <w:r w:rsidR="00380624" w:rsidRPr="00EE1444">
              <w:rPr>
                <w:color w:val="auto"/>
              </w:rPr>
              <w:t>gada 13.</w:t>
            </w:r>
            <w:r w:rsidR="007558AD">
              <w:rPr>
                <w:color w:val="auto"/>
              </w:rPr>
              <w:t> </w:t>
            </w:r>
            <w:r w:rsidR="00380624" w:rsidRPr="00EE1444">
              <w:rPr>
                <w:color w:val="auto"/>
              </w:rPr>
              <w:t>oktobra grozījumiem Aizsargjoslu likumā, tā 13.</w:t>
            </w:r>
            <w:r w:rsidR="007558AD">
              <w:rPr>
                <w:color w:val="auto"/>
              </w:rPr>
              <w:t> </w:t>
            </w:r>
            <w:r w:rsidR="00380624" w:rsidRPr="00EE1444">
              <w:rPr>
                <w:color w:val="auto"/>
              </w:rPr>
              <w:t xml:space="preserve">pantā noteikts, ka ielu sarkanās līnijas nosaka lokālplānojumos un detālplānojumos. </w:t>
            </w:r>
            <w:r w:rsidR="007558AD">
              <w:rPr>
                <w:color w:val="auto"/>
              </w:rPr>
              <w:t>Latvijas Repub</w:t>
            </w:r>
            <w:r w:rsidR="00C10C7B">
              <w:rPr>
                <w:color w:val="auto"/>
              </w:rPr>
              <w:t xml:space="preserve">likas Saeimā </w:t>
            </w:r>
            <w:r w:rsidR="008E2B85" w:rsidRPr="00EE1444">
              <w:rPr>
                <w:color w:val="auto"/>
              </w:rPr>
              <w:t>2016.</w:t>
            </w:r>
            <w:r w:rsidR="00C10C7B">
              <w:rPr>
                <w:color w:val="auto"/>
              </w:rPr>
              <w:t> </w:t>
            </w:r>
            <w:r w:rsidR="008E2B85" w:rsidRPr="00EE1444">
              <w:rPr>
                <w:color w:val="auto"/>
              </w:rPr>
              <w:t>gada 19.</w:t>
            </w:r>
            <w:r w:rsidR="00C10C7B">
              <w:rPr>
                <w:color w:val="auto"/>
              </w:rPr>
              <w:t> </w:t>
            </w:r>
            <w:r w:rsidR="008E2B85" w:rsidRPr="00EE1444">
              <w:rPr>
                <w:color w:val="auto"/>
              </w:rPr>
              <w:t>maijā 3.lasījum</w:t>
            </w:r>
            <w:r w:rsidR="00AE5E08" w:rsidRPr="00EE1444">
              <w:rPr>
                <w:color w:val="auto"/>
              </w:rPr>
              <w:t>ā</w:t>
            </w:r>
            <w:r w:rsidR="008E2B85" w:rsidRPr="00EE1444">
              <w:rPr>
                <w:color w:val="auto"/>
              </w:rPr>
              <w:t xml:space="preserve"> tika apstiprināti grozījumi Aizsargjoslu likumā (Nr.</w:t>
            </w:r>
            <w:r w:rsidR="00C10C7B">
              <w:rPr>
                <w:color w:val="auto"/>
              </w:rPr>
              <w:t> </w:t>
            </w:r>
            <w:r w:rsidR="008E2B85" w:rsidRPr="00EE1444">
              <w:rPr>
                <w:color w:val="auto"/>
              </w:rPr>
              <w:t xml:space="preserve">472/Lp12), kas precizē sarkano līniju definīciju un noteic, ka tās nosaka pilsētās un ciemos normatīvajos aktos noteiktajā kārtībā. </w:t>
            </w:r>
          </w:p>
          <w:p w:rsidR="006B3130" w:rsidRPr="00EE1444" w:rsidRDefault="00AE5E08" w:rsidP="005267EE">
            <w:pPr>
              <w:pStyle w:val="Default"/>
              <w:ind w:left="474" w:right="57"/>
              <w:jc w:val="both"/>
              <w:rPr>
                <w:color w:val="auto"/>
              </w:rPr>
            </w:pPr>
            <w:r w:rsidRPr="00EE1444">
              <w:rPr>
                <w:color w:val="auto"/>
              </w:rPr>
              <w:t xml:space="preserve">       </w:t>
            </w:r>
            <w:r w:rsidR="008E2B85" w:rsidRPr="00EE1444">
              <w:rPr>
                <w:color w:val="auto"/>
              </w:rPr>
              <w:t>Līdz ar to P</w:t>
            </w:r>
            <w:r w:rsidR="00B77DCD" w:rsidRPr="00EE1444">
              <w:rPr>
                <w:color w:val="auto"/>
              </w:rPr>
              <w:t xml:space="preserve">rojektā </w:t>
            </w:r>
            <w:r w:rsidR="00F35BDE" w:rsidRPr="00EE1444">
              <w:rPr>
                <w:color w:val="auto"/>
              </w:rPr>
              <w:t xml:space="preserve">precizēts </w:t>
            </w:r>
            <w:r w:rsidR="00B77DCD" w:rsidRPr="00EE1444">
              <w:rPr>
                <w:color w:val="auto"/>
              </w:rPr>
              <w:t xml:space="preserve">Noteikumu </w:t>
            </w:r>
            <w:r w:rsidR="000C00CD" w:rsidRPr="00EE1444">
              <w:rPr>
                <w:color w:val="auto"/>
              </w:rPr>
              <w:t>90.</w:t>
            </w:r>
            <w:r w:rsidR="00C10C7B">
              <w:rPr>
                <w:color w:val="auto"/>
              </w:rPr>
              <w:t> </w:t>
            </w:r>
            <w:r w:rsidR="000306E1" w:rsidRPr="00EE1444">
              <w:rPr>
                <w:color w:val="auto"/>
              </w:rPr>
              <w:t>punkts</w:t>
            </w:r>
            <w:r w:rsidR="00B77DCD" w:rsidRPr="00EE1444">
              <w:rPr>
                <w:color w:val="auto"/>
              </w:rPr>
              <w:t xml:space="preserve">, </w:t>
            </w:r>
            <w:r w:rsidR="000306E1" w:rsidRPr="00EE1444">
              <w:rPr>
                <w:color w:val="auto"/>
              </w:rPr>
              <w:t>nosakot, ka ielu sarkanās līnijas nos</w:t>
            </w:r>
            <w:r w:rsidR="00311866" w:rsidRPr="00EE1444">
              <w:rPr>
                <w:color w:val="auto"/>
              </w:rPr>
              <w:t>a</w:t>
            </w:r>
            <w:r w:rsidR="000306E1" w:rsidRPr="00EE1444">
              <w:rPr>
                <w:color w:val="auto"/>
              </w:rPr>
              <w:t>ka un attēlo teritorijas plānojumā vai lokālplānojumā</w:t>
            </w:r>
            <w:r w:rsidR="009D2461" w:rsidRPr="00EE1444">
              <w:rPr>
                <w:color w:val="auto"/>
              </w:rPr>
              <w:t>,</w:t>
            </w:r>
            <w:r w:rsidR="000306E1" w:rsidRPr="00EE1444">
              <w:rPr>
                <w:color w:val="auto"/>
              </w:rPr>
              <w:t xml:space="preserve"> vai detālplānojumā. Tas dod iespēju</w:t>
            </w:r>
            <w:r w:rsidR="00B77DCD" w:rsidRPr="00EE1444">
              <w:rPr>
                <w:color w:val="auto"/>
              </w:rPr>
              <w:t xml:space="preserve"> </w:t>
            </w:r>
            <w:r w:rsidR="000306E1" w:rsidRPr="00EE1444">
              <w:rPr>
                <w:color w:val="auto"/>
              </w:rPr>
              <w:t xml:space="preserve">pašvaldībām </w:t>
            </w:r>
            <w:r w:rsidR="00B77DCD" w:rsidRPr="00EE1444">
              <w:rPr>
                <w:color w:val="auto"/>
              </w:rPr>
              <w:t xml:space="preserve">izvērtēt, kurā </w:t>
            </w:r>
            <w:r w:rsidR="000306E1" w:rsidRPr="00EE1444">
              <w:rPr>
                <w:color w:val="auto"/>
              </w:rPr>
              <w:t xml:space="preserve">no šiem </w:t>
            </w:r>
            <w:r w:rsidR="00B77DCD" w:rsidRPr="00EE1444">
              <w:rPr>
                <w:color w:val="auto"/>
              </w:rPr>
              <w:t xml:space="preserve">plānošanas </w:t>
            </w:r>
            <w:r w:rsidR="000306E1" w:rsidRPr="00EE1444">
              <w:rPr>
                <w:color w:val="auto"/>
              </w:rPr>
              <w:t xml:space="preserve">dokumentiem </w:t>
            </w:r>
            <w:r w:rsidR="00B77DCD" w:rsidRPr="00EE1444">
              <w:rPr>
                <w:color w:val="auto"/>
              </w:rPr>
              <w:t>nosakāmas ielu sarkanās līnijas</w:t>
            </w:r>
            <w:r w:rsidR="000C00CD" w:rsidRPr="00EE1444">
              <w:rPr>
                <w:color w:val="auto"/>
              </w:rPr>
              <w:t>, jo situācijas pašvaldībās ir ļoti atšķirīgas, tādēļ nevar vienlīdz mehāniski piemērot visas normas, piemēram, Rīgas pilsētā vai kādā nelielā lauku novadā.</w:t>
            </w:r>
            <w:r w:rsidR="00142E6F" w:rsidRPr="00EE1444">
              <w:rPr>
                <w:color w:val="auto"/>
              </w:rPr>
              <w:t xml:space="preserve"> Vienlaikus svītrots Noteikumu 88.</w:t>
            </w:r>
            <w:r w:rsidR="00C10C7B">
              <w:rPr>
                <w:color w:val="auto"/>
              </w:rPr>
              <w:t> </w:t>
            </w:r>
            <w:r w:rsidR="00142E6F" w:rsidRPr="00EE1444">
              <w:rPr>
                <w:color w:val="auto"/>
              </w:rPr>
              <w:t>punkts, kas praktiski dublēja 91.</w:t>
            </w:r>
            <w:r w:rsidR="00C10C7B">
              <w:rPr>
                <w:color w:val="auto"/>
              </w:rPr>
              <w:t> </w:t>
            </w:r>
            <w:r w:rsidR="00142E6F" w:rsidRPr="00EE1444">
              <w:rPr>
                <w:color w:val="auto"/>
              </w:rPr>
              <w:t>punktu</w:t>
            </w:r>
            <w:r w:rsidR="00B77DCD" w:rsidRPr="00EE1444">
              <w:rPr>
                <w:color w:val="auto"/>
              </w:rPr>
              <w:t>.</w:t>
            </w:r>
            <w:r w:rsidR="00762650" w:rsidRPr="00EE1444">
              <w:rPr>
                <w:color w:val="auto"/>
              </w:rPr>
              <w:t xml:space="preserve"> </w:t>
            </w:r>
            <w:r w:rsidR="005F565F" w:rsidRPr="00EE1444">
              <w:rPr>
                <w:color w:val="auto"/>
              </w:rPr>
              <w:t xml:space="preserve"> </w:t>
            </w:r>
          </w:p>
          <w:p w:rsidR="006B3130" w:rsidRPr="00EE1444" w:rsidRDefault="006B3130" w:rsidP="001A044C">
            <w:pPr>
              <w:pStyle w:val="Default"/>
              <w:ind w:left="474" w:right="57"/>
              <w:jc w:val="both"/>
              <w:rPr>
                <w:color w:val="auto"/>
              </w:rPr>
            </w:pPr>
          </w:p>
          <w:p w:rsidR="00762650" w:rsidRPr="00EE1444" w:rsidRDefault="00762650" w:rsidP="001A044C">
            <w:pPr>
              <w:pStyle w:val="Default"/>
              <w:numPr>
                <w:ilvl w:val="0"/>
                <w:numId w:val="22"/>
              </w:numPr>
              <w:ind w:right="57"/>
              <w:jc w:val="both"/>
              <w:rPr>
                <w:color w:val="auto"/>
              </w:rPr>
            </w:pPr>
            <w:r w:rsidRPr="00EE1444">
              <w:rPr>
                <w:color w:val="auto"/>
              </w:rPr>
              <w:t xml:space="preserve">Pašvaldības </w:t>
            </w:r>
            <w:r w:rsidR="00311866" w:rsidRPr="00EE1444">
              <w:rPr>
                <w:color w:val="auto"/>
              </w:rPr>
              <w:t xml:space="preserve">savos </w:t>
            </w:r>
            <w:r w:rsidRPr="00EE1444">
              <w:rPr>
                <w:color w:val="auto"/>
              </w:rPr>
              <w:t xml:space="preserve">apbūves noteikumos </w:t>
            </w:r>
            <w:r w:rsidR="007721CA" w:rsidRPr="00EE1444">
              <w:rPr>
                <w:color w:val="auto"/>
              </w:rPr>
              <w:t>mēdz ietvert</w:t>
            </w:r>
            <w:r w:rsidRPr="00EE1444">
              <w:rPr>
                <w:color w:val="auto"/>
              </w:rPr>
              <w:t xml:space="preserve"> dažād</w:t>
            </w:r>
            <w:r w:rsidR="00080DA1" w:rsidRPr="00EE1444">
              <w:rPr>
                <w:color w:val="auto"/>
              </w:rPr>
              <w:t>i</w:t>
            </w:r>
            <w:r w:rsidRPr="00EE1444">
              <w:rPr>
                <w:color w:val="auto"/>
              </w:rPr>
              <w:t xml:space="preserve"> </w:t>
            </w:r>
            <w:r w:rsidR="00080DA1" w:rsidRPr="00EE1444">
              <w:rPr>
                <w:color w:val="auto"/>
              </w:rPr>
              <w:t>interpretējamas</w:t>
            </w:r>
            <w:r w:rsidRPr="00EE1444">
              <w:rPr>
                <w:color w:val="auto"/>
              </w:rPr>
              <w:t xml:space="preserve"> </w:t>
            </w:r>
            <w:r w:rsidR="00080DA1" w:rsidRPr="00EE1444">
              <w:rPr>
                <w:color w:val="auto"/>
              </w:rPr>
              <w:t xml:space="preserve">apbūves </w:t>
            </w:r>
            <w:r w:rsidRPr="00EE1444">
              <w:rPr>
                <w:color w:val="auto"/>
              </w:rPr>
              <w:t>augstuma definīcijas</w:t>
            </w:r>
            <w:r w:rsidR="00380624" w:rsidRPr="00EE1444">
              <w:rPr>
                <w:color w:val="auto"/>
              </w:rPr>
              <w:t xml:space="preserve">, līdz ar to tiek </w:t>
            </w:r>
            <w:r w:rsidRPr="00EE1444">
              <w:rPr>
                <w:color w:val="auto"/>
              </w:rPr>
              <w:t>piemēro</w:t>
            </w:r>
            <w:r w:rsidR="00380624" w:rsidRPr="00EE1444">
              <w:rPr>
                <w:color w:val="auto"/>
              </w:rPr>
              <w:t xml:space="preserve">tas arī </w:t>
            </w:r>
            <w:r w:rsidRPr="00EE1444">
              <w:rPr>
                <w:color w:val="auto"/>
              </w:rPr>
              <w:t>atšķirīgas metodes būves augstuma noteikšanai.</w:t>
            </w:r>
            <w:r w:rsidR="006B3130" w:rsidRPr="00EE1444">
              <w:rPr>
                <w:color w:val="auto"/>
              </w:rPr>
              <w:t xml:space="preserve"> </w:t>
            </w:r>
            <w:r w:rsidR="007721CA" w:rsidRPr="00EE1444">
              <w:rPr>
                <w:color w:val="auto"/>
              </w:rPr>
              <w:t>Ar</w:t>
            </w:r>
            <w:r w:rsidR="00311866" w:rsidRPr="00EE1444">
              <w:rPr>
                <w:color w:val="auto"/>
              </w:rPr>
              <w:t xml:space="preserve"> </w:t>
            </w:r>
            <w:r w:rsidR="006B3130" w:rsidRPr="00EE1444">
              <w:rPr>
                <w:color w:val="auto"/>
              </w:rPr>
              <w:t>Projekt</w:t>
            </w:r>
            <w:r w:rsidR="007721CA" w:rsidRPr="00EE1444">
              <w:rPr>
                <w:color w:val="auto"/>
              </w:rPr>
              <w:t>u</w:t>
            </w:r>
            <w:r w:rsidR="006B3130" w:rsidRPr="00EE1444">
              <w:rPr>
                <w:color w:val="auto"/>
              </w:rPr>
              <w:t xml:space="preserve"> </w:t>
            </w:r>
            <w:r w:rsidR="00311866" w:rsidRPr="00EE1444">
              <w:rPr>
                <w:color w:val="auto"/>
              </w:rPr>
              <w:t xml:space="preserve">ir </w:t>
            </w:r>
            <w:r w:rsidR="006B3130" w:rsidRPr="00EE1444">
              <w:rPr>
                <w:color w:val="auto"/>
              </w:rPr>
              <w:t>precizē</w:t>
            </w:r>
            <w:r w:rsidR="00311866" w:rsidRPr="00EE1444">
              <w:rPr>
                <w:color w:val="auto"/>
              </w:rPr>
              <w:t>ts</w:t>
            </w:r>
            <w:r w:rsidR="006B3130" w:rsidRPr="00EE1444">
              <w:rPr>
                <w:color w:val="auto"/>
              </w:rPr>
              <w:t xml:space="preserve"> N</w:t>
            </w:r>
            <w:r w:rsidRPr="00EE1444">
              <w:rPr>
                <w:color w:val="auto"/>
              </w:rPr>
              <w:t>oteikumu 123.</w:t>
            </w:r>
            <w:r w:rsidR="00C10C7B">
              <w:rPr>
                <w:color w:val="auto"/>
              </w:rPr>
              <w:t> </w:t>
            </w:r>
            <w:r w:rsidR="00A94597" w:rsidRPr="00EE1444">
              <w:rPr>
                <w:color w:val="auto"/>
              </w:rPr>
              <w:t>punkt</w:t>
            </w:r>
            <w:r w:rsidR="00311866" w:rsidRPr="00EE1444">
              <w:rPr>
                <w:color w:val="auto"/>
              </w:rPr>
              <w:t>s</w:t>
            </w:r>
            <w:r w:rsidRPr="00EE1444">
              <w:rPr>
                <w:color w:val="auto"/>
              </w:rPr>
              <w:t>,</w:t>
            </w:r>
            <w:r w:rsidR="00A94597" w:rsidRPr="00EE1444">
              <w:rPr>
                <w:color w:val="auto"/>
              </w:rPr>
              <w:t xml:space="preserve"> no</w:t>
            </w:r>
            <w:r w:rsidRPr="00EE1444">
              <w:rPr>
                <w:color w:val="auto"/>
              </w:rPr>
              <w:t>sakot</w:t>
            </w:r>
            <w:r w:rsidR="00A94597" w:rsidRPr="00EE1444">
              <w:rPr>
                <w:color w:val="auto"/>
              </w:rPr>
              <w:t xml:space="preserve"> skaidrus galvenos </w:t>
            </w:r>
            <w:r w:rsidR="00311866" w:rsidRPr="00EE1444">
              <w:rPr>
                <w:color w:val="auto"/>
              </w:rPr>
              <w:t xml:space="preserve">būves augstuma noteikšanas </w:t>
            </w:r>
            <w:r w:rsidR="00A94597" w:rsidRPr="00EE1444">
              <w:rPr>
                <w:color w:val="auto"/>
              </w:rPr>
              <w:t xml:space="preserve">principus </w:t>
            </w:r>
            <w:r w:rsidRPr="00EE1444">
              <w:rPr>
                <w:color w:val="auto"/>
              </w:rPr>
              <w:t xml:space="preserve">un </w:t>
            </w:r>
            <w:r w:rsidR="00311866" w:rsidRPr="00EE1444">
              <w:rPr>
                <w:color w:val="auto"/>
              </w:rPr>
              <w:t>dod</w:t>
            </w:r>
            <w:r w:rsidR="007721CA" w:rsidRPr="00EE1444">
              <w:rPr>
                <w:color w:val="auto"/>
              </w:rPr>
              <w:t>ot</w:t>
            </w:r>
            <w:r w:rsidR="00BB31E3" w:rsidRPr="00EE1444">
              <w:rPr>
                <w:color w:val="auto"/>
              </w:rPr>
              <w:t xml:space="preserve"> </w:t>
            </w:r>
            <w:r w:rsidR="00A94597" w:rsidRPr="00EE1444">
              <w:rPr>
                <w:color w:val="auto"/>
              </w:rPr>
              <w:t>iespēju pašvaldībai tos konkretizēt</w:t>
            </w:r>
            <w:r w:rsidRPr="00EE1444">
              <w:rPr>
                <w:color w:val="auto"/>
              </w:rPr>
              <w:t xml:space="preserve">. </w:t>
            </w:r>
          </w:p>
          <w:p w:rsidR="008E2B85" w:rsidRPr="00EE1444" w:rsidRDefault="008E2B85" w:rsidP="008E2B85">
            <w:pPr>
              <w:pStyle w:val="Default"/>
              <w:ind w:left="474" w:right="57"/>
              <w:jc w:val="both"/>
              <w:rPr>
                <w:color w:val="auto"/>
              </w:rPr>
            </w:pPr>
          </w:p>
          <w:p w:rsidR="006B3130" w:rsidRPr="00EE1444" w:rsidRDefault="000B51FF" w:rsidP="009E03AD">
            <w:pPr>
              <w:pStyle w:val="ListParagraph"/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Analizējot dažādus gadījumus praksē, </w:t>
            </w:r>
            <w:r w:rsidR="00CB79A7" w:rsidRPr="00EE1444">
              <w:rPr>
                <w:rFonts w:ascii="Times New Roman" w:hAnsi="Times New Roman" w:cs="Times New Roman"/>
                <w:sz w:val="24"/>
                <w:szCs w:val="24"/>
              </w:rPr>
              <w:t>konstatē</w:t>
            </w:r>
            <w:r w:rsidR="00BB45DC" w:rsidRPr="00EE1444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CB79A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atsevišķas Noteikumu normas par apbūves augstuma noteikšanu </w:t>
            </w:r>
            <w:r w:rsidR="00BB31E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teritorijās ar 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>tur atļauto papildizmantošanu ir interpretētas gramatiski,</w:t>
            </w:r>
            <w:r w:rsidR="000306E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reizēm radot nepamatotus ierobežojumus.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iemēram, </w:t>
            </w:r>
            <w:r w:rsidR="003D60B1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Mazstāvu dzīvojamās apbūves teritorijās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stāvu skaita ierobežojums līdz trim stāviem tiek attiecināts arī uz papildizmantošanā atļautajām publiskajām ēkām – skolām, birojiem, veselības aizsardzības iestādēm u.c., kas nereti ir četru un vairāk stāvu ēkas. </w:t>
            </w:r>
            <w:r w:rsidR="000306E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Analoģiska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situācija ir arī </w:t>
            </w:r>
            <w:r w:rsidR="00762650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D60B1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audzstāvu dzīvojamās apbūves teritorijās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kur nereti publiskām ēkām tiek piemērota prasība par stāvu skaitu ne mazāku par četriem, lai gan publiskās ēkas (bērnudārzi, veikali u.c.) visbiežāk ir vienstāva vai 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>divstāvu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ēkas. </w:t>
            </w:r>
            <w:r w:rsidR="007866EB" w:rsidRPr="00EE1444">
              <w:rPr>
                <w:rFonts w:ascii="Times New Roman" w:hAnsi="Times New Roman" w:cs="Times New Roman"/>
                <w:sz w:val="24"/>
                <w:szCs w:val="24"/>
              </w:rPr>
              <w:t>Ievērojot</w:t>
            </w:r>
            <w:r w:rsidR="006B313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minēto, N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oteikumi ir papildināti ar </w:t>
            </w:r>
            <w:r w:rsidR="009E03A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jaunu 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punktu, kas</w:t>
            </w:r>
            <w:r w:rsidR="007866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="001A044C"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tiesības noteikt </w:t>
            </w:r>
            <w:r w:rsidR="004868CA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teritorijas plānojumā vai lokālplānojumā </w:t>
            </w:r>
            <w:r w:rsidR="00BB31E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funkcionālās zonas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vai apakšzonas, kur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atsevišķos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papildizmantošan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veidos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pieļaujama apbūves augstuma samazināšana vai palielināšana.</w:t>
            </w:r>
            <w:r w:rsidR="005A709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44C" w:rsidRPr="00EE1444" w:rsidRDefault="001A044C" w:rsidP="0068685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53" w:rsidRPr="00D358F4" w:rsidRDefault="00BB45DC" w:rsidP="00BE35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2650" w:rsidRPr="00D358F4">
              <w:rPr>
                <w:rFonts w:ascii="Times New Roman" w:hAnsi="Times New Roman" w:cs="Times New Roman"/>
                <w:sz w:val="24"/>
                <w:szCs w:val="24"/>
              </w:rPr>
              <w:t>raksē</w:t>
            </w:r>
            <w:r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9E03AD" w:rsidRPr="00D358F4">
              <w:rPr>
                <w:rFonts w:ascii="Times New Roman" w:hAnsi="Times New Roman" w:cs="Times New Roman"/>
                <w:sz w:val="24"/>
                <w:szCs w:val="24"/>
              </w:rPr>
              <w:t>konstatētas</w:t>
            </w:r>
            <w:r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problēmas </w:t>
            </w:r>
            <w:r w:rsidR="009E03AD" w:rsidRPr="00D358F4">
              <w:rPr>
                <w:rFonts w:ascii="Times New Roman" w:hAnsi="Times New Roman" w:cs="Times New Roman"/>
                <w:sz w:val="24"/>
                <w:szCs w:val="24"/>
              </w:rPr>
              <w:t>attiecībā uz</w:t>
            </w:r>
            <w:r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50" w:rsidRPr="00D358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>oteikumu prasīb</w:t>
            </w:r>
            <w:r w:rsidR="00781C34" w:rsidRPr="00D358F4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apbūve</w:t>
            </w:r>
            <w:r w:rsidR="006531DB" w:rsidRPr="00D358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, jo </w:t>
            </w:r>
            <w:r w:rsidR="007C47A0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iepriekš 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C47A0" w:rsidRPr="00D358F4">
              <w:rPr>
                <w:rFonts w:ascii="Times New Roman" w:hAnsi="Times New Roman" w:cs="Times New Roman"/>
                <w:sz w:val="24"/>
                <w:szCs w:val="24"/>
              </w:rPr>
              <w:t>bija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A0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ievērtēti </w:t>
            </w:r>
            <w:r w:rsidR="00CB79A7" w:rsidRPr="00D358F4">
              <w:rPr>
                <w:rFonts w:ascii="Times New Roman" w:hAnsi="Times New Roman" w:cs="Times New Roman"/>
                <w:sz w:val="24"/>
                <w:szCs w:val="24"/>
              </w:rPr>
              <w:t>gadījumi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>, kad būve jāveido kā pārkare, vai tai nepieciešams atrasties uz vairākām zemes vienībām, kā</w:t>
            </w:r>
            <w:r w:rsidR="006B3130" w:rsidRPr="00D3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piemēram</w:t>
            </w:r>
            <w:r w:rsidR="00762650" w:rsidRPr="00D3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dambjiem, moliem, aizsprostiem u.tml.</w:t>
            </w:r>
            <w:r w:rsidR="006531DB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vai arī </w:t>
            </w:r>
            <w:r w:rsidR="006531DB" w:rsidRPr="00D358F4">
              <w:rPr>
                <w:rFonts w:ascii="Times New Roman" w:hAnsi="Times New Roman"/>
                <w:sz w:val="24"/>
                <w:szCs w:val="24"/>
              </w:rPr>
              <w:t>paredzēts izmatot apbūves tiesību ēku būvniecībai uz vairākām zemes vienībām.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F4">
              <w:rPr>
                <w:rFonts w:ascii="Times New Roman" w:hAnsi="Times New Roman" w:cs="Times New Roman"/>
                <w:sz w:val="24"/>
                <w:szCs w:val="24"/>
              </w:rPr>
              <w:t>Tādēļ</w:t>
            </w:r>
            <w:r w:rsidR="00762650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762650" w:rsidRPr="00D358F4">
              <w:rPr>
                <w:rFonts w:ascii="Times New Roman" w:hAnsi="Times New Roman" w:cs="Times New Roman"/>
                <w:sz w:val="24"/>
                <w:szCs w:val="24"/>
              </w:rPr>
              <w:t>atbilstoši precizēts un papildināts Noteikumu</w:t>
            </w:r>
            <w:r w:rsidR="00BE7126" w:rsidRPr="00D3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50" w:rsidRPr="00D358F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  <w:r w:rsidR="00C10C7B" w:rsidRPr="00D3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4156" w:rsidRPr="00D358F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D3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1FF" w:rsidRPr="00EE1444" w:rsidRDefault="000B51FF" w:rsidP="001A04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Lai nodrošinātu Direktīvas</w:t>
            </w:r>
            <w:r w:rsidR="00781C3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>2012/18/ES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prasību </w:t>
            </w:r>
            <w:r w:rsidR="00781C34" w:rsidRPr="00EE1444">
              <w:rPr>
                <w:rFonts w:ascii="Times New Roman" w:hAnsi="Times New Roman" w:cs="Times New Roman"/>
                <w:sz w:val="24"/>
                <w:szCs w:val="24"/>
              </w:rPr>
              <w:t>pārņemšanu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attiecībā uz teritoriju plānošanu </w:t>
            </w:r>
            <w:r w:rsidR="00445706" w:rsidRPr="00EE1444">
              <w:rPr>
                <w:rFonts w:ascii="Times New Roman" w:hAnsi="Times New Roman" w:cs="Times New Roman"/>
                <w:sz w:val="24"/>
                <w:szCs w:val="24"/>
              </w:rPr>
              <w:t>nacionālajā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tiesiskajā regulējumā, </w:t>
            </w:r>
            <w:r w:rsidR="0044570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precizēts Noteikumu 144.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11427A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212.1.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427A" w:rsidRPr="00EE1444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r w:rsidR="00163B1C" w:rsidRPr="00EE1444">
              <w:rPr>
                <w:rFonts w:ascii="Times New Roman" w:hAnsi="Times New Roman" w:cs="Times New Roman"/>
                <w:sz w:val="24"/>
                <w:szCs w:val="24"/>
              </w:rPr>
              <w:t>. Noteikumi papildināti ar jaunu 215.</w:t>
            </w:r>
            <w:r w:rsidR="00163B1C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="00163B1C" w:rsidRPr="00EE1444">
              <w:rPr>
                <w:rFonts w:ascii="Times New Roman" w:hAnsi="Times New Roman" w:cs="Times New Roman"/>
                <w:sz w:val="24"/>
                <w:szCs w:val="24"/>
              </w:rPr>
              <w:t>punktu par minimālo drošības attālumu noteikšanu ap rūpnieciskā avāriju riska objektiem un to ievērošanu arī tajos gadījumos, kad šo objektu tuvumā tiek plānota jauna, cita veida apbūve.</w:t>
            </w:r>
            <w:r w:rsidR="000A1E3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F9" w:rsidRPr="00EE1444">
              <w:rPr>
                <w:rFonts w:ascii="Times New Roman" w:hAnsi="Times New Roman" w:cs="Times New Roman"/>
                <w:sz w:val="24"/>
                <w:szCs w:val="24"/>
              </w:rPr>
              <w:t>Šie drošības attālumi nav saistāmi ar Aizsarg</w:t>
            </w:r>
            <w:r w:rsidR="003D05C0" w:rsidRPr="00EE144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A4CF9" w:rsidRPr="00EE1444">
              <w:rPr>
                <w:rFonts w:ascii="Times New Roman" w:hAnsi="Times New Roman" w:cs="Times New Roman"/>
                <w:sz w:val="24"/>
                <w:szCs w:val="24"/>
              </w:rPr>
              <w:t>oslu likumā noteiktajām drošības aizsargjoslām</w:t>
            </w:r>
            <w:r w:rsidR="003D05C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jo noteikti ar citu mērķi un </w:t>
            </w:r>
            <w:r w:rsidR="007C47A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tie </w:t>
            </w:r>
            <w:r w:rsidR="003D05C0" w:rsidRPr="00EE1444">
              <w:rPr>
                <w:rFonts w:ascii="Times New Roman" w:hAnsi="Times New Roman" w:cs="Times New Roman"/>
                <w:sz w:val="24"/>
                <w:szCs w:val="24"/>
              </w:rPr>
              <w:t>var tikt mainīti atkarībā no ražošanā izmantojamām tehnoloģijām un izejvielām</w:t>
            </w:r>
            <w:r w:rsidR="00A85F19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E3C" w:rsidRPr="00EE1444" w:rsidRDefault="000A1E3C" w:rsidP="000A1E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FF" w:rsidRPr="00EE1444" w:rsidRDefault="000A1E3C" w:rsidP="00ED01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E95B75"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22B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saskaņotu N</w:t>
            </w:r>
            <w:r w:rsidR="00E95B75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oteikumu prasības ar 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>Ūdenssaimniecības pakalpojumu likumu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spēkā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968AE" w:rsidRPr="00EE1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>janvāra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oteikumi papildināti ar </w:t>
            </w:r>
            <w:r w:rsidR="009E03A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jaunu 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urā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notei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kts,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teritorijas plānojumā vai lokālplānojumā norāda</w:t>
            </w:r>
            <w:r w:rsidR="00B56C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teritorijas, kurās obligāti ierīkojamas centralizētas ūdensapgādes un notekūdeņu savākšanas sistēmas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>. Atbilstoši Noteikumu 1.pielikumam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>šīs teritorij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s attēlo kā 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citas teritorijas ar īpašiem noteikumiem” 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TIN1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teritorijas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51FF" w:rsidRPr="00EE1444" w:rsidRDefault="000B51FF" w:rsidP="0068685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9B" w:rsidRPr="00EE1444" w:rsidRDefault="00C40985" w:rsidP="000A1E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Izstrādājot pašvaldības teritorijas plānojuma grafi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sko daļu ar mēroga noteiktību 1:</w:t>
            </w:r>
            <w:r w:rsidR="0080360D" w:rsidRPr="00EE1444">
              <w:rPr>
                <w:rFonts w:ascii="Times New Roman" w:hAnsi="Times New Roman" w:cs="Times New Roman"/>
                <w:sz w:val="24"/>
                <w:szCs w:val="24"/>
              </w:rPr>
              <w:t>10000, nav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iespējams,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pietiek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precīzi noteikt applūstošās teritorijas, jo 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nepieciešama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>detalizēt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160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izpēt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160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>papildu informācij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resurs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>. Tādēļ izstrādājot lokālplānojumus, detālplānojumus vai būvprojektus uz aktuāla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augstas precizitātes topogrāfiskā materiāla, bieži konstatē</w:t>
            </w:r>
            <w:r w:rsidR="007C47A0" w:rsidRPr="00EE1444">
              <w:rPr>
                <w:rFonts w:ascii="Times New Roman" w:hAnsi="Times New Roman" w:cs="Times New Roman"/>
                <w:sz w:val="24"/>
                <w:szCs w:val="24"/>
              </w:rPr>
              <w:t>jama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neatbilstība reālai situācijai. Līdz ar to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oteikumi papildināti ar </w:t>
            </w:r>
            <w:r w:rsidR="003A1B10" w:rsidRPr="00EE1444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  <w:r w:rsidR="003A1B10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punktu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par applūstošo teritoriju precizēšanu lokālplānojumos, detālplānojumos vai būvprojektos. </w:t>
            </w:r>
          </w:p>
          <w:p w:rsidR="00FC579B" w:rsidRPr="00EE1444" w:rsidRDefault="00FC579B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9B" w:rsidRPr="00EE1444" w:rsidRDefault="00FC579B" w:rsidP="000A1E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Noteikumu 234.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B874E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papildināts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5A72E8" w:rsidRPr="00EE1444">
              <w:rPr>
                <w:rFonts w:ascii="Times New Roman" w:hAnsi="Times New Roman" w:cs="Times New Roman"/>
                <w:sz w:val="24"/>
                <w:szCs w:val="24"/>
              </w:rPr>
              <w:t>234.6</w:t>
            </w:r>
            <w:r w:rsidR="005A72E8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>apakšpunktu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kas noteic, ka degradētās teritorijas ir nosakāmas kā teritorijas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īpašiem noteikumiem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>tbilstoši</w:t>
            </w:r>
            <w:r w:rsidR="00A5204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52043" w:rsidRPr="00EE1444">
              <w:rPr>
                <w:rFonts w:ascii="Times New Roman" w:hAnsi="Times New Roman" w:cs="Times New Roman"/>
                <w:sz w:val="24"/>
                <w:szCs w:val="24"/>
              </w:rPr>
              <w:t>papildin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āta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pielikuma otr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tabul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„II.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Teritoriju ar īpašiem noteikumiem attēlošana”.</w:t>
            </w:r>
          </w:p>
          <w:p w:rsidR="00445706" w:rsidRPr="00EE1444" w:rsidRDefault="00445706" w:rsidP="004457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7" w:rsidRPr="00EE1444" w:rsidRDefault="00445706" w:rsidP="0015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Ir svītrots Noteikumu 244.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9E03AD" w:rsidRPr="00EE1444">
              <w:rPr>
                <w:rFonts w:ascii="Times New Roman" w:hAnsi="Times New Roman" w:cs="Times New Roman"/>
                <w:sz w:val="24"/>
                <w:szCs w:val="24"/>
              </w:rPr>
              <w:t>, jo tajā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izvirzītie nosacījumi ir iestrādāti atbilstoši 12.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punktā un 65.4.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apakšpunktā, tādējādi uzlabojot gan šo normu saprotamību, gan Noteikumu struktūru.</w:t>
            </w:r>
          </w:p>
          <w:p w:rsidR="006000C7" w:rsidRPr="00EE1444" w:rsidRDefault="006000C7" w:rsidP="006000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D6" w:rsidRPr="00EE1444" w:rsidRDefault="00445706" w:rsidP="0015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700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papildināts un precizēts N</w:t>
            </w:r>
            <w:r w:rsidR="00511DBC" w:rsidRPr="00EE1444">
              <w:rPr>
                <w:rFonts w:ascii="Times New Roman" w:hAnsi="Times New Roman" w:cs="Times New Roman"/>
                <w:sz w:val="24"/>
                <w:szCs w:val="24"/>
              </w:rPr>
              <w:t>oteikumu 3.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1DBC" w:rsidRPr="00EE1444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jo funkcionālajās zonās noteikto izmantošanas veidu uzskaitījums </w:t>
            </w:r>
            <w:r w:rsidR="003375AF" w:rsidRPr="00EE1444">
              <w:rPr>
                <w:rFonts w:ascii="Times New Roman" w:hAnsi="Times New Roman" w:cs="Times New Roman"/>
                <w:sz w:val="24"/>
                <w:szCs w:val="24"/>
              </w:rPr>
              <w:t>un šo veidu apraksts nebija pietiekoši aptverošs un precīzs.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2579D6" w:rsidRPr="00EE1444" w:rsidRDefault="00C10C7B" w:rsidP="002579D6">
            <w:pPr>
              <w:pStyle w:val="ListParagraph"/>
              <w:tabs>
                <w:tab w:val="left" w:pos="421"/>
              </w:tabs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Noteikumu 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>pielikuma 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 xml:space="preserve">ailē </w:t>
            </w:r>
            <w:r w:rsidR="002579D6" w:rsidRPr="00EE1444">
              <w:rPr>
                <w:rFonts w:ascii="Times New Roman" w:eastAsia="Times New Roman" w:hAnsi="Times New Roman"/>
                <w:i/>
                <w:sz w:val="24"/>
                <w:szCs w:val="24"/>
              </w:rPr>
              <w:t>Teritorijas izmantošanas veida apraksts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 xml:space="preserve"> ir dots </w:t>
            </w:r>
            <w:r w:rsidR="002579D6" w:rsidRPr="00EE1444">
              <w:rPr>
                <w:rFonts w:ascii="Times New Roman" w:hAnsi="Times New Roman"/>
                <w:sz w:val="24"/>
                <w:szCs w:val="24"/>
              </w:rPr>
              <w:t>izmantošanas veidu klāsts, no kura pašvaldība var izvēlēties konkrētus veidus</w:t>
            </w:r>
            <w:r w:rsidR="00793F28" w:rsidRPr="00EE1444">
              <w:rPr>
                <w:rFonts w:ascii="Times New Roman" w:hAnsi="Times New Roman"/>
                <w:sz w:val="24"/>
                <w:szCs w:val="24"/>
              </w:rPr>
              <w:t xml:space="preserve"> atbilstoši katrai situācijai un teritorijai</w:t>
            </w:r>
            <w:r w:rsidR="002579D6" w:rsidRPr="00EE1444">
              <w:rPr>
                <w:rFonts w:ascii="Times New Roman" w:hAnsi="Times New Roman"/>
                <w:sz w:val="24"/>
                <w:szCs w:val="24"/>
              </w:rPr>
              <w:t xml:space="preserve">, taču </w:t>
            </w:r>
            <w:r w:rsidR="00793F28" w:rsidRPr="00EE1444">
              <w:rPr>
                <w:rFonts w:ascii="Times New Roman" w:hAnsi="Times New Roman"/>
                <w:sz w:val="24"/>
                <w:szCs w:val="24"/>
              </w:rPr>
              <w:t>p</w:t>
            </w:r>
            <w:r w:rsidR="002579D6" w:rsidRPr="00EE1444">
              <w:rPr>
                <w:rFonts w:ascii="Times New Roman" w:hAnsi="Times New Roman"/>
                <w:sz w:val="24"/>
                <w:szCs w:val="24"/>
              </w:rPr>
              <w:t>ašvaldība nav tiesīga šo klāstu paplašināt.</w:t>
            </w:r>
          </w:p>
          <w:p w:rsidR="00A94597" w:rsidRPr="00EE1444" w:rsidRDefault="00A94597" w:rsidP="00881069">
            <w:pPr>
              <w:pStyle w:val="ListParagraph"/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4" w:rsidRPr="00EE1444" w:rsidTr="00C83A9A">
        <w:trPr>
          <w:trHeight w:val="310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965" w:rsidRPr="00EE1444" w:rsidRDefault="00B37297" w:rsidP="00793F2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Notikušas konsultācijas ar Vides pārraudzības valsts biroju, Valsts vides dienestu, pašvaldībām, biedrību „Latvijas Teritoriālplānotāju asociācija”, biedrību „Latvijas Arhitektu savienība”, Rīgas pilsētas attīstības departamentu.</w:t>
            </w:r>
          </w:p>
        </w:tc>
      </w:tr>
      <w:tr w:rsidR="00C429E2" w:rsidRPr="00EE1444" w:rsidTr="00C83A9A">
        <w:trPr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F344D" w:rsidRPr="00EE1444" w:rsidRDefault="00CF344D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800965" w:rsidRPr="00EE1444" w:rsidRDefault="00800965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5"/>
        <w:gridCol w:w="3021"/>
        <w:gridCol w:w="6221"/>
      </w:tblGrid>
      <w:tr w:rsidR="00EE1444" w:rsidRPr="00EE1444" w:rsidTr="00541E3B">
        <w:trPr>
          <w:trHeight w:val="37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D358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</w:t>
            </w:r>
            <w:r w:rsidR="009717F4"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EE1444" w:rsidRPr="00EE1444" w:rsidTr="00541E3B">
        <w:trPr>
          <w:trHeight w:val="31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2DB" w:rsidRPr="00EE1444" w:rsidRDefault="007F4857" w:rsidP="00AE5E08">
            <w:pPr>
              <w:spacing w:after="0" w:line="240" w:lineRule="auto"/>
              <w:ind w:left="94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Pašvaldības</w:t>
            </w:r>
            <w:r w:rsidR="00CF4076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izstrādājot un īstenojot teritorijas plānojumus, lokālplānojumus un detālplānojumus, kā arī 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nodrošinot būvniecības procesa tiesiskumu. </w:t>
            </w:r>
          </w:p>
          <w:p w:rsidR="00F122DB" w:rsidRPr="00EE1444" w:rsidRDefault="009717F4" w:rsidP="00AE5E08">
            <w:pPr>
              <w:spacing w:after="0" w:line="240" w:lineRule="auto"/>
              <w:ind w:left="9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Juridiska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un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fiziska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persona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kas plāno vai īsteno sava īpašuma izmantošanu, tai skaitā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:rsidR="00800965" w:rsidRPr="00EE1444" w:rsidRDefault="00F468AE" w:rsidP="00972411">
            <w:pPr>
              <w:spacing w:after="0" w:line="240" w:lineRule="auto"/>
              <w:ind w:left="9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plānotāji, arhitekti un citi eksperti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izstrādā teritorijas plānojumus, lokālplānojumus, detālplānojumus</w:t>
            </w:r>
            <w:r w:rsidR="009717F4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būvprojektus.</w:t>
            </w:r>
          </w:p>
        </w:tc>
      </w:tr>
      <w:tr w:rsidR="00EE1444" w:rsidRPr="00EE1444" w:rsidTr="00541E3B">
        <w:trPr>
          <w:trHeight w:val="34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965" w:rsidRPr="00EE1444" w:rsidRDefault="009717F4" w:rsidP="009724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tautsaimniecību</w:t>
            </w:r>
            <w:r w:rsidR="00AE5E08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sabiedrības grupām un institūcijām</w:t>
            </w:r>
            <w:r w:rsidR="009D2B52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52" w:rsidRPr="00EE1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rojekta tiesiskais regulējums nemaina tiesības un pienākumus, kā arī veicamās darbības.</w:t>
            </w:r>
          </w:p>
        </w:tc>
      </w:tr>
      <w:tr w:rsidR="00EE1444" w:rsidRPr="00EE1444" w:rsidTr="00541E3B">
        <w:trPr>
          <w:trHeight w:val="34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2E18CD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717F4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dministratīvās izmaksas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nemainās.</w:t>
            </w:r>
          </w:p>
        </w:tc>
      </w:tr>
      <w:tr w:rsidR="009717F4" w:rsidRPr="00EE1444" w:rsidTr="00541E3B">
        <w:trPr>
          <w:trHeight w:val="23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9717F4" w:rsidRPr="00EE1444" w:rsidRDefault="009717F4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B81F25" w:rsidRPr="00EE1444" w:rsidRDefault="00B81F25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"/>
        <w:gridCol w:w="2833"/>
        <w:gridCol w:w="6425"/>
      </w:tblGrid>
      <w:tr w:rsidR="00EE1444" w:rsidRPr="00EE1444" w:rsidTr="00AC4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D358F4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</w:t>
            </w:r>
            <w:r w:rsidR="00B81F25"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EE1444" w:rsidRPr="00EE1444" w:rsidTr="00AC423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2012.</w:t>
            </w:r>
            <w:r w:rsidR="00C10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4.</w:t>
            </w:r>
            <w:r w:rsidR="00C10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jūlija Direktīva 2012/18/ES par lielu ar bīstamām vielām saistītu avāriju risku pārvaldību, ar kuru groza un vēlāk atceļ padomes Direktīvu 96/82/EK</w:t>
            </w:r>
          </w:p>
          <w:p w:rsidR="00B81F25" w:rsidRPr="00EE1444" w:rsidRDefault="00B81F25" w:rsidP="00AC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1444" w:rsidRPr="00EE1444" w:rsidTr="00AC423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E1444" w:rsidRPr="00EE1444" w:rsidTr="00AC423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C10C7B" w:rsidP="00AC4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81F25" w:rsidRPr="00EE1444" w:rsidRDefault="00B81F25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E1444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AE5E08" w:rsidRPr="00EE1444" w:rsidRDefault="00AE5E08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81F25" w:rsidRPr="00EE1444" w:rsidRDefault="00B81F25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3"/>
        <w:gridCol w:w="2595"/>
        <w:gridCol w:w="1840"/>
        <w:gridCol w:w="3029"/>
      </w:tblGrid>
      <w:tr w:rsidR="00EE1444" w:rsidRPr="00EE1444" w:rsidTr="00AC423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D35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2012.</w:t>
            </w:r>
            <w:r w:rsidR="002222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4.</w:t>
            </w:r>
            <w:r w:rsidR="002222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jūlija </w:t>
            </w:r>
            <w:r w:rsidR="002222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irektīva 2012/18/ES par lielu ar bīstamām vielām saistītu avāriju risku pārvaldību, ar kuru groza un vēlāk atceļ padomes Direktīvu 96/82/EK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D358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</w:p>
          <w:p w:rsidR="00B81F25" w:rsidRPr="00EE1444" w:rsidRDefault="00D358F4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 </w:t>
            </w:r>
            <w:r w:rsidR="00B81F25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daļa 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D3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  <w:p w:rsidR="00B81F25" w:rsidRPr="00EE1444" w:rsidRDefault="00B81F25" w:rsidP="00AC423B">
            <w:pPr>
              <w:pStyle w:val="ListParagraph"/>
              <w:spacing w:after="0" w:line="240" w:lineRule="auto"/>
              <w:ind w:left="-5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(144.</w:t>
            </w:r>
            <w:r w:rsidR="00D3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punkts) 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Atbilst pilnībā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Nav noteiktas stingrākas prasības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D358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</w:p>
          <w:p w:rsidR="00B81F25" w:rsidRPr="00EE1444" w:rsidRDefault="00D358F4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otrā </w:t>
            </w:r>
            <w:r w:rsidR="00B81F25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D3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 (212.1.</w:t>
            </w:r>
            <w:r w:rsidR="00D3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apakšpunkts)</w:t>
            </w:r>
          </w:p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D3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 </w:t>
            </w:r>
          </w:p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(215.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3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punkts)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Atbilst pilnībā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Nav noteiktas stingrākas prasības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B81F25" w:rsidRPr="00EE1444" w:rsidRDefault="00B81F25" w:rsidP="00AC423B">
            <w:pPr>
              <w:pStyle w:val="NoSpacing"/>
              <w:rPr>
                <w:rFonts w:eastAsia="Times New Roman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Saistības sniegt paziņojumu ES insti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81F25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88106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Anotācijas V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sadaļas 1.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pielikumā neietvertās 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Direktīvas</w:t>
            </w:r>
            <w:r w:rsidRPr="00EE14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2012/18/ES prasības 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pārņemtas Ministru kabineta 2016.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marta noteikumos Nr.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131 „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Rūpniecisko avāriju riska novērtēšanas kārtība un riska samazināšanas pasākumi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B81F25" w:rsidRPr="00EE1444" w:rsidRDefault="00B81F25" w:rsidP="00B81F2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00965" w:rsidRPr="00EE1444" w:rsidRDefault="00800965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7"/>
        <w:gridCol w:w="2924"/>
        <w:gridCol w:w="6316"/>
      </w:tblGrid>
      <w:tr w:rsidR="00EE1444" w:rsidRPr="00EE1444" w:rsidTr="00541E3B">
        <w:trPr>
          <w:trHeight w:val="28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D358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</w:t>
            </w:r>
            <w:r w:rsidR="009717F4"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EE1444" w:rsidRPr="00EE1444" w:rsidTr="00541E3B">
        <w:trPr>
          <w:trHeight w:val="36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B77DCD" w:rsidP="00686854">
            <w:pPr>
              <w:spacing w:line="240" w:lineRule="auto"/>
              <w:ind w:left="57" w:right="57"/>
              <w:jc w:val="both"/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Saskaņā ar Ministru kabineta 2009.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gada 25.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augusta noteikumu Nr.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970 „Sabiedrības līdzdalības kārtība attīstības plānošanas procesā” 7.4.</w:t>
            </w:r>
            <w:r w:rsidRPr="008D21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apakšpunktu sabiedrības pārstāvji ir aicināti līdzdarboties, rakstiski sniedzot viedokli par noteikumu projektu tā izstrādes stadijā. Sabiedrības pārstāvji ir informēti par iespēju līdzdarboties, publicējot paziņoju</w:t>
            </w:r>
            <w:r w:rsidR="00357A99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mu par līdzdalības procesu Vides aizsardzības un reģionālās attīstības ministrijas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tīmekļa vietnē.</w:t>
            </w:r>
          </w:p>
        </w:tc>
      </w:tr>
      <w:tr w:rsidR="00EE1444" w:rsidRPr="00EE1444" w:rsidTr="00541E3B">
        <w:trPr>
          <w:trHeight w:val="2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297" w:rsidRPr="00B37297" w:rsidRDefault="00B37297" w:rsidP="00B3729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B372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Projekts 2015. gada 25. janvārī tika ievietots Vides aizsardzības un reģionālās attīstības ministrijas tīmekļa vietnē: </w:t>
            </w:r>
            <w:hyperlink r:id="rId9" w:history="1">
              <w:r w:rsidRPr="00B37297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lv-LV"/>
                </w:rPr>
                <w:t>www.varam.gov.lv</w:t>
              </w:r>
            </w:hyperlink>
            <w:r w:rsidRPr="00B372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 sabiedriskai apspriešanai.</w:t>
            </w:r>
          </w:p>
          <w:p w:rsidR="00800965" w:rsidRPr="00EE1444" w:rsidRDefault="00B37297" w:rsidP="00B3729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72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Saņemti pašvaldību speciālistu, nozaru ekspertu un iedzīvotāju priekšlikumi, notikušas konsultācijas un viedokļu apmaiņa ar nozares profesionālajām organizācijām - Latvijas arhitektu savienību un Latvijas Teritoriālplānotāju asociāciju.  </w:t>
            </w:r>
          </w:p>
        </w:tc>
      </w:tr>
      <w:tr w:rsidR="00EE1444" w:rsidRPr="00EE1444" w:rsidTr="00541E3B">
        <w:trPr>
          <w:trHeight w:val="31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965" w:rsidRPr="00EE1444" w:rsidRDefault="00B77DCD" w:rsidP="00D358F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Projekta izstrādes gaitā tika saņemti priekšlikumi un komentāri.</w:t>
            </w:r>
            <w:r w:rsidR="002E18CD"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C56D8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saņemtajiem ierosinājumiem un speciālistu ieteikumiem, ir precizēti atsevišķi </w:t>
            </w:r>
            <w:r w:rsidR="00357A9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56D8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punkti.</w:t>
            </w:r>
          </w:p>
        </w:tc>
      </w:tr>
      <w:tr w:rsidR="00EE1444" w:rsidRPr="00EE1444" w:rsidTr="00541E3B">
        <w:trPr>
          <w:trHeight w:val="31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00965" w:rsidRPr="00EE1444" w:rsidRDefault="009717F4" w:rsidP="009717F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E1444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8"/>
        <w:gridCol w:w="3699"/>
        <w:gridCol w:w="5540"/>
      </w:tblGrid>
      <w:tr w:rsidR="00EE1444" w:rsidRPr="00EE1444" w:rsidTr="00541E3B">
        <w:trPr>
          <w:trHeight w:val="2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D358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</w:t>
            </w:r>
            <w:r w:rsidR="009717F4"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EE1444" w:rsidRPr="00EE1444" w:rsidTr="00800965">
        <w:trPr>
          <w:trHeight w:val="28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965" w:rsidRPr="00D358F4" w:rsidRDefault="00115266" w:rsidP="00D358F4">
            <w:pPr>
              <w:pStyle w:val="naisnod"/>
              <w:spacing w:before="0" w:after="0"/>
              <w:ind w:left="57" w:right="57"/>
              <w:jc w:val="left"/>
              <w:rPr>
                <w:b w:val="0"/>
                <w:iCs/>
              </w:rPr>
            </w:pPr>
            <w:r w:rsidRPr="00EE1444">
              <w:rPr>
                <w:b w:val="0"/>
                <w:iCs/>
              </w:rPr>
              <w:t xml:space="preserve">Vides aizsardzības un reģionālās attīstības ministrija, </w:t>
            </w:r>
            <w:r w:rsidR="0099760B" w:rsidRPr="00EE1444">
              <w:rPr>
                <w:b w:val="0"/>
                <w:iCs/>
              </w:rPr>
              <w:t>p</w:t>
            </w:r>
            <w:r w:rsidRPr="00EE1444">
              <w:rPr>
                <w:b w:val="0"/>
                <w:iCs/>
              </w:rPr>
              <w:t>ašvaldības</w:t>
            </w:r>
            <w:r w:rsidR="0099760B" w:rsidRPr="00EE1444">
              <w:rPr>
                <w:b w:val="0"/>
                <w:iCs/>
              </w:rPr>
              <w:t>.</w:t>
            </w:r>
          </w:p>
        </w:tc>
      </w:tr>
      <w:tr w:rsidR="00EE1444" w:rsidRPr="00EE1444" w:rsidTr="00800965">
        <w:trPr>
          <w:trHeight w:val="30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A99" w:rsidRPr="00EE1444" w:rsidRDefault="00B77DCD" w:rsidP="00686854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neparedz jaunu institūciju izveidi, likvidāciju vai reorganizāciju.</w:t>
            </w:r>
          </w:p>
          <w:p w:rsidR="00800965" w:rsidRPr="00D358F4" w:rsidRDefault="00357A99" w:rsidP="00D358F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E1444">
              <w:rPr>
                <w:b w:val="0"/>
              </w:rPr>
              <w:t>Noteikumu projekts neietekmē iesaistīto institūciju funkcijas un uzdevumus.</w:t>
            </w:r>
          </w:p>
        </w:tc>
      </w:tr>
      <w:tr w:rsidR="009717F4" w:rsidRPr="00EE1444" w:rsidTr="00800965">
        <w:trPr>
          <w:trHeight w:val="26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9E3E9F" w:rsidRPr="00EE1444" w:rsidRDefault="009E3E9F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9717F4" w:rsidRPr="00EE1444" w:rsidRDefault="009717F4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  <w:r w:rsidRPr="00EE1444">
        <w:rPr>
          <w:rFonts w:ascii="Times New Roman" w:hAnsi="Times New Roman" w:cs="Times New Roman"/>
          <w:sz w:val="26"/>
          <w:szCs w:val="26"/>
        </w:rPr>
        <w:t>Anotācijas III</w:t>
      </w:r>
      <w:r w:rsidR="00D068E0" w:rsidRPr="00EE1444">
        <w:rPr>
          <w:rFonts w:ascii="Times New Roman" w:hAnsi="Times New Roman" w:cs="Times New Roman"/>
          <w:sz w:val="26"/>
          <w:szCs w:val="26"/>
        </w:rPr>
        <w:t xml:space="preserve"> un </w:t>
      </w:r>
      <w:r w:rsidRPr="00EE1444">
        <w:rPr>
          <w:rFonts w:ascii="Times New Roman" w:hAnsi="Times New Roman" w:cs="Times New Roman"/>
          <w:sz w:val="26"/>
          <w:szCs w:val="26"/>
        </w:rPr>
        <w:t>IV</w:t>
      </w:r>
      <w:r w:rsidR="0022229A">
        <w:rPr>
          <w:rFonts w:ascii="Times New Roman" w:hAnsi="Times New Roman" w:cs="Times New Roman"/>
          <w:sz w:val="26"/>
          <w:szCs w:val="26"/>
        </w:rPr>
        <w:t> </w:t>
      </w:r>
      <w:r w:rsidRPr="00EE1444">
        <w:rPr>
          <w:rFonts w:ascii="Times New Roman" w:hAnsi="Times New Roman" w:cs="Times New Roman"/>
          <w:sz w:val="26"/>
          <w:szCs w:val="26"/>
        </w:rPr>
        <w:t xml:space="preserve">sadaļa - projekts šīs jomas neskar. </w:t>
      </w:r>
    </w:p>
    <w:p w:rsidR="009E3E9F" w:rsidRPr="00EE1444" w:rsidRDefault="00D50CF4" w:rsidP="009717F4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EE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B7" w:rsidRPr="00EE1444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44">
        <w:rPr>
          <w:rFonts w:ascii="Times New Roman" w:hAnsi="Times New Roman" w:cs="Times New Roman"/>
          <w:sz w:val="24"/>
          <w:szCs w:val="24"/>
        </w:rPr>
        <w:t xml:space="preserve">Ministru prezidents </w:t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="00CF344D" w:rsidRPr="00EE1444">
        <w:rPr>
          <w:rFonts w:ascii="Times New Roman" w:hAnsi="Times New Roman" w:cs="Times New Roman"/>
          <w:sz w:val="24"/>
          <w:szCs w:val="24"/>
        </w:rPr>
        <w:t>M</w:t>
      </w:r>
      <w:r w:rsidRPr="00EE1444">
        <w:rPr>
          <w:rFonts w:ascii="Times New Roman" w:hAnsi="Times New Roman" w:cs="Times New Roman"/>
          <w:sz w:val="24"/>
          <w:szCs w:val="24"/>
        </w:rPr>
        <w:t>.</w:t>
      </w:r>
      <w:r w:rsidR="0022229A">
        <w:rPr>
          <w:rFonts w:ascii="Times New Roman" w:hAnsi="Times New Roman" w:cs="Times New Roman"/>
          <w:sz w:val="24"/>
          <w:szCs w:val="24"/>
        </w:rPr>
        <w:t> </w:t>
      </w:r>
      <w:r w:rsidR="00CF344D" w:rsidRPr="00EE1444">
        <w:rPr>
          <w:rFonts w:ascii="Times New Roman" w:hAnsi="Times New Roman" w:cs="Times New Roman"/>
          <w:sz w:val="24"/>
          <w:szCs w:val="24"/>
        </w:rPr>
        <w:t>Kučinskis</w:t>
      </w:r>
    </w:p>
    <w:p w:rsidR="000967B7" w:rsidRPr="00EE1444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7B7" w:rsidRPr="00EE1444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44">
        <w:rPr>
          <w:rFonts w:ascii="Times New Roman" w:hAnsi="Times New Roman" w:cs="Times New Roman"/>
          <w:sz w:val="24"/>
          <w:szCs w:val="24"/>
        </w:rPr>
        <w:t xml:space="preserve">Vides aizsardzības un </w:t>
      </w:r>
      <w:r w:rsidRPr="00EE1444">
        <w:rPr>
          <w:rFonts w:ascii="Times New Roman" w:hAnsi="Times New Roman" w:cs="Times New Roman"/>
          <w:sz w:val="24"/>
          <w:szCs w:val="24"/>
        </w:rPr>
        <w:br/>
        <w:t xml:space="preserve">reģionālās attīstības ministrs </w:t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  <w:t>K.</w:t>
      </w:r>
      <w:r w:rsidR="0022229A">
        <w:rPr>
          <w:rFonts w:ascii="Times New Roman" w:hAnsi="Times New Roman" w:cs="Times New Roman"/>
          <w:sz w:val="24"/>
          <w:szCs w:val="24"/>
        </w:rPr>
        <w:t> </w:t>
      </w:r>
      <w:r w:rsidRPr="00EE1444">
        <w:rPr>
          <w:rFonts w:ascii="Times New Roman" w:hAnsi="Times New Roman" w:cs="Times New Roman"/>
          <w:sz w:val="24"/>
          <w:szCs w:val="24"/>
        </w:rPr>
        <w:t>Gerhards</w:t>
      </w:r>
    </w:p>
    <w:p w:rsidR="000967B7" w:rsidRPr="00EE1444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46A" w:rsidRPr="00EE1444" w:rsidRDefault="00E4446A" w:rsidP="00E44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44">
        <w:rPr>
          <w:rFonts w:ascii="Times New Roman" w:hAnsi="Times New Roman" w:cs="Times New Roman"/>
          <w:sz w:val="24"/>
          <w:szCs w:val="24"/>
        </w:rPr>
        <w:t>Vīza:</w:t>
      </w:r>
    </w:p>
    <w:p w:rsidR="000967B7" w:rsidRPr="00EE1444" w:rsidRDefault="00CF4076" w:rsidP="00E44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44">
        <w:rPr>
          <w:rFonts w:ascii="Times New Roman" w:hAnsi="Times New Roman" w:cs="Times New Roman"/>
          <w:sz w:val="24"/>
          <w:szCs w:val="24"/>
        </w:rPr>
        <w:t>valsts sekretār</w:t>
      </w:r>
      <w:r w:rsidR="00E4446A" w:rsidRPr="00EE1444">
        <w:rPr>
          <w:rFonts w:ascii="Times New Roman" w:hAnsi="Times New Roman" w:cs="Times New Roman"/>
          <w:sz w:val="24"/>
          <w:szCs w:val="24"/>
        </w:rPr>
        <w:t>s                                                            R.</w:t>
      </w:r>
      <w:r w:rsidR="0022229A">
        <w:rPr>
          <w:rFonts w:ascii="Times New Roman" w:hAnsi="Times New Roman" w:cs="Times New Roman"/>
          <w:sz w:val="24"/>
          <w:szCs w:val="24"/>
        </w:rPr>
        <w:t> </w:t>
      </w:r>
      <w:r w:rsidR="00E4446A" w:rsidRPr="00EE1444">
        <w:rPr>
          <w:rFonts w:ascii="Times New Roman" w:hAnsi="Times New Roman" w:cs="Times New Roman"/>
          <w:sz w:val="24"/>
          <w:szCs w:val="24"/>
        </w:rPr>
        <w:t>Muciņš</w:t>
      </w:r>
    </w:p>
    <w:p w:rsidR="000967B7" w:rsidRPr="00EE1444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7B7" w:rsidRPr="008D2179" w:rsidRDefault="006000C7" w:rsidP="000967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2179">
        <w:rPr>
          <w:rFonts w:ascii="Times New Roman" w:hAnsi="Times New Roman" w:cs="Times New Roman"/>
          <w:sz w:val="20"/>
          <w:szCs w:val="20"/>
        </w:rPr>
        <w:t>0</w:t>
      </w:r>
      <w:r w:rsidR="00F45239">
        <w:rPr>
          <w:rFonts w:ascii="Times New Roman" w:hAnsi="Times New Roman" w:cs="Times New Roman"/>
          <w:sz w:val="20"/>
          <w:szCs w:val="20"/>
        </w:rPr>
        <w:t>6</w:t>
      </w:r>
      <w:r w:rsidR="008E1C39" w:rsidRPr="008D2179">
        <w:rPr>
          <w:rFonts w:ascii="Times New Roman" w:hAnsi="Times New Roman" w:cs="Times New Roman"/>
          <w:sz w:val="20"/>
          <w:szCs w:val="20"/>
        </w:rPr>
        <w:t>.0</w:t>
      </w:r>
      <w:r w:rsidRPr="008D2179">
        <w:rPr>
          <w:rFonts w:ascii="Times New Roman" w:hAnsi="Times New Roman" w:cs="Times New Roman"/>
          <w:sz w:val="20"/>
          <w:szCs w:val="20"/>
        </w:rPr>
        <w:t>9</w:t>
      </w:r>
      <w:r w:rsidR="000967B7" w:rsidRPr="008D2179">
        <w:rPr>
          <w:rFonts w:ascii="Times New Roman" w:hAnsi="Times New Roman" w:cs="Times New Roman"/>
          <w:sz w:val="20"/>
          <w:szCs w:val="20"/>
        </w:rPr>
        <w:t>.</w:t>
      </w:r>
      <w:r w:rsidR="008E1C39" w:rsidRPr="008D2179">
        <w:rPr>
          <w:rFonts w:ascii="Times New Roman" w:hAnsi="Times New Roman" w:cs="Times New Roman"/>
          <w:sz w:val="20"/>
          <w:szCs w:val="20"/>
        </w:rPr>
        <w:t>2016</w:t>
      </w:r>
      <w:r w:rsidR="000967B7" w:rsidRPr="008D2179">
        <w:rPr>
          <w:rFonts w:ascii="Times New Roman" w:hAnsi="Times New Roman" w:cs="Times New Roman"/>
          <w:sz w:val="20"/>
          <w:szCs w:val="20"/>
        </w:rPr>
        <w:t>.</w:t>
      </w:r>
    </w:p>
    <w:p w:rsidR="000967B7" w:rsidRPr="008D2179" w:rsidRDefault="00B37297" w:rsidP="000967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2389</w:t>
      </w:r>
    </w:p>
    <w:p w:rsidR="000967B7" w:rsidRPr="008D2179" w:rsidRDefault="000967B7" w:rsidP="000967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2179">
        <w:rPr>
          <w:rFonts w:ascii="Times New Roman" w:hAnsi="Times New Roman" w:cs="Times New Roman"/>
          <w:sz w:val="20"/>
          <w:szCs w:val="20"/>
        </w:rPr>
        <w:t>I.</w:t>
      </w:r>
      <w:r w:rsidR="0022229A">
        <w:rPr>
          <w:rFonts w:ascii="Times New Roman" w:hAnsi="Times New Roman" w:cs="Times New Roman"/>
          <w:sz w:val="20"/>
          <w:szCs w:val="20"/>
        </w:rPr>
        <w:t> </w:t>
      </w:r>
      <w:r w:rsidRPr="008D2179">
        <w:rPr>
          <w:rFonts w:ascii="Times New Roman" w:hAnsi="Times New Roman" w:cs="Times New Roman"/>
          <w:sz w:val="20"/>
          <w:szCs w:val="20"/>
        </w:rPr>
        <w:t>Valdmane</w:t>
      </w:r>
    </w:p>
    <w:p w:rsidR="000967B7" w:rsidRPr="00EE1444" w:rsidRDefault="000967B7" w:rsidP="008D2179">
      <w:pPr>
        <w:pStyle w:val="NoSpacing"/>
      </w:pPr>
      <w:r w:rsidRPr="008D2179">
        <w:rPr>
          <w:rFonts w:ascii="Times New Roman" w:hAnsi="Times New Roman" w:cs="Times New Roman"/>
          <w:sz w:val="20"/>
          <w:szCs w:val="20"/>
        </w:rPr>
        <w:t xml:space="preserve">67026921, </w:t>
      </w:r>
      <w:hyperlink r:id="rId10" w:history="1">
        <w:r w:rsidRPr="008D217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ilma.valdmane@varam.gov.lv</w:t>
        </w:r>
      </w:hyperlink>
    </w:p>
    <w:sectPr w:rsidR="000967B7" w:rsidRPr="00EE1444" w:rsidSect="00977AF6">
      <w:headerReference w:type="default" r:id="rId11"/>
      <w:footerReference w:type="default" r:id="rId12"/>
      <w:footerReference w:type="first" r:id="rId13"/>
      <w:pgSz w:w="11906" w:h="16838"/>
      <w:pgMar w:top="1134" w:right="851" w:bottom="851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D6" w:rsidRDefault="00D93BD6" w:rsidP="00AA4FE2">
      <w:pPr>
        <w:spacing w:after="0" w:line="240" w:lineRule="auto"/>
      </w:pPr>
      <w:r>
        <w:separator/>
      </w:r>
    </w:p>
  </w:endnote>
  <w:endnote w:type="continuationSeparator" w:id="0">
    <w:p w:rsidR="00D93BD6" w:rsidRDefault="00D93BD6" w:rsidP="00AA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34" w:rsidRPr="00374D4B" w:rsidRDefault="00781C34" w:rsidP="00374D4B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374D4B">
      <w:rPr>
        <w:rFonts w:ascii="Times New Roman" w:hAnsi="Times New Roman" w:cs="Times New Roman"/>
        <w:sz w:val="18"/>
        <w:szCs w:val="18"/>
      </w:rPr>
      <w:t>VARAManot_</w:t>
    </w:r>
    <w:r w:rsidR="006A3953">
      <w:rPr>
        <w:rFonts w:ascii="Times New Roman" w:hAnsi="Times New Roman" w:cs="Times New Roman"/>
        <w:sz w:val="18"/>
        <w:szCs w:val="18"/>
      </w:rPr>
      <w:t>0</w:t>
    </w:r>
    <w:r w:rsidR="00343EFD">
      <w:rPr>
        <w:rFonts w:ascii="Times New Roman" w:hAnsi="Times New Roman" w:cs="Times New Roman"/>
        <w:sz w:val="18"/>
        <w:szCs w:val="18"/>
      </w:rPr>
      <w:t>6</w:t>
    </w:r>
    <w:r w:rsidR="006A3953">
      <w:rPr>
        <w:rFonts w:ascii="Times New Roman" w:hAnsi="Times New Roman" w:cs="Times New Roman"/>
        <w:sz w:val="18"/>
        <w:szCs w:val="18"/>
      </w:rPr>
      <w:t>09</w:t>
    </w:r>
    <w:r w:rsidR="008E2B85">
      <w:rPr>
        <w:rFonts w:ascii="Times New Roman" w:hAnsi="Times New Roman" w:cs="Times New Roman"/>
        <w:sz w:val="18"/>
        <w:szCs w:val="18"/>
      </w:rPr>
      <w:t>16</w:t>
    </w:r>
    <w:r w:rsidRPr="00374D4B">
      <w:rPr>
        <w:rFonts w:ascii="Times New Roman" w:hAnsi="Times New Roman" w:cs="Times New Roman"/>
        <w:sz w:val="18"/>
        <w:szCs w:val="18"/>
      </w:rPr>
      <w:t>; Ministru kabineta noteikumu projekts „Grozījumi Ministru kabineta 2013. gada 30. aprīļa noteikumos Nr.</w:t>
    </w:r>
    <w:r w:rsidR="00C10C7B">
      <w:rPr>
        <w:rFonts w:ascii="Times New Roman" w:hAnsi="Times New Roman" w:cs="Times New Roman"/>
        <w:sz w:val="18"/>
        <w:szCs w:val="18"/>
      </w:rPr>
      <w:t> </w:t>
    </w:r>
    <w:r w:rsidRPr="00374D4B">
      <w:rPr>
        <w:rFonts w:ascii="Times New Roman" w:hAnsi="Times New Roman" w:cs="Times New Roman"/>
        <w:sz w:val="18"/>
        <w:szCs w:val="18"/>
      </w:rPr>
      <w:t>240 „Vispārīgie teritorijas plānošanas, izmantošanas un apbūves noteikumi”” sākotnējās ietekmes novērtējuma ziņojums (anotācija)</w:t>
    </w:r>
  </w:p>
  <w:p w:rsidR="00781C34" w:rsidRPr="00374D4B" w:rsidRDefault="00781C34" w:rsidP="00374D4B">
    <w:pPr>
      <w:pStyle w:val="Footer"/>
      <w:rPr>
        <w:rFonts w:ascii="Times New Roman" w:hAnsi="Times New Roman" w:cs="Times New Roman"/>
        <w:sz w:val="18"/>
        <w:szCs w:val="18"/>
      </w:rPr>
    </w:pPr>
  </w:p>
  <w:p w:rsidR="00781C34" w:rsidRPr="00374D4B" w:rsidRDefault="00781C34" w:rsidP="00374D4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34" w:rsidRPr="00374D4B" w:rsidRDefault="00781C34" w:rsidP="00374D4B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374D4B">
      <w:rPr>
        <w:rFonts w:ascii="Times New Roman" w:hAnsi="Times New Roman" w:cs="Times New Roman"/>
        <w:sz w:val="18"/>
        <w:szCs w:val="18"/>
      </w:rPr>
      <w:t>VARAManot_</w:t>
    </w:r>
    <w:r w:rsidR="006A3953">
      <w:rPr>
        <w:rFonts w:ascii="Times New Roman" w:hAnsi="Times New Roman" w:cs="Times New Roman"/>
        <w:sz w:val="18"/>
        <w:szCs w:val="18"/>
      </w:rPr>
      <w:t>0</w:t>
    </w:r>
    <w:r w:rsidR="00343EFD">
      <w:rPr>
        <w:rFonts w:ascii="Times New Roman" w:hAnsi="Times New Roman" w:cs="Times New Roman"/>
        <w:sz w:val="18"/>
        <w:szCs w:val="18"/>
      </w:rPr>
      <w:t>6</w:t>
    </w:r>
    <w:r w:rsidR="006A3953">
      <w:rPr>
        <w:rFonts w:ascii="Times New Roman" w:hAnsi="Times New Roman" w:cs="Times New Roman"/>
        <w:sz w:val="18"/>
        <w:szCs w:val="18"/>
      </w:rPr>
      <w:t>09</w:t>
    </w:r>
    <w:r w:rsidR="008E2B85">
      <w:rPr>
        <w:rFonts w:ascii="Times New Roman" w:hAnsi="Times New Roman" w:cs="Times New Roman"/>
        <w:sz w:val="18"/>
        <w:szCs w:val="18"/>
      </w:rPr>
      <w:t>16</w:t>
    </w:r>
    <w:r w:rsidRPr="00374D4B">
      <w:rPr>
        <w:rFonts w:ascii="Times New Roman" w:hAnsi="Times New Roman" w:cs="Times New Roman"/>
        <w:sz w:val="18"/>
        <w:szCs w:val="18"/>
      </w:rPr>
      <w:t>; Ministru kabineta noteikumu projekt</w:t>
    </w:r>
    <w:r w:rsidR="00357A99">
      <w:rPr>
        <w:rFonts w:ascii="Times New Roman" w:hAnsi="Times New Roman" w:cs="Times New Roman"/>
        <w:sz w:val="18"/>
        <w:szCs w:val="18"/>
      </w:rPr>
      <w:t>a</w:t>
    </w:r>
    <w:r w:rsidRPr="00374D4B">
      <w:rPr>
        <w:rFonts w:ascii="Times New Roman" w:hAnsi="Times New Roman" w:cs="Times New Roman"/>
        <w:sz w:val="18"/>
        <w:szCs w:val="18"/>
      </w:rPr>
      <w:t xml:space="preserve"> „Grozījumi Ministru kabineta 2013. gada 30. aprīļa noteikumos Nr.240 „Vispārīgie teritorijas plānošanas, izmantošanas un apbūves noteikumi”” sākotnējās ietekmes novērtējuma ziņojums (anotācija)</w:t>
    </w:r>
  </w:p>
  <w:p w:rsidR="00781C34" w:rsidRPr="00775DDC" w:rsidRDefault="00781C34" w:rsidP="00775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D6" w:rsidRDefault="00D93BD6" w:rsidP="00AA4FE2">
      <w:pPr>
        <w:spacing w:after="0" w:line="240" w:lineRule="auto"/>
      </w:pPr>
      <w:r>
        <w:separator/>
      </w:r>
    </w:p>
  </w:footnote>
  <w:footnote w:type="continuationSeparator" w:id="0">
    <w:p w:rsidR="00D93BD6" w:rsidRDefault="00D93BD6" w:rsidP="00AA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955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1C34" w:rsidRDefault="0069269D">
        <w:pPr>
          <w:pStyle w:val="Header"/>
          <w:jc w:val="center"/>
        </w:pPr>
        <w:r>
          <w:fldChar w:fldCharType="begin"/>
        </w:r>
        <w:r w:rsidR="0085238D">
          <w:instrText xml:space="preserve"> PAGE   \* MERGEFORMAT </w:instrText>
        </w:r>
        <w:r>
          <w:fldChar w:fldCharType="separate"/>
        </w:r>
        <w:r w:rsidR="00AB49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1C34" w:rsidRDefault="00781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A28"/>
    <w:multiLevelType w:val="hybridMultilevel"/>
    <w:tmpl w:val="B9604FF0"/>
    <w:lvl w:ilvl="0" w:tplc="083C3B22">
      <w:start w:val="1"/>
      <w:numFmt w:val="decimal"/>
      <w:lvlText w:val="%1)"/>
      <w:lvlJc w:val="left"/>
      <w:pPr>
        <w:ind w:left="417" w:hanging="360"/>
      </w:pPr>
      <w:rPr>
        <w:rFonts w:eastAsia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A9F2BA2"/>
    <w:multiLevelType w:val="hybridMultilevel"/>
    <w:tmpl w:val="0F8CCAEA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B49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053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0EAC"/>
    <w:multiLevelType w:val="hybridMultilevel"/>
    <w:tmpl w:val="278209D2"/>
    <w:lvl w:ilvl="0" w:tplc="43044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35E71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77B"/>
    <w:multiLevelType w:val="hybridMultilevel"/>
    <w:tmpl w:val="40E851EE"/>
    <w:lvl w:ilvl="0" w:tplc="689807B6">
      <w:start w:val="1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2D222039"/>
    <w:multiLevelType w:val="hybridMultilevel"/>
    <w:tmpl w:val="B9604FF0"/>
    <w:lvl w:ilvl="0" w:tplc="083C3B22">
      <w:start w:val="1"/>
      <w:numFmt w:val="decimal"/>
      <w:lvlText w:val="%1)"/>
      <w:lvlJc w:val="left"/>
      <w:pPr>
        <w:ind w:left="417" w:hanging="360"/>
      </w:pPr>
      <w:rPr>
        <w:rFonts w:eastAsia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DE270C5"/>
    <w:multiLevelType w:val="hybridMultilevel"/>
    <w:tmpl w:val="39C488A8"/>
    <w:lvl w:ilvl="0" w:tplc="A8D6873E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E7164A6"/>
    <w:multiLevelType w:val="hybridMultilevel"/>
    <w:tmpl w:val="B3461C58"/>
    <w:lvl w:ilvl="0" w:tplc="298ADA84">
      <w:start w:val="1"/>
      <w:numFmt w:val="lowerLetter"/>
      <w:lvlText w:val="%1)"/>
      <w:lvlJc w:val="left"/>
      <w:pPr>
        <w:ind w:left="41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EAB1312"/>
    <w:multiLevelType w:val="multilevel"/>
    <w:tmpl w:val="E5DAA3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275CE7"/>
    <w:multiLevelType w:val="multilevel"/>
    <w:tmpl w:val="C7046B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2">
    <w:nsid w:val="36970E43"/>
    <w:multiLevelType w:val="hybridMultilevel"/>
    <w:tmpl w:val="91562B40"/>
    <w:lvl w:ilvl="0" w:tplc="A8D6873E">
      <w:start w:val="1"/>
      <w:numFmt w:val="decimal"/>
      <w:lvlText w:val="%1."/>
      <w:lvlJc w:val="left"/>
      <w:pPr>
        <w:ind w:left="47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9BA6051"/>
    <w:multiLevelType w:val="hybridMultilevel"/>
    <w:tmpl w:val="AD9A9B92"/>
    <w:lvl w:ilvl="0" w:tplc="042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9F34DB3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637B5"/>
    <w:multiLevelType w:val="hybridMultilevel"/>
    <w:tmpl w:val="EB2A6CCA"/>
    <w:lvl w:ilvl="0" w:tplc="577EF16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07A66"/>
    <w:multiLevelType w:val="hybridMultilevel"/>
    <w:tmpl w:val="278209D2"/>
    <w:lvl w:ilvl="0" w:tplc="43044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76929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24FAA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A10C1"/>
    <w:multiLevelType w:val="hybridMultilevel"/>
    <w:tmpl w:val="90DA7B30"/>
    <w:lvl w:ilvl="0" w:tplc="D8FA9BEE">
      <w:start w:val="1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52825"/>
    <w:multiLevelType w:val="hybridMultilevel"/>
    <w:tmpl w:val="75E446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50C22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C5345"/>
    <w:multiLevelType w:val="hybridMultilevel"/>
    <w:tmpl w:val="0CF0C578"/>
    <w:lvl w:ilvl="0" w:tplc="A8D6873E">
      <w:start w:val="1"/>
      <w:numFmt w:val="decimal"/>
      <w:lvlText w:val="%1."/>
      <w:lvlJc w:val="left"/>
      <w:pPr>
        <w:ind w:left="47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B660345"/>
    <w:multiLevelType w:val="hybridMultilevel"/>
    <w:tmpl w:val="41886C1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B7094C"/>
    <w:multiLevelType w:val="hybridMultilevel"/>
    <w:tmpl w:val="00DC4C70"/>
    <w:lvl w:ilvl="0" w:tplc="D90E99E2">
      <w:start w:val="2"/>
      <w:numFmt w:val="decimal"/>
      <w:lvlText w:val="%1"/>
      <w:lvlJc w:val="left"/>
      <w:pPr>
        <w:ind w:left="41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3"/>
  </w:num>
  <w:num w:numId="9">
    <w:abstractNumId w:val="20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15"/>
  </w:num>
  <w:num w:numId="15">
    <w:abstractNumId w:val="1"/>
  </w:num>
  <w:num w:numId="16">
    <w:abstractNumId w:val="19"/>
  </w:num>
  <w:num w:numId="17">
    <w:abstractNumId w:val="18"/>
  </w:num>
  <w:num w:numId="18">
    <w:abstractNumId w:val="21"/>
  </w:num>
  <w:num w:numId="19">
    <w:abstractNumId w:val="5"/>
  </w:num>
  <w:num w:numId="20">
    <w:abstractNumId w:val="2"/>
  </w:num>
  <w:num w:numId="21">
    <w:abstractNumId w:val="8"/>
  </w:num>
  <w:num w:numId="22">
    <w:abstractNumId w:val="22"/>
  </w:num>
  <w:num w:numId="23">
    <w:abstractNumId w:val="2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hideSpellingErrors/>
  <w:hideGrammaticalErrors/>
  <w:revisionView w:markup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4"/>
    <w:rsid w:val="00016922"/>
    <w:rsid w:val="00023122"/>
    <w:rsid w:val="00026350"/>
    <w:rsid w:val="000303EC"/>
    <w:rsid w:val="000306E1"/>
    <w:rsid w:val="00034A66"/>
    <w:rsid w:val="00060918"/>
    <w:rsid w:val="0007482B"/>
    <w:rsid w:val="00080DA1"/>
    <w:rsid w:val="00083924"/>
    <w:rsid w:val="000967B7"/>
    <w:rsid w:val="000A1E3C"/>
    <w:rsid w:val="000B4B7F"/>
    <w:rsid w:val="000B51FF"/>
    <w:rsid w:val="000B798F"/>
    <w:rsid w:val="000C00CD"/>
    <w:rsid w:val="000D57D9"/>
    <w:rsid w:val="000E1602"/>
    <w:rsid w:val="000F61EB"/>
    <w:rsid w:val="000F65E5"/>
    <w:rsid w:val="00101F8D"/>
    <w:rsid w:val="00103F5E"/>
    <w:rsid w:val="00111213"/>
    <w:rsid w:val="0011427A"/>
    <w:rsid w:val="00115266"/>
    <w:rsid w:val="00120CD7"/>
    <w:rsid w:val="00120FBD"/>
    <w:rsid w:val="00123243"/>
    <w:rsid w:val="00130B37"/>
    <w:rsid w:val="00131CC1"/>
    <w:rsid w:val="0013572C"/>
    <w:rsid w:val="001357AF"/>
    <w:rsid w:val="0014298D"/>
    <w:rsid w:val="00142E6F"/>
    <w:rsid w:val="00143F33"/>
    <w:rsid w:val="00147054"/>
    <w:rsid w:val="001560A2"/>
    <w:rsid w:val="00157952"/>
    <w:rsid w:val="00163B1C"/>
    <w:rsid w:val="0016711F"/>
    <w:rsid w:val="001800B0"/>
    <w:rsid w:val="00182344"/>
    <w:rsid w:val="00190BF2"/>
    <w:rsid w:val="00195F38"/>
    <w:rsid w:val="00197F87"/>
    <w:rsid w:val="001A044C"/>
    <w:rsid w:val="001B7003"/>
    <w:rsid w:val="001B7A1C"/>
    <w:rsid w:val="001E770E"/>
    <w:rsid w:val="00204BFB"/>
    <w:rsid w:val="00206C34"/>
    <w:rsid w:val="002102DC"/>
    <w:rsid w:val="00212B97"/>
    <w:rsid w:val="00217BEA"/>
    <w:rsid w:val="00217CE5"/>
    <w:rsid w:val="0022229A"/>
    <w:rsid w:val="00236FF7"/>
    <w:rsid w:val="00244834"/>
    <w:rsid w:val="002449DB"/>
    <w:rsid w:val="00253AC1"/>
    <w:rsid w:val="002579D6"/>
    <w:rsid w:val="0026621D"/>
    <w:rsid w:val="002759DE"/>
    <w:rsid w:val="0027713D"/>
    <w:rsid w:val="002859A4"/>
    <w:rsid w:val="0029233A"/>
    <w:rsid w:val="002929FC"/>
    <w:rsid w:val="00295D90"/>
    <w:rsid w:val="002A327F"/>
    <w:rsid w:val="002B2A3B"/>
    <w:rsid w:val="002D0528"/>
    <w:rsid w:val="002D0D06"/>
    <w:rsid w:val="002D52F7"/>
    <w:rsid w:val="002E18CD"/>
    <w:rsid w:val="002E6D87"/>
    <w:rsid w:val="002E70C6"/>
    <w:rsid w:val="002E75CB"/>
    <w:rsid w:val="002F3C96"/>
    <w:rsid w:val="00301EA0"/>
    <w:rsid w:val="00304BC7"/>
    <w:rsid w:val="00307ADF"/>
    <w:rsid w:val="00311866"/>
    <w:rsid w:val="00317538"/>
    <w:rsid w:val="0031774B"/>
    <w:rsid w:val="00317D0D"/>
    <w:rsid w:val="00327F31"/>
    <w:rsid w:val="00331AB9"/>
    <w:rsid w:val="0033408C"/>
    <w:rsid w:val="003375AF"/>
    <w:rsid w:val="00337F60"/>
    <w:rsid w:val="00340648"/>
    <w:rsid w:val="00343EFD"/>
    <w:rsid w:val="00357A99"/>
    <w:rsid w:val="00362F7C"/>
    <w:rsid w:val="0036794D"/>
    <w:rsid w:val="00372CD1"/>
    <w:rsid w:val="00374D4B"/>
    <w:rsid w:val="00380624"/>
    <w:rsid w:val="00386723"/>
    <w:rsid w:val="00391F39"/>
    <w:rsid w:val="00394156"/>
    <w:rsid w:val="00395CF4"/>
    <w:rsid w:val="003A11C8"/>
    <w:rsid w:val="003A1B10"/>
    <w:rsid w:val="003B6AA2"/>
    <w:rsid w:val="003C3909"/>
    <w:rsid w:val="003C65E9"/>
    <w:rsid w:val="003D05C0"/>
    <w:rsid w:val="003D0DAB"/>
    <w:rsid w:val="003D0DD2"/>
    <w:rsid w:val="003D2193"/>
    <w:rsid w:val="003D60B1"/>
    <w:rsid w:val="003D6F53"/>
    <w:rsid w:val="003E7342"/>
    <w:rsid w:val="003F0A7B"/>
    <w:rsid w:val="003F2B25"/>
    <w:rsid w:val="00405D21"/>
    <w:rsid w:val="00407C8B"/>
    <w:rsid w:val="00424736"/>
    <w:rsid w:val="00445706"/>
    <w:rsid w:val="00446F92"/>
    <w:rsid w:val="004559A0"/>
    <w:rsid w:val="00455C29"/>
    <w:rsid w:val="00461757"/>
    <w:rsid w:val="004620AF"/>
    <w:rsid w:val="004748F2"/>
    <w:rsid w:val="00481669"/>
    <w:rsid w:val="00482C50"/>
    <w:rsid w:val="00484DD7"/>
    <w:rsid w:val="004868CA"/>
    <w:rsid w:val="0048778E"/>
    <w:rsid w:val="00493865"/>
    <w:rsid w:val="004950BC"/>
    <w:rsid w:val="004C10F2"/>
    <w:rsid w:val="004C790C"/>
    <w:rsid w:val="004D113C"/>
    <w:rsid w:val="004E2D40"/>
    <w:rsid w:val="004E7C82"/>
    <w:rsid w:val="004F33ED"/>
    <w:rsid w:val="004F40A2"/>
    <w:rsid w:val="00511DBC"/>
    <w:rsid w:val="00512D86"/>
    <w:rsid w:val="005232C6"/>
    <w:rsid w:val="005267EE"/>
    <w:rsid w:val="00541E3B"/>
    <w:rsid w:val="005563C9"/>
    <w:rsid w:val="00571A53"/>
    <w:rsid w:val="00574DCB"/>
    <w:rsid w:val="00575C4B"/>
    <w:rsid w:val="00585AE3"/>
    <w:rsid w:val="00595B59"/>
    <w:rsid w:val="005960D2"/>
    <w:rsid w:val="005A183D"/>
    <w:rsid w:val="005A375F"/>
    <w:rsid w:val="005A4F86"/>
    <w:rsid w:val="005A7097"/>
    <w:rsid w:val="005A72E8"/>
    <w:rsid w:val="005C59E7"/>
    <w:rsid w:val="005C66D1"/>
    <w:rsid w:val="005D3644"/>
    <w:rsid w:val="005D42CB"/>
    <w:rsid w:val="005D5C98"/>
    <w:rsid w:val="005D63B5"/>
    <w:rsid w:val="005D7EF7"/>
    <w:rsid w:val="005F1CA7"/>
    <w:rsid w:val="005F565F"/>
    <w:rsid w:val="006000C7"/>
    <w:rsid w:val="00600AC3"/>
    <w:rsid w:val="00601265"/>
    <w:rsid w:val="00611400"/>
    <w:rsid w:val="00615D8B"/>
    <w:rsid w:val="00631144"/>
    <w:rsid w:val="00636321"/>
    <w:rsid w:val="0064102B"/>
    <w:rsid w:val="006531DB"/>
    <w:rsid w:val="00662440"/>
    <w:rsid w:val="006673A9"/>
    <w:rsid w:val="00682071"/>
    <w:rsid w:val="00686854"/>
    <w:rsid w:val="0069269D"/>
    <w:rsid w:val="00695B78"/>
    <w:rsid w:val="00697BB6"/>
    <w:rsid w:val="006A3953"/>
    <w:rsid w:val="006B3130"/>
    <w:rsid w:val="006C6C75"/>
    <w:rsid w:val="006E07CB"/>
    <w:rsid w:val="006E41AA"/>
    <w:rsid w:val="006F6F25"/>
    <w:rsid w:val="00715B22"/>
    <w:rsid w:val="00717246"/>
    <w:rsid w:val="0072404C"/>
    <w:rsid w:val="007337F5"/>
    <w:rsid w:val="00734A7F"/>
    <w:rsid w:val="007408CC"/>
    <w:rsid w:val="007558AD"/>
    <w:rsid w:val="00762650"/>
    <w:rsid w:val="007631B0"/>
    <w:rsid w:val="00765476"/>
    <w:rsid w:val="007721CA"/>
    <w:rsid w:val="00775DDC"/>
    <w:rsid w:val="00781C34"/>
    <w:rsid w:val="0078261E"/>
    <w:rsid w:val="0078360C"/>
    <w:rsid w:val="007866EB"/>
    <w:rsid w:val="00790C47"/>
    <w:rsid w:val="00793F28"/>
    <w:rsid w:val="007A29E4"/>
    <w:rsid w:val="007B0D97"/>
    <w:rsid w:val="007B1A00"/>
    <w:rsid w:val="007B6D68"/>
    <w:rsid w:val="007C47A0"/>
    <w:rsid w:val="007D3115"/>
    <w:rsid w:val="007E3FFC"/>
    <w:rsid w:val="007F4857"/>
    <w:rsid w:val="007F753F"/>
    <w:rsid w:val="007F7730"/>
    <w:rsid w:val="00800965"/>
    <w:rsid w:val="00802C8C"/>
    <w:rsid w:val="0080360D"/>
    <w:rsid w:val="008053B1"/>
    <w:rsid w:val="0080747F"/>
    <w:rsid w:val="00817460"/>
    <w:rsid w:val="00825D6D"/>
    <w:rsid w:val="00833223"/>
    <w:rsid w:val="00833BD6"/>
    <w:rsid w:val="00842656"/>
    <w:rsid w:val="008464D0"/>
    <w:rsid w:val="0085238D"/>
    <w:rsid w:val="00855934"/>
    <w:rsid w:val="00865AEE"/>
    <w:rsid w:val="00873945"/>
    <w:rsid w:val="00876007"/>
    <w:rsid w:val="0087631B"/>
    <w:rsid w:val="00881069"/>
    <w:rsid w:val="00886F73"/>
    <w:rsid w:val="008917CF"/>
    <w:rsid w:val="00892E52"/>
    <w:rsid w:val="008A33CF"/>
    <w:rsid w:val="008A440B"/>
    <w:rsid w:val="008A57A4"/>
    <w:rsid w:val="008B16D4"/>
    <w:rsid w:val="008B6B68"/>
    <w:rsid w:val="008C5E47"/>
    <w:rsid w:val="008D2179"/>
    <w:rsid w:val="008E1C39"/>
    <w:rsid w:val="008E2B85"/>
    <w:rsid w:val="00924A85"/>
    <w:rsid w:val="00926312"/>
    <w:rsid w:val="0094075C"/>
    <w:rsid w:val="00942D52"/>
    <w:rsid w:val="00951604"/>
    <w:rsid w:val="00951F09"/>
    <w:rsid w:val="009611E9"/>
    <w:rsid w:val="009717F4"/>
    <w:rsid w:val="00972411"/>
    <w:rsid w:val="00977AF6"/>
    <w:rsid w:val="00984FEF"/>
    <w:rsid w:val="0098797B"/>
    <w:rsid w:val="009954A1"/>
    <w:rsid w:val="009975DA"/>
    <w:rsid w:val="0099760B"/>
    <w:rsid w:val="009A5D7A"/>
    <w:rsid w:val="009B13A6"/>
    <w:rsid w:val="009C51CD"/>
    <w:rsid w:val="009D2461"/>
    <w:rsid w:val="009D2B52"/>
    <w:rsid w:val="009D3BAE"/>
    <w:rsid w:val="009D4C59"/>
    <w:rsid w:val="009D51E1"/>
    <w:rsid w:val="009E03AD"/>
    <w:rsid w:val="009E0C67"/>
    <w:rsid w:val="009E12C2"/>
    <w:rsid w:val="009E3699"/>
    <w:rsid w:val="009E3E9F"/>
    <w:rsid w:val="009E6723"/>
    <w:rsid w:val="009E757A"/>
    <w:rsid w:val="009F4B2B"/>
    <w:rsid w:val="00A11E2C"/>
    <w:rsid w:val="00A127F9"/>
    <w:rsid w:val="00A12D5E"/>
    <w:rsid w:val="00A1522F"/>
    <w:rsid w:val="00A16ACC"/>
    <w:rsid w:val="00A2507D"/>
    <w:rsid w:val="00A31FD3"/>
    <w:rsid w:val="00A362C5"/>
    <w:rsid w:val="00A52043"/>
    <w:rsid w:val="00A555A0"/>
    <w:rsid w:val="00A565E0"/>
    <w:rsid w:val="00A63472"/>
    <w:rsid w:val="00A75296"/>
    <w:rsid w:val="00A82B4B"/>
    <w:rsid w:val="00A85F19"/>
    <w:rsid w:val="00A914DC"/>
    <w:rsid w:val="00A94597"/>
    <w:rsid w:val="00AA4FE2"/>
    <w:rsid w:val="00AA5205"/>
    <w:rsid w:val="00AB498E"/>
    <w:rsid w:val="00AC1B81"/>
    <w:rsid w:val="00AD2273"/>
    <w:rsid w:val="00AD717D"/>
    <w:rsid w:val="00AE5E08"/>
    <w:rsid w:val="00AE65C6"/>
    <w:rsid w:val="00B069C0"/>
    <w:rsid w:val="00B11582"/>
    <w:rsid w:val="00B15D2A"/>
    <w:rsid w:val="00B27183"/>
    <w:rsid w:val="00B30344"/>
    <w:rsid w:val="00B3035E"/>
    <w:rsid w:val="00B31C64"/>
    <w:rsid w:val="00B37297"/>
    <w:rsid w:val="00B43FE0"/>
    <w:rsid w:val="00B45A74"/>
    <w:rsid w:val="00B51CE1"/>
    <w:rsid w:val="00B56CE9"/>
    <w:rsid w:val="00B63295"/>
    <w:rsid w:val="00B64465"/>
    <w:rsid w:val="00B75F26"/>
    <w:rsid w:val="00B76AA9"/>
    <w:rsid w:val="00B77DCD"/>
    <w:rsid w:val="00B81F25"/>
    <w:rsid w:val="00B82EA9"/>
    <w:rsid w:val="00B874ED"/>
    <w:rsid w:val="00B87AC1"/>
    <w:rsid w:val="00B948E2"/>
    <w:rsid w:val="00B959B9"/>
    <w:rsid w:val="00BA0D4A"/>
    <w:rsid w:val="00BA1C33"/>
    <w:rsid w:val="00BA70EB"/>
    <w:rsid w:val="00BB31E3"/>
    <w:rsid w:val="00BB3760"/>
    <w:rsid w:val="00BB45DC"/>
    <w:rsid w:val="00BC586E"/>
    <w:rsid w:val="00BE2FE4"/>
    <w:rsid w:val="00BE3192"/>
    <w:rsid w:val="00BE49D9"/>
    <w:rsid w:val="00BE7126"/>
    <w:rsid w:val="00BF5B18"/>
    <w:rsid w:val="00C019A5"/>
    <w:rsid w:val="00C10C7B"/>
    <w:rsid w:val="00C22794"/>
    <w:rsid w:val="00C2650C"/>
    <w:rsid w:val="00C27BCE"/>
    <w:rsid w:val="00C40985"/>
    <w:rsid w:val="00C429E2"/>
    <w:rsid w:val="00C469F4"/>
    <w:rsid w:val="00C56D89"/>
    <w:rsid w:val="00C579F0"/>
    <w:rsid w:val="00C700B4"/>
    <w:rsid w:val="00C72D01"/>
    <w:rsid w:val="00C800F4"/>
    <w:rsid w:val="00C80E7B"/>
    <w:rsid w:val="00C8365E"/>
    <w:rsid w:val="00C83A79"/>
    <w:rsid w:val="00C83A9A"/>
    <w:rsid w:val="00C85FA9"/>
    <w:rsid w:val="00C923F2"/>
    <w:rsid w:val="00CB79A7"/>
    <w:rsid w:val="00CC1783"/>
    <w:rsid w:val="00CC65C1"/>
    <w:rsid w:val="00CC7802"/>
    <w:rsid w:val="00CE2694"/>
    <w:rsid w:val="00CE4A8B"/>
    <w:rsid w:val="00CF344D"/>
    <w:rsid w:val="00CF4076"/>
    <w:rsid w:val="00CF73AC"/>
    <w:rsid w:val="00D00250"/>
    <w:rsid w:val="00D04379"/>
    <w:rsid w:val="00D068E0"/>
    <w:rsid w:val="00D071F5"/>
    <w:rsid w:val="00D1183B"/>
    <w:rsid w:val="00D22BBC"/>
    <w:rsid w:val="00D25734"/>
    <w:rsid w:val="00D30AC2"/>
    <w:rsid w:val="00D358F4"/>
    <w:rsid w:val="00D43721"/>
    <w:rsid w:val="00D447BB"/>
    <w:rsid w:val="00D45ECF"/>
    <w:rsid w:val="00D50CF4"/>
    <w:rsid w:val="00D52801"/>
    <w:rsid w:val="00D57D98"/>
    <w:rsid w:val="00D60E08"/>
    <w:rsid w:val="00D61B5F"/>
    <w:rsid w:val="00D73A53"/>
    <w:rsid w:val="00D7726E"/>
    <w:rsid w:val="00D77819"/>
    <w:rsid w:val="00D822B0"/>
    <w:rsid w:val="00D83B62"/>
    <w:rsid w:val="00D91DB9"/>
    <w:rsid w:val="00D925B4"/>
    <w:rsid w:val="00D93BD6"/>
    <w:rsid w:val="00D94C23"/>
    <w:rsid w:val="00DA06A7"/>
    <w:rsid w:val="00DB6EEE"/>
    <w:rsid w:val="00DC134B"/>
    <w:rsid w:val="00DC49A7"/>
    <w:rsid w:val="00DD1206"/>
    <w:rsid w:val="00DD377D"/>
    <w:rsid w:val="00DD5CB3"/>
    <w:rsid w:val="00DF44E6"/>
    <w:rsid w:val="00DF55C1"/>
    <w:rsid w:val="00DF69CB"/>
    <w:rsid w:val="00E035A7"/>
    <w:rsid w:val="00E0599B"/>
    <w:rsid w:val="00E12E08"/>
    <w:rsid w:val="00E163A7"/>
    <w:rsid w:val="00E179D3"/>
    <w:rsid w:val="00E23E64"/>
    <w:rsid w:val="00E3077A"/>
    <w:rsid w:val="00E3500A"/>
    <w:rsid w:val="00E4446A"/>
    <w:rsid w:val="00E46B15"/>
    <w:rsid w:val="00E5362E"/>
    <w:rsid w:val="00E62B3F"/>
    <w:rsid w:val="00E938C6"/>
    <w:rsid w:val="00E9391C"/>
    <w:rsid w:val="00E95B75"/>
    <w:rsid w:val="00EA14F9"/>
    <w:rsid w:val="00EA5D78"/>
    <w:rsid w:val="00EB4A3D"/>
    <w:rsid w:val="00EC5CC3"/>
    <w:rsid w:val="00EC6666"/>
    <w:rsid w:val="00ED45FF"/>
    <w:rsid w:val="00EE1444"/>
    <w:rsid w:val="00EE1B3D"/>
    <w:rsid w:val="00EF014B"/>
    <w:rsid w:val="00F04EA8"/>
    <w:rsid w:val="00F122DB"/>
    <w:rsid w:val="00F13734"/>
    <w:rsid w:val="00F16C53"/>
    <w:rsid w:val="00F2339F"/>
    <w:rsid w:val="00F25865"/>
    <w:rsid w:val="00F27F5E"/>
    <w:rsid w:val="00F30CEC"/>
    <w:rsid w:val="00F35BDE"/>
    <w:rsid w:val="00F440C9"/>
    <w:rsid w:val="00F45239"/>
    <w:rsid w:val="00F468AE"/>
    <w:rsid w:val="00F529DE"/>
    <w:rsid w:val="00F56588"/>
    <w:rsid w:val="00F62346"/>
    <w:rsid w:val="00F71092"/>
    <w:rsid w:val="00F73A15"/>
    <w:rsid w:val="00F80192"/>
    <w:rsid w:val="00F925D6"/>
    <w:rsid w:val="00F968AE"/>
    <w:rsid w:val="00FA049F"/>
    <w:rsid w:val="00FA3E72"/>
    <w:rsid w:val="00FA4CF9"/>
    <w:rsid w:val="00FB0810"/>
    <w:rsid w:val="00FC579B"/>
    <w:rsid w:val="00FD2424"/>
    <w:rsid w:val="00FD4789"/>
    <w:rsid w:val="00FD78EA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F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9D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717F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717F4"/>
    <w:rPr>
      <w:color w:val="0563C1" w:themeColor="hyperlink"/>
      <w:u w:val="single"/>
    </w:rPr>
  </w:style>
  <w:style w:type="paragraph" w:customStyle="1" w:styleId="naiskr">
    <w:name w:val="naiskr"/>
    <w:basedOn w:val="Normal"/>
    <w:rsid w:val="009717F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17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717F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717F4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717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717F4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71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</w:style>
  <w:style w:type="paragraph" w:customStyle="1" w:styleId="naisc">
    <w:name w:val="naisc"/>
    <w:basedOn w:val="Normal"/>
    <w:rsid w:val="009717F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1265"/>
  </w:style>
  <w:style w:type="paragraph" w:styleId="NoSpacing">
    <w:name w:val="No Spacing"/>
    <w:uiPriority w:val="1"/>
    <w:qFormat/>
    <w:rsid w:val="001E770E"/>
    <w:pPr>
      <w:spacing w:after="0" w:line="240" w:lineRule="auto"/>
    </w:pPr>
  </w:style>
  <w:style w:type="paragraph" w:customStyle="1" w:styleId="Default">
    <w:name w:val="Default"/>
    <w:rsid w:val="00886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A12D5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12D5E"/>
    <w:rPr>
      <w:rFonts w:ascii="EUAlbertina" w:eastAsiaTheme="minorHAnsi" w:hAnsi="EUAlbertina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52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9D6"/>
    <w:rPr>
      <w:rFonts w:asciiTheme="majorHAnsi" w:eastAsiaTheme="majorEastAsia" w:hAnsiTheme="majorHAnsi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F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9D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717F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717F4"/>
    <w:rPr>
      <w:color w:val="0563C1" w:themeColor="hyperlink"/>
      <w:u w:val="single"/>
    </w:rPr>
  </w:style>
  <w:style w:type="paragraph" w:customStyle="1" w:styleId="naiskr">
    <w:name w:val="naiskr"/>
    <w:basedOn w:val="Normal"/>
    <w:rsid w:val="009717F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17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717F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717F4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717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717F4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71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</w:style>
  <w:style w:type="paragraph" w:customStyle="1" w:styleId="naisc">
    <w:name w:val="naisc"/>
    <w:basedOn w:val="Normal"/>
    <w:rsid w:val="009717F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1265"/>
  </w:style>
  <w:style w:type="paragraph" w:styleId="NoSpacing">
    <w:name w:val="No Spacing"/>
    <w:uiPriority w:val="1"/>
    <w:qFormat/>
    <w:rsid w:val="001E770E"/>
    <w:pPr>
      <w:spacing w:after="0" w:line="240" w:lineRule="auto"/>
    </w:pPr>
  </w:style>
  <w:style w:type="paragraph" w:customStyle="1" w:styleId="Default">
    <w:name w:val="Default"/>
    <w:rsid w:val="00886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A12D5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12D5E"/>
    <w:rPr>
      <w:rFonts w:ascii="EUAlbertina" w:eastAsiaTheme="minorHAnsi" w:hAnsi="EUAlbertina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52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9D6"/>
    <w:rPr>
      <w:rFonts w:asciiTheme="majorHAnsi" w:eastAsiaTheme="majorEastAsia" w:hAnsiTheme="majorHAnsi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ma.valdmane@var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33F0A-76E2-403C-A92F-594AF1B5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2392</Words>
  <Characters>16835</Characters>
  <Application>Microsoft Office Word</Application>
  <DocSecurity>0</DocSecurity>
  <Lines>495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MKN 240-VAN grozījumi- Anotācija</vt:lpstr>
      <vt:lpstr>MKN 240-VAN grozījumi</vt:lpstr>
    </vt:vector>
  </TitlesOfParts>
  <Company>EM</Company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 240-VAN grozījumi- Anotācija</dc:title>
  <dc:creator>Ilma.Valdmane@varam.gov.lv</dc:creator>
  <dc:description>anotācija atkārtoti precizēta 18.08.2016.</dc:description>
  <cp:lastModifiedBy>Ilze Aigare</cp:lastModifiedBy>
  <cp:revision>12</cp:revision>
  <dcterms:created xsi:type="dcterms:W3CDTF">2016-09-05T10:47:00Z</dcterms:created>
  <dcterms:modified xsi:type="dcterms:W3CDTF">2016-12-08T07:14:00Z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