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33" w:rsidRPr="00042D04" w:rsidRDefault="00001533" w:rsidP="00B61115">
      <w:pPr>
        <w:ind w:left="1134" w:right="1701"/>
        <w:jc w:val="center"/>
        <w:rPr>
          <w:b/>
          <w:bCs/>
          <w:sz w:val="28"/>
          <w:lang w:eastAsia="en-US"/>
        </w:rPr>
      </w:pPr>
      <w:r w:rsidRPr="00042D04">
        <w:rPr>
          <w:b/>
          <w:bCs/>
          <w:sz w:val="28"/>
          <w:lang w:eastAsia="en-US"/>
        </w:rPr>
        <w:t>Ministru kabineta</w:t>
      </w:r>
      <w:r w:rsidR="00B61115" w:rsidRPr="00042D04">
        <w:rPr>
          <w:b/>
          <w:bCs/>
          <w:sz w:val="28"/>
          <w:lang w:eastAsia="en-US"/>
        </w:rPr>
        <w:t xml:space="preserve"> </w:t>
      </w:r>
      <w:r w:rsidR="00FE380E">
        <w:rPr>
          <w:b/>
          <w:bCs/>
          <w:sz w:val="28"/>
          <w:lang w:eastAsia="en-US"/>
        </w:rPr>
        <w:t>noteikumu</w:t>
      </w:r>
      <w:r w:rsidR="00B61115" w:rsidRPr="00042D04">
        <w:rPr>
          <w:b/>
          <w:bCs/>
          <w:sz w:val="28"/>
          <w:lang w:eastAsia="en-US"/>
        </w:rPr>
        <w:t xml:space="preserve"> projekta „Zemes pārskatā iekļaujamās informācijas sagatavošanas kārtība” </w:t>
      </w:r>
      <w:r w:rsidRPr="00042D04">
        <w:rPr>
          <w:b/>
          <w:bCs/>
          <w:sz w:val="28"/>
          <w:lang w:eastAsia="en-US"/>
        </w:rPr>
        <w:t>sākotnējās ietekmes novērtējuma ziņojums (anotācija)</w:t>
      </w:r>
    </w:p>
    <w:p w:rsidR="00001533" w:rsidRPr="005E0196" w:rsidRDefault="00001533" w:rsidP="00001533">
      <w:pPr>
        <w:jc w:val="center"/>
        <w:rPr>
          <w:lang w:eastAsia="en-US"/>
        </w:rPr>
      </w:pPr>
    </w:p>
    <w:tbl>
      <w:tblPr>
        <w:tblStyle w:val="TableGrid"/>
        <w:tblW w:w="8930" w:type="dxa"/>
        <w:tblInd w:w="250" w:type="dxa"/>
        <w:tblLook w:val="04A0" w:firstRow="1" w:lastRow="0" w:firstColumn="1" w:lastColumn="0" w:noHBand="0" w:noVBand="1"/>
      </w:tblPr>
      <w:tblGrid>
        <w:gridCol w:w="526"/>
        <w:gridCol w:w="2734"/>
        <w:gridCol w:w="5670"/>
      </w:tblGrid>
      <w:tr w:rsidR="00001533" w:rsidRPr="00F15914" w:rsidTr="00D555ED">
        <w:trPr>
          <w:trHeight w:val="265"/>
        </w:trPr>
        <w:tc>
          <w:tcPr>
            <w:tcW w:w="8930" w:type="dxa"/>
            <w:gridSpan w:val="3"/>
          </w:tcPr>
          <w:p w:rsidR="00001533" w:rsidRPr="00F15914" w:rsidRDefault="00001533" w:rsidP="003343A6">
            <w:pPr>
              <w:jc w:val="center"/>
              <w:rPr>
                <w:lang w:eastAsia="en-US"/>
              </w:rPr>
            </w:pPr>
            <w:r w:rsidRPr="00F15914">
              <w:rPr>
                <w:b/>
                <w:bCs/>
                <w:lang w:eastAsia="en-US"/>
              </w:rPr>
              <w:t> I.</w:t>
            </w:r>
            <w:r w:rsidR="00D339DE" w:rsidRPr="00F15914">
              <w:rPr>
                <w:b/>
                <w:bCs/>
                <w:lang w:eastAsia="en-US"/>
              </w:rPr>
              <w:t> </w:t>
            </w:r>
            <w:r w:rsidRPr="00F15914">
              <w:rPr>
                <w:b/>
                <w:bCs/>
                <w:lang w:eastAsia="en-US"/>
              </w:rPr>
              <w:t>Tiesību akta projekta izstrādes nepieciešamība</w:t>
            </w:r>
          </w:p>
        </w:tc>
      </w:tr>
      <w:tr w:rsidR="00001533" w:rsidRPr="00F15914" w:rsidTr="00D555ED">
        <w:trPr>
          <w:trHeight w:val="271"/>
        </w:trPr>
        <w:tc>
          <w:tcPr>
            <w:tcW w:w="526" w:type="dxa"/>
          </w:tcPr>
          <w:p w:rsidR="00001533" w:rsidRPr="00F15914" w:rsidRDefault="00001533" w:rsidP="003343A6">
            <w:pPr>
              <w:rPr>
                <w:lang w:eastAsia="en-US"/>
              </w:rPr>
            </w:pPr>
            <w:r w:rsidRPr="00F15914">
              <w:rPr>
                <w:lang w:eastAsia="en-US"/>
              </w:rPr>
              <w:t> 1</w:t>
            </w:r>
            <w:r w:rsidR="00D339DE" w:rsidRPr="00F15914">
              <w:rPr>
                <w:lang w:eastAsia="en-US"/>
              </w:rPr>
              <w:t> </w:t>
            </w:r>
            <w:r w:rsidRPr="00F15914">
              <w:rPr>
                <w:lang w:eastAsia="en-US"/>
              </w:rPr>
              <w:t>.</w:t>
            </w:r>
          </w:p>
        </w:tc>
        <w:tc>
          <w:tcPr>
            <w:tcW w:w="2734" w:type="dxa"/>
          </w:tcPr>
          <w:p w:rsidR="00001533" w:rsidRPr="00F15914" w:rsidRDefault="00001533" w:rsidP="00986A49">
            <w:pPr>
              <w:ind w:left="75"/>
              <w:rPr>
                <w:lang w:eastAsia="en-US"/>
              </w:rPr>
            </w:pPr>
            <w:r w:rsidRPr="00F15914">
              <w:rPr>
                <w:lang w:eastAsia="en-US"/>
              </w:rPr>
              <w:t>Pamatojums</w:t>
            </w:r>
          </w:p>
        </w:tc>
        <w:tc>
          <w:tcPr>
            <w:tcW w:w="5670" w:type="dxa"/>
          </w:tcPr>
          <w:p w:rsidR="00001533" w:rsidRPr="00F15914" w:rsidRDefault="00B61115" w:rsidP="00B61115">
            <w:pPr>
              <w:ind w:right="212"/>
              <w:jc w:val="both"/>
            </w:pPr>
            <w:r w:rsidRPr="00F15914">
              <w:t>Zemes pārvaldības likuma</w:t>
            </w:r>
            <w:r w:rsidR="002A4E93" w:rsidRPr="00F15914">
              <w:t xml:space="preserve"> (turpmāk - likums)</w:t>
            </w:r>
            <w:r w:rsidRPr="00F15914">
              <w:t xml:space="preserve"> 13.</w:t>
            </w:r>
            <w:r w:rsidR="006E544B" w:rsidRPr="00F15914">
              <w:t> </w:t>
            </w:r>
            <w:r w:rsidRPr="00F15914">
              <w:t>panta pirmās daļas 9.</w:t>
            </w:r>
            <w:r w:rsidR="006E544B" w:rsidRPr="00F15914">
              <w:t> </w:t>
            </w:r>
            <w:r w:rsidRPr="00F15914">
              <w:t xml:space="preserve">punkts </w:t>
            </w:r>
            <w:r w:rsidR="006E544B" w:rsidRPr="00F15914">
              <w:t>paredz</w:t>
            </w:r>
            <w:r w:rsidR="00FE380E" w:rsidRPr="00F15914">
              <w:t xml:space="preserve"> </w:t>
            </w:r>
            <w:r w:rsidRPr="00F15914">
              <w:t>Ministru kabinet</w:t>
            </w:r>
            <w:r w:rsidR="006E544B" w:rsidRPr="00F15914">
              <w:t>am</w:t>
            </w:r>
            <w:r w:rsidRPr="00F15914">
              <w:t xml:space="preserve"> izdo</w:t>
            </w:r>
            <w:r w:rsidR="006E544B" w:rsidRPr="00F15914">
              <w:t>t</w:t>
            </w:r>
            <w:r w:rsidRPr="00F15914">
              <w:t xml:space="preserve"> noteikumus par zemes pārskatā iekļaujamās informācijas sagatavošanas kārtību un institūciju, k</w:t>
            </w:r>
            <w:r w:rsidR="006E544B" w:rsidRPr="00F15914">
              <w:t>as</w:t>
            </w:r>
            <w:r w:rsidRPr="00F15914">
              <w:t xml:space="preserve"> ir atbildīga par zemes pārskata sagatavošanu.</w:t>
            </w:r>
          </w:p>
        </w:tc>
      </w:tr>
      <w:tr w:rsidR="00001533" w:rsidRPr="00F15914" w:rsidTr="00D555ED">
        <w:trPr>
          <w:trHeight w:val="553"/>
        </w:trPr>
        <w:tc>
          <w:tcPr>
            <w:tcW w:w="526" w:type="dxa"/>
          </w:tcPr>
          <w:p w:rsidR="00001533" w:rsidRPr="00F15914" w:rsidRDefault="00001533" w:rsidP="003343A6">
            <w:pPr>
              <w:rPr>
                <w:lang w:eastAsia="en-US"/>
              </w:rPr>
            </w:pPr>
            <w:r w:rsidRPr="00F15914">
              <w:rPr>
                <w:lang w:eastAsia="en-US"/>
              </w:rPr>
              <w:t> 2</w:t>
            </w:r>
            <w:r w:rsidR="00D339DE" w:rsidRPr="00F15914">
              <w:rPr>
                <w:lang w:eastAsia="en-US"/>
              </w:rPr>
              <w:t> </w:t>
            </w:r>
            <w:r w:rsidRPr="00F15914">
              <w:rPr>
                <w:lang w:eastAsia="en-US"/>
              </w:rPr>
              <w:t>.</w:t>
            </w:r>
          </w:p>
        </w:tc>
        <w:tc>
          <w:tcPr>
            <w:tcW w:w="2734" w:type="dxa"/>
          </w:tcPr>
          <w:p w:rsidR="00001533" w:rsidRPr="00F15914" w:rsidRDefault="00001533" w:rsidP="00986A49">
            <w:pPr>
              <w:ind w:left="75"/>
              <w:rPr>
                <w:lang w:eastAsia="en-US"/>
              </w:rPr>
            </w:pPr>
            <w:r w:rsidRPr="00F15914">
              <w:rPr>
                <w:lang w:eastAsia="en-US"/>
              </w:rPr>
              <w:t>Pašreizējā situācija un problēmas, kuru risināšanai tiesību akta projekts izstrādāts, tiesiskā regulējuma mērķis un būtība</w:t>
            </w:r>
          </w:p>
        </w:tc>
        <w:tc>
          <w:tcPr>
            <w:tcW w:w="5670" w:type="dxa"/>
          </w:tcPr>
          <w:p w:rsidR="00651A55" w:rsidRPr="00F15914" w:rsidRDefault="00651A55" w:rsidP="00651A55">
            <w:pPr>
              <w:pStyle w:val="Heading2"/>
              <w:spacing w:before="120" w:after="120"/>
              <w:ind w:right="209"/>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 xml:space="preserve">Zemes pārvaldības nodrošināšanai viens no izšķirošajiem faktoriem ir aktuālas informācijas par zemi esamība un pieejamība. </w:t>
            </w:r>
          </w:p>
          <w:p w:rsidR="002A4E93" w:rsidRDefault="002A4E93" w:rsidP="00651A55">
            <w:pPr>
              <w:spacing w:before="120" w:after="120"/>
              <w:ind w:right="176"/>
              <w:jc w:val="both"/>
            </w:pPr>
            <w:r w:rsidRPr="00F15914">
              <w:t>Likuma 21.</w:t>
            </w:r>
            <w:r w:rsidR="00517AD4" w:rsidRPr="00F15914">
              <w:t> </w:t>
            </w:r>
            <w:r w:rsidRPr="00F15914">
              <w:t>panta pirmās daļas 2.</w:t>
            </w:r>
            <w:r w:rsidR="00517AD4" w:rsidRPr="00F15914">
              <w:t> </w:t>
            </w:r>
            <w:r w:rsidRPr="00F15914">
              <w:t>punktā noteikts, ka reizi piecos gados tiek sagatavots zemes pārskats, izmantojot likumā minēto informācijas sistēmu telpiskos un teksta datus. Pārejas noteikumu 6.</w:t>
            </w:r>
            <w:r w:rsidR="00517AD4" w:rsidRPr="00F15914">
              <w:t> </w:t>
            </w:r>
            <w:r w:rsidRPr="00F15914">
              <w:t>punkts, nosaka, ka zemes pārskatu pirmo reizi sagatavo līdz 2018.</w:t>
            </w:r>
            <w:r w:rsidR="00517AD4" w:rsidRPr="00F15914">
              <w:t> </w:t>
            </w:r>
            <w:r w:rsidRPr="00F15914">
              <w:t>gada 1.</w:t>
            </w:r>
            <w:r w:rsidR="00517AD4" w:rsidRPr="00F15914">
              <w:t> </w:t>
            </w:r>
            <w:r w:rsidRPr="00F15914">
              <w:t>janvārim.</w:t>
            </w:r>
          </w:p>
          <w:p w:rsidR="003765CF" w:rsidRPr="003765CF" w:rsidRDefault="003765CF" w:rsidP="00651A55">
            <w:pPr>
              <w:spacing w:before="120" w:after="120"/>
              <w:ind w:right="176"/>
              <w:jc w:val="both"/>
              <w:rPr>
                <w:sz w:val="28"/>
              </w:rPr>
            </w:pPr>
            <w:r w:rsidRPr="003765CF">
              <w:rPr>
                <w:color w:val="000000"/>
                <w:szCs w:val="28"/>
              </w:rPr>
              <w:t xml:space="preserve">Noteikumu projekts paredz noteikt zemes pārskatā iekļaujamās informācijas sagatavošanas un iesniegšanas kārtību. Tā kā zemes pārskatā iekļaujamā informācija tiek elektroniski iesniegta </w:t>
            </w:r>
            <w:r w:rsidR="00854581" w:rsidRPr="00854581">
              <w:rPr>
                <w:color w:val="000000"/>
                <w:szCs w:val="28"/>
              </w:rPr>
              <w:t>Valsts reģionālās attīstības aģentūrai (VRAA)</w:t>
            </w:r>
            <w:r w:rsidRPr="003765CF">
              <w:rPr>
                <w:color w:val="000000"/>
                <w:szCs w:val="28"/>
              </w:rPr>
              <w:t xml:space="preserve">, noteikumu projekts paredz nodrošināt zemes pārskata sagatavošanai nepieciešamo datu uzkrāšanu vienuviet. Datu uzkrāšana paredzēta, izmantojot jau esošu infrastruktūru - </w:t>
            </w:r>
            <w:r w:rsidRPr="00F15914">
              <w:t>reģionālās attīstības indikatoru modul</w:t>
            </w:r>
            <w:r>
              <w:t>i</w:t>
            </w:r>
            <w:r w:rsidRPr="00F15914">
              <w:t xml:space="preserve"> (turpmāk - RAIM)</w:t>
            </w:r>
            <w:r w:rsidRPr="003765CF">
              <w:rPr>
                <w:color w:val="000000"/>
                <w:szCs w:val="28"/>
              </w:rPr>
              <w:t>.</w:t>
            </w:r>
          </w:p>
          <w:p w:rsidR="00651A55" w:rsidRPr="00F15914" w:rsidRDefault="00651A55" w:rsidP="00651A55">
            <w:pPr>
              <w:spacing w:before="120" w:after="120"/>
              <w:ind w:right="176"/>
              <w:jc w:val="both"/>
            </w:pPr>
            <w:r w:rsidRPr="00F15914">
              <w:t>Zemes pārskata mērķis ir koncentrēti un vizuāli uztverami sniegt pārskatu par stāvokli zemes izmantošanā, un ar dažādiem rādītājiem parādīt virzību uz zemes politikas mērķu sasniegšanu. Zemes pārskats norādīs uz galvenajām problēmām, izvērtējot zemes politikas galvenos aspektus – zemi kā resursu, zemi kā tiesību objektu, zemi kā vērtības objektu. Pārskats sniegs skaidru un aktuālu informāciju politikas prioritāšu noteikšanai, politikas pilnveidošanai un ieviešanas lietderības un efektivitātes novērtēšanai. Zemes pārskatu izmantos par zemes politikas ieviešanu atbildīgās institūcijas un pašvaldības.</w:t>
            </w:r>
          </w:p>
          <w:p w:rsidR="00651A55" w:rsidRPr="00F15914" w:rsidRDefault="00651A55" w:rsidP="00651A55">
            <w:pPr>
              <w:spacing w:before="120" w:after="120"/>
              <w:ind w:right="176"/>
              <w:jc w:val="both"/>
            </w:pPr>
            <w:r w:rsidRPr="00F15914">
              <w:t>Informācija, kas jāiekļauj zemes pārskatā, ko jāizstrādā vienu reizi piecos gados, šobrīd daļēji tiek apkopota vairākās institūcijās, taču netiek analizēta vienotā kontekstā.</w:t>
            </w:r>
          </w:p>
          <w:p w:rsidR="00651A55" w:rsidRPr="00F15914" w:rsidRDefault="00651A55" w:rsidP="00651A55">
            <w:pPr>
              <w:ind w:right="175"/>
              <w:jc w:val="both"/>
              <w:rPr>
                <w:bCs/>
                <w:iCs/>
              </w:rPr>
            </w:pPr>
            <w:r w:rsidRPr="00F15914">
              <w:rPr>
                <w:bCs/>
                <w:iCs/>
              </w:rPr>
              <w:t>Likuma 22.</w:t>
            </w:r>
            <w:r w:rsidR="00517AD4" w:rsidRPr="00F15914">
              <w:rPr>
                <w:bCs/>
                <w:iCs/>
              </w:rPr>
              <w:t> </w:t>
            </w:r>
            <w:r w:rsidRPr="00F15914">
              <w:rPr>
                <w:bCs/>
                <w:iCs/>
              </w:rPr>
              <w:t xml:space="preserve">panta pirmajā daļā noteiktas informācijas </w:t>
            </w:r>
            <w:r w:rsidRPr="00F15914">
              <w:rPr>
                <w:bCs/>
                <w:iCs/>
              </w:rPr>
              <w:lastRenderedPageBreak/>
              <w:t>sistēmas, kuru dati izmantojami zemes pārskata sagatavošanai:</w:t>
            </w:r>
          </w:p>
          <w:p w:rsidR="00651A55" w:rsidRPr="00F15914" w:rsidRDefault="00651A55" w:rsidP="00651A55">
            <w:pPr>
              <w:pStyle w:val="tv213"/>
              <w:spacing w:before="0" w:beforeAutospacing="0" w:after="0" w:afterAutospacing="0"/>
              <w:ind w:right="175"/>
              <w:jc w:val="both"/>
            </w:pPr>
            <w:r w:rsidRPr="00F15914">
              <w:t>1. Nekustamā īpašuma valsts kadastra informācijas sistēma;</w:t>
            </w:r>
          </w:p>
          <w:p w:rsidR="00651A55" w:rsidRPr="00F15914" w:rsidRDefault="00651A55" w:rsidP="00651A55">
            <w:pPr>
              <w:pStyle w:val="tv213"/>
              <w:spacing w:before="0" w:beforeAutospacing="0" w:after="0" w:afterAutospacing="0"/>
              <w:ind w:right="175"/>
              <w:jc w:val="both"/>
            </w:pPr>
            <w:r w:rsidRPr="00F15914">
              <w:t>2. Valsts adrešu reģistra informācijas sistēma;</w:t>
            </w:r>
          </w:p>
          <w:p w:rsidR="00651A55" w:rsidRPr="00F15914" w:rsidRDefault="00651A55" w:rsidP="00651A55">
            <w:pPr>
              <w:pStyle w:val="tv213"/>
              <w:spacing w:before="0" w:beforeAutospacing="0" w:after="0" w:afterAutospacing="0"/>
              <w:ind w:right="175"/>
              <w:jc w:val="both"/>
            </w:pPr>
            <w:r w:rsidRPr="00F15914">
              <w:t>3. Ģeotelpisko pamatdatu informācijas sistēma;</w:t>
            </w:r>
          </w:p>
          <w:p w:rsidR="00651A55" w:rsidRPr="00F15914" w:rsidRDefault="00651A55" w:rsidP="00651A55">
            <w:pPr>
              <w:pStyle w:val="tv213"/>
              <w:spacing w:before="0" w:beforeAutospacing="0" w:after="0" w:afterAutospacing="0"/>
              <w:ind w:right="175"/>
              <w:jc w:val="both"/>
            </w:pPr>
            <w:r w:rsidRPr="00F15914">
              <w:t>4. Teritorijas attīstības plānošanas informācijas sistēma;</w:t>
            </w:r>
          </w:p>
          <w:p w:rsidR="00651A55" w:rsidRPr="00F15914" w:rsidRDefault="00651A55" w:rsidP="00651A55">
            <w:pPr>
              <w:pStyle w:val="tv213"/>
              <w:spacing w:before="0" w:beforeAutospacing="0" w:after="0" w:afterAutospacing="0"/>
              <w:ind w:right="175"/>
              <w:jc w:val="both"/>
            </w:pPr>
            <w:r w:rsidRPr="00F15914">
              <w:t>5. Apgrūtināto teritoriju informācijas sistēma;</w:t>
            </w:r>
          </w:p>
          <w:p w:rsidR="00651A55" w:rsidRPr="00F15914" w:rsidRDefault="00651A55" w:rsidP="00651A55">
            <w:pPr>
              <w:pStyle w:val="tv213"/>
              <w:spacing w:before="0" w:beforeAutospacing="0" w:after="0" w:afterAutospacing="0"/>
              <w:ind w:right="175"/>
              <w:jc w:val="both"/>
            </w:pPr>
            <w:r w:rsidRPr="00F15914">
              <w:t>6. Augšņu agroķīmiskās izpētes ģeogrāfiskās informācijas sistēma;</w:t>
            </w:r>
          </w:p>
          <w:p w:rsidR="00651A55" w:rsidRPr="00F15914" w:rsidRDefault="00651A55" w:rsidP="00651A55">
            <w:pPr>
              <w:pStyle w:val="tv213"/>
              <w:spacing w:before="0" w:beforeAutospacing="0" w:after="0" w:afterAutospacing="0"/>
              <w:ind w:right="175"/>
              <w:jc w:val="both"/>
            </w:pPr>
            <w:r w:rsidRPr="00F15914">
              <w:t>7. Zemes kvalitātes novērtējuma informācijas sistēma;</w:t>
            </w:r>
          </w:p>
          <w:p w:rsidR="00651A55" w:rsidRPr="00F15914" w:rsidRDefault="00651A55" w:rsidP="00651A55">
            <w:pPr>
              <w:pStyle w:val="tv213"/>
              <w:spacing w:before="0" w:beforeAutospacing="0" w:after="0" w:afterAutospacing="0"/>
              <w:ind w:right="175"/>
              <w:jc w:val="both"/>
            </w:pPr>
            <w:r w:rsidRPr="00F15914">
              <w:t>8. Piesārņoto un potenciāli piesārņoto vietu reģistrs;</w:t>
            </w:r>
          </w:p>
          <w:p w:rsidR="00651A55" w:rsidRPr="00F15914" w:rsidRDefault="00651A55" w:rsidP="00651A55">
            <w:pPr>
              <w:pStyle w:val="tv213"/>
              <w:spacing w:before="0" w:beforeAutospacing="0" w:after="0" w:afterAutospacing="0"/>
              <w:ind w:right="175"/>
              <w:jc w:val="both"/>
            </w:pPr>
            <w:r w:rsidRPr="00F15914">
              <w:t>9. Lauku reģistra ģeogrāfiskās informācijas sistēma;</w:t>
            </w:r>
          </w:p>
          <w:p w:rsidR="00651A55" w:rsidRPr="00F15914" w:rsidRDefault="00651A55" w:rsidP="00651A55">
            <w:pPr>
              <w:pStyle w:val="tv213"/>
              <w:spacing w:before="0" w:beforeAutospacing="0" w:after="0" w:afterAutospacing="0"/>
              <w:ind w:right="175"/>
              <w:jc w:val="both"/>
            </w:pPr>
            <w:r w:rsidRPr="00F15914">
              <w:t>10. Meliorācijas kadastra informācijas sistēma;</w:t>
            </w:r>
          </w:p>
          <w:p w:rsidR="00651A55" w:rsidRPr="00F15914" w:rsidRDefault="00651A55" w:rsidP="00651A55">
            <w:pPr>
              <w:pStyle w:val="tv213"/>
              <w:spacing w:before="0" w:beforeAutospacing="0" w:after="0" w:afterAutospacing="0"/>
              <w:ind w:right="175"/>
              <w:jc w:val="both"/>
            </w:pPr>
            <w:r w:rsidRPr="00F15914">
              <w:t>11. Meža valsts reģistrs;</w:t>
            </w:r>
          </w:p>
          <w:p w:rsidR="00651A55" w:rsidRPr="00F15914" w:rsidRDefault="00651A55" w:rsidP="00651A55">
            <w:pPr>
              <w:pStyle w:val="tv213"/>
              <w:spacing w:before="0" w:beforeAutospacing="0" w:after="0" w:afterAutospacing="0"/>
              <w:ind w:right="175"/>
              <w:jc w:val="both"/>
            </w:pPr>
            <w:r w:rsidRPr="00F15914">
              <w:t>12. Iedzīvotāju reģistrs;</w:t>
            </w:r>
          </w:p>
          <w:p w:rsidR="00651A55" w:rsidRPr="00F15914" w:rsidRDefault="00651A55" w:rsidP="00651A55">
            <w:pPr>
              <w:pStyle w:val="tv213"/>
              <w:spacing w:before="0" w:beforeAutospacing="0" w:after="0" w:afterAutospacing="0"/>
              <w:ind w:right="175"/>
              <w:jc w:val="both"/>
            </w:pPr>
            <w:r w:rsidRPr="00F15914">
              <w:t>13. Komercreģistrs.</w:t>
            </w:r>
          </w:p>
          <w:p w:rsidR="00D8071E" w:rsidRPr="00F15914" w:rsidRDefault="00D8071E" w:rsidP="00D8071E">
            <w:pPr>
              <w:pStyle w:val="Heading2"/>
              <w:spacing w:before="120" w:after="120"/>
              <w:ind w:right="209"/>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Zemes pārskats reizi piecos gados paredzēts kā plašāka analīze atsevišķu institūciju ikgadēji iesniegtajiem datiem. Institūciju ikgadēji iesniegtie dati nepieciešami, analīzes veikšanai, nodrošinot precīzāku datu interpretāciju</w:t>
            </w:r>
            <w:r w:rsidR="008B4501">
              <w:rPr>
                <w:rFonts w:ascii="Times New Roman" w:hAnsi="Times New Roman" w:cs="Times New Roman"/>
                <w:b w:val="0"/>
                <w:i w:val="0"/>
                <w:sz w:val="24"/>
                <w:szCs w:val="24"/>
              </w:rPr>
              <w:t>, kā arī lai novērtētu rādītāju izmaiņu tendences pārskata izstrādes starplaikā. Par atsevišķiem rādītājiem, piemēram, augšņu agroķīmiskās ikgadējās analīzes rezultāti ir būtiski, lai izdarītu secinājumus par notikušajām izmaiņām</w:t>
            </w:r>
            <w:r w:rsidRPr="00F15914">
              <w:rPr>
                <w:rFonts w:ascii="Times New Roman" w:hAnsi="Times New Roman" w:cs="Times New Roman"/>
                <w:b w:val="0"/>
                <w:i w:val="0"/>
                <w:sz w:val="24"/>
                <w:szCs w:val="24"/>
              </w:rPr>
              <w:t>. Zemes pārskats tiks sagatavots reizi piecos gados, analizējot datus un to izmaiņas pēdējo piecu gadu griezumā.</w:t>
            </w:r>
          </w:p>
          <w:p w:rsidR="002A4E93" w:rsidRPr="00F15914" w:rsidRDefault="002A4E93" w:rsidP="002A4E93">
            <w:pPr>
              <w:pStyle w:val="Heading2"/>
              <w:spacing w:before="120" w:after="120"/>
              <w:ind w:right="209"/>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Ministru kabinets noteiks atbildīgo institūciju par šī zemes pārskata sagatavošanu, izdodot noteikumus par zemes pārskatā iekļaujamās informācijas sagatavošanas kārtību.</w:t>
            </w:r>
          </w:p>
          <w:p w:rsidR="002A4E93" w:rsidRPr="00F15914" w:rsidRDefault="002A4E93" w:rsidP="002A4E93">
            <w:pPr>
              <w:pStyle w:val="Heading2"/>
              <w:spacing w:before="120" w:after="120"/>
              <w:ind w:right="209"/>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Noteikumu projekts paredz, ka atbildīgā institūcija par zemes pārskata sagatavošanu ir Vides aizsardzības un reģionālās attīstības ministrija (turpmāk – VARAM).</w:t>
            </w:r>
          </w:p>
          <w:p w:rsidR="00517AD4" w:rsidRPr="00F15914" w:rsidRDefault="00986A49" w:rsidP="00986A49">
            <w:pPr>
              <w:pStyle w:val="Heading2"/>
              <w:spacing w:before="120" w:after="120"/>
              <w:ind w:right="209"/>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Institūcijas, k</w:t>
            </w:r>
            <w:r w:rsidR="006E544B" w:rsidRPr="00F15914">
              <w:rPr>
                <w:rFonts w:ascii="Times New Roman" w:hAnsi="Times New Roman" w:cs="Times New Roman"/>
                <w:b w:val="0"/>
                <w:i w:val="0"/>
                <w:sz w:val="24"/>
                <w:szCs w:val="24"/>
              </w:rPr>
              <w:t>as</w:t>
            </w:r>
            <w:r w:rsidRPr="00F15914">
              <w:rPr>
                <w:rFonts w:ascii="Times New Roman" w:hAnsi="Times New Roman" w:cs="Times New Roman"/>
                <w:b w:val="0"/>
                <w:i w:val="0"/>
                <w:sz w:val="24"/>
                <w:szCs w:val="24"/>
              </w:rPr>
              <w:t xml:space="preserve"> nodrošinās zemes pārskata sagatavošanai nepieciešamo informāciju, ir Lauku atbalsta dienests, Tiesu administrācija, Valsts augu aizsardzības dienests, Valsts meža dienests, Valsts zemes dienests, </w:t>
            </w:r>
            <w:r w:rsidR="00DA3CEE" w:rsidRPr="00F15914">
              <w:rPr>
                <w:rFonts w:ascii="Times New Roman" w:hAnsi="Times New Roman" w:cs="Times New Roman"/>
                <w:b w:val="0"/>
                <w:i w:val="0"/>
                <w:sz w:val="24"/>
                <w:szCs w:val="24"/>
              </w:rPr>
              <w:t>Valsts sabiedrība ar ierobežotu atbildību „Zemkopības ministrijas nekustamie īpašumi”</w:t>
            </w:r>
            <w:r w:rsidR="00DA3CEE" w:rsidRPr="00F15914">
              <w:rPr>
                <w:rFonts w:ascii="Times New Roman" w:hAnsi="Times New Roman" w:cs="Times New Roman"/>
                <w:color w:val="000000"/>
                <w:sz w:val="24"/>
                <w:szCs w:val="24"/>
              </w:rPr>
              <w:t xml:space="preserve"> </w:t>
            </w:r>
            <w:r w:rsidRPr="00F15914">
              <w:rPr>
                <w:rFonts w:ascii="Times New Roman" w:hAnsi="Times New Roman" w:cs="Times New Roman"/>
                <w:b w:val="0"/>
                <w:i w:val="0"/>
                <w:sz w:val="24"/>
                <w:szCs w:val="24"/>
              </w:rPr>
              <w:t xml:space="preserve">un </w:t>
            </w:r>
            <w:r w:rsidR="00D339DE" w:rsidRPr="00F15914">
              <w:rPr>
                <w:rFonts w:ascii="Times New Roman" w:hAnsi="Times New Roman" w:cs="Times New Roman"/>
                <w:b w:val="0"/>
                <w:i w:val="0"/>
                <w:sz w:val="24"/>
                <w:szCs w:val="24"/>
              </w:rPr>
              <w:t>valsts akciju sabiedrība „</w:t>
            </w:r>
            <w:r w:rsidRPr="00F15914">
              <w:rPr>
                <w:rFonts w:ascii="Times New Roman" w:hAnsi="Times New Roman" w:cs="Times New Roman"/>
                <w:b w:val="0"/>
                <w:i w:val="0"/>
                <w:sz w:val="24"/>
                <w:szCs w:val="24"/>
              </w:rPr>
              <w:t>Latvijas Vides, ģeoloģijas un meteoroloģijas centrs</w:t>
            </w:r>
            <w:r w:rsidR="00D339DE" w:rsidRPr="00F15914">
              <w:rPr>
                <w:rFonts w:ascii="Times New Roman" w:hAnsi="Times New Roman" w:cs="Times New Roman"/>
                <w:b w:val="0"/>
                <w:i w:val="0"/>
                <w:sz w:val="24"/>
                <w:szCs w:val="24"/>
              </w:rPr>
              <w:t>”</w:t>
            </w:r>
            <w:r w:rsidRPr="00F15914">
              <w:rPr>
                <w:rFonts w:ascii="Times New Roman" w:hAnsi="Times New Roman" w:cs="Times New Roman"/>
                <w:b w:val="0"/>
                <w:i w:val="0"/>
                <w:sz w:val="24"/>
                <w:szCs w:val="24"/>
              </w:rPr>
              <w:t>.</w:t>
            </w:r>
          </w:p>
          <w:p w:rsidR="00517AD4" w:rsidRDefault="00517AD4" w:rsidP="00517AD4">
            <w:pPr>
              <w:pStyle w:val="Heading2"/>
              <w:spacing w:before="120" w:after="120"/>
              <w:ind w:right="210"/>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Minētās institūcijas zemes pārskatā iekļaujamo informāciju reizi gadā sagatavo un elektroniski iesniedz V</w:t>
            </w:r>
            <w:r w:rsidR="00854581">
              <w:rPr>
                <w:rFonts w:ascii="Times New Roman" w:hAnsi="Times New Roman" w:cs="Times New Roman"/>
                <w:b w:val="0"/>
                <w:i w:val="0"/>
                <w:sz w:val="24"/>
                <w:szCs w:val="24"/>
              </w:rPr>
              <w:t>RAA,</w:t>
            </w:r>
            <w:r w:rsidRPr="00F15914">
              <w:rPr>
                <w:rFonts w:ascii="Times New Roman" w:hAnsi="Times New Roman" w:cs="Times New Roman"/>
                <w:b w:val="0"/>
                <w:i w:val="0"/>
                <w:sz w:val="24"/>
                <w:szCs w:val="24"/>
              </w:rPr>
              <w:t xml:space="preserve"> </w:t>
            </w:r>
            <w:r w:rsidR="00854581" w:rsidRPr="00854581">
              <w:rPr>
                <w:rFonts w:ascii="Times New Roman" w:hAnsi="Times New Roman" w:cs="Times New Roman"/>
                <w:b w:val="0"/>
                <w:i w:val="0"/>
                <w:sz w:val="24"/>
                <w:szCs w:val="24"/>
              </w:rPr>
              <w:t xml:space="preserve">kas tos uzglabā aģentūras </w:t>
            </w:r>
            <w:proofErr w:type="spellStart"/>
            <w:r w:rsidR="00854581" w:rsidRPr="00854581">
              <w:rPr>
                <w:rFonts w:ascii="Times New Roman" w:hAnsi="Times New Roman" w:cs="Times New Roman"/>
                <w:b w:val="0"/>
                <w:i w:val="0"/>
                <w:sz w:val="24"/>
                <w:szCs w:val="24"/>
              </w:rPr>
              <w:t>pārziņā</w:t>
            </w:r>
            <w:proofErr w:type="spellEnd"/>
            <w:r w:rsidR="00854581" w:rsidRPr="00854581">
              <w:rPr>
                <w:rFonts w:ascii="Times New Roman" w:hAnsi="Times New Roman" w:cs="Times New Roman"/>
                <w:b w:val="0"/>
                <w:i w:val="0"/>
                <w:sz w:val="24"/>
                <w:szCs w:val="24"/>
              </w:rPr>
              <w:t xml:space="preserve"> esošajā Reģionālās attīstības indikatoru modulī.</w:t>
            </w:r>
          </w:p>
          <w:p w:rsidR="004D0253" w:rsidRPr="004D0253" w:rsidRDefault="004D0253" w:rsidP="004D0253">
            <w:pPr>
              <w:spacing w:after="200"/>
              <w:contextualSpacing/>
              <w:jc w:val="both"/>
              <w:rPr>
                <w:bCs/>
                <w:iCs/>
              </w:rPr>
            </w:pPr>
            <w:r>
              <w:rPr>
                <w:bCs/>
                <w:iCs/>
              </w:rPr>
              <w:lastRenderedPageBreak/>
              <w:t>I</w:t>
            </w:r>
            <w:r w:rsidRPr="004D0253">
              <w:rPr>
                <w:bCs/>
                <w:iCs/>
              </w:rPr>
              <w:t>nstitūcijas datus iesniedz uz Valsts reģionālās attīstības aģentūras datņu pārsūtīšanas protokola (</w:t>
            </w:r>
            <w:proofErr w:type="spellStart"/>
            <w:r w:rsidRPr="004D0253">
              <w:rPr>
                <w:bCs/>
                <w:iCs/>
              </w:rPr>
              <w:t>File</w:t>
            </w:r>
            <w:proofErr w:type="spellEnd"/>
            <w:r w:rsidRPr="004D0253">
              <w:rPr>
                <w:bCs/>
                <w:iCs/>
              </w:rPr>
              <w:t xml:space="preserve"> </w:t>
            </w:r>
            <w:proofErr w:type="spellStart"/>
            <w:r w:rsidRPr="004D0253">
              <w:rPr>
                <w:bCs/>
                <w:iCs/>
              </w:rPr>
              <w:t>Transfer</w:t>
            </w:r>
            <w:proofErr w:type="spellEnd"/>
            <w:r w:rsidRPr="004D0253">
              <w:rPr>
                <w:bCs/>
                <w:iCs/>
              </w:rPr>
              <w:t xml:space="preserve"> </w:t>
            </w:r>
            <w:proofErr w:type="spellStart"/>
            <w:r w:rsidRPr="004D0253">
              <w:rPr>
                <w:bCs/>
                <w:iCs/>
              </w:rPr>
              <w:t>Protocol</w:t>
            </w:r>
            <w:proofErr w:type="spellEnd"/>
            <w:r w:rsidRPr="004D0253">
              <w:rPr>
                <w:bCs/>
                <w:iCs/>
              </w:rPr>
              <w:t xml:space="preserve">) servera. Piekļuves rekvizītus Valsts reģionālās attīstības aģentūras </w:t>
            </w:r>
            <w:proofErr w:type="spellStart"/>
            <w:r w:rsidRPr="004D0253">
              <w:rPr>
                <w:bCs/>
                <w:iCs/>
              </w:rPr>
              <w:t>File</w:t>
            </w:r>
            <w:proofErr w:type="spellEnd"/>
            <w:r w:rsidRPr="004D0253">
              <w:rPr>
                <w:bCs/>
                <w:iCs/>
              </w:rPr>
              <w:t xml:space="preserve"> </w:t>
            </w:r>
            <w:proofErr w:type="spellStart"/>
            <w:r w:rsidRPr="004D0253">
              <w:rPr>
                <w:bCs/>
                <w:iCs/>
              </w:rPr>
              <w:t>Transfer</w:t>
            </w:r>
            <w:proofErr w:type="spellEnd"/>
            <w:r w:rsidRPr="004D0253">
              <w:rPr>
                <w:bCs/>
                <w:iCs/>
              </w:rPr>
              <w:t xml:space="preserve"> </w:t>
            </w:r>
            <w:proofErr w:type="spellStart"/>
            <w:r w:rsidRPr="004D0253">
              <w:rPr>
                <w:bCs/>
                <w:iCs/>
              </w:rPr>
              <w:t>Protocol</w:t>
            </w:r>
            <w:proofErr w:type="spellEnd"/>
            <w:r w:rsidRPr="004D0253">
              <w:rPr>
                <w:bCs/>
                <w:iCs/>
              </w:rPr>
              <w:t xml:space="preserve"> serverim piešķir pēc pieprasījuma saņemšanas no iestādes uz </w:t>
            </w:r>
            <w:hyperlink r:id="rId9" w:history="1">
              <w:r w:rsidRPr="004D0253">
                <w:rPr>
                  <w:bCs/>
                  <w:iCs/>
                </w:rPr>
                <w:t>raim@vraa.gov.lv</w:t>
              </w:r>
            </w:hyperlink>
            <w:r w:rsidR="0081733D">
              <w:rPr>
                <w:bCs/>
                <w:iCs/>
              </w:rPr>
              <w:t>.</w:t>
            </w:r>
          </w:p>
          <w:p w:rsidR="00633862" w:rsidRDefault="00517AD4" w:rsidP="00854581">
            <w:pPr>
              <w:pStyle w:val="tv213"/>
              <w:spacing w:before="120" w:beforeAutospacing="0" w:after="120" w:afterAutospacing="0"/>
              <w:ind w:right="176"/>
              <w:jc w:val="both"/>
            </w:pPr>
            <w:r w:rsidRPr="00F15914">
              <w:rPr>
                <w:bCs/>
                <w:iCs/>
              </w:rPr>
              <w:t>Noteikumu projekts paredz zemes pārskata sagatavošanai nepieciešamos datus sagatavot un iesniegt V</w:t>
            </w:r>
            <w:r w:rsidR="00854581">
              <w:rPr>
                <w:bCs/>
                <w:iCs/>
              </w:rPr>
              <w:t>RAA</w:t>
            </w:r>
            <w:r w:rsidRPr="00F15914">
              <w:rPr>
                <w:bCs/>
                <w:iCs/>
              </w:rPr>
              <w:t xml:space="preserve"> atbilstoši administratīv</w:t>
            </w:r>
            <w:r w:rsidR="00633862" w:rsidRPr="00F15914">
              <w:rPr>
                <w:bCs/>
                <w:iCs/>
              </w:rPr>
              <w:t>ajām</w:t>
            </w:r>
            <w:r w:rsidRPr="00F15914">
              <w:rPr>
                <w:bCs/>
                <w:iCs/>
              </w:rPr>
              <w:t xml:space="preserve"> teritori</w:t>
            </w:r>
            <w:r w:rsidR="00633862" w:rsidRPr="00F15914">
              <w:rPr>
                <w:bCs/>
                <w:iCs/>
              </w:rPr>
              <w:t>jām</w:t>
            </w:r>
            <w:r w:rsidRPr="00F15914">
              <w:rPr>
                <w:bCs/>
                <w:iCs/>
              </w:rPr>
              <w:t xml:space="preserve"> un</w:t>
            </w:r>
            <w:r w:rsidR="00461E86">
              <w:rPr>
                <w:bCs/>
                <w:iCs/>
              </w:rPr>
              <w:t xml:space="preserve"> </w:t>
            </w:r>
            <w:r w:rsidR="00633862" w:rsidRPr="00F15914">
              <w:rPr>
                <w:bCs/>
                <w:iCs/>
              </w:rPr>
              <w:t>pa novadu teritoriālā iedalījuma vienībām – novadu pagastiem</w:t>
            </w:r>
            <w:r w:rsidR="00084D5F">
              <w:rPr>
                <w:bCs/>
                <w:iCs/>
              </w:rPr>
              <w:t xml:space="preserve"> un</w:t>
            </w:r>
            <w:r w:rsidR="00633862" w:rsidRPr="00F15914">
              <w:rPr>
                <w:bCs/>
                <w:iCs/>
              </w:rPr>
              <w:t xml:space="preserve"> novadu pilsētām</w:t>
            </w:r>
            <w:r w:rsidR="004D0253">
              <w:rPr>
                <w:bCs/>
                <w:iCs/>
              </w:rPr>
              <w:t>, vadoties pēc noteikumu projekta pielikumā norādītajām administratīvo teritoriju un novadu teritoriālā iedalījuma vienībām</w:t>
            </w:r>
            <w:r w:rsidR="00633862" w:rsidRPr="00F15914">
              <w:t>.</w:t>
            </w:r>
          </w:p>
          <w:p w:rsidR="004D0253" w:rsidRPr="00F15914" w:rsidRDefault="004D0253" w:rsidP="00854581">
            <w:pPr>
              <w:pStyle w:val="tv213"/>
              <w:spacing w:before="120" w:beforeAutospacing="0" w:after="120" w:afterAutospacing="0"/>
              <w:ind w:right="176"/>
              <w:jc w:val="both"/>
            </w:pPr>
            <w:r>
              <w:t>Ņemot vērā, ka atsevišķi</w:t>
            </w:r>
            <w:r w:rsidR="00540529">
              <w:t>em</w:t>
            </w:r>
            <w:r>
              <w:t xml:space="preserve"> novadi</w:t>
            </w:r>
            <w:r w:rsidR="00540529">
              <w:t>em</w:t>
            </w:r>
            <w:r>
              <w:t xml:space="preserve"> Latvijā nav novad</w:t>
            </w:r>
            <w:r w:rsidR="00540529">
              <w:t>a</w:t>
            </w:r>
            <w:r>
              <w:t xml:space="preserve"> pagast</w:t>
            </w:r>
            <w:r w:rsidR="00540529">
              <w:t>u</w:t>
            </w:r>
            <w:r>
              <w:t xml:space="preserve">, </w:t>
            </w:r>
            <w:r w:rsidR="009154EB">
              <w:t xml:space="preserve">šajā gadījumā </w:t>
            </w:r>
            <w:r>
              <w:t>institūcijām (</w:t>
            </w:r>
            <w:r w:rsidR="009154EB">
              <w:t>Lauku atbalsta dienests</w:t>
            </w:r>
            <w:r>
              <w:t>)</w:t>
            </w:r>
            <w:r w:rsidR="009154EB">
              <w:t xml:space="preserve"> dati sniedzami atbilstoši administratīvajām teritorijām </w:t>
            </w:r>
            <w:r w:rsidR="00540529">
              <w:t>-</w:t>
            </w:r>
            <w:r w:rsidR="009154EB">
              <w:t xml:space="preserve"> novadiem.</w:t>
            </w:r>
          </w:p>
          <w:p w:rsidR="00084D5F" w:rsidRDefault="006400F9" w:rsidP="00854581">
            <w:pPr>
              <w:pStyle w:val="tv213"/>
              <w:spacing w:before="120" w:beforeAutospacing="0" w:after="120" w:afterAutospacing="0"/>
              <w:ind w:right="176"/>
              <w:jc w:val="both"/>
            </w:pPr>
            <w:r w:rsidRPr="006400F9">
              <w:t xml:space="preserve">Noteikumu projekts nosaka zemes pārskata sagatavošanai iesniegt teksta datus. Ņemot vērā, ka dažas likumā noteiktās informācijas sistēmās uzkrātos datus ērtāk ir analizēt, papildus izmantojot citu informācijas sistēmu telpiskos datus, noteikumu projekts neparedz atsevišķām informācijas sistēmām nodrošināt informāciju zemes pārskata sagatavošanai. </w:t>
            </w:r>
          </w:p>
          <w:p w:rsidR="00084D5F" w:rsidRPr="00F15914" w:rsidRDefault="00084D5F" w:rsidP="00084D5F">
            <w:pPr>
              <w:ind w:right="175"/>
              <w:jc w:val="both"/>
              <w:rPr>
                <w:bCs/>
                <w:iCs/>
              </w:rPr>
            </w:pPr>
            <w:r w:rsidRPr="00F15914">
              <w:rPr>
                <w:bCs/>
                <w:iCs/>
              </w:rPr>
              <w:t>Informācijas sistēmas, kuru dati netiek iesniegti:</w:t>
            </w:r>
          </w:p>
          <w:p w:rsidR="00084D5F" w:rsidRPr="00F15914" w:rsidRDefault="00084D5F" w:rsidP="00084D5F">
            <w:pPr>
              <w:ind w:right="175"/>
              <w:jc w:val="both"/>
            </w:pPr>
            <w:r w:rsidRPr="00F15914">
              <w:rPr>
                <w:bCs/>
                <w:iCs/>
              </w:rPr>
              <w:t xml:space="preserve">1. </w:t>
            </w:r>
            <w:r w:rsidRPr="00F15914">
              <w:t>Valsts adrešu reģistra informācijas sistēma;</w:t>
            </w:r>
          </w:p>
          <w:p w:rsidR="00084D5F" w:rsidRPr="00F15914" w:rsidRDefault="00084D5F" w:rsidP="00084D5F">
            <w:pPr>
              <w:pStyle w:val="tv213"/>
              <w:spacing w:before="0" w:beforeAutospacing="0" w:after="0" w:afterAutospacing="0"/>
              <w:ind w:right="175"/>
            </w:pPr>
            <w:r w:rsidRPr="00F15914">
              <w:t>2. Ģeotelpisko pamatdatu informācijas sistēma;</w:t>
            </w:r>
          </w:p>
          <w:p w:rsidR="00084D5F" w:rsidRPr="00F15914" w:rsidRDefault="00084D5F" w:rsidP="00084D5F">
            <w:pPr>
              <w:pStyle w:val="tv213"/>
              <w:spacing w:before="0" w:beforeAutospacing="0" w:after="0" w:afterAutospacing="0"/>
              <w:ind w:right="175"/>
            </w:pPr>
            <w:r>
              <w:t>3</w:t>
            </w:r>
            <w:r w:rsidRPr="00F15914">
              <w:t>. Apgrūtināto teritoriju informācijas sistēma;</w:t>
            </w:r>
          </w:p>
          <w:p w:rsidR="00084D5F" w:rsidRPr="00F15914" w:rsidRDefault="00084D5F" w:rsidP="00084D5F">
            <w:pPr>
              <w:pStyle w:val="tv213"/>
              <w:spacing w:before="0" w:beforeAutospacing="0" w:after="0" w:afterAutospacing="0"/>
              <w:ind w:right="175"/>
            </w:pPr>
            <w:r>
              <w:t>4</w:t>
            </w:r>
            <w:r w:rsidRPr="00F15914">
              <w:t xml:space="preserve">. Iedzīvotāju reģistrs; </w:t>
            </w:r>
          </w:p>
          <w:p w:rsidR="00084D5F" w:rsidRPr="00F15914" w:rsidRDefault="00084D5F" w:rsidP="00084D5F">
            <w:pPr>
              <w:pStyle w:val="tv213"/>
              <w:spacing w:before="0" w:beforeAutospacing="0" w:after="0" w:afterAutospacing="0"/>
              <w:ind w:right="175"/>
            </w:pPr>
            <w:r>
              <w:t>5</w:t>
            </w:r>
            <w:r w:rsidRPr="00F15914">
              <w:t>. Komercreģistrs.</w:t>
            </w:r>
          </w:p>
          <w:p w:rsidR="006400F9" w:rsidRPr="006400F9" w:rsidRDefault="006400F9" w:rsidP="00854581">
            <w:pPr>
              <w:pStyle w:val="tv213"/>
              <w:spacing w:before="120" w:beforeAutospacing="0" w:after="120" w:afterAutospacing="0"/>
              <w:ind w:right="176"/>
              <w:jc w:val="both"/>
            </w:pPr>
            <w:r w:rsidRPr="006400F9">
              <w:t>Tāpat teksta dati nav jāiesniedz informācijas sistēmām, kuras uz projekta gatavošanas dienu nefunkcionē (Zemes kvalitātes novērtējuma informācijas sistēma). Tomēr netiek izslēgta iespēja datus iesniegt nākotnē, kad informācijas sistēm</w:t>
            </w:r>
            <w:r w:rsidR="00854581">
              <w:t>a</w:t>
            </w:r>
            <w:r w:rsidRPr="006400F9">
              <w:t xml:space="preserve"> darbosies.</w:t>
            </w:r>
          </w:p>
          <w:p w:rsidR="00E85742" w:rsidRPr="00F15914" w:rsidRDefault="00E85742" w:rsidP="00854581">
            <w:pPr>
              <w:pStyle w:val="tv213"/>
              <w:spacing w:before="120" w:beforeAutospacing="0" w:after="120" w:afterAutospacing="0"/>
              <w:ind w:right="176"/>
              <w:jc w:val="both"/>
            </w:pPr>
            <w:r w:rsidRPr="00F15914">
              <w:t>Savukārt, Teritorijas attīstības plānošanas informācijas sistēmā (TAPIS) uzkrāto datu ielāde</w:t>
            </w:r>
            <w:r w:rsidR="00B02280" w:rsidRPr="00F15914">
              <w:t>i</w:t>
            </w:r>
            <w:r w:rsidRPr="00F15914">
              <w:t xml:space="preserve"> reģionālās attīstības indikatoru modulī ir paredzēta cita kārtība.</w:t>
            </w:r>
          </w:p>
          <w:p w:rsidR="00E85742" w:rsidRDefault="00E85742" w:rsidP="00B02280">
            <w:pPr>
              <w:pStyle w:val="tv213"/>
              <w:spacing w:before="120" w:beforeAutospacing="0" w:after="120" w:afterAutospacing="0"/>
              <w:ind w:right="176"/>
              <w:jc w:val="both"/>
            </w:pPr>
            <w:r w:rsidRPr="00F15914">
              <w:t xml:space="preserve">Lai arī noteikumu projekts neparedz datu iesniegšanu no </w:t>
            </w:r>
            <w:r w:rsidR="00084D5F">
              <w:t>atsevišķām</w:t>
            </w:r>
            <w:r w:rsidRPr="00F15914">
              <w:t xml:space="preserve"> informācijas sistēmām, tas neizslēdz iespēju</w:t>
            </w:r>
            <w:r w:rsidR="00B02280" w:rsidRPr="00F15914">
              <w:t>,</w:t>
            </w:r>
            <w:r w:rsidRPr="00F15914">
              <w:t xml:space="preserve"> gatavojot zemes pārskatu</w:t>
            </w:r>
            <w:r w:rsidR="00B02280" w:rsidRPr="00F15914">
              <w:t>,</w:t>
            </w:r>
            <w:r w:rsidRPr="00F15914">
              <w:t xml:space="preserve"> izmantot minēto informācijas sistēmu publiski pieejam</w:t>
            </w:r>
            <w:r w:rsidR="00F37BA8">
              <w:t>o</w:t>
            </w:r>
            <w:r w:rsidRPr="00F15914">
              <w:t>s datus.</w:t>
            </w:r>
          </w:p>
          <w:p w:rsidR="003E0DA5" w:rsidRPr="00F15914" w:rsidRDefault="003E0DA5" w:rsidP="00B02280">
            <w:pPr>
              <w:pStyle w:val="tv213"/>
              <w:spacing w:before="120" w:beforeAutospacing="0" w:after="120" w:afterAutospacing="0"/>
              <w:ind w:right="176"/>
              <w:jc w:val="both"/>
            </w:pPr>
            <w:r w:rsidRPr="00931EA1">
              <w:t xml:space="preserve">Atceļot Ministru kabineta 1997.gada 9.decembra noteikumus Nr.411 „Kārtība, kādā publicējama informācija par darījumiem ar zemes īpašumu un nosakāmi zemes īpašumu apmēru ierobežojumi” un </w:t>
            </w:r>
            <w:r w:rsidRPr="00931EA1">
              <w:lastRenderedPageBreak/>
              <w:t xml:space="preserve">pieņemot Ministru kabineta 2007.gada 8.maija noteikumus Nr.299 „Kārtība, kādā nosakāmi publicējamie zemes īpašumu </w:t>
            </w:r>
            <w:r w:rsidR="00922343">
              <w:t>rādītāji” (turpmāk – MK noteikumi Nr.299), Tieslietu ministrijai noteikts pienākums apkopot un nodot publicēšanai laikrakstā “Latvijas Vēstnesis” zemesgrāmatu nodaļu sniegto informāciju. Tādējādi nodrošinot iespēju analizēt datus tajā apjomā, kuru publicēšanu paredz MK noteikumi Nr.299.</w:t>
            </w:r>
            <w:r w:rsidR="00A13490">
              <w:t xml:space="preserve"> Publicētie dati nesniedz iespēju </w:t>
            </w:r>
            <w:r w:rsidRPr="00931EA1">
              <w:t xml:space="preserve">analizēt situāciju pašvaldībās, kā arī to, kāds ir ārvalstu personu īpašumā esošo zemju kopējais īpatsvars.  </w:t>
            </w:r>
            <w:r>
              <w:t>Ņ</w:t>
            </w:r>
            <w:r w:rsidRPr="00931EA1">
              <w:t>emot vērā, ka atsevišķās pašvaldīb</w:t>
            </w:r>
            <w:r>
              <w:t>ā</w:t>
            </w:r>
            <w:r w:rsidRPr="00931EA1">
              <w:t>s darījumos ar zemes īpašumiem ir būtisks</w:t>
            </w:r>
            <w:r>
              <w:t xml:space="preserve"> ārvalstu personu īpatsvars,</w:t>
            </w:r>
            <w:r w:rsidRPr="00931EA1">
              <w:t xml:space="preserve"> var pieņemt, ka pieaug arī šo personu īpašumā esošo zemju īpatsvars, </w:t>
            </w:r>
            <w:r>
              <w:t>taču</w:t>
            </w:r>
            <w:r w:rsidRPr="00931EA1">
              <w:t xml:space="preserve"> nav iespējams noteikt kāds tas ir.</w:t>
            </w:r>
            <w:r w:rsidR="00A507F8">
              <w:t xml:space="preserve"> </w:t>
            </w:r>
            <w:r>
              <w:t>Noteikumu projekts paredz Tiesu administrācijai sniegt datus par notikušajiem darījumiem, kuros iesaistītas ārvalstu fiziskās un juridiskās personas. Sniegtie dati ļaus analizēt pašvaldību griezumā ārvalstu personu īpatsvaru, kuriem pieder zemes, kā arī zemes un būvju īpašumi Latvijā.</w:t>
            </w:r>
          </w:p>
          <w:p w:rsidR="009120FF" w:rsidRDefault="009120FF" w:rsidP="00854581">
            <w:pPr>
              <w:ind w:right="176"/>
              <w:jc w:val="both"/>
            </w:pPr>
            <w:r w:rsidRPr="009120FF">
              <w:t>Valsts zemes dienest</w:t>
            </w:r>
            <w:r w:rsidR="00854581">
              <w:t>s</w:t>
            </w:r>
            <w:r w:rsidRPr="009120FF">
              <w:t xml:space="preserve"> ik gadu sagatavo Latvijas Republikas administratīvo teritoriju un teritoriālo vienību zemes pārskatu. Minētais zemes pārskats ietver informāciju par zemes sadalījumu atbilstoši teritorijas atļautajai izmantošanai un citiem kritērijiem. Tomēr zemes pārskats neietver detalizētāku informāciju par nekustamo īpašumu sadalījumu, piemēram, pēc to platībām vai to sastāvā esoš</w:t>
            </w:r>
            <w:r w:rsidR="00854581">
              <w:t>o</w:t>
            </w:r>
            <w:r w:rsidRPr="009120FF">
              <w:t xml:space="preserve"> zemes vienību skaita. Noteikumu projekts paredz Valsts zemes dienestam sagatavot un iesniegt minēto informāciju atsevišķās lietošanas mērķa grupās</w:t>
            </w:r>
            <w:r w:rsidR="003E0DA5">
              <w:t xml:space="preserve"> („Lauksaimniecība” un lietošanas mērķa grupas „Mežsaimniecības zeme un īpaši aizsargājamās dabas teritorijas, kurās saimnieciskā darbība ir aizliegta ar normatīvo aktu” mērķis „Zeme, uz kuras galvenā saimnieciskā darbība ir mežsaimniecība”)</w:t>
            </w:r>
            <w:r w:rsidRPr="009120FF">
              <w:t xml:space="preserve"> un zemes lietošanas veidos</w:t>
            </w:r>
            <w:r w:rsidR="003E0DA5">
              <w:t xml:space="preserve"> (Aramzeme, Augļu dārzs, Pļava, Ganības, Mežs)</w:t>
            </w:r>
            <w:r w:rsidRPr="009120FF">
              <w:t>.</w:t>
            </w:r>
          </w:p>
          <w:p w:rsidR="00133F98" w:rsidRDefault="00133F98" w:rsidP="00854581">
            <w:pPr>
              <w:ind w:right="176"/>
              <w:jc w:val="both"/>
            </w:pPr>
            <w:r>
              <w:t>Savukārt, lai analizētu nekustamo īpašumu un lauku saimniecību struktūru, no Valsts zemes dienesta tiek pieprasīta informācija par nekustamo īpašumu skaitu lietošanas mērķu grupās:</w:t>
            </w:r>
          </w:p>
          <w:p w:rsidR="00133F98" w:rsidRDefault="00133F98" w:rsidP="00854581">
            <w:pPr>
              <w:ind w:right="176"/>
              <w:jc w:val="both"/>
            </w:pPr>
            <w:r>
              <w:t>1) „Lauksaimniecība”;</w:t>
            </w:r>
          </w:p>
          <w:p w:rsidR="00133F98" w:rsidRDefault="00133F98" w:rsidP="00854581">
            <w:pPr>
              <w:ind w:right="176"/>
              <w:jc w:val="both"/>
            </w:pPr>
            <w:r>
              <w:t>2) „Mežsaimniecības zeme un īpaši aizsargājamās dabas teritorijas, kurās saimnieciskā darbība ir aizliegta ar normatīvo aktu” ar mērķi „Zeme, uz kuras galvenā saimnieciskā darbība ir mežsaimniecība”.</w:t>
            </w:r>
          </w:p>
          <w:p w:rsidR="00540529" w:rsidRDefault="00461E86" w:rsidP="00854581">
            <w:pPr>
              <w:spacing w:before="120" w:after="120"/>
              <w:ind w:right="176"/>
              <w:jc w:val="both"/>
            </w:pPr>
            <w:r>
              <w:t xml:space="preserve">Pieprasīto </w:t>
            </w:r>
            <w:r w:rsidR="00133F98">
              <w:t xml:space="preserve">informāciju nepieciešams klasificēt gan pēc nekustamā īpašuma sastāvā esošo zemes vienību </w:t>
            </w:r>
            <w:r w:rsidR="00133F98">
              <w:lastRenderedPageBreak/>
              <w:t>skaita, gan pēc nekustamā īpašuma kopplatības (intervāli pieejami noteikuma projekta pielikumā).</w:t>
            </w:r>
          </w:p>
          <w:p w:rsidR="003A2535" w:rsidRDefault="003A2535" w:rsidP="00854581">
            <w:pPr>
              <w:spacing w:before="120" w:after="120"/>
              <w:ind w:right="176"/>
              <w:jc w:val="both"/>
            </w:pPr>
            <w:r>
              <w:t>Noteikumu projekta pielikumā 5.1., 5.2., 5.3. un 5.4. apakšpunktos datu atlase jāveic tikai lietošanas mērķa grupai atbilstošās zemes vienības un to platības.</w:t>
            </w:r>
          </w:p>
          <w:p w:rsidR="00540529" w:rsidRDefault="003A2535" w:rsidP="00854581">
            <w:pPr>
              <w:spacing w:before="120" w:after="120"/>
              <w:ind w:right="176"/>
              <w:jc w:val="both"/>
            </w:pPr>
            <w:r>
              <w:t>Noteikumu projekta pielikuma 5.5. un 5.6. apakšpunktos datu atlasē nepieciešams summēt visas īpašuma zemes vienības.</w:t>
            </w:r>
          </w:p>
          <w:p w:rsidR="005D3C94" w:rsidRDefault="005D3C94" w:rsidP="00854581">
            <w:pPr>
              <w:spacing w:before="120" w:after="120"/>
              <w:ind w:right="176"/>
              <w:jc w:val="both"/>
            </w:pPr>
            <w:r>
              <w:t>Savukārt, noteikumu projekta pielikuma 5.7. un 5.8. apakšpunktos jāsummē visa nekustamā īpašuma kopplatība.</w:t>
            </w:r>
          </w:p>
          <w:p w:rsidR="005D3C94" w:rsidRDefault="005D3C94" w:rsidP="00854581">
            <w:pPr>
              <w:spacing w:before="120" w:after="120"/>
              <w:ind w:right="176"/>
              <w:jc w:val="both"/>
            </w:pPr>
            <w:r>
              <w:t>Noteikumu projekta pielikuma 5.9. un 5.10. apakšpunktos jāsummē zemes lietošanas veidu kopplatības.</w:t>
            </w:r>
          </w:p>
          <w:p w:rsidR="00CD531F" w:rsidRDefault="00CD531F" w:rsidP="00854581">
            <w:pPr>
              <w:spacing w:before="120" w:after="120"/>
              <w:ind w:right="176"/>
              <w:jc w:val="both"/>
            </w:pPr>
            <w:r w:rsidRPr="00F15914">
              <w:t>Savukārt, Augšņu agroķīmiskās izpētes ģeogrāfiskās informācijas sistēmas dati</w:t>
            </w:r>
            <w:r w:rsidR="00F61166" w:rsidRPr="00F15914">
              <w:t xml:space="preserve"> tiks izmantoti, lai nodrošinātu zemes pārskatā informāciju par citām izmaiņām zemes izmantošanā atbilstoši</w:t>
            </w:r>
            <w:r w:rsidRPr="00F15914">
              <w:t xml:space="preserve"> likuma 21.panta trešās daļas 1</w:t>
            </w:r>
            <w:r w:rsidR="00F61166" w:rsidRPr="00F15914">
              <w:t>1</w:t>
            </w:r>
            <w:r w:rsidRPr="00F15914">
              <w:t>.punktam</w:t>
            </w:r>
            <w:r w:rsidR="00F61166" w:rsidRPr="00F15914">
              <w:t>.</w:t>
            </w:r>
          </w:p>
          <w:p w:rsidR="00461E86" w:rsidRDefault="003A3417" w:rsidP="00986A49">
            <w:pPr>
              <w:pStyle w:val="Heading2"/>
              <w:spacing w:before="120" w:after="120"/>
              <w:ind w:right="209"/>
              <w:jc w:val="both"/>
              <w:outlineLvl w:val="1"/>
            </w:pPr>
            <w:r w:rsidRPr="00461E86">
              <w:rPr>
                <w:rFonts w:ascii="Times New Roman" w:hAnsi="Times New Roman" w:cs="Times New Roman"/>
                <w:b w:val="0"/>
                <w:bCs w:val="0"/>
                <w:i w:val="0"/>
                <w:iCs w:val="0"/>
                <w:sz w:val="24"/>
                <w:szCs w:val="24"/>
              </w:rPr>
              <w:t>Valsts sabiedrības ar ierobežotu atbildību „Zemkopības ministrijas nekustamie īpašumi” sniedz datus par Meliorācijas kadastra informācijas sistēmā uzskaitītajām meliorētajām platībām, kas ietver nosusināto platību, nevis dabiski sausās teritorijas (pagalmi, infrastruktūras objekti).</w:t>
            </w:r>
            <w:r w:rsidR="00461E86">
              <w:t xml:space="preserve"> </w:t>
            </w:r>
          </w:p>
          <w:p w:rsidR="003D04D4" w:rsidRPr="00F15914" w:rsidRDefault="008619CE" w:rsidP="00986A49">
            <w:pPr>
              <w:pStyle w:val="Heading2"/>
              <w:spacing w:before="120" w:after="120"/>
              <w:ind w:right="209"/>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Lauku atbalsta dienesta, Tiesu administrācijas, Valsts augu aizsardzības dienesta, Valsts meža dienesta, Valsts zemes dienesta, Valsts sabiedrības ar ierobežotu atbildību „Zemkopības ministrijas nekustamie īpašumi”</w:t>
            </w:r>
            <w:r w:rsidRPr="00F15914">
              <w:rPr>
                <w:rFonts w:ascii="Times New Roman" w:hAnsi="Times New Roman" w:cs="Times New Roman"/>
                <w:color w:val="000000"/>
                <w:sz w:val="24"/>
                <w:szCs w:val="24"/>
              </w:rPr>
              <w:t xml:space="preserve"> </w:t>
            </w:r>
            <w:r w:rsidRPr="00F15914">
              <w:rPr>
                <w:rFonts w:ascii="Times New Roman" w:hAnsi="Times New Roman" w:cs="Times New Roman"/>
                <w:b w:val="0"/>
                <w:i w:val="0"/>
                <w:sz w:val="24"/>
                <w:szCs w:val="24"/>
              </w:rPr>
              <w:t>un valsts akciju sabiedrības „Latvijas Vides, ģeoloģijas un meteoroloģijas centrs”</w:t>
            </w:r>
            <w:r w:rsidR="00986A49" w:rsidRPr="00F15914">
              <w:rPr>
                <w:rFonts w:ascii="Times New Roman" w:hAnsi="Times New Roman" w:cs="Times New Roman"/>
                <w:b w:val="0"/>
                <w:i w:val="0"/>
                <w:sz w:val="24"/>
                <w:szCs w:val="24"/>
              </w:rPr>
              <w:t xml:space="preserve"> iesniegtie dati un zemes pārskats tiek glabāts </w:t>
            </w:r>
            <w:r w:rsidR="003765CF">
              <w:rPr>
                <w:rFonts w:ascii="Times New Roman" w:hAnsi="Times New Roman" w:cs="Times New Roman"/>
                <w:b w:val="0"/>
                <w:i w:val="0"/>
                <w:sz w:val="24"/>
                <w:szCs w:val="24"/>
              </w:rPr>
              <w:t>RAIM</w:t>
            </w:r>
            <w:r w:rsidR="003760F1" w:rsidRPr="00F15914">
              <w:rPr>
                <w:rFonts w:ascii="Times New Roman" w:hAnsi="Times New Roman" w:cs="Times New Roman"/>
                <w:b w:val="0"/>
                <w:i w:val="0"/>
                <w:sz w:val="24"/>
                <w:szCs w:val="24"/>
              </w:rPr>
              <w:t>.</w:t>
            </w:r>
          </w:p>
          <w:p w:rsidR="004124B4" w:rsidRPr="00F15914" w:rsidRDefault="003760F1" w:rsidP="004124B4">
            <w:pPr>
              <w:pStyle w:val="Heading2"/>
              <w:spacing w:before="120" w:after="120"/>
              <w:ind w:right="209"/>
              <w:jc w:val="both"/>
              <w:outlineLvl w:val="1"/>
              <w:rPr>
                <w:rFonts w:ascii="Times New Roman" w:hAnsi="Times New Roman" w:cs="Times New Roman"/>
                <w:b w:val="0"/>
                <w:i w:val="0"/>
                <w:sz w:val="24"/>
                <w:szCs w:val="24"/>
              </w:rPr>
            </w:pPr>
            <w:r w:rsidRPr="00F15914">
              <w:rPr>
                <w:rFonts w:ascii="Times New Roman" w:hAnsi="Times New Roman" w:cs="Times New Roman"/>
                <w:b w:val="0"/>
                <w:i w:val="0"/>
                <w:sz w:val="24"/>
                <w:szCs w:val="24"/>
              </w:rPr>
              <w:t>RAIM</w:t>
            </w:r>
            <w:r w:rsidR="005F7DC6" w:rsidRPr="00F15914">
              <w:rPr>
                <w:rFonts w:ascii="Times New Roman" w:hAnsi="Times New Roman" w:cs="Times New Roman"/>
                <w:b w:val="0"/>
                <w:i w:val="0"/>
                <w:sz w:val="24"/>
                <w:szCs w:val="24"/>
              </w:rPr>
              <w:t xml:space="preserve"> ir </w:t>
            </w:r>
            <w:r w:rsidR="004124B4" w:rsidRPr="00F15914">
              <w:rPr>
                <w:rFonts w:ascii="Times New Roman" w:hAnsi="Times New Roman" w:cs="Times New Roman"/>
                <w:b w:val="0"/>
                <w:i w:val="0"/>
                <w:sz w:val="24"/>
                <w:szCs w:val="24"/>
              </w:rPr>
              <w:t xml:space="preserve">Teritorijas attīstības plānošanas informācijas sistēmas (TAPIS) sastāvdaļa. RAIM ir </w:t>
            </w:r>
            <w:r w:rsidR="005F7DC6" w:rsidRPr="00F15914">
              <w:rPr>
                <w:rFonts w:ascii="Times New Roman" w:hAnsi="Times New Roman" w:cs="Times New Roman"/>
                <w:b w:val="0"/>
                <w:i w:val="0"/>
                <w:sz w:val="24"/>
                <w:szCs w:val="24"/>
              </w:rPr>
              <w:t>instruments reģionālās attīstības monitoringam un lēmumu pieņemšanas atbalstam, pašvaldību teritorijas attīstības tendenču izvērtēšanai, kā arī attīstības program</w:t>
            </w:r>
            <w:r w:rsidR="004124B4" w:rsidRPr="00F15914">
              <w:rPr>
                <w:rFonts w:ascii="Times New Roman" w:hAnsi="Times New Roman" w:cs="Times New Roman"/>
                <w:b w:val="0"/>
                <w:i w:val="0"/>
                <w:sz w:val="24"/>
                <w:szCs w:val="24"/>
              </w:rPr>
              <w:t>mu sagatavošanai un uzraudzībai. RAIM dati tiek glabāti centralizētā datubāzē.</w:t>
            </w:r>
          </w:p>
          <w:p w:rsidR="004124B4" w:rsidRPr="00F15914" w:rsidRDefault="004124B4" w:rsidP="00854581">
            <w:pPr>
              <w:ind w:right="176"/>
              <w:jc w:val="both"/>
            </w:pPr>
            <w:r w:rsidRPr="00F15914">
              <w:t xml:space="preserve">Publiskais (neautorizētais) lietotājs RAIM bez maksas var piekļūt tīmekļa vietnē </w:t>
            </w:r>
            <w:hyperlink r:id="rId10" w:history="1">
              <w:r w:rsidRPr="00854581">
                <w:rPr>
                  <w:rStyle w:val="Hyperlink"/>
                </w:rPr>
                <w:t>http://raim.gov.lv/</w:t>
              </w:r>
            </w:hyperlink>
            <w:r w:rsidRPr="00854581">
              <w:rPr>
                <w:i/>
              </w:rPr>
              <w:t>.</w:t>
            </w:r>
          </w:p>
          <w:p w:rsidR="003D04D4" w:rsidRPr="00F15914" w:rsidRDefault="003760F1" w:rsidP="004124B4">
            <w:pPr>
              <w:pStyle w:val="Heading2"/>
              <w:spacing w:before="120" w:after="120"/>
              <w:ind w:right="209"/>
              <w:jc w:val="both"/>
              <w:outlineLvl w:val="1"/>
              <w:rPr>
                <w:rFonts w:ascii="Times New Roman" w:hAnsi="Times New Roman" w:cs="Times New Roman"/>
                <w:sz w:val="24"/>
                <w:szCs w:val="24"/>
              </w:rPr>
            </w:pPr>
            <w:r w:rsidRPr="00F15914">
              <w:rPr>
                <w:rFonts w:ascii="Times New Roman" w:hAnsi="Times New Roman" w:cs="Times New Roman"/>
                <w:b w:val="0"/>
                <w:bCs w:val="0"/>
                <w:i w:val="0"/>
                <w:iCs w:val="0"/>
                <w:sz w:val="24"/>
                <w:szCs w:val="24"/>
              </w:rPr>
              <w:t>RAIM nodrošin</w:t>
            </w:r>
            <w:r w:rsidR="004124B4" w:rsidRPr="00F15914">
              <w:rPr>
                <w:rFonts w:ascii="Times New Roman" w:hAnsi="Times New Roman" w:cs="Times New Roman"/>
                <w:b w:val="0"/>
                <w:bCs w:val="0"/>
                <w:i w:val="0"/>
                <w:iCs w:val="0"/>
                <w:sz w:val="24"/>
                <w:szCs w:val="24"/>
              </w:rPr>
              <w:t>ās</w:t>
            </w:r>
            <w:r w:rsidRPr="00F15914">
              <w:rPr>
                <w:rFonts w:ascii="Times New Roman" w:hAnsi="Times New Roman" w:cs="Times New Roman"/>
                <w:b w:val="0"/>
                <w:bCs w:val="0"/>
                <w:i w:val="0"/>
                <w:iCs w:val="0"/>
                <w:sz w:val="24"/>
                <w:szCs w:val="24"/>
              </w:rPr>
              <w:t xml:space="preserve"> institūciju sniegto datu un zemes pārskata publisku pieejamību. Institūciju iesniegtie dati tiks iekļauti RAIM datubāzē, kā rezultātā datiem ir iespējams pielietot visas RAIM datu apstrādes un publicēšanas tehnoloģijas, tādējādi nodrošinot brīvu pieeju institūciju sniegtajiem datiem un to lejupielādi </w:t>
            </w:r>
            <w:r w:rsidRPr="00F15914">
              <w:rPr>
                <w:rFonts w:ascii="Times New Roman" w:hAnsi="Times New Roman" w:cs="Times New Roman"/>
                <w:b w:val="0"/>
                <w:bCs w:val="0"/>
                <w:i w:val="0"/>
                <w:iCs w:val="0"/>
                <w:sz w:val="24"/>
                <w:szCs w:val="24"/>
              </w:rPr>
              <w:lastRenderedPageBreak/>
              <w:t>(CSV, Excel, Word, HTML, PDF).</w:t>
            </w:r>
          </w:p>
          <w:p w:rsidR="00651A55" w:rsidRDefault="00B22F0C" w:rsidP="00854581">
            <w:pPr>
              <w:spacing w:before="120" w:after="120"/>
              <w:ind w:right="175"/>
              <w:jc w:val="both"/>
            </w:pPr>
            <w:r w:rsidRPr="00F15914">
              <w:t>Institūcijas datus par zemes pārskatā iekļaujamo informāciju sagatavo digitāli un iesniedz elektroniskā formā. VARAM, veidojot zemes pārskatu, analizē RAIM datubāzē uzkrātos datus, izmantojot datu apstrādes un publicēšanas tehnoloģijas. Tādējādi nodrošinot, ka informācija RAIM tiek uzkrāta, apstrādāta un izplatīta digitāli.</w:t>
            </w:r>
          </w:p>
          <w:p w:rsidR="00DF7441" w:rsidRPr="00854581" w:rsidRDefault="003A3417" w:rsidP="007D7534">
            <w:pPr>
              <w:spacing w:before="120" w:after="120"/>
              <w:ind w:right="175"/>
              <w:jc w:val="both"/>
            </w:pPr>
            <w:r>
              <w:t xml:space="preserve">Ņemot vērā, ka ar 2018.gadu darbu uzsāks </w:t>
            </w:r>
            <w:r w:rsidR="00DF7441">
              <w:t>Valsts statistikas portāl</w:t>
            </w:r>
            <w:r>
              <w:t xml:space="preserve">s, kurā </w:t>
            </w:r>
            <w:r w:rsidR="00BB0BFF">
              <w:t xml:space="preserve">tiks publicēta oficiālā statistika, tad dati par zemi </w:t>
            </w:r>
            <w:r w:rsidR="00477A7A">
              <w:t xml:space="preserve">arī </w:t>
            </w:r>
            <w:r w:rsidR="00BB0BFF">
              <w:t xml:space="preserve">būtu iekļaujami Valsts statistikas portālā. </w:t>
            </w:r>
            <w:r w:rsidR="007D7534">
              <w:t>M</w:t>
            </w:r>
            <w:r w:rsidR="007D7534" w:rsidRPr="007D7534">
              <w:t xml:space="preserve">inistru kabineta </w:t>
            </w:r>
            <w:proofErr w:type="spellStart"/>
            <w:r w:rsidR="007D7534" w:rsidRPr="007D7534">
              <w:t>protokollēmuma</w:t>
            </w:r>
            <w:proofErr w:type="spellEnd"/>
            <w:r w:rsidR="007D7534" w:rsidRPr="007D7534">
              <w:t xml:space="preserve"> projektā</w:t>
            </w:r>
            <w:r w:rsidR="007D7534">
              <w:rPr>
                <w:rFonts w:ascii="Calibri" w:hAnsi="Calibri"/>
                <w:color w:val="1F497D"/>
                <w:sz w:val="22"/>
                <w:szCs w:val="22"/>
              </w:rPr>
              <w:t xml:space="preserve"> </w:t>
            </w:r>
            <w:r w:rsidR="00714003">
              <w:t xml:space="preserve">ir paredzēts </w:t>
            </w:r>
            <w:r w:rsidR="00714003" w:rsidRPr="00714003">
              <w:t>Vides aizsardzības un reģionālās attīstības ministrijai sadarbībā ar Ekonomikas ministriju līdz 2018.gada 1.septembrim sagatavot un iesniegt izskatīšanai Ministru kabinetā informatīvo ziņojumu par iespējām zemes pārskatu sagatavot, izmantojot Oficiālās statistikas portālā uzkrātos datus.</w:t>
            </w:r>
          </w:p>
        </w:tc>
      </w:tr>
      <w:tr w:rsidR="00001533" w:rsidRPr="00F15914" w:rsidTr="00D555ED">
        <w:trPr>
          <w:trHeight w:val="476"/>
        </w:trPr>
        <w:tc>
          <w:tcPr>
            <w:tcW w:w="526" w:type="dxa"/>
          </w:tcPr>
          <w:p w:rsidR="00001533" w:rsidRPr="00F15914" w:rsidRDefault="00001533" w:rsidP="003343A6">
            <w:pPr>
              <w:rPr>
                <w:lang w:eastAsia="en-US"/>
              </w:rPr>
            </w:pPr>
            <w:r w:rsidRPr="00F15914">
              <w:rPr>
                <w:lang w:eastAsia="en-US"/>
              </w:rPr>
              <w:lastRenderedPageBreak/>
              <w:t> 3</w:t>
            </w:r>
            <w:r w:rsidR="00D339DE" w:rsidRPr="00F15914">
              <w:rPr>
                <w:lang w:eastAsia="en-US"/>
              </w:rPr>
              <w:t> </w:t>
            </w:r>
            <w:r w:rsidRPr="00F15914">
              <w:rPr>
                <w:lang w:eastAsia="en-US"/>
              </w:rPr>
              <w:t>.</w:t>
            </w:r>
          </w:p>
        </w:tc>
        <w:tc>
          <w:tcPr>
            <w:tcW w:w="2734" w:type="dxa"/>
          </w:tcPr>
          <w:p w:rsidR="00001533" w:rsidRPr="00F15914" w:rsidRDefault="00001533" w:rsidP="00986A49">
            <w:pPr>
              <w:ind w:left="75"/>
              <w:rPr>
                <w:lang w:eastAsia="en-US"/>
              </w:rPr>
            </w:pPr>
            <w:r w:rsidRPr="00F15914">
              <w:rPr>
                <w:lang w:eastAsia="en-US"/>
              </w:rPr>
              <w:t>Projekta izstrādē iesaistītās institūcijas</w:t>
            </w:r>
          </w:p>
        </w:tc>
        <w:tc>
          <w:tcPr>
            <w:tcW w:w="5670" w:type="dxa"/>
          </w:tcPr>
          <w:p w:rsidR="00001533" w:rsidRPr="00F15914" w:rsidRDefault="003760F1" w:rsidP="009C054E">
            <w:pPr>
              <w:jc w:val="both"/>
            </w:pPr>
            <w:r w:rsidRPr="00F15914">
              <w:t>VARAM</w:t>
            </w:r>
            <w:r w:rsidR="005F7DC6" w:rsidRPr="00F15914">
              <w:t>, Valsts reģionālās attīstības aģentūra.</w:t>
            </w:r>
          </w:p>
        </w:tc>
      </w:tr>
      <w:tr w:rsidR="00001533" w:rsidRPr="00F15914" w:rsidTr="00D555ED">
        <w:tc>
          <w:tcPr>
            <w:tcW w:w="526" w:type="dxa"/>
          </w:tcPr>
          <w:p w:rsidR="00001533" w:rsidRPr="00F15914" w:rsidRDefault="00001533" w:rsidP="003343A6">
            <w:pPr>
              <w:rPr>
                <w:lang w:eastAsia="en-US"/>
              </w:rPr>
            </w:pPr>
            <w:r w:rsidRPr="00F15914">
              <w:rPr>
                <w:lang w:eastAsia="en-US"/>
              </w:rPr>
              <w:t> 4</w:t>
            </w:r>
            <w:r w:rsidR="00D339DE" w:rsidRPr="00F15914">
              <w:rPr>
                <w:lang w:eastAsia="en-US"/>
              </w:rPr>
              <w:t> </w:t>
            </w:r>
            <w:r w:rsidRPr="00F15914">
              <w:rPr>
                <w:lang w:eastAsia="en-US"/>
              </w:rPr>
              <w:t>.</w:t>
            </w:r>
          </w:p>
        </w:tc>
        <w:tc>
          <w:tcPr>
            <w:tcW w:w="2734" w:type="dxa"/>
          </w:tcPr>
          <w:p w:rsidR="00001533" w:rsidRPr="00F15914" w:rsidRDefault="00001533" w:rsidP="00986A49">
            <w:pPr>
              <w:ind w:left="75"/>
              <w:rPr>
                <w:lang w:eastAsia="en-US"/>
              </w:rPr>
            </w:pPr>
            <w:r w:rsidRPr="00F15914">
              <w:rPr>
                <w:lang w:eastAsia="en-US"/>
              </w:rPr>
              <w:t>Cita informācija</w:t>
            </w:r>
          </w:p>
        </w:tc>
        <w:tc>
          <w:tcPr>
            <w:tcW w:w="5670" w:type="dxa"/>
          </w:tcPr>
          <w:p w:rsidR="00001533" w:rsidRPr="00F15914" w:rsidRDefault="00001533" w:rsidP="003343A6">
            <w:pPr>
              <w:jc w:val="both"/>
              <w:rPr>
                <w:lang w:eastAsia="en-US"/>
              </w:rPr>
            </w:pPr>
            <w:r w:rsidRPr="00F15914">
              <w:rPr>
                <w:lang w:eastAsia="en-US"/>
              </w:rPr>
              <w:t>Nav</w:t>
            </w:r>
          </w:p>
        </w:tc>
      </w:tr>
    </w:tbl>
    <w:p w:rsidR="00001533" w:rsidRDefault="00001533" w:rsidP="00001533">
      <w:pPr>
        <w:rPr>
          <w:i/>
          <w:iCs/>
          <w:lang w:eastAsia="en-US"/>
        </w:rPr>
      </w:pPr>
    </w:p>
    <w:p w:rsidR="003F6363" w:rsidRPr="005E0196" w:rsidRDefault="003F6363" w:rsidP="00001533">
      <w:pPr>
        <w:rPr>
          <w:i/>
          <w:iCs/>
          <w:lang w:eastAsia="en-US"/>
        </w:rPr>
      </w:pPr>
    </w:p>
    <w:tbl>
      <w:tblPr>
        <w:tblW w:w="4906"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693"/>
        <w:gridCol w:w="5700"/>
      </w:tblGrid>
      <w:tr w:rsidR="003343A6" w:rsidRPr="002A4E93" w:rsidTr="003343A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343A6" w:rsidRPr="002A4E93" w:rsidRDefault="003343A6" w:rsidP="003343A6">
            <w:pPr>
              <w:spacing w:before="100" w:beforeAutospacing="1" w:after="100" w:afterAutospacing="1" w:line="293" w:lineRule="atLeast"/>
              <w:jc w:val="center"/>
              <w:rPr>
                <w:b/>
                <w:bCs/>
              </w:rPr>
            </w:pPr>
            <w:r w:rsidRPr="002A4E93">
              <w:rPr>
                <w:b/>
                <w:bCs/>
              </w:rPr>
              <w:t>II. Tiesību akta projekta ietekme uz sabiedrību, tautsaimniecības attīstību un administratīvo slogu</w:t>
            </w:r>
          </w:p>
        </w:tc>
      </w:tr>
      <w:tr w:rsidR="003343A6" w:rsidRPr="002A4E93" w:rsidTr="003343A6">
        <w:trPr>
          <w:trHeight w:val="465"/>
        </w:trPr>
        <w:tc>
          <w:tcPr>
            <w:tcW w:w="316"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pPr>
              <w:jc w:val="center"/>
              <w:rPr>
                <w:lang w:eastAsia="en-US"/>
              </w:rPr>
            </w:pPr>
            <w:r w:rsidRPr="002A4E93">
              <w:rPr>
                <w:lang w:eastAsia="en-US"/>
              </w:rPr>
              <w:t>1.</w:t>
            </w:r>
          </w:p>
        </w:tc>
        <w:tc>
          <w:tcPr>
            <w:tcW w:w="1503"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r w:rsidRPr="002A4E93">
              <w:t xml:space="preserve">Sabiedrības </w:t>
            </w:r>
            <w:proofErr w:type="spellStart"/>
            <w:r w:rsidRPr="002A4E93">
              <w:t>mērķgrupas</w:t>
            </w:r>
            <w:proofErr w:type="spellEnd"/>
            <w:r w:rsidRPr="002A4E93">
              <w:t>, kuras tiesiskais regulējums ietekmē vai varētu ietekmēt</w:t>
            </w:r>
          </w:p>
        </w:tc>
        <w:tc>
          <w:tcPr>
            <w:tcW w:w="3181" w:type="pct"/>
            <w:tcBorders>
              <w:top w:val="outset" w:sz="6" w:space="0" w:color="414142"/>
              <w:left w:val="outset" w:sz="6" w:space="0" w:color="414142"/>
              <w:bottom w:val="outset" w:sz="6" w:space="0" w:color="414142"/>
              <w:right w:val="outset" w:sz="6" w:space="0" w:color="414142"/>
            </w:tcBorders>
            <w:hideMark/>
          </w:tcPr>
          <w:p w:rsidR="003343A6" w:rsidRPr="002A4E93" w:rsidRDefault="00FD37A1" w:rsidP="003D04D4">
            <w:pPr>
              <w:ind w:left="112" w:right="283"/>
              <w:jc w:val="both"/>
            </w:pPr>
            <w:r w:rsidRPr="002A4E93">
              <w:t>Institūcijas (Lauku atbalsta dienests, Tiesu administrācija, Valsts augu aizsardzības dienests, Valsts meža dienests, Valsts zemes dienests, Valsts sabiedrība ar ierobežotu atbildību „Zemkopības ministrijas nekustamie īpašumi”</w:t>
            </w:r>
            <w:r w:rsidRPr="002A4E93">
              <w:rPr>
                <w:color w:val="000000"/>
              </w:rPr>
              <w:t xml:space="preserve"> </w:t>
            </w:r>
            <w:r w:rsidRPr="002A4E93">
              <w:t>un valsts akciju sabiedrība „Latvijas Vides, ģeoloģijas un meteoroloģijas centrs”), VARAM un Valsts reģionālās attīstības aģentūra.</w:t>
            </w:r>
          </w:p>
        </w:tc>
      </w:tr>
      <w:tr w:rsidR="003343A6" w:rsidRPr="002A4E93" w:rsidTr="003343A6">
        <w:trPr>
          <w:trHeight w:val="510"/>
        </w:trPr>
        <w:tc>
          <w:tcPr>
            <w:tcW w:w="316"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pPr>
              <w:jc w:val="center"/>
              <w:rPr>
                <w:lang w:eastAsia="en-US"/>
              </w:rPr>
            </w:pPr>
            <w:r w:rsidRPr="002A4E93">
              <w:rPr>
                <w:lang w:eastAsia="en-US"/>
              </w:rPr>
              <w:t>2.</w:t>
            </w:r>
          </w:p>
        </w:tc>
        <w:tc>
          <w:tcPr>
            <w:tcW w:w="1503"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r w:rsidRPr="002A4E93">
              <w:t>Tiesiskā regulējuma ietekme uz tautsaimniecību un administratīvo slogu</w:t>
            </w:r>
          </w:p>
        </w:tc>
        <w:tc>
          <w:tcPr>
            <w:tcW w:w="3181"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D04D4">
            <w:pPr>
              <w:ind w:left="112" w:right="283"/>
              <w:jc w:val="both"/>
            </w:pPr>
            <w:r w:rsidRPr="002A4E93">
              <w:t>Noteikumu projekts paredz palielināt institūciju (Lauku atbalsta dienests, Tiesu administrācija, Valsts augu aizsardzības dienests, Valsts meža dienests, Valsts zemes dienests, Valsts sabiedrība ar ierobežotu atbildību „Zemkopības ministrijas nekustamie īpašumi”</w:t>
            </w:r>
            <w:r w:rsidRPr="002A4E93">
              <w:rPr>
                <w:color w:val="000000"/>
              </w:rPr>
              <w:t xml:space="preserve"> </w:t>
            </w:r>
            <w:r w:rsidRPr="002A4E93">
              <w:t>un valsts akciju sabiedrība „Latvijas Vides, ģeoloģijas un meteoroloģijas centrs”) administratīvo slogu, kas saistīts ar zemes pārskatā iekļaujamās informācijas sagatavošanu</w:t>
            </w:r>
            <w:r w:rsidR="00FB356B" w:rsidRPr="002A4E93">
              <w:t xml:space="preserve"> un </w:t>
            </w:r>
            <w:r w:rsidR="003D04D4" w:rsidRPr="002A4E93">
              <w:t xml:space="preserve">datu </w:t>
            </w:r>
            <w:r w:rsidR="00FB356B" w:rsidRPr="002A4E93">
              <w:t>elektronisku iesniegšanu</w:t>
            </w:r>
            <w:r w:rsidR="00961C89" w:rsidRPr="002A4E93">
              <w:t xml:space="preserve"> </w:t>
            </w:r>
            <w:r w:rsidR="00FD37A1" w:rsidRPr="002A4E93">
              <w:t>VARAM</w:t>
            </w:r>
            <w:r w:rsidRPr="002A4E93">
              <w:t>.</w:t>
            </w:r>
          </w:p>
          <w:p w:rsidR="00FB356B" w:rsidRPr="002A4E93" w:rsidRDefault="00FB356B" w:rsidP="003760F1">
            <w:pPr>
              <w:ind w:left="112" w:right="283"/>
              <w:jc w:val="both"/>
              <w:rPr>
                <w:highlight w:val="yellow"/>
              </w:rPr>
            </w:pPr>
            <w:r w:rsidRPr="002A4E93">
              <w:t>Tāpat noteikumu projekts paredz palielināt VARAM un Valsts reģionālās attīstības aģentūras administratīvo slogu, kas saistīts ar zemes pārskatā iekļaujamās informācijas analīzi</w:t>
            </w:r>
            <w:r w:rsidR="00FD37A1" w:rsidRPr="002A4E93">
              <w:t xml:space="preserve"> </w:t>
            </w:r>
            <w:r w:rsidR="003760F1" w:rsidRPr="002A4E93">
              <w:t xml:space="preserve">un datu uzturēšanu </w:t>
            </w:r>
            <w:r w:rsidR="00FD37A1" w:rsidRPr="002A4E93">
              <w:t>(visu gadu)</w:t>
            </w:r>
            <w:r w:rsidRPr="002A4E93">
              <w:t>, kā arī zemes pārskata sagatavošanu reizi piecos gados.</w:t>
            </w:r>
          </w:p>
        </w:tc>
      </w:tr>
      <w:tr w:rsidR="003343A6" w:rsidRPr="002A4E93" w:rsidTr="003343A6">
        <w:trPr>
          <w:trHeight w:val="510"/>
        </w:trPr>
        <w:tc>
          <w:tcPr>
            <w:tcW w:w="316"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pPr>
              <w:jc w:val="center"/>
            </w:pPr>
            <w:r w:rsidRPr="002A4E93">
              <w:lastRenderedPageBreak/>
              <w:t>3.</w:t>
            </w:r>
          </w:p>
        </w:tc>
        <w:tc>
          <w:tcPr>
            <w:tcW w:w="1503"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r w:rsidRPr="002A4E93">
              <w:t>Administratīvo izmaksu monetārs novērtējums</w:t>
            </w:r>
          </w:p>
        </w:tc>
        <w:tc>
          <w:tcPr>
            <w:tcW w:w="3181" w:type="pct"/>
            <w:tcBorders>
              <w:top w:val="outset" w:sz="6" w:space="0" w:color="414142"/>
              <w:left w:val="outset" w:sz="6" w:space="0" w:color="414142"/>
              <w:bottom w:val="outset" w:sz="6" w:space="0" w:color="414142"/>
              <w:right w:val="outset" w:sz="6" w:space="0" w:color="414142"/>
            </w:tcBorders>
            <w:hideMark/>
          </w:tcPr>
          <w:p w:rsidR="00961C89" w:rsidRDefault="00961C89" w:rsidP="003D04D4">
            <w:pPr>
              <w:tabs>
                <w:tab w:val="left" w:pos="5369"/>
              </w:tabs>
              <w:ind w:left="112" w:right="283"/>
              <w:jc w:val="both"/>
            </w:pPr>
            <w:r w:rsidRPr="002A4E93">
              <w:t xml:space="preserve">Institūciju (Lauku atbalsta dienests, Tiesu administrācija, Valsts augu aizsardzības dienests, Valsts meža dienests, Valsts zemes dienests, Valsts sabiedrība ar ierobežotu atbildību „Zemkopības ministrijas nekustamie īpašumi” un valsts akciju sabiedrība „Latvijas Vides, ģeoloģijas un meteoroloģijas centrs”) administratīvās izmaksas veido zemes pārskatā iekļaujamās informācijas sagatavošana (datu atlase, apstrāde, noformēšana) un </w:t>
            </w:r>
            <w:r w:rsidR="003760F1" w:rsidRPr="002A4E93">
              <w:t>datu</w:t>
            </w:r>
            <w:r w:rsidRPr="002A4E93">
              <w:t xml:space="preserve"> elektroniska iesniegšana VARAM.</w:t>
            </w:r>
          </w:p>
          <w:p w:rsidR="001F1E6D" w:rsidRDefault="001F1E6D" w:rsidP="001F1E6D">
            <w:pPr>
              <w:ind w:left="142" w:right="283"/>
              <w:jc w:val="both"/>
              <w:rPr>
                <w:color w:val="000000"/>
              </w:rPr>
            </w:pPr>
            <w:r>
              <w:rPr>
                <w:color w:val="000000"/>
              </w:rPr>
              <w:t xml:space="preserve">Pēc aptuveniem aprēķiniem, vienai institūcijai nepieciešams 5 darba dienas, lai sagatavotu informāciju jeb  40 stundas. </w:t>
            </w:r>
          </w:p>
          <w:p w:rsidR="001F1E6D" w:rsidRDefault="001F1E6D" w:rsidP="001F1E6D">
            <w:pPr>
              <w:ind w:left="142" w:right="283"/>
              <w:jc w:val="both"/>
              <w:rPr>
                <w:color w:val="000000"/>
                <w:highlight w:val="yellow"/>
              </w:rPr>
            </w:pPr>
            <w:r>
              <w:rPr>
                <w:b/>
                <w:color w:val="000000"/>
              </w:rPr>
              <w:t xml:space="preserve">Normatīvā akta projekta radītās administratīvās izmaksas </w:t>
            </w:r>
            <w:r w:rsidRPr="001F1E6D">
              <w:rPr>
                <w:b/>
                <w:color w:val="000000"/>
              </w:rPr>
              <w:t xml:space="preserve">par </w:t>
            </w:r>
            <w:r w:rsidRPr="001F1E6D">
              <w:rPr>
                <w:b/>
              </w:rPr>
              <w:t xml:space="preserve">zemes pārskatā iekļaujamās informācijas sagatavošanu </w:t>
            </w:r>
            <w:r w:rsidRPr="001F1E6D">
              <w:rPr>
                <w:b/>
                <w:color w:val="000000"/>
              </w:rPr>
              <w:t>ir šādas:</w:t>
            </w:r>
          </w:p>
          <w:p w:rsidR="001F1E6D" w:rsidRPr="00597AAA" w:rsidRDefault="001F1E6D" w:rsidP="00597AAA">
            <w:pPr>
              <w:ind w:left="142" w:right="283"/>
              <w:jc w:val="both"/>
              <w:rPr>
                <w:color w:val="000000"/>
              </w:rPr>
            </w:pPr>
            <w:r w:rsidRPr="00597AAA">
              <w:rPr>
                <w:color w:val="000000"/>
              </w:rPr>
              <w:t xml:space="preserve">C = 6 (stundas likme, </w:t>
            </w:r>
            <w:proofErr w:type="spellStart"/>
            <w:r w:rsidRPr="00597AAA">
              <w:rPr>
                <w:i/>
                <w:color w:val="000000"/>
              </w:rPr>
              <w:t>euro</w:t>
            </w:r>
            <w:proofErr w:type="spellEnd"/>
            <w:r w:rsidRPr="00597AAA">
              <w:rPr>
                <w:color w:val="000000"/>
              </w:rPr>
              <w:t>) x 40 (laika patēriņš, h) x 7 (institūciju skaits) x 1 (informāciju sagatavo reizi gadā</w:t>
            </w:r>
            <w:r w:rsidR="00597AAA">
              <w:rPr>
                <w:color w:val="000000"/>
              </w:rPr>
              <w:t>) = 1680</w:t>
            </w:r>
            <w:r w:rsidRPr="00597AAA">
              <w:rPr>
                <w:color w:val="000000"/>
              </w:rPr>
              <w:t xml:space="preserve">,00 </w:t>
            </w:r>
            <w:proofErr w:type="spellStart"/>
            <w:r w:rsidRPr="00597AAA">
              <w:rPr>
                <w:i/>
                <w:color w:val="000000"/>
              </w:rPr>
              <w:t>euro</w:t>
            </w:r>
            <w:proofErr w:type="spellEnd"/>
            <w:r w:rsidRPr="00597AAA">
              <w:rPr>
                <w:color w:val="000000"/>
              </w:rPr>
              <w:t>.</w:t>
            </w:r>
          </w:p>
          <w:p w:rsidR="00961C89" w:rsidRPr="002A4E93" w:rsidRDefault="00961C89" w:rsidP="003D04D4">
            <w:pPr>
              <w:tabs>
                <w:tab w:val="left" w:pos="5369"/>
              </w:tabs>
              <w:ind w:left="112" w:right="283"/>
              <w:jc w:val="both"/>
            </w:pPr>
            <w:r w:rsidRPr="002A4E93">
              <w:t>Valsts reģionālās attīstības aģentūras administratīvās izmaksas veido institūciju iesniegt</w:t>
            </w:r>
            <w:r w:rsidR="003760F1" w:rsidRPr="002A4E93">
              <w:t>o</w:t>
            </w:r>
            <w:r w:rsidRPr="002A4E93">
              <w:t xml:space="preserve"> </w:t>
            </w:r>
            <w:r w:rsidR="003760F1" w:rsidRPr="002A4E93">
              <w:t>datu</w:t>
            </w:r>
            <w:r w:rsidR="00FD37A1" w:rsidRPr="002A4E93">
              <w:t xml:space="preserve"> uzturēšana un apstrāde.</w:t>
            </w:r>
          </w:p>
          <w:p w:rsidR="003343A6" w:rsidRPr="002A4E93" w:rsidRDefault="003343A6" w:rsidP="003D04D4">
            <w:pPr>
              <w:tabs>
                <w:tab w:val="left" w:pos="5369"/>
              </w:tabs>
              <w:ind w:left="112" w:right="283"/>
              <w:jc w:val="both"/>
              <w:rPr>
                <w:highlight w:val="yellow"/>
              </w:rPr>
            </w:pPr>
            <w:r w:rsidRPr="002A4E93">
              <w:t>Savukārt</w:t>
            </w:r>
            <w:r w:rsidR="00961C89" w:rsidRPr="002A4E93">
              <w:t>,</w:t>
            </w:r>
            <w:r w:rsidRPr="002A4E93">
              <w:t xml:space="preserve"> VARAM administratīvās izmaksas veido </w:t>
            </w:r>
            <w:r w:rsidR="00FD37A1" w:rsidRPr="002A4E93">
              <w:t xml:space="preserve">institūciju iesniegtās informācijas analīze un </w:t>
            </w:r>
            <w:r w:rsidR="00961C89" w:rsidRPr="002A4E93">
              <w:t>zemes pārskata sagatavošana.</w:t>
            </w:r>
          </w:p>
        </w:tc>
      </w:tr>
      <w:tr w:rsidR="003343A6" w:rsidRPr="002A4E93" w:rsidTr="003343A6">
        <w:trPr>
          <w:trHeight w:val="345"/>
        </w:trPr>
        <w:tc>
          <w:tcPr>
            <w:tcW w:w="316"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pPr>
              <w:jc w:val="center"/>
            </w:pPr>
            <w:r w:rsidRPr="002A4E93">
              <w:t>4.</w:t>
            </w:r>
          </w:p>
        </w:tc>
        <w:tc>
          <w:tcPr>
            <w:tcW w:w="1503"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r w:rsidRPr="002A4E93">
              <w:t>Cita informācija</w:t>
            </w:r>
          </w:p>
        </w:tc>
        <w:tc>
          <w:tcPr>
            <w:tcW w:w="3181" w:type="pct"/>
            <w:tcBorders>
              <w:top w:val="outset" w:sz="6" w:space="0" w:color="414142"/>
              <w:left w:val="outset" w:sz="6" w:space="0" w:color="414142"/>
              <w:bottom w:val="outset" w:sz="6" w:space="0" w:color="414142"/>
              <w:right w:val="outset" w:sz="6" w:space="0" w:color="414142"/>
            </w:tcBorders>
            <w:hideMark/>
          </w:tcPr>
          <w:p w:rsidR="003343A6" w:rsidRPr="002A4E93" w:rsidRDefault="003343A6" w:rsidP="003343A6">
            <w:pPr>
              <w:ind w:left="112"/>
              <w:rPr>
                <w:highlight w:val="yellow"/>
              </w:rPr>
            </w:pPr>
            <w:r w:rsidRPr="002A4E93">
              <w:t>Nav</w:t>
            </w:r>
          </w:p>
        </w:tc>
      </w:tr>
    </w:tbl>
    <w:p w:rsidR="00001533" w:rsidRDefault="00001533" w:rsidP="00042D04">
      <w:pPr>
        <w:jc w:val="both"/>
        <w:rPr>
          <w:i/>
        </w:rPr>
      </w:pPr>
    </w:p>
    <w:p w:rsidR="00606ECD" w:rsidRDefault="00606ECD" w:rsidP="00001533">
      <w:pPr>
        <w:ind w:left="360" w:hanging="76"/>
        <w:jc w:val="both"/>
        <w:rPr>
          <w:i/>
        </w:rPr>
      </w:pPr>
    </w:p>
    <w:tbl>
      <w:tblPr>
        <w:tblStyle w:val="TableGrid"/>
        <w:tblW w:w="8930" w:type="dxa"/>
        <w:tblInd w:w="250" w:type="dxa"/>
        <w:tblLook w:val="04A0" w:firstRow="1" w:lastRow="0" w:firstColumn="1" w:lastColumn="0" w:noHBand="0" w:noVBand="1"/>
      </w:tblPr>
      <w:tblGrid>
        <w:gridCol w:w="526"/>
        <w:gridCol w:w="2734"/>
        <w:gridCol w:w="5670"/>
      </w:tblGrid>
      <w:tr w:rsidR="00606ECD" w:rsidRPr="002A4E93" w:rsidTr="00042D04">
        <w:trPr>
          <w:trHeight w:val="557"/>
        </w:trPr>
        <w:tc>
          <w:tcPr>
            <w:tcW w:w="8930" w:type="dxa"/>
            <w:gridSpan w:val="3"/>
          </w:tcPr>
          <w:p w:rsidR="00606ECD" w:rsidRPr="002A4E93" w:rsidRDefault="00606ECD" w:rsidP="003343A6">
            <w:pPr>
              <w:jc w:val="center"/>
              <w:rPr>
                <w:lang w:eastAsia="en-US"/>
              </w:rPr>
            </w:pPr>
            <w:r w:rsidRPr="002A4E93">
              <w:rPr>
                <w:b/>
                <w:bCs/>
              </w:rPr>
              <w:t>VI.</w:t>
            </w:r>
            <w:r w:rsidR="0051252B" w:rsidRPr="002A4E93">
              <w:rPr>
                <w:b/>
                <w:bCs/>
              </w:rPr>
              <w:t> </w:t>
            </w:r>
            <w:r w:rsidRPr="002A4E93">
              <w:rPr>
                <w:b/>
                <w:bCs/>
              </w:rPr>
              <w:t>Sabiedrības līdzdalība un komunikācijas aktivitātes</w:t>
            </w:r>
          </w:p>
        </w:tc>
      </w:tr>
      <w:tr w:rsidR="00606ECD" w:rsidRPr="002A4E93" w:rsidTr="00042D04">
        <w:trPr>
          <w:trHeight w:val="271"/>
        </w:trPr>
        <w:tc>
          <w:tcPr>
            <w:tcW w:w="526" w:type="dxa"/>
          </w:tcPr>
          <w:p w:rsidR="00606ECD" w:rsidRPr="002A4E93" w:rsidRDefault="00606ECD" w:rsidP="003343A6">
            <w:pPr>
              <w:rPr>
                <w:lang w:eastAsia="en-US"/>
              </w:rPr>
            </w:pPr>
            <w:r w:rsidRPr="002A4E93">
              <w:rPr>
                <w:lang w:eastAsia="en-US"/>
              </w:rPr>
              <w:t> 1.</w:t>
            </w:r>
          </w:p>
        </w:tc>
        <w:tc>
          <w:tcPr>
            <w:tcW w:w="2734" w:type="dxa"/>
          </w:tcPr>
          <w:p w:rsidR="00606ECD" w:rsidRPr="002A4E93" w:rsidRDefault="002D7315" w:rsidP="00986A49">
            <w:pPr>
              <w:ind w:left="75"/>
              <w:rPr>
                <w:lang w:eastAsia="en-US"/>
              </w:rPr>
            </w:pPr>
            <w:r w:rsidRPr="002A4E93">
              <w:t>Plānotās sabiedrības līdzdalības un komunikācijas aktivitātes saistībā ar projektu</w:t>
            </w:r>
          </w:p>
        </w:tc>
        <w:tc>
          <w:tcPr>
            <w:tcW w:w="5670" w:type="dxa"/>
          </w:tcPr>
          <w:p w:rsidR="00606ECD" w:rsidRPr="002A4E93" w:rsidRDefault="002D7315" w:rsidP="003760F1">
            <w:pPr>
              <w:ind w:right="212"/>
              <w:jc w:val="both"/>
            </w:pPr>
            <w:r w:rsidRPr="002A4E93">
              <w:t>Saskaņā ar Ministru kabineta 2009.</w:t>
            </w:r>
            <w:r w:rsidR="0051252B" w:rsidRPr="002A4E93">
              <w:t> </w:t>
            </w:r>
            <w:r w:rsidRPr="002A4E93">
              <w:t>gada 25.</w:t>
            </w:r>
            <w:r w:rsidR="0051252B" w:rsidRPr="002A4E93">
              <w:t> </w:t>
            </w:r>
            <w:r w:rsidRPr="002A4E93">
              <w:t>augusta noteikumu Nr.</w:t>
            </w:r>
            <w:r w:rsidR="0051252B" w:rsidRPr="002A4E93">
              <w:t> </w:t>
            </w:r>
            <w:r w:rsidRPr="002A4E93">
              <w:t>970 „Sabiedrības līdzdalības kārtība attīstības plānošanas procesā” 7.4.</w:t>
            </w:r>
            <w:r w:rsidR="00467F76" w:rsidRPr="002A4E93">
              <w:rPr>
                <w:vertAlign w:val="superscript"/>
              </w:rPr>
              <w:t>1</w:t>
            </w:r>
            <w:r w:rsidR="0051252B" w:rsidRPr="002A4E93">
              <w:t> </w:t>
            </w:r>
            <w:r w:rsidRPr="002A4E93">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3760F1" w:rsidRPr="002A4E93">
              <w:t>VARAM</w:t>
            </w:r>
            <w:r w:rsidRPr="002A4E93">
              <w:t xml:space="preserve"> tīmekļa vietnē.</w:t>
            </w:r>
          </w:p>
        </w:tc>
      </w:tr>
      <w:tr w:rsidR="00606ECD" w:rsidRPr="002A4E93" w:rsidTr="00042D04">
        <w:trPr>
          <w:trHeight w:val="553"/>
        </w:trPr>
        <w:tc>
          <w:tcPr>
            <w:tcW w:w="526" w:type="dxa"/>
          </w:tcPr>
          <w:p w:rsidR="00606ECD" w:rsidRPr="002A4E93" w:rsidRDefault="00606ECD" w:rsidP="003343A6">
            <w:pPr>
              <w:rPr>
                <w:lang w:eastAsia="en-US"/>
              </w:rPr>
            </w:pPr>
            <w:r w:rsidRPr="002A4E93">
              <w:rPr>
                <w:lang w:eastAsia="en-US"/>
              </w:rPr>
              <w:t> 2.</w:t>
            </w:r>
          </w:p>
        </w:tc>
        <w:tc>
          <w:tcPr>
            <w:tcW w:w="2734" w:type="dxa"/>
          </w:tcPr>
          <w:p w:rsidR="00606ECD" w:rsidRPr="002A4E93" w:rsidRDefault="002D7315" w:rsidP="00986A49">
            <w:pPr>
              <w:ind w:left="75"/>
              <w:rPr>
                <w:lang w:eastAsia="en-US"/>
              </w:rPr>
            </w:pPr>
            <w:r w:rsidRPr="002A4E93">
              <w:t>Sabiedrības līdzdalība projekta izstrādē</w:t>
            </w:r>
          </w:p>
        </w:tc>
        <w:tc>
          <w:tcPr>
            <w:tcW w:w="5670" w:type="dxa"/>
          </w:tcPr>
          <w:p w:rsidR="00606ECD" w:rsidRPr="002A4E93" w:rsidRDefault="002D7315" w:rsidP="003760F1">
            <w:pPr>
              <w:ind w:right="209"/>
              <w:jc w:val="both"/>
            </w:pPr>
            <w:r w:rsidRPr="002A4E93">
              <w:t>Noteikumu projekts 201</w:t>
            </w:r>
            <w:r w:rsidR="00F5342B" w:rsidRPr="002A4E93">
              <w:t>6</w:t>
            </w:r>
            <w:r w:rsidRPr="002A4E93">
              <w:t>.</w:t>
            </w:r>
            <w:r w:rsidR="0051252B" w:rsidRPr="002A4E93">
              <w:t> </w:t>
            </w:r>
            <w:r w:rsidRPr="002A4E93">
              <w:t xml:space="preserve">gada </w:t>
            </w:r>
            <w:r w:rsidR="00AB5006" w:rsidRPr="002A4E93">
              <w:t>22</w:t>
            </w:r>
            <w:r w:rsidRPr="002A4E93">
              <w:t>.</w:t>
            </w:r>
            <w:r w:rsidR="0051252B" w:rsidRPr="002A4E93">
              <w:t> </w:t>
            </w:r>
            <w:r w:rsidR="00F5342B" w:rsidRPr="002A4E93">
              <w:t>jūnijā</w:t>
            </w:r>
            <w:r w:rsidRPr="002A4E93">
              <w:t xml:space="preserve"> tika ievietots </w:t>
            </w:r>
            <w:r w:rsidR="003760F1" w:rsidRPr="002A4E93">
              <w:t>VARAM</w:t>
            </w:r>
            <w:r w:rsidRPr="002A4E93">
              <w:t xml:space="preserve"> tīmekļa vietnē: </w:t>
            </w:r>
            <w:proofErr w:type="spellStart"/>
            <w:r w:rsidRPr="002A4E93">
              <w:t>www.varam.gov.lv</w:t>
            </w:r>
            <w:proofErr w:type="spellEnd"/>
            <w:r w:rsidRPr="002A4E93">
              <w:t xml:space="preserve"> sabiedriskai apspriešanai.</w:t>
            </w:r>
          </w:p>
        </w:tc>
      </w:tr>
      <w:tr w:rsidR="00606ECD" w:rsidRPr="002A4E93" w:rsidTr="00042D04">
        <w:trPr>
          <w:trHeight w:val="476"/>
        </w:trPr>
        <w:tc>
          <w:tcPr>
            <w:tcW w:w="526" w:type="dxa"/>
          </w:tcPr>
          <w:p w:rsidR="00606ECD" w:rsidRPr="002A4E93" w:rsidRDefault="00606ECD" w:rsidP="003343A6">
            <w:pPr>
              <w:rPr>
                <w:lang w:eastAsia="en-US"/>
              </w:rPr>
            </w:pPr>
            <w:r w:rsidRPr="002A4E93">
              <w:rPr>
                <w:lang w:eastAsia="en-US"/>
              </w:rPr>
              <w:t> 3.</w:t>
            </w:r>
          </w:p>
        </w:tc>
        <w:tc>
          <w:tcPr>
            <w:tcW w:w="2734" w:type="dxa"/>
          </w:tcPr>
          <w:p w:rsidR="00606ECD" w:rsidRPr="002A4E93" w:rsidRDefault="00986A49" w:rsidP="00986A49">
            <w:pPr>
              <w:ind w:left="75"/>
              <w:rPr>
                <w:lang w:eastAsia="en-US"/>
              </w:rPr>
            </w:pPr>
            <w:r w:rsidRPr="002A4E93">
              <w:t xml:space="preserve">Sabiedrības līdzdalības </w:t>
            </w:r>
            <w:r w:rsidR="002D7315" w:rsidRPr="002A4E93">
              <w:t>rezultāti</w:t>
            </w:r>
          </w:p>
        </w:tc>
        <w:tc>
          <w:tcPr>
            <w:tcW w:w="5670" w:type="dxa"/>
          </w:tcPr>
          <w:p w:rsidR="00606ECD" w:rsidRPr="002A4E93" w:rsidRDefault="002D7315" w:rsidP="00F5342B">
            <w:pPr>
              <w:ind w:right="209"/>
              <w:jc w:val="both"/>
            </w:pPr>
            <w:r w:rsidRPr="002A4E93">
              <w:t>Noteikumu projekta izstrādes gaitā līdz šim brīdim nav saņemti priekšlikumi un komentāri.</w:t>
            </w:r>
          </w:p>
        </w:tc>
      </w:tr>
      <w:tr w:rsidR="00606ECD" w:rsidRPr="002A4E93" w:rsidTr="00042D04">
        <w:tc>
          <w:tcPr>
            <w:tcW w:w="526" w:type="dxa"/>
          </w:tcPr>
          <w:p w:rsidR="00606ECD" w:rsidRPr="002A4E93" w:rsidRDefault="00606ECD" w:rsidP="003343A6">
            <w:pPr>
              <w:rPr>
                <w:lang w:eastAsia="en-US"/>
              </w:rPr>
            </w:pPr>
            <w:r w:rsidRPr="002A4E93">
              <w:rPr>
                <w:lang w:eastAsia="en-US"/>
              </w:rPr>
              <w:t> 4.</w:t>
            </w:r>
          </w:p>
        </w:tc>
        <w:tc>
          <w:tcPr>
            <w:tcW w:w="2734" w:type="dxa"/>
          </w:tcPr>
          <w:p w:rsidR="00606ECD" w:rsidRPr="002A4E93" w:rsidRDefault="00606ECD" w:rsidP="00986A49">
            <w:pPr>
              <w:ind w:left="75"/>
              <w:rPr>
                <w:lang w:eastAsia="en-US"/>
              </w:rPr>
            </w:pPr>
            <w:r w:rsidRPr="002A4E93">
              <w:rPr>
                <w:lang w:eastAsia="en-US"/>
              </w:rPr>
              <w:t>Cita informācija</w:t>
            </w:r>
          </w:p>
        </w:tc>
        <w:tc>
          <w:tcPr>
            <w:tcW w:w="5670" w:type="dxa"/>
          </w:tcPr>
          <w:p w:rsidR="00606ECD" w:rsidRPr="002A4E93" w:rsidRDefault="00606ECD" w:rsidP="003343A6">
            <w:pPr>
              <w:jc w:val="both"/>
              <w:rPr>
                <w:lang w:eastAsia="en-US"/>
              </w:rPr>
            </w:pPr>
            <w:r w:rsidRPr="002A4E93">
              <w:rPr>
                <w:lang w:eastAsia="en-US"/>
              </w:rPr>
              <w:t>Nav</w:t>
            </w:r>
          </w:p>
        </w:tc>
      </w:tr>
    </w:tbl>
    <w:p w:rsidR="00606ECD" w:rsidRDefault="00606ECD" w:rsidP="00001533">
      <w:pPr>
        <w:ind w:left="360" w:hanging="76"/>
        <w:jc w:val="both"/>
        <w:rPr>
          <w:i/>
        </w:rPr>
      </w:pPr>
    </w:p>
    <w:p w:rsidR="003F6363" w:rsidRDefault="003F6363" w:rsidP="00001533">
      <w:pPr>
        <w:ind w:left="360" w:hanging="76"/>
        <w:jc w:val="both"/>
        <w:rPr>
          <w:i/>
        </w:rPr>
      </w:pPr>
    </w:p>
    <w:tbl>
      <w:tblPr>
        <w:tblW w:w="89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2693"/>
        <w:gridCol w:w="5669"/>
      </w:tblGrid>
      <w:tr w:rsidR="00B64A1A" w:rsidRPr="002A4E93" w:rsidTr="00042D04">
        <w:tc>
          <w:tcPr>
            <w:tcW w:w="8930" w:type="dxa"/>
            <w:gridSpan w:val="3"/>
            <w:tcBorders>
              <w:top w:val="single" w:sz="4" w:space="0" w:color="auto"/>
            </w:tcBorders>
          </w:tcPr>
          <w:p w:rsidR="00B64A1A" w:rsidRPr="002A4E93" w:rsidRDefault="00B64A1A" w:rsidP="00B64A1A">
            <w:pPr>
              <w:jc w:val="center"/>
              <w:rPr>
                <w:b/>
                <w:bCs/>
              </w:rPr>
            </w:pPr>
            <w:r w:rsidRPr="002A4E93">
              <w:rPr>
                <w:b/>
                <w:bCs/>
              </w:rPr>
              <w:t>VII.</w:t>
            </w:r>
            <w:r w:rsidR="0051252B" w:rsidRPr="002A4E93">
              <w:rPr>
                <w:b/>
                <w:bCs/>
              </w:rPr>
              <w:t> </w:t>
            </w:r>
            <w:r w:rsidRPr="002A4E93">
              <w:rPr>
                <w:b/>
                <w:bCs/>
              </w:rPr>
              <w:t>Tiesību akta projekta izpildes nodrošināšana un tās ietekme uz institūcijām</w:t>
            </w:r>
          </w:p>
        </w:tc>
      </w:tr>
      <w:tr w:rsidR="00B64A1A" w:rsidRPr="002A4E93" w:rsidTr="00FB356B">
        <w:trPr>
          <w:trHeight w:val="427"/>
        </w:trPr>
        <w:tc>
          <w:tcPr>
            <w:tcW w:w="568" w:type="dxa"/>
          </w:tcPr>
          <w:p w:rsidR="00B64A1A" w:rsidRPr="002A4E93" w:rsidRDefault="00B64A1A" w:rsidP="00FB356B">
            <w:pPr>
              <w:jc w:val="center"/>
              <w:rPr>
                <w:bCs/>
              </w:rPr>
            </w:pPr>
            <w:r w:rsidRPr="002A4E93">
              <w:rPr>
                <w:bCs/>
              </w:rPr>
              <w:t>1.</w:t>
            </w:r>
          </w:p>
        </w:tc>
        <w:tc>
          <w:tcPr>
            <w:tcW w:w="2693" w:type="dxa"/>
          </w:tcPr>
          <w:p w:rsidR="00B64A1A" w:rsidRPr="002A4E93" w:rsidRDefault="00B64A1A" w:rsidP="00986A49">
            <w:pPr>
              <w:ind w:left="113" w:right="114"/>
              <w:jc w:val="both"/>
            </w:pPr>
            <w:r w:rsidRPr="002A4E93">
              <w:t xml:space="preserve">Projekta izpildē iesaistītās institūcijas </w:t>
            </w:r>
          </w:p>
        </w:tc>
        <w:tc>
          <w:tcPr>
            <w:tcW w:w="5669" w:type="dxa"/>
          </w:tcPr>
          <w:p w:rsidR="00B64A1A" w:rsidRPr="002A4E93" w:rsidRDefault="003760F1" w:rsidP="005F7DC6">
            <w:pPr>
              <w:ind w:left="114" w:right="255"/>
              <w:jc w:val="both"/>
              <w:rPr>
                <w:bCs/>
              </w:rPr>
            </w:pPr>
            <w:r w:rsidRPr="002A4E93">
              <w:t>VARAM</w:t>
            </w:r>
            <w:r w:rsidR="00F5342B" w:rsidRPr="002A4E93">
              <w:t>, Tieslietu ministrija un Zemkopības ministrija</w:t>
            </w:r>
          </w:p>
        </w:tc>
      </w:tr>
      <w:tr w:rsidR="00B64A1A" w:rsidRPr="002A4E93" w:rsidTr="00FB356B">
        <w:trPr>
          <w:trHeight w:val="463"/>
        </w:trPr>
        <w:tc>
          <w:tcPr>
            <w:tcW w:w="568" w:type="dxa"/>
          </w:tcPr>
          <w:p w:rsidR="00B64A1A" w:rsidRPr="002A4E93" w:rsidRDefault="00B64A1A" w:rsidP="00FB356B">
            <w:pPr>
              <w:jc w:val="center"/>
              <w:rPr>
                <w:bCs/>
              </w:rPr>
            </w:pPr>
            <w:r w:rsidRPr="002A4E93">
              <w:rPr>
                <w:bCs/>
              </w:rPr>
              <w:lastRenderedPageBreak/>
              <w:t>2.</w:t>
            </w:r>
          </w:p>
        </w:tc>
        <w:tc>
          <w:tcPr>
            <w:tcW w:w="2693" w:type="dxa"/>
          </w:tcPr>
          <w:p w:rsidR="00B64A1A" w:rsidRPr="002A4E93" w:rsidRDefault="00B64A1A" w:rsidP="00986A49">
            <w:pPr>
              <w:ind w:left="113" w:right="114"/>
              <w:jc w:val="both"/>
            </w:pPr>
            <w:r w:rsidRPr="002A4E93">
              <w:t>Projekta izpildes ietekme uz pārvaldes funkcijām un institucionālo struktūru. Jaunu institūciju izveide, esošu institūciju likvidācija vai reorganizācija, to ietekme uz institūcijas cilvēkresursiem</w:t>
            </w:r>
          </w:p>
        </w:tc>
        <w:tc>
          <w:tcPr>
            <w:tcW w:w="5669" w:type="dxa"/>
          </w:tcPr>
          <w:p w:rsidR="00F5342B" w:rsidRPr="002A4E93" w:rsidRDefault="00F5342B" w:rsidP="003D04D4">
            <w:pPr>
              <w:ind w:left="114" w:right="255"/>
              <w:jc w:val="both"/>
              <w:rPr>
                <w:bCs/>
                <w:iCs/>
              </w:rPr>
            </w:pPr>
            <w:r w:rsidRPr="002A4E93">
              <w:t>Saistībā ar noteikumu projekta izpildi nav plānots radīt jaunas valsts pārvaldes institūcijas vai likvidēt esošās valsts pārvaldes institūcijas, vai reorganizēt esošās valsts pārvaldes institūcijas.</w:t>
            </w:r>
            <w:r w:rsidRPr="002A4E93">
              <w:rPr>
                <w:bCs/>
                <w:iCs/>
              </w:rPr>
              <w:t xml:space="preserve"> </w:t>
            </w:r>
          </w:p>
          <w:p w:rsidR="00B64A1A" w:rsidRPr="002A4E93" w:rsidRDefault="003760F1" w:rsidP="003D04D4">
            <w:pPr>
              <w:ind w:left="114" w:right="255"/>
              <w:jc w:val="both"/>
            </w:pPr>
            <w:r w:rsidRPr="002A4E93">
              <w:rPr>
                <w:bCs/>
                <w:iCs/>
              </w:rPr>
              <w:t>VARAM</w:t>
            </w:r>
            <w:r w:rsidR="00F5342B" w:rsidRPr="002A4E93">
              <w:rPr>
                <w:bCs/>
                <w:iCs/>
              </w:rPr>
              <w:t xml:space="preserve"> ar noteikumu projektu tiek paredzēts jauns uzdevums – reizi piecos gados sagatavot zemes pārskatu. </w:t>
            </w:r>
            <w:r w:rsidR="00042D04" w:rsidRPr="002A4E93">
              <w:rPr>
                <w:bCs/>
                <w:iCs/>
              </w:rPr>
              <w:t>Zemes pārskats</w:t>
            </w:r>
            <w:r w:rsidR="00F5342B" w:rsidRPr="002A4E93">
              <w:rPr>
                <w:bCs/>
                <w:iCs/>
              </w:rPr>
              <w:t xml:space="preserve"> tiks </w:t>
            </w:r>
            <w:r w:rsidR="00042D04" w:rsidRPr="002A4E93">
              <w:rPr>
                <w:bCs/>
                <w:iCs/>
              </w:rPr>
              <w:t>sagatavots</w:t>
            </w:r>
            <w:r w:rsidR="00F5342B" w:rsidRPr="002A4E93">
              <w:rPr>
                <w:bCs/>
                <w:iCs/>
              </w:rPr>
              <w:t xml:space="preserve"> esošo institūciju un cilvēkresursu ietvaros.</w:t>
            </w:r>
          </w:p>
        </w:tc>
      </w:tr>
      <w:tr w:rsidR="00B64A1A" w:rsidRPr="002A4E93" w:rsidTr="00FB356B">
        <w:trPr>
          <w:trHeight w:val="476"/>
        </w:trPr>
        <w:tc>
          <w:tcPr>
            <w:tcW w:w="568" w:type="dxa"/>
          </w:tcPr>
          <w:p w:rsidR="00B64A1A" w:rsidRPr="002A4E93" w:rsidRDefault="00B64A1A" w:rsidP="00FB356B">
            <w:pPr>
              <w:jc w:val="center"/>
            </w:pPr>
            <w:r w:rsidRPr="002A4E93">
              <w:t>3.</w:t>
            </w:r>
          </w:p>
        </w:tc>
        <w:tc>
          <w:tcPr>
            <w:tcW w:w="2693" w:type="dxa"/>
          </w:tcPr>
          <w:p w:rsidR="00B64A1A" w:rsidRPr="002A4E93" w:rsidRDefault="00B64A1A" w:rsidP="00986A49">
            <w:pPr>
              <w:ind w:left="113"/>
              <w:jc w:val="both"/>
            </w:pPr>
            <w:r w:rsidRPr="002A4E93">
              <w:t>Cita informācija</w:t>
            </w:r>
          </w:p>
        </w:tc>
        <w:tc>
          <w:tcPr>
            <w:tcW w:w="5669" w:type="dxa"/>
          </w:tcPr>
          <w:p w:rsidR="00B64A1A" w:rsidRPr="002A4E93" w:rsidRDefault="00E230B5" w:rsidP="00F11F1B">
            <w:pPr>
              <w:ind w:left="114"/>
              <w:jc w:val="both"/>
            </w:pPr>
            <w:r w:rsidRPr="002A4E93">
              <w:t>Nav</w:t>
            </w:r>
          </w:p>
        </w:tc>
      </w:tr>
    </w:tbl>
    <w:p w:rsidR="00B64A1A" w:rsidRPr="008E27F7" w:rsidRDefault="00B64A1A" w:rsidP="00001533">
      <w:pPr>
        <w:ind w:left="360" w:hanging="76"/>
        <w:jc w:val="both"/>
        <w:rPr>
          <w:i/>
        </w:rPr>
      </w:pPr>
    </w:p>
    <w:p w:rsidR="00001533" w:rsidRPr="0051252B" w:rsidRDefault="00467F76" w:rsidP="00001533">
      <w:pPr>
        <w:ind w:left="360" w:hanging="76"/>
        <w:jc w:val="both"/>
        <w:rPr>
          <w:b/>
        </w:rPr>
      </w:pPr>
      <w:r w:rsidRPr="00467F76">
        <w:rPr>
          <w:b/>
          <w:i/>
        </w:rPr>
        <w:t>Ano</w:t>
      </w:r>
      <w:r w:rsidR="003F6363">
        <w:rPr>
          <w:b/>
          <w:i/>
        </w:rPr>
        <w:t xml:space="preserve">tācijas </w:t>
      </w:r>
      <w:r w:rsidRPr="00467F76">
        <w:rPr>
          <w:b/>
          <w:i/>
        </w:rPr>
        <w:t>III, IV un V</w:t>
      </w:r>
      <w:r w:rsidR="0051252B" w:rsidRPr="0051252B">
        <w:rPr>
          <w:b/>
          <w:i/>
        </w:rPr>
        <w:t> sadaļa – noteikumu</w:t>
      </w:r>
      <w:r w:rsidRPr="00467F76">
        <w:rPr>
          <w:b/>
          <w:i/>
        </w:rPr>
        <w:t xml:space="preserve"> projekts šo jomu neskar</w:t>
      </w:r>
      <w:r w:rsidR="0051252B">
        <w:rPr>
          <w:b/>
          <w:i/>
        </w:rPr>
        <w:t>.</w:t>
      </w:r>
    </w:p>
    <w:p w:rsidR="00001533" w:rsidRPr="005E0196" w:rsidRDefault="00001533" w:rsidP="00042D04">
      <w:pPr>
        <w:ind w:left="142" w:hanging="76"/>
        <w:jc w:val="both"/>
      </w:pPr>
    </w:p>
    <w:p w:rsidR="00001533" w:rsidRPr="00042D04" w:rsidRDefault="00602FBF" w:rsidP="00042D04">
      <w:pPr>
        <w:ind w:left="142" w:hanging="76"/>
        <w:jc w:val="both"/>
      </w:pPr>
      <w:r w:rsidRPr="00042D04">
        <w:t>V</w:t>
      </w:r>
      <w:r w:rsidR="00001533" w:rsidRPr="00042D04">
        <w:t xml:space="preserve">ides aizsardzības un </w:t>
      </w:r>
    </w:p>
    <w:p w:rsidR="00001533" w:rsidRPr="00042D04" w:rsidRDefault="00001533" w:rsidP="00042D04">
      <w:pPr>
        <w:tabs>
          <w:tab w:val="left" w:pos="7938"/>
        </w:tabs>
        <w:ind w:left="142" w:hanging="76"/>
        <w:jc w:val="both"/>
        <w:rPr>
          <w:rStyle w:val="Strong"/>
          <w:b w:val="0"/>
          <w:bCs w:val="0"/>
        </w:rPr>
      </w:pPr>
      <w:r w:rsidRPr="00042D04">
        <w:t>reģionālās attīstības ministrs</w:t>
      </w:r>
      <w:r w:rsidR="00042D04">
        <w:tab/>
      </w:r>
      <w:r w:rsidRPr="00042D04">
        <w:t>K.Gerhards</w:t>
      </w:r>
    </w:p>
    <w:p w:rsidR="00001533" w:rsidRPr="00042D04" w:rsidRDefault="00001533" w:rsidP="00001533"/>
    <w:p w:rsidR="00001533" w:rsidRPr="00042D04" w:rsidRDefault="00001533" w:rsidP="00001533"/>
    <w:p w:rsidR="00001533" w:rsidRPr="00042D04" w:rsidRDefault="00001533" w:rsidP="00042D04">
      <w:r w:rsidRPr="00042D04">
        <w:t>Vīza:</w:t>
      </w:r>
    </w:p>
    <w:p w:rsidR="00001533" w:rsidRPr="00042D04" w:rsidRDefault="00937F9B" w:rsidP="00042D04">
      <w:pPr>
        <w:tabs>
          <w:tab w:val="left" w:pos="8080"/>
        </w:tabs>
      </w:pPr>
      <w:r w:rsidRPr="00042D04">
        <w:t>v</w:t>
      </w:r>
      <w:r w:rsidR="00042D04">
        <w:t>alsts sekretārs</w:t>
      </w:r>
      <w:r w:rsidR="00042D04">
        <w:tab/>
      </w:r>
      <w:proofErr w:type="spellStart"/>
      <w:r w:rsidR="008748CE" w:rsidRPr="00042D04">
        <w:t>R.Muciņš</w:t>
      </w:r>
      <w:proofErr w:type="spellEnd"/>
    </w:p>
    <w:p w:rsidR="00001533" w:rsidRDefault="00001533" w:rsidP="00001533"/>
    <w:p w:rsidR="008748CE" w:rsidRPr="00F15914" w:rsidRDefault="008748CE" w:rsidP="00001533">
      <w:pPr>
        <w:rPr>
          <w:sz w:val="20"/>
          <w:szCs w:val="20"/>
        </w:rPr>
      </w:pPr>
    </w:p>
    <w:p w:rsidR="001046A8" w:rsidRPr="00F15914" w:rsidRDefault="00D456A2" w:rsidP="001046A8">
      <w:pPr>
        <w:jc w:val="both"/>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E94C16">
        <w:rPr>
          <w:noProof/>
          <w:sz w:val="20"/>
          <w:szCs w:val="20"/>
        </w:rPr>
        <w:t>09.12.2016. 10:14</w:t>
      </w:r>
      <w:r>
        <w:rPr>
          <w:sz w:val="20"/>
          <w:szCs w:val="20"/>
        </w:rPr>
        <w:fldChar w:fldCharType="end"/>
      </w:r>
    </w:p>
    <w:p w:rsidR="005F7DC6" w:rsidRPr="00F15914" w:rsidRDefault="00E94C16" w:rsidP="004B58A5">
      <w:pPr>
        <w:contextualSpacing/>
        <w:rPr>
          <w:sz w:val="20"/>
          <w:szCs w:val="20"/>
        </w:rPr>
      </w:pPr>
      <w:r>
        <w:fldChar w:fldCharType="begin"/>
      </w:r>
      <w:r>
        <w:instrText xml:space="preserve"> NUMWORDS   \* MERGEFORMAT </w:instrText>
      </w:r>
      <w:r>
        <w:fldChar w:fldCharType="separate"/>
      </w:r>
      <w:r w:rsidRPr="00E94C16">
        <w:rPr>
          <w:noProof/>
          <w:sz w:val="20"/>
          <w:szCs w:val="20"/>
        </w:rPr>
        <w:t>1999</w:t>
      </w:r>
      <w:r>
        <w:rPr>
          <w:noProof/>
          <w:sz w:val="20"/>
          <w:szCs w:val="20"/>
        </w:rPr>
        <w:fldChar w:fldCharType="end"/>
      </w:r>
      <w:bookmarkStart w:id="0" w:name="_GoBack"/>
      <w:bookmarkEnd w:id="0"/>
    </w:p>
    <w:p w:rsidR="008748CE" w:rsidRPr="00F15914" w:rsidRDefault="004B58A5" w:rsidP="008748CE">
      <w:pPr>
        <w:contextualSpacing/>
        <w:rPr>
          <w:sz w:val="20"/>
          <w:szCs w:val="20"/>
        </w:rPr>
      </w:pPr>
      <w:r w:rsidRPr="00F15914">
        <w:rPr>
          <w:sz w:val="20"/>
          <w:szCs w:val="20"/>
        </w:rPr>
        <w:t>I.</w:t>
      </w:r>
      <w:r w:rsidR="008748CE" w:rsidRPr="00F15914">
        <w:rPr>
          <w:sz w:val="20"/>
          <w:szCs w:val="20"/>
        </w:rPr>
        <w:t>Cahrausa, 67026924</w:t>
      </w:r>
    </w:p>
    <w:p w:rsidR="00001533" w:rsidRPr="00F15914" w:rsidRDefault="00E94C16" w:rsidP="008748CE">
      <w:pPr>
        <w:rPr>
          <w:sz w:val="20"/>
          <w:szCs w:val="20"/>
        </w:rPr>
      </w:pPr>
      <w:hyperlink r:id="rId11" w:history="1">
        <w:r w:rsidR="008748CE" w:rsidRPr="00F15914">
          <w:rPr>
            <w:rStyle w:val="Hyperlink"/>
            <w:sz w:val="20"/>
            <w:szCs w:val="20"/>
          </w:rPr>
          <w:t>Ilze.cahrausa@varam.gov.lv</w:t>
        </w:r>
      </w:hyperlink>
    </w:p>
    <w:sectPr w:rsidR="00001533" w:rsidRPr="00F15914" w:rsidSect="008E27F7">
      <w:headerReference w:type="default" r:id="rId12"/>
      <w:footerReference w:type="default" r:id="rId13"/>
      <w:footerReference w:type="first" r:id="rId14"/>
      <w:pgSz w:w="11907" w:h="16839" w:code="9"/>
      <w:pgMar w:top="1134" w:right="1134" w:bottom="1134" w:left="1701"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92DE1" w15:done="0"/>
  <w15:commentEx w15:paraId="5841F79D" w15:done="0"/>
  <w15:commentEx w15:paraId="75C52AEF" w15:done="0"/>
  <w15:commentEx w15:paraId="280CF80E" w15:done="0"/>
  <w15:commentEx w15:paraId="1494F3DA" w15:done="0"/>
  <w15:commentEx w15:paraId="315B9F9A" w15:done="0"/>
  <w15:commentEx w15:paraId="2306B3A2" w15:paraIdParent="315B9F9A" w15:done="0"/>
  <w15:commentEx w15:paraId="53261BC7" w15:done="0"/>
  <w15:commentEx w15:paraId="78047788" w15:done="0"/>
  <w15:commentEx w15:paraId="5E6A9F3B" w15:done="0"/>
  <w15:commentEx w15:paraId="3B6B79F8" w15:done="0"/>
  <w15:commentEx w15:paraId="2532E946" w15:done="0"/>
  <w15:commentEx w15:paraId="2D2BF5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6D" w:rsidRDefault="003E3A6D" w:rsidP="008D01D4">
      <w:r>
        <w:separator/>
      </w:r>
    </w:p>
  </w:endnote>
  <w:endnote w:type="continuationSeparator" w:id="0">
    <w:p w:rsidR="003E3A6D" w:rsidRDefault="003E3A6D" w:rsidP="008D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80" w:rsidRPr="00B61115" w:rsidRDefault="00E94C16" w:rsidP="00B61115">
    <w:pPr>
      <w:jc w:val="both"/>
      <w:rPr>
        <w:b/>
        <w:bCs/>
        <w:sz w:val="20"/>
        <w:lang w:eastAsia="en-US"/>
      </w:rPr>
    </w:pPr>
    <w:r>
      <w:fldChar w:fldCharType="begin"/>
    </w:r>
    <w:r>
      <w:instrText xml:space="preserve"> FILENAME   \* MERGEFORMAT </w:instrText>
    </w:r>
    <w:r>
      <w:fldChar w:fldCharType="separate"/>
    </w:r>
    <w:r w:rsidRPr="00E94C16">
      <w:rPr>
        <w:noProof/>
        <w:sz w:val="20"/>
        <w:szCs w:val="20"/>
      </w:rPr>
      <w:t>VARAMAnot_091216_zemes_parskats_725</w:t>
    </w:r>
    <w:r>
      <w:rPr>
        <w:noProof/>
        <w:sz w:val="20"/>
        <w:szCs w:val="20"/>
      </w:rPr>
      <w:fldChar w:fldCharType="end"/>
    </w:r>
    <w:r w:rsidR="00B02280" w:rsidRPr="00F15914">
      <w:rPr>
        <w:sz w:val="20"/>
        <w:szCs w:val="20"/>
      </w:rPr>
      <w:t>;</w:t>
    </w:r>
    <w:r w:rsidR="00B02280" w:rsidRPr="00B61115">
      <w:rPr>
        <w:sz w:val="20"/>
      </w:rPr>
      <w:t xml:space="preserve"> Ministru kabineta </w:t>
    </w:r>
    <w:r w:rsidR="00B02280">
      <w:rPr>
        <w:sz w:val="20"/>
      </w:rPr>
      <w:t>noteikumu</w:t>
    </w:r>
    <w:r w:rsidR="00B02280" w:rsidRPr="00B61115">
      <w:rPr>
        <w:sz w:val="20"/>
      </w:rPr>
      <w:t xml:space="preserve"> projekta „Zemes pārskatā iekļaujamās informācijas sagatavošanas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80" w:rsidRPr="00D339DE" w:rsidRDefault="00E94C16" w:rsidP="00B61115">
    <w:pPr>
      <w:jc w:val="both"/>
      <w:rPr>
        <w:b/>
        <w:bCs/>
        <w:sz w:val="20"/>
        <w:szCs w:val="20"/>
        <w:lang w:eastAsia="en-US"/>
      </w:rPr>
    </w:pPr>
    <w:r>
      <w:fldChar w:fldCharType="begin"/>
    </w:r>
    <w:r>
      <w:instrText xml:space="preserve"> FILENAME   \* MERGEFORMAT </w:instrText>
    </w:r>
    <w:r>
      <w:fldChar w:fldCharType="separate"/>
    </w:r>
    <w:r w:rsidRPr="00E94C16">
      <w:rPr>
        <w:noProof/>
        <w:sz w:val="20"/>
        <w:szCs w:val="20"/>
      </w:rPr>
      <w:t>VARAMAnot_091216_zemes_parskats_725</w:t>
    </w:r>
    <w:r>
      <w:rPr>
        <w:noProof/>
        <w:sz w:val="20"/>
        <w:szCs w:val="20"/>
      </w:rPr>
      <w:fldChar w:fldCharType="end"/>
    </w:r>
    <w:r w:rsidR="00B02280" w:rsidRPr="00D339DE">
      <w:rPr>
        <w:sz w:val="20"/>
        <w:szCs w:val="20"/>
      </w:rPr>
      <w:t xml:space="preserve">; Ministru kabineta </w:t>
    </w:r>
    <w:r w:rsidR="00B02280">
      <w:rPr>
        <w:sz w:val="20"/>
        <w:szCs w:val="20"/>
      </w:rPr>
      <w:t>noteikumu</w:t>
    </w:r>
    <w:r w:rsidR="00B02280" w:rsidRPr="00D339DE">
      <w:rPr>
        <w:sz w:val="20"/>
        <w:szCs w:val="20"/>
      </w:rPr>
      <w:t xml:space="preserve"> projekta „Zemes pārskatā iekļaujamās informācijas sagatavošanas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6D" w:rsidRDefault="003E3A6D" w:rsidP="008D01D4">
      <w:r>
        <w:separator/>
      </w:r>
    </w:p>
  </w:footnote>
  <w:footnote w:type="continuationSeparator" w:id="0">
    <w:p w:rsidR="003E3A6D" w:rsidRDefault="003E3A6D" w:rsidP="008D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80" w:rsidRDefault="00E64580">
    <w:pPr>
      <w:pStyle w:val="Header"/>
      <w:jc w:val="center"/>
    </w:pPr>
    <w:r>
      <w:fldChar w:fldCharType="begin"/>
    </w:r>
    <w:r w:rsidR="008777C4">
      <w:instrText xml:space="preserve"> PAGE   \* MERGEFORMAT </w:instrText>
    </w:r>
    <w:r>
      <w:fldChar w:fldCharType="separate"/>
    </w:r>
    <w:r w:rsidR="00E94C16">
      <w:rPr>
        <w:noProof/>
      </w:rPr>
      <w:t>8</w:t>
    </w:r>
    <w:r>
      <w:rPr>
        <w:noProof/>
      </w:rPr>
      <w:fldChar w:fldCharType="end"/>
    </w:r>
  </w:p>
  <w:p w:rsidR="00B02280" w:rsidRDefault="00B02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BE3"/>
    <w:multiLevelType w:val="hybridMultilevel"/>
    <w:tmpl w:val="3B02115A"/>
    <w:lvl w:ilvl="0" w:tplc="D11470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8DD6378"/>
    <w:multiLevelType w:val="multilevel"/>
    <w:tmpl w:val="51AA66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Ošleja">
    <w15:presenceInfo w15:providerId="AD" w15:userId="S-1-5-21-1177238915-1417001333-839522115-14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33"/>
    <w:rsid w:val="00000281"/>
    <w:rsid w:val="00001533"/>
    <w:rsid w:val="00021226"/>
    <w:rsid w:val="00036B5E"/>
    <w:rsid w:val="00042D04"/>
    <w:rsid w:val="00066FAA"/>
    <w:rsid w:val="00083594"/>
    <w:rsid w:val="00084D5F"/>
    <w:rsid w:val="000A3C69"/>
    <w:rsid w:val="000C1672"/>
    <w:rsid w:val="000C1D74"/>
    <w:rsid w:val="000E4061"/>
    <w:rsid w:val="000F13A8"/>
    <w:rsid w:val="001046A8"/>
    <w:rsid w:val="0010543A"/>
    <w:rsid w:val="00110529"/>
    <w:rsid w:val="00133F98"/>
    <w:rsid w:val="00136A2A"/>
    <w:rsid w:val="00153CC9"/>
    <w:rsid w:val="0015401E"/>
    <w:rsid w:val="00156ADF"/>
    <w:rsid w:val="00183C41"/>
    <w:rsid w:val="00186022"/>
    <w:rsid w:val="001C3009"/>
    <w:rsid w:val="001F1E6D"/>
    <w:rsid w:val="001F3AE5"/>
    <w:rsid w:val="00227477"/>
    <w:rsid w:val="002763ED"/>
    <w:rsid w:val="002945BB"/>
    <w:rsid w:val="00297656"/>
    <w:rsid w:val="002A4E93"/>
    <w:rsid w:val="002C499E"/>
    <w:rsid w:val="002D14DC"/>
    <w:rsid w:val="002D7198"/>
    <w:rsid w:val="002D7315"/>
    <w:rsid w:val="002F2357"/>
    <w:rsid w:val="002F24B0"/>
    <w:rsid w:val="002F60B9"/>
    <w:rsid w:val="002F638B"/>
    <w:rsid w:val="00316808"/>
    <w:rsid w:val="00321D7B"/>
    <w:rsid w:val="0032633B"/>
    <w:rsid w:val="00331AC3"/>
    <w:rsid w:val="003343A6"/>
    <w:rsid w:val="00343313"/>
    <w:rsid w:val="00350CFA"/>
    <w:rsid w:val="003700CE"/>
    <w:rsid w:val="003760F1"/>
    <w:rsid w:val="003765CF"/>
    <w:rsid w:val="00384F67"/>
    <w:rsid w:val="003947D8"/>
    <w:rsid w:val="003A0920"/>
    <w:rsid w:val="003A2535"/>
    <w:rsid w:val="003A2A9A"/>
    <w:rsid w:val="003A3417"/>
    <w:rsid w:val="003A60A8"/>
    <w:rsid w:val="003C194B"/>
    <w:rsid w:val="003D04D4"/>
    <w:rsid w:val="003E0DA5"/>
    <w:rsid w:val="003E3A6D"/>
    <w:rsid w:val="003F6363"/>
    <w:rsid w:val="004124B4"/>
    <w:rsid w:val="00415711"/>
    <w:rsid w:val="00430D13"/>
    <w:rsid w:val="004358FE"/>
    <w:rsid w:val="00440B41"/>
    <w:rsid w:val="004614F1"/>
    <w:rsid w:val="00461E86"/>
    <w:rsid w:val="00467F76"/>
    <w:rsid w:val="00476B59"/>
    <w:rsid w:val="00477A7A"/>
    <w:rsid w:val="00486A86"/>
    <w:rsid w:val="004A24A4"/>
    <w:rsid w:val="004B1D0C"/>
    <w:rsid w:val="004B1FCC"/>
    <w:rsid w:val="004B58A5"/>
    <w:rsid w:val="004D0253"/>
    <w:rsid w:val="004F319B"/>
    <w:rsid w:val="0050392C"/>
    <w:rsid w:val="00511581"/>
    <w:rsid w:val="0051252B"/>
    <w:rsid w:val="00513177"/>
    <w:rsid w:val="00517AD4"/>
    <w:rsid w:val="00526159"/>
    <w:rsid w:val="00533036"/>
    <w:rsid w:val="00540529"/>
    <w:rsid w:val="00572204"/>
    <w:rsid w:val="00593876"/>
    <w:rsid w:val="00594C2D"/>
    <w:rsid w:val="00597AAA"/>
    <w:rsid w:val="005D3C94"/>
    <w:rsid w:val="005E3557"/>
    <w:rsid w:val="005F7969"/>
    <w:rsid w:val="005F7DC6"/>
    <w:rsid w:val="00602FBF"/>
    <w:rsid w:val="00604BEA"/>
    <w:rsid w:val="00606ECD"/>
    <w:rsid w:val="00606F22"/>
    <w:rsid w:val="00607073"/>
    <w:rsid w:val="00622F61"/>
    <w:rsid w:val="006323EC"/>
    <w:rsid w:val="00633862"/>
    <w:rsid w:val="006400F9"/>
    <w:rsid w:val="00651A55"/>
    <w:rsid w:val="00681A36"/>
    <w:rsid w:val="006930D5"/>
    <w:rsid w:val="006939ED"/>
    <w:rsid w:val="006E544B"/>
    <w:rsid w:val="006E6586"/>
    <w:rsid w:val="00714003"/>
    <w:rsid w:val="00723DF2"/>
    <w:rsid w:val="00744E47"/>
    <w:rsid w:val="00770250"/>
    <w:rsid w:val="00786385"/>
    <w:rsid w:val="007C625F"/>
    <w:rsid w:val="007D7534"/>
    <w:rsid w:val="0081733D"/>
    <w:rsid w:val="00820CF6"/>
    <w:rsid w:val="00822F30"/>
    <w:rsid w:val="00854581"/>
    <w:rsid w:val="008619CE"/>
    <w:rsid w:val="00870436"/>
    <w:rsid w:val="008748CE"/>
    <w:rsid w:val="00875C85"/>
    <w:rsid w:val="008777C4"/>
    <w:rsid w:val="00886165"/>
    <w:rsid w:val="00887F94"/>
    <w:rsid w:val="008A1F20"/>
    <w:rsid w:val="008B33AF"/>
    <w:rsid w:val="008B4501"/>
    <w:rsid w:val="008B6EB6"/>
    <w:rsid w:val="008D01D4"/>
    <w:rsid w:val="008E27F7"/>
    <w:rsid w:val="009052EC"/>
    <w:rsid w:val="009120FF"/>
    <w:rsid w:val="009154EB"/>
    <w:rsid w:val="00917DAF"/>
    <w:rsid w:val="00922343"/>
    <w:rsid w:val="00923E4F"/>
    <w:rsid w:val="00937F9B"/>
    <w:rsid w:val="00961C89"/>
    <w:rsid w:val="009858BC"/>
    <w:rsid w:val="00986A49"/>
    <w:rsid w:val="009B4CB7"/>
    <w:rsid w:val="009B4D36"/>
    <w:rsid w:val="009C054E"/>
    <w:rsid w:val="009C1EB4"/>
    <w:rsid w:val="00A13490"/>
    <w:rsid w:val="00A16F81"/>
    <w:rsid w:val="00A25C95"/>
    <w:rsid w:val="00A33E81"/>
    <w:rsid w:val="00A3697C"/>
    <w:rsid w:val="00A507F8"/>
    <w:rsid w:val="00A626A2"/>
    <w:rsid w:val="00AA5676"/>
    <w:rsid w:val="00AB5006"/>
    <w:rsid w:val="00AE63B0"/>
    <w:rsid w:val="00B02280"/>
    <w:rsid w:val="00B119C5"/>
    <w:rsid w:val="00B22F0C"/>
    <w:rsid w:val="00B61115"/>
    <w:rsid w:val="00B62EED"/>
    <w:rsid w:val="00B64A1A"/>
    <w:rsid w:val="00B6685C"/>
    <w:rsid w:val="00BB0BFF"/>
    <w:rsid w:val="00BB5D66"/>
    <w:rsid w:val="00BE3BB1"/>
    <w:rsid w:val="00BE7575"/>
    <w:rsid w:val="00BF5486"/>
    <w:rsid w:val="00BF7849"/>
    <w:rsid w:val="00C32489"/>
    <w:rsid w:val="00C523B9"/>
    <w:rsid w:val="00C53256"/>
    <w:rsid w:val="00C57589"/>
    <w:rsid w:val="00C80773"/>
    <w:rsid w:val="00CD531F"/>
    <w:rsid w:val="00CF20B1"/>
    <w:rsid w:val="00D04110"/>
    <w:rsid w:val="00D05FA8"/>
    <w:rsid w:val="00D316E5"/>
    <w:rsid w:val="00D32F60"/>
    <w:rsid w:val="00D339DE"/>
    <w:rsid w:val="00D348C0"/>
    <w:rsid w:val="00D456A2"/>
    <w:rsid w:val="00D53522"/>
    <w:rsid w:val="00D555ED"/>
    <w:rsid w:val="00D670BD"/>
    <w:rsid w:val="00D8071E"/>
    <w:rsid w:val="00D930D3"/>
    <w:rsid w:val="00DA3CEE"/>
    <w:rsid w:val="00DB5761"/>
    <w:rsid w:val="00DD2E1B"/>
    <w:rsid w:val="00DE7622"/>
    <w:rsid w:val="00DE7F54"/>
    <w:rsid w:val="00DF38D3"/>
    <w:rsid w:val="00DF7441"/>
    <w:rsid w:val="00E02602"/>
    <w:rsid w:val="00E07604"/>
    <w:rsid w:val="00E1469A"/>
    <w:rsid w:val="00E230B5"/>
    <w:rsid w:val="00E26063"/>
    <w:rsid w:val="00E5383D"/>
    <w:rsid w:val="00E57718"/>
    <w:rsid w:val="00E60CF9"/>
    <w:rsid w:val="00E64580"/>
    <w:rsid w:val="00E64EEA"/>
    <w:rsid w:val="00E81040"/>
    <w:rsid w:val="00E81637"/>
    <w:rsid w:val="00E85742"/>
    <w:rsid w:val="00E910B4"/>
    <w:rsid w:val="00E94C16"/>
    <w:rsid w:val="00EA08A7"/>
    <w:rsid w:val="00EA5E3D"/>
    <w:rsid w:val="00EB3FF0"/>
    <w:rsid w:val="00EE092E"/>
    <w:rsid w:val="00F0135F"/>
    <w:rsid w:val="00F11F1B"/>
    <w:rsid w:val="00F15914"/>
    <w:rsid w:val="00F37BA8"/>
    <w:rsid w:val="00F470C3"/>
    <w:rsid w:val="00F5342B"/>
    <w:rsid w:val="00F55D9F"/>
    <w:rsid w:val="00F600CE"/>
    <w:rsid w:val="00F60576"/>
    <w:rsid w:val="00F61166"/>
    <w:rsid w:val="00F622E6"/>
    <w:rsid w:val="00F85FB3"/>
    <w:rsid w:val="00FB356B"/>
    <w:rsid w:val="00FB3AF0"/>
    <w:rsid w:val="00FB5D0F"/>
    <w:rsid w:val="00FC0AEF"/>
    <w:rsid w:val="00FC2425"/>
    <w:rsid w:val="00FD37A1"/>
    <w:rsid w:val="00FE2121"/>
    <w:rsid w:val="00FE380E"/>
    <w:rsid w:val="00FE6024"/>
    <w:rsid w:val="00FE6B54"/>
    <w:rsid w:val="00FF2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33"/>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F5342B"/>
    <w:pPr>
      <w:keepNext/>
      <w:spacing w:before="240" w:after="60"/>
      <w:jc w:val="center"/>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001533"/>
  </w:style>
  <w:style w:type="character" w:styleId="Hyperlink">
    <w:name w:val="Hyperlink"/>
    <w:uiPriority w:val="99"/>
    <w:unhideWhenUsed/>
    <w:rsid w:val="00001533"/>
    <w:rPr>
      <w:color w:val="0000FF"/>
      <w:u w:val="single"/>
    </w:rPr>
  </w:style>
  <w:style w:type="paragraph" w:styleId="Header">
    <w:name w:val="header"/>
    <w:basedOn w:val="Normal"/>
    <w:link w:val="HeaderChar"/>
    <w:uiPriority w:val="99"/>
    <w:unhideWhenUsed/>
    <w:rsid w:val="00001533"/>
    <w:pPr>
      <w:tabs>
        <w:tab w:val="center" w:pos="4320"/>
        <w:tab w:val="right" w:pos="8640"/>
      </w:tabs>
    </w:pPr>
  </w:style>
  <w:style w:type="character" w:customStyle="1" w:styleId="HeaderChar">
    <w:name w:val="Header Char"/>
    <w:basedOn w:val="DefaultParagraphFont"/>
    <w:link w:val="Header"/>
    <w:uiPriority w:val="99"/>
    <w:rsid w:val="00001533"/>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001533"/>
    <w:pPr>
      <w:tabs>
        <w:tab w:val="center" w:pos="4320"/>
        <w:tab w:val="right" w:pos="8640"/>
      </w:tabs>
    </w:pPr>
  </w:style>
  <w:style w:type="character" w:customStyle="1" w:styleId="FooterChar">
    <w:name w:val="Footer Char"/>
    <w:basedOn w:val="DefaultParagraphFont"/>
    <w:uiPriority w:val="99"/>
    <w:rsid w:val="00001533"/>
    <w:rPr>
      <w:rFonts w:ascii="Times New Roman" w:eastAsia="Times New Roman" w:hAnsi="Times New Roman" w:cs="Times New Roman"/>
      <w:sz w:val="24"/>
      <w:szCs w:val="24"/>
      <w:lang w:val="lv-LV" w:eastAsia="lv-LV"/>
    </w:rPr>
  </w:style>
  <w:style w:type="character" w:customStyle="1" w:styleId="FooterChar1">
    <w:name w:val="Footer Char1"/>
    <w:link w:val="Footer"/>
    <w:uiPriority w:val="99"/>
    <w:rsid w:val="00001533"/>
    <w:rPr>
      <w:rFonts w:ascii="Times New Roman" w:eastAsia="Times New Roman" w:hAnsi="Times New Roman" w:cs="Times New Roman"/>
      <w:sz w:val="24"/>
      <w:szCs w:val="24"/>
      <w:lang w:val="lv-LV" w:eastAsia="lv-LV"/>
    </w:rPr>
  </w:style>
  <w:style w:type="character" w:styleId="Strong">
    <w:name w:val="Strong"/>
    <w:uiPriority w:val="22"/>
    <w:qFormat/>
    <w:rsid w:val="00001533"/>
    <w:rPr>
      <w:b/>
      <w:bCs/>
    </w:rPr>
  </w:style>
  <w:style w:type="paragraph" w:styleId="BalloonText">
    <w:name w:val="Balloon Text"/>
    <w:basedOn w:val="Normal"/>
    <w:link w:val="BalloonTextChar"/>
    <w:uiPriority w:val="99"/>
    <w:semiHidden/>
    <w:unhideWhenUsed/>
    <w:rsid w:val="00001533"/>
    <w:rPr>
      <w:rFonts w:ascii="Tahoma" w:hAnsi="Tahoma" w:cs="Tahoma"/>
      <w:sz w:val="16"/>
      <w:szCs w:val="16"/>
    </w:rPr>
  </w:style>
  <w:style w:type="character" w:customStyle="1" w:styleId="BalloonTextChar">
    <w:name w:val="Balloon Text Char"/>
    <w:basedOn w:val="DefaultParagraphFont"/>
    <w:link w:val="BalloonText"/>
    <w:uiPriority w:val="99"/>
    <w:semiHidden/>
    <w:rsid w:val="00001533"/>
    <w:rPr>
      <w:rFonts w:ascii="Tahoma" w:eastAsia="Times New Roman" w:hAnsi="Tahoma" w:cs="Tahoma"/>
      <w:sz w:val="16"/>
      <w:szCs w:val="16"/>
      <w:lang w:val="lv-LV" w:eastAsia="lv-LV"/>
    </w:rPr>
  </w:style>
  <w:style w:type="table" w:styleId="TableGrid">
    <w:name w:val="Table Grid"/>
    <w:basedOn w:val="TableNormal"/>
    <w:uiPriority w:val="59"/>
    <w:rsid w:val="009B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E7575"/>
    <w:pPr>
      <w:spacing w:before="100" w:beforeAutospacing="1" w:after="100" w:afterAutospacing="1"/>
    </w:pPr>
  </w:style>
  <w:style w:type="character" w:styleId="CommentReference">
    <w:name w:val="annotation reference"/>
    <w:basedOn w:val="DefaultParagraphFont"/>
    <w:uiPriority w:val="99"/>
    <w:semiHidden/>
    <w:unhideWhenUsed/>
    <w:rsid w:val="00B64A1A"/>
    <w:rPr>
      <w:sz w:val="16"/>
      <w:szCs w:val="16"/>
    </w:rPr>
  </w:style>
  <w:style w:type="paragraph" w:styleId="CommentText">
    <w:name w:val="annotation text"/>
    <w:basedOn w:val="Normal"/>
    <w:link w:val="CommentTextChar"/>
    <w:uiPriority w:val="99"/>
    <w:semiHidden/>
    <w:unhideWhenUsed/>
    <w:rsid w:val="00B64A1A"/>
    <w:rPr>
      <w:sz w:val="20"/>
      <w:szCs w:val="20"/>
    </w:rPr>
  </w:style>
  <w:style w:type="character" w:customStyle="1" w:styleId="CommentTextChar">
    <w:name w:val="Comment Text Char"/>
    <w:basedOn w:val="DefaultParagraphFont"/>
    <w:link w:val="CommentText"/>
    <w:uiPriority w:val="99"/>
    <w:semiHidden/>
    <w:rsid w:val="00B64A1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64A1A"/>
    <w:rPr>
      <w:b/>
      <w:bCs/>
    </w:rPr>
  </w:style>
  <w:style w:type="character" w:customStyle="1" w:styleId="CommentSubjectChar">
    <w:name w:val="Comment Subject Char"/>
    <w:basedOn w:val="CommentTextChar"/>
    <w:link w:val="CommentSubject"/>
    <w:uiPriority w:val="99"/>
    <w:semiHidden/>
    <w:rsid w:val="00B64A1A"/>
    <w:rPr>
      <w:rFonts w:ascii="Times New Roman" w:eastAsia="Times New Roman" w:hAnsi="Times New Roman" w:cs="Times New Roman"/>
      <w:b/>
      <w:bCs/>
      <w:sz w:val="20"/>
      <w:szCs w:val="20"/>
      <w:lang w:val="lv-LV" w:eastAsia="lv-LV"/>
    </w:rPr>
  </w:style>
  <w:style w:type="paragraph" w:customStyle="1" w:styleId="tvhtml">
    <w:name w:val="tv_html"/>
    <w:basedOn w:val="Normal"/>
    <w:rsid w:val="00606ECD"/>
    <w:pPr>
      <w:spacing w:before="100" w:beforeAutospacing="1" w:after="100" w:afterAutospacing="1"/>
    </w:pPr>
    <w:rPr>
      <w:lang w:val="en-US" w:eastAsia="en-US"/>
    </w:rPr>
  </w:style>
  <w:style w:type="character" w:customStyle="1" w:styleId="Heading2Char">
    <w:name w:val="Heading 2 Char"/>
    <w:basedOn w:val="DefaultParagraphFont"/>
    <w:link w:val="Heading2"/>
    <w:rsid w:val="00F5342B"/>
    <w:rPr>
      <w:rFonts w:ascii="Arial" w:eastAsia="Times New Roman" w:hAnsi="Arial" w:cs="Arial"/>
      <w:b/>
      <w:bCs/>
      <w:i/>
      <w:iCs/>
      <w:sz w:val="28"/>
      <w:szCs w:val="28"/>
      <w:lang w:val="lv-LV" w:eastAsia="lv-LV"/>
    </w:rPr>
  </w:style>
  <w:style w:type="paragraph" w:styleId="ListParagraph">
    <w:name w:val="List Paragraph"/>
    <w:basedOn w:val="Normal"/>
    <w:uiPriority w:val="34"/>
    <w:qFormat/>
    <w:rsid w:val="00042D04"/>
    <w:pPr>
      <w:ind w:left="720"/>
    </w:pPr>
    <w:rPr>
      <w:rFonts w:ascii="Calibri" w:eastAsia="Calibri" w:hAnsi="Calibri"/>
      <w:sz w:val="22"/>
      <w:szCs w:val="22"/>
    </w:rPr>
  </w:style>
  <w:style w:type="character" w:styleId="PlaceholderText">
    <w:name w:val="Placeholder Text"/>
    <w:basedOn w:val="DefaultParagraphFont"/>
    <w:uiPriority w:val="99"/>
    <w:semiHidden/>
    <w:rsid w:val="003A25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33"/>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F5342B"/>
    <w:pPr>
      <w:keepNext/>
      <w:spacing w:before="240" w:after="60"/>
      <w:jc w:val="center"/>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001533"/>
  </w:style>
  <w:style w:type="character" w:styleId="Hyperlink">
    <w:name w:val="Hyperlink"/>
    <w:uiPriority w:val="99"/>
    <w:unhideWhenUsed/>
    <w:rsid w:val="00001533"/>
    <w:rPr>
      <w:color w:val="0000FF"/>
      <w:u w:val="single"/>
    </w:rPr>
  </w:style>
  <w:style w:type="paragraph" w:styleId="Header">
    <w:name w:val="header"/>
    <w:basedOn w:val="Normal"/>
    <w:link w:val="HeaderChar"/>
    <w:uiPriority w:val="99"/>
    <w:unhideWhenUsed/>
    <w:rsid w:val="00001533"/>
    <w:pPr>
      <w:tabs>
        <w:tab w:val="center" w:pos="4320"/>
        <w:tab w:val="right" w:pos="8640"/>
      </w:tabs>
    </w:pPr>
  </w:style>
  <w:style w:type="character" w:customStyle="1" w:styleId="HeaderChar">
    <w:name w:val="Header Char"/>
    <w:basedOn w:val="DefaultParagraphFont"/>
    <w:link w:val="Header"/>
    <w:uiPriority w:val="99"/>
    <w:rsid w:val="00001533"/>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001533"/>
    <w:pPr>
      <w:tabs>
        <w:tab w:val="center" w:pos="4320"/>
        <w:tab w:val="right" w:pos="8640"/>
      </w:tabs>
    </w:pPr>
  </w:style>
  <w:style w:type="character" w:customStyle="1" w:styleId="FooterChar">
    <w:name w:val="Footer Char"/>
    <w:basedOn w:val="DefaultParagraphFont"/>
    <w:uiPriority w:val="99"/>
    <w:rsid w:val="00001533"/>
    <w:rPr>
      <w:rFonts w:ascii="Times New Roman" w:eastAsia="Times New Roman" w:hAnsi="Times New Roman" w:cs="Times New Roman"/>
      <w:sz w:val="24"/>
      <w:szCs w:val="24"/>
      <w:lang w:val="lv-LV" w:eastAsia="lv-LV"/>
    </w:rPr>
  </w:style>
  <w:style w:type="character" w:customStyle="1" w:styleId="FooterChar1">
    <w:name w:val="Footer Char1"/>
    <w:link w:val="Footer"/>
    <w:uiPriority w:val="99"/>
    <w:rsid w:val="00001533"/>
    <w:rPr>
      <w:rFonts w:ascii="Times New Roman" w:eastAsia="Times New Roman" w:hAnsi="Times New Roman" w:cs="Times New Roman"/>
      <w:sz w:val="24"/>
      <w:szCs w:val="24"/>
      <w:lang w:val="lv-LV" w:eastAsia="lv-LV"/>
    </w:rPr>
  </w:style>
  <w:style w:type="character" w:styleId="Strong">
    <w:name w:val="Strong"/>
    <w:uiPriority w:val="22"/>
    <w:qFormat/>
    <w:rsid w:val="00001533"/>
    <w:rPr>
      <w:b/>
      <w:bCs/>
    </w:rPr>
  </w:style>
  <w:style w:type="paragraph" w:styleId="BalloonText">
    <w:name w:val="Balloon Text"/>
    <w:basedOn w:val="Normal"/>
    <w:link w:val="BalloonTextChar"/>
    <w:uiPriority w:val="99"/>
    <w:semiHidden/>
    <w:unhideWhenUsed/>
    <w:rsid w:val="00001533"/>
    <w:rPr>
      <w:rFonts w:ascii="Tahoma" w:hAnsi="Tahoma" w:cs="Tahoma"/>
      <w:sz w:val="16"/>
      <w:szCs w:val="16"/>
    </w:rPr>
  </w:style>
  <w:style w:type="character" w:customStyle="1" w:styleId="BalloonTextChar">
    <w:name w:val="Balloon Text Char"/>
    <w:basedOn w:val="DefaultParagraphFont"/>
    <w:link w:val="BalloonText"/>
    <w:uiPriority w:val="99"/>
    <w:semiHidden/>
    <w:rsid w:val="00001533"/>
    <w:rPr>
      <w:rFonts w:ascii="Tahoma" w:eastAsia="Times New Roman" w:hAnsi="Tahoma" w:cs="Tahoma"/>
      <w:sz w:val="16"/>
      <w:szCs w:val="16"/>
      <w:lang w:val="lv-LV" w:eastAsia="lv-LV"/>
    </w:rPr>
  </w:style>
  <w:style w:type="table" w:styleId="TableGrid">
    <w:name w:val="Table Grid"/>
    <w:basedOn w:val="TableNormal"/>
    <w:uiPriority w:val="59"/>
    <w:rsid w:val="009B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E7575"/>
    <w:pPr>
      <w:spacing w:before="100" w:beforeAutospacing="1" w:after="100" w:afterAutospacing="1"/>
    </w:pPr>
  </w:style>
  <w:style w:type="character" w:styleId="CommentReference">
    <w:name w:val="annotation reference"/>
    <w:basedOn w:val="DefaultParagraphFont"/>
    <w:uiPriority w:val="99"/>
    <w:semiHidden/>
    <w:unhideWhenUsed/>
    <w:rsid w:val="00B64A1A"/>
    <w:rPr>
      <w:sz w:val="16"/>
      <w:szCs w:val="16"/>
    </w:rPr>
  </w:style>
  <w:style w:type="paragraph" w:styleId="CommentText">
    <w:name w:val="annotation text"/>
    <w:basedOn w:val="Normal"/>
    <w:link w:val="CommentTextChar"/>
    <w:uiPriority w:val="99"/>
    <w:semiHidden/>
    <w:unhideWhenUsed/>
    <w:rsid w:val="00B64A1A"/>
    <w:rPr>
      <w:sz w:val="20"/>
      <w:szCs w:val="20"/>
    </w:rPr>
  </w:style>
  <w:style w:type="character" w:customStyle="1" w:styleId="CommentTextChar">
    <w:name w:val="Comment Text Char"/>
    <w:basedOn w:val="DefaultParagraphFont"/>
    <w:link w:val="CommentText"/>
    <w:uiPriority w:val="99"/>
    <w:semiHidden/>
    <w:rsid w:val="00B64A1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64A1A"/>
    <w:rPr>
      <w:b/>
      <w:bCs/>
    </w:rPr>
  </w:style>
  <w:style w:type="character" w:customStyle="1" w:styleId="CommentSubjectChar">
    <w:name w:val="Comment Subject Char"/>
    <w:basedOn w:val="CommentTextChar"/>
    <w:link w:val="CommentSubject"/>
    <w:uiPriority w:val="99"/>
    <w:semiHidden/>
    <w:rsid w:val="00B64A1A"/>
    <w:rPr>
      <w:rFonts w:ascii="Times New Roman" w:eastAsia="Times New Roman" w:hAnsi="Times New Roman" w:cs="Times New Roman"/>
      <w:b/>
      <w:bCs/>
      <w:sz w:val="20"/>
      <w:szCs w:val="20"/>
      <w:lang w:val="lv-LV" w:eastAsia="lv-LV"/>
    </w:rPr>
  </w:style>
  <w:style w:type="paragraph" w:customStyle="1" w:styleId="tvhtml">
    <w:name w:val="tv_html"/>
    <w:basedOn w:val="Normal"/>
    <w:rsid w:val="00606ECD"/>
    <w:pPr>
      <w:spacing w:before="100" w:beforeAutospacing="1" w:after="100" w:afterAutospacing="1"/>
    </w:pPr>
    <w:rPr>
      <w:lang w:val="en-US" w:eastAsia="en-US"/>
    </w:rPr>
  </w:style>
  <w:style w:type="character" w:customStyle="1" w:styleId="Heading2Char">
    <w:name w:val="Heading 2 Char"/>
    <w:basedOn w:val="DefaultParagraphFont"/>
    <w:link w:val="Heading2"/>
    <w:rsid w:val="00F5342B"/>
    <w:rPr>
      <w:rFonts w:ascii="Arial" w:eastAsia="Times New Roman" w:hAnsi="Arial" w:cs="Arial"/>
      <w:b/>
      <w:bCs/>
      <w:i/>
      <w:iCs/>
      <w:sz w:val="28"/>
      <w:szCs w:val="28"/>
      <w:lang w:val="lv-LV" w:eastAsia="lv-LV"/>
    </w:rPr>
  </w:style>
  <w:style w:type="paragraph" w:styleId="ListParagraph">
    <w:name w:val="List Paragraph"/>
    <w:basedOn w:val="Normal"/>
    <w:uiPriority w:val="34"/>
    <w:qFormat/>
    <w:rsid w:val="00042D04"/>
    <w:pPr>
      <w:ind w:left="720"/>
    </w:pPr>
    <w:rPr>
      <w:rFonts w:ascii="Calibri" w:eastAsia="Calibri" w:hAnsi="Calibri"/>
      <w:sz w:val="22"/>
      <w:szCs w:val="22"/>
    </w:rPr>
  </w:style>
  <w:style w:type="character" w:styleId="PlaceholderText">
    <w:name w:val="Placeholder Text"/>
    <w:basedOn w:val="DefaultParagraphFont"/>
    <w:uiPriority w:val="99"/>
    <w:semiHidden/>
    <w:rsid w:val="003A25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2576">
      <w:bodyDiv w:val="1"/>
      <w:marLeft w:val="0"/>
      <w:marRight w:val="0"/>
      <w:marTop w:val="0"/>
      <w:marBottom w:val="0"/>
      <w:divBdr>
        <w:top w:val="none" w:sz="0" w:space="0" w:color="auto"/>
        <w:left w:val="none" w:sz="0" w:space="0" w:color="auto"/>
        <w:bottom w:val="none" w:sz="0" w:space="0" w:color="auto"/>
        <w:right w:val="none" w:sz="0" w:space="0" w:color="auto"/>
      </w:divBdr>
    </w:div>
    <w:div w:id="832843645">
      <w:bodyDiv w:val="1"/>
      <w:marLeft w:val="0"/>
      <w:marRight w:val="0"/>
      <w:marTop w:val="0"/>
      <w:marBottom w:val="0"/>
      <w:divBdr>
        <w:top w:val="none" w:sz="0" w:space="0" w:color="auto"/>
        <w:left w:val="none" w:sz="0" w:space="0" w:color="auto"/>
        <w:bottom w:val="none" w:sz="0" w:space="0" w:color="auto"/>
        <w:right w:val="none" w:sz="0" w:space="0" w:color="auto"/>
      </w:divBdr>
    </w:div>
    <w:div w:id="1293094680">
      <w:bodyDiv w:val="1"/>
      <w:marLeft w:val="0"/>
      <w:marRight w:val="0"/>
      <w:marTop w:val="0"/>
      <w:marBottom w:val="0"/>
      <w:divBdr>
        <w:top w:val="none" w:sz="0" w:space="0" w:color="auto"/>
        <w:left w:val="none" w:sz="0" w:space="0" w:color="auto"/>
        <w:bottom w:val="none" w:sz="0" w:space="0" w:color="auto"/>
        <w:right w:val="none" w:sz="0" w:space="0" w:color="auto"/>
      </w:divBdr>
    </w:div>
    <w:div w:id="1412585539">
      <w:bodyDiv w:val="1"/>
      <w:marLeft w:val="0"/>
      <w:marRight w:val="0"/>
      <w:marTop w:val="0"/>
      <w:marBottom w:val="0"/>
      <w:divBdr>
        <w:top w:val="none" w:sz="0" w:space="0" w:color="auto"/>
        <w:left w:val="none" w:sz="0" w:space="0" w:color="auto"/>
        <w:bottom w:val="none" w:sz="0" w:space="0" w:color="auto"/>
        <w:right w:val="none" w:sz="0" w:space="0" w:color="auto"/>
      </w:divBdr>
    </w:div>
    <w:div w:id="20067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ze.cahrausa@var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aim.gov.lv/" TargetMode="External"/><Relationship Id="rId4" Type="http://schemas.microsoft.com/office/2007/relationships/stylesWithEffects" Target="stylesWithEffects.xml"/><Relationship Id="rId9" Type="http://schemas.openxmlformats.org/officeDocument/2006/relationships/hyperlink" Target="mailto:raim@vra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2FECE-A0AB-4C81-A12F-A5E543AA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2031</Words>
  <Characters>14873</Characters>
  <Application>Microsoft Office Word</Application>
  <DocSecurity>0</DocSecurity>
  <Lines>437</Lines>
  <Paragraphs>137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dc:creator>
  <cp:lastModifiedBy>Ilze Cahrausa</cp:lastModifiedBy>
  <cp:revision>15</cp:revision>
  <dcterms:created xsi:type="dcterms:W3CDTF">2016-11-11T09:37:00Z</dcterms:created>
  <dcterms:modified xsi:type="dcterms:W3CDTF">2016-12-09T08:14:00Z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