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C3EF" w14:textId="77777777" w:rsidR="00960EE2" w:rsidRPr="000117E5" w:rsidRDefault="00D23877" w:rsidP="000117E5">
      <w:pPr>
        <w:jc w:val="center"/>
        <w:rPr>
          <w:b/>
          <w:caps/>
          <w:sz w:val="26"/>
          <w:szCs w:val="26"/>
        </w:rPr>
      </w:pPr>
      <w:r w:rsidRPr="000117E5">
        <w:rPr>
          <w:b/>
          <w:caps/>
          <w:sz w:val="26"/>
          <w:szCs w:val="26"/>
        </w:rPr>
        <w:t>Informatīvais ziņojums</w:t>
      </w:r>
    </w:p>
    <w:p w14:paraId="2C547F91" w14:textId="55464963" w:rsidR="005305B8" w:rsidRPr="000117E5" w:rsidRDefault="00D23877" w:rsidP="000117E5">
      <w:pPr>
        <w:pStyle w:val="BodyTextIndent"/>
        <w:ind w:firstLine="0"/>
        <w:jc w:val="center"/>
        <w:rPr>
          <w:sz w:val="26"/>
          <w:szCs w:val="26"/>
        </w:rPr>
      </w:pPr>
      <w:r w:rsidRPr="000117E5">
        <w:rPr>
          <w:sz w:val="26"/>
          <w:szCs w:val="26"/>
        </w:rPr>
        <w:t xml:space="preserve">Par </w:t>
      </w:r>
      <w:r w:rsidR="002F1A3F" w:rsidRPr="000117E5">
        <w:rPr>
          <w:sz w:val="26"/>
          <w:szCs w:val="26"/>
        </w:rPr>
        <w:t>201</w:t>
      </w:r>
      <w:r w:rsidR="00461A6A" w:rsidRPr="000117E5">
        <w:rPr>
          <w:sz w:val="26"/>
          <w:szCs w:val="26"/>
        </w:rPr>
        <w:t>7</w:t>
      </w:r>
      <w:r w:rsidR="002F1A3F" w:rsidRPr="000117E5">
        <w:rPr>
          <w:sz w:val="26"/>
          <w:szCs w:val="26"/>
        </w:rPr>
        <w:t>.</w:t>
      </w:r>
      <w:r w:rsidR="00E807E7" w:rsidRPr="000117E5">
        <w:rPr>
          <w:sz w:val="26"/>
          <w:szCs w:val="26"/>
        </w:rPr>
        <w:t> </w:t>
      </w:r>
      <w:r w:rsidR="002F1A3F" w:rsidRPr="000117E5">
        <w:rPr>
          <w:sz w:val="26"/>
          <w:szCs w:val="26"/>
        </w:rPr>
        <w:t xml:space="preserve">gada </w:t>
      </w:r>
      <w:r w:rsidR="00461A6A" w:rsidRPr="000117E5">
        <w:rPr>
          <w:sz w:val="26"/>
          <w:szCs w:val="26"/>
        </w:rPr>
        <w:t>28.</w:t>
      </w:r>
      <w:r w:rsidR="00EF46F1" w:rsidRPr="000117E5">
        <w:rPr>
          <w:sz w:val="26"/>
          <w:szCs w:val="26"/>
        </w:rPr>
        <w:t> </w:t>
      </w:r>
      <w:r w:rsidR="00461A6A" w:rsidRPr="000117E5">
        <w:rPr>
          <w:sz w:val="26"/>
          <w:szCs w:val="26"/>
        </w:rPr>
        <w:t>februāra</w:t>
      </w:r>
      <w:r w:rsidR="00996F2C" w:rsidRPr="000117E5">
        <w:rPr>
          <w:sz w:val="26"/>
          <w:szCs w:val="26"/>
        </w:rPr>
        <w:t xml:space="preserve"> </w:t>
      </w:r>
      <w:r w:rsidRPr="000117E5">
        <w:rPr>
          <w:sz w:val="26"/>
          <w:szCs w:val="26"/>
        </w:rPr>
        <w:t xml:space="preserve">Eiropas Savienības </w:t>
      </w:r>
      <w:r w:rsidR="00E222E4" w:rsidRPr="000117E5">
        <w:rPr>
          <w:sz w:val="26"/>
          <w:szCs w:val="26"/>
        </w:rPr>
        <w:t xml:space="preserve">Vides </w:t>
      </w:r>
      <w:r w:rsidRPr="000117E5">
        <w:rPr>
          <w:sz w:val="26"/>
          <w:szCs w:val="26"/>
        </w:rPr>
        <w:t>ministru padom</w:t>
      </w:r>
      <w:r w:rsidR="00EA1C80" w:rsidRPr="000117E5">
        <w:rPr>
          <w:sz w:val="26"/>
          <w:szCs w:val="26"/>
        </w:rPr>
        <w:t>es sanāksm</w:t>
      </w:r>
      <w:r w:rsidR="007778EB" w:rsidRPr="000117E5">
        <w:rPr>
          <w:sz w:val="26"/>
          <w:szCs w:val="26"/>
        </w:rPr>
        <w:t>ē</w:t>
      </w:r>
      <w:r w:rsidR="002F1A3F" w:rsidRPr="000117E5">
        <w:rPr>
          <w:sz w:val="26"/>
          <w:szCs w:val="26"/>
        </w:rPr>
        <w:t xml:space="preserve"> izskatāmajiem jautājumiem</w:t>
      </w:r>
    </w:p>
    <w:p w14:paraId="2BA26EA6" w14:textId="77777777" w:rsidR="000117E5" w:rsidRPr="000117E5" w:rsidRDefault="000117E5" w:rsidP="000117E5">
      <w:pPr>
        <w:pStyle w:val="BodyTextIndent"/>
        <w:ind w:firstLine="0"/>
        <w:jc w:val="center"/>
        <w:rPr>
          <w:sz w:val="26"/>
          <w:szCs w:val="26"/>
        </w:rPr>
      </w:pPr>
    </w:p>
    <w:p w14:paraId="40AEAC0D" w14:textId="43107FC9" w:rsidR="00704D02" w:rsidRPr="000117E5" w:rsidRDefault="005305B8" w:rsidP="000117E5">
      <w:pPr>
        <w:ind w:firstLine="567"/>
        <w:jc w:val="both"/>
        <w:rPr>
          <w:sz w:val="26"/>
          <w:szCs w:val="26"/>
        </w:rPr>
      </w:pPr>
      <w:r w:rsidRPr="000117E5">
        <w:rPr>
          <w:sz w:val="26"/>
          <w:szCs w:val="26"/>
        </w:rPr>
        <w:t>201</w:t>
      </w:r>
      <w:r w:rsidR="00461A6A" w:rsidRPr="000117E5">
        <w:rPr>
          <w:sz w:val="26"/>
          <w:szCs w:val="26"/>
        </w:rPr>
        <w:t>7</w:t>
      </w:r>
      <w:r w:rsidRPr="000117E5">
        <w:rPr>
          <w:sz w:val="26"/>
          <w:szCs w:val="26"/>
        </w:rPr>
        <w:t>.</w:t>
      </w:r>
      <w:r w:rsidR="00E807E7" w:rsidRPr="000117E5">
        <w:rPr>
          <w:sz w:val="26"/>
          <w:szCs w:val="26"/>
        </w:rPr>
        <w:t> </w:t>
      </w:r>
      <w:r w:rsidRPr="000117E5">
        <w:rPr>
          <w:sz w:val="26"/>
          <w:szCs w:val="26"/>
        </w:rPr>
        <w:t xml:space="preserve">gada </w:t>
      </w:r>
      <w:r w:rsidR="00461A6A" w:rsidRPr="000117E5">
        <w:rPr>
          <w:sz w:val="26"/>
          <w:szCs w:val="26"/>
        </w:rPr>
        <w:t>28.</w:t>
      </w:r>
      <w:r w:rsidR="00EF46F1" w:rsidRPr="000117E5">
        <w:rPr>
          <w:sz w:val="26"/>
          <w:szCs w:val="26"/>
        </w:rPr>
        <w:t> </w:t>
      </w:r>
      <w:r w:rsidR="00461A6A" w:rsidRPr="000117E5">
        <w:rPr>
          <w:sz w:val="26"/>
          <w:szCs w:val="26"/>
        </w:rPr>
        <w:t>februārī</w:t>
      </w:r>
      <w:r w:rsidR="00F81925" w:rsidRPr="000117E5">
        <w:rPr>
          <w:sz w:val="26"/>
          <w:szCs w:val="26"/>
        </w:rPr>
        <w:t xml:space="preserve"> </w:t>
      </w:r>
      <w:r w:rsidR="0036388B" w:rsidRPr="000117E5">
        <w:rPr>
          <w:sz w:val="26"/>
          <w:szCs w:val="26"/>
        </w:rPr>
        <w:t>notiks</w:t>
      </w:r>
      <w:r w:rsidR="00F81925" w:rsidRPr="000117E5">
        <w:rPr>
          <w:sz w:val="26"/>
          <w:szCs w:val="26"/>
        </w:rPr>
        <w:t xml:space="preserve"> E</w:t>
      </w:r>
      <w:r w:rsidR="00233987" w:rsidRPr="000117E5">
        <w:rPr>
          <w:sz w:val="26"/>
          <w:szCs w:val="26"/>
        </w:rPr>
        <w:t xml:space="preserve">iropas </w:t>
      </w:r>
      <w:r w:rsidR="00F81925" w:rsidRPr="000117E5">
        <w:rPr>
          <w:sz w:val="26"/>
          <w:szCs w:val="26"/>
        </w:rPr>
        <w:t>S</w:t>
      </w:r>
      <w:r w:rsidR="00233987" w:rsidRPr="000117E5">
        <w:rPr>
          <w:sz w:val="26"/>
          <w:szCs w:val="26"/>
        </w:rPr>
        <w:t>avienības</w:t>
      </w:r>
      <w:r w:rsidR="00A53A92" w:rsidRPr="000117E5">
        <w:rPr>
          <w:sz w:val="26"/>
          <w:szCs w:val="26"/>
        </w:rPr>
        <w:t xml:space="preserve"> (turpmāk</w:t>
      </w:r>
      <w:r w:rsidR="000117E5" w:rsidRPr="000117E5">
        <w:rPr>
          <w:sz w:val="26"/>
          <w:szCs w:val="26"/>
        </w:rPr>
        <w:t> </w:t>
      </w:r>
      <w:r w:rsidR="00A53A92" w:rsidRPr="000117E5">
        <w:rPr>
          <w:sz w:val="26"/>
          <w:szCs w:val="26"/>
        </w:rPr>
        <w:t>–</w:t>
      </w:r>
      <w:r w:rsidR="000117E5" w:rsidRPr="000117E5">
        <w:rPr>
          <w:sz w:val="26"/>
          <w:szCs w:val="26"/>
        </w:rPr>
        <w:t> </w:t>
      </w:r>
      <w:r w:rsidR="00A53A92" w:rsidRPr="000117E5">
        <w:rPr>
          <w:sz w:val="26"/>
          <w:szCs w:val="26"/>
        </w:rPr>
        <w:t>ES)</w:t>
      </w:r>
      <w:r w:rsidR="00F81925" w:rsidRPr="000117E5">
        <w:rPr>
          <w:sz w:val="26"/>
          <w:szCs w:val="26"/>
        </w:rPr>
        <w:t xml:space="preserve"> Vides ministru</w:t>
      </w:r>
      <w:r w:rsidRPr="000117E5">
        <w:rPr>
          <w:sz w:val="26"/>
          <w:szCs w:val="26"/>
        </w:rPr>
        <w:t xml:space="preserve"> </w:t>
      </w:r>
      <w:r w:rsidR="0036388B" w:rsidRPr="000117E5">
        <w:rPr>
          <w:sz w:val="26"/>
          <w:szCs w:val="26"/>
        </w:rPr>
        <w:t>padome</w:t>
      </w:r>
      <w:r w:rsidR="000D3C0E" w:rsidRPr="000117E5">
        <w:rPr>
          <w:sz w:val="26"/>
          <w:szCs w:val="26"/>
        </w:rPr>
        <w:t>s sanāksme</w:t>
      </w:r>
      <w:r w:rsidRPr="000117E5">
        <w:rPr>
          <w:sz w:val="26"/>
          <w:szCs w:val="26"/>
        </w:rPr>
        <w:t xml:space="preserve"> </w:t>
      </w:r>
      <w:r w:rsidR="00A46922" w:rsidRPr="000117E5">
        <w:rPr>
          <w:sz w:val="26"/>
          <w:szCs w:val="26"/>
        </w:rPr>
        <w:t>Briselē</w:t>
      </w:r>
      <w:r w:rsidR="00151ADB" w:rsidRPr="000117E5">
        <w:rPr>
          <w:sz w:val="26"/>
          <w:szCs w:val="26"/>
        </w:rPr>
        <w:t xml:space="preserve">. Tajā </w:t>
      </w:r>
      <w:r w:rsidR="007C76DF" w:rsidRPr="000117E5">
        <w:rPr>
          <w:sz w:val="26"/>
          <w:szCs w:val="26"/>
        </w:rPr>
        <w:t>plānot</w:t>
      </w:r>
      <w:r w:rsidR="00FC7EA8" w:rsidRPr="000117E5">
        <w:rPr>
          <w:sz w:val="26"/>
          <w:szCs w:val="26"/>
        </w:rPr>
        <w:t>s</w:t>
      </w:r>
      <w:r w:rsidR="007C76DF" w:rsidRPr="000117E5">
        <w:rPr>
          <w:sz w:val="26"/>
          <w:szCs w:val="26"/>
        </w:rPr>
        <w:t xml:space="preserve"> </w:t>
      </w:r>
      <w:r w:rsidR="00A46922" w:rsidRPr="000117E5">
        <w:rPr>
          <w:sz w:val="26"/>
          <w:szCs w:val="26"/>
        </w:rPr>
        <w:t>panākt vispārējo vieno</w:t>
      </w:r>
      <w:r w:rsidR="00524AD3" w:rsidRPr="000117E5">
        <w:rPr>
          <w:sz w:val="26"/>
          <w:szCs w:val="26"/>
        </w:rPr>
        <w:t>šano</w:t>
      </w:r>
      <w:r w:rsidR="00E22BA6" w:rsidRPr="000117E5">
        <w:rPr>
          <w:sz w:val="26"/>
          <w:szCs w:val="26"/>
        </w:rPr>
        <w:t>s par</w:t>
      </w:r>
      <w:r w:rsidR="00A72B5A" w:rsidRPr="000117E5">
        <w:rPr>
          <w:sz w:val="26"/>
          <w:szCs w:val="26"/>
        </w:rPr>
        <w:t xml:space="preserve"> grozījumiem Direktīvā 2003/87/EK, lai sekmētu emisiju izmaksefektīvu samazināšanu</w:t>
      </w:r>
      <w:r w:rsidR="00A53A92" w:rsidRPr="000117E5">
        <w:rPr>
          <w:sz w:val="26"/>
          <w:szCs w:val="26"/>
        </w:rPr>
        <w:t xml:space="preserve">, kā arī </w:t>
      </w:r>
      <w:r w:rsidR="005C5CA5" w:rsidRPr="000117E5">
        <w:rPr>
          <w:sz w:val="26"/>
          <w:szCs w:val="26"/>
        </w:rPr>
        <w:t>plānot</w:t>
      </w:r>
      <w:r w:rsidR="00461A6A" w:rsidRPr="000117E5">
        <w:rPr>
          <w:sz w:val="26"/>
          <w:szCs w:val="26"/>
        </w:rPr>
        <w:t xml:space="preserve">a viedokļa apmaiņa par </w:t>
      </w:r>
      <w:r w:rsidR="006D0E90" w:rsidRPr="000117E5">
        <w:rPr>
          <w:sz w:val="26"/>
          <w:szCs w:val="26"/>
        </w:rPr>
        <w:t>Apvienoto Nāciju Organizācijas (tur</w:t>
      </w:r>
      <w:r w:rsidR="000117E5" w:rsidRPr="000117E5">
        <w:rPr>
          <w:sz w:val="26"/>
          <w:szCs w:val="26"/>
        </w:rPr>
        <w:t>pmāk – </w:t>
      </w:r>
      <w:r w:rsidR="00321EAA" w:rsidRPr="000117E5">
        <w:rPr>
          <w:sz w:val="26"/>
          <w:szCs w:val="26"/>
        </w:rPr>
        <w:t>ANO</w:t>
      </w:r>
      <w:r w:rsidR="006D0E90" w:rsidRPr="000117E5">
        <w:rPr>
          <w:sz w:val="26"/>
          <w:szCs w:val="26"/>
        </w:rPr>
        <w:t>)</w:t>
      </w:r>
      <w:r w:rsidR="00321EAA" w:rsidRPr="000117E5">
        <w:rPr>
          <w:sz w:val="26"/>
          <w:szCs w:val="26"/>
        </w:rPr>
        <w:t xml:space="preserve"> </w:t>
      </w:r>
      <w:r w:rsidR="00461A6A" w:rsidRPr="000117E5">
        <w:rPr>
          <w:sz w:val="26"/>
          <w:szCs w:val="26"/>
        </w:rPr>
        <w:t>Ilgtspējīgas attīstības programmas 2030. gadam īstenošanu</w:t>
      </w:r>
      <w:r w:rsidR="00996270" w:rsidRPr="000117E5">
        <w:rPr>
          <w:sz w:val="26"/>
          <w:szCs w:val="26"/>
        </w:rPr>
        <w:t xml:space="preserve">. </w:t>
      </w:r>
      <w:r w:rsidR="00B0160A" w:rsidRPr="000117E5">
        <w:rPr>
          <w:sz w:val="26"/>
          <w:szCs w:val="26"/>
        </w:rPr>
        <w:t>Sanāksmē</w:t>
      </w:r>
      <w:r w:rsidR="00996270" w:rsidRPr="000117E5">
        <w:rPr>
          <w:sz w:val="26"/>
          <w:szCs w:val="26"/>
        </w:rPr>
        <w:t xml:space="preserve"> vēl būs viedokļ</w:t>
      </w:r>
      <w:r w:rsidR="00321EAA" w:rsidRPr="000117E5">
        <w:rPr>
          <w:sz w:val="26"/>
          <w:szCs w:val="26"/>
        </w:rPr>
        <w:t>u</w:t>
      </w:r>
      <w:r w:rsidR="00996270" w:rsidRPr="000117E5">
        <w:rPr>
          <w:sz w:val="26"/>
          <w:szCs w:val="26"/>
        </w:rPr>
        <w:t xml:space="preserve"> apmaiņa par</w:t>
      </w:r>
      <w:r w:rsidR="00461A6A" w:rsidRPr="000117E5">
        <w:rPr>
          <w:sz w:val="26"/>
          <w:szCs w:val="26"/>
        </w:rPr>
        <w:t xml:space="preserve"> Eiropas semestra zaļināšanu un </w:t>
      </w:r>
      <w:r w:rsidR="00AD450F" w:rsidRPr="000117E5">
        <w:rPr>
          <w:sz w:val="26"/>
          <w:szCs w:val="26"/>
        </w:rPr>
        <w:t xml:space="preserve">ES </w:t>
      </w:r>
      <w:r w:rsidR="00461A6A" w:rsidRPr="000117E5">
        <w:rPr>
          <w:sz w:val="26"/>
          <w:szCs w:val="26"/>
        </w:rPr>
        <w:t>vides politikas īstenošanas pārskatu.</w:t>
      </w:r>
      <w:r w:rsidR="00A53A92" w:rsidRPr="000117E5">
        <w:rPr>
          <w:sz w:val="26"/>
          <w:szCs w:val="26"/>
        </w:rPr>
        <w:t xml:space="preserve"> </w:t>
      </w:r>
    </w:p>
    <w:p w14:paraId="080B486A" w14:textId="77777777" w:rsidR="0071379A" w:rsidRPr="000117E5" w:rsidRDefault="0071379A" w:rsidP="000117E5">
      <w:pPr>
        <w:ind w:firstLine="360"/>
        <w:jc w:val="both"/>
        <w:rPr>
          <w:color w:val="000000"/>
          <w:sz w:val="26"/>
          <w:szCs w:val="26"/>
        </w:rPr>
      </w:pPr>
    </w:p>
    <w:p w14:paraId="33E5CE3E" w14:textId="5FE471D3" w:rsidR="007C76DF" w:rsidRPr="000117E5" w:rsidRDefault="00A35DD2" w:rsidP="000117E5">
      <w:pPr>
        <w:pStyle w:val="PointManual"/>
        <w:shd w:val="clear" w:color="auto" w:fill="A6A6A6" w:themeFill="background1" w:themeFillShade="A6"/>
        <w:spacing w:before="0"/>
        <w:ind w:left="284" w:hanging="284"/>
        <w:jc w:val="both"/>
        <w:rPr>
          <w:b/>
          <w:sz w:val="26"/>
          <w:szCs w:val="26"/>
        </w:rPr>
      </w:pPr>
      <w:r w:rsidRPr="000117E5">
        <w:rPr>
          <w:b/>
          <w:sz w:val="26"/>
          <w:szCs w:val="26"/>
        </w:rPr>
        <w:t>1. </w:t>
      </w:r>
      <w:r w:rsidR="00A46922" w:rsidRPr="000117E5">
        <w:rPr>
          <w:b/>
          <w:sz w:val="26"/>
          <w:szCs w:val="26"/>
        </w:rPr>
        <w:t>Priekšlikums</w:t>
      </w:r>
      <w:r w:rsidR="00321EAA" w:rsidRPr="000117E5">
        <w:rPr>
          <w:b/>
          <w:sz w:val="26"/>
          <w:szCs w:val="26"/>
        </w:rPr>
        <w:t> </w:t>
      </w:r>
      <w:r w:rsidR="00A46922" w:rsidRPr="000117E5">
        <w:rPr>
          <w:b/>
          <w:sz w:val="26"/>
          <w:szCs w:val="26"/>
        </w:rPr>
        <w:t>–</w:t>
      </w:r>
      <w:r w:rsidR="00321EAA" w:rsidRPr="000117E5">
        <w:rPr>
          <w:b/>
          <w:sz w:val="26"/>
          <w:szCs w:val="26"/>
        </w:rPr>
        <w:t> </w:t>
      </w:r>
      <w:r w:rsidR="00A46922" w:rsidRPr="000117E5">
        <w:rPr>
          <w:b/>
          <w:sz w:val="26"/>
          <w:szCs w:val="26"/>
        </w:rPr>
        <w:t>Eiropas Parlamenta un Padomes Direktīva, ar ko groza Direktīvu</w:t>
      </w:r>
      <w:r w:rsidR="00321EAA" w:rsidRPr="000117E5">
        <w:rPr>
          <w:b/>
          <w:sz w:val="26"/>
          <w:szCs w:val="26"/>
        </w:rPr>
        <w:t> </w:t>
      </w:r>
      <w:r w:rsidR="00A46922" w:rsidRPr="000117E5">
        <w:rPr>
          <w:b/>
          <w:sz w:val="26"/>
          <w:szCs w:val="26"/>
        </w:rPr>
        <w:t>2003/87/EK, lai sekmētu emisiju izmaksefektīvu samazināšanu un investīcijas mazoglekļa risinājumos</w:t>
      </w:r>
      <w:r w:rsidR="000117E5" w:rsidRPr="000117E5">
        <w:rPr>
          <w:b/>
          <w:sz w:val="26"/>
          <w:szCs w:val="26"/>
        </w:rPr>
        <w:t> </w:t>
      </w:r>
      <w:r w:rsidR="000117E5" w:rsidRPr="000117E5">
        <w:rPr>
          <w:b/>
          <w:sz w:val="26"/>
          <w:szCs w:val="26"/>
        </w:rPr>
        <w:noBreakHyphen/>
        <w:t> </w:t>
      </w:r>
      <w:r w:rsidR="00431207" w:rsidRPr="000117E5">
        <w:rPr>
          <w:sz w:val="26"/>
          <w:szCs w:val="26"/>
        </w:rPr>
        <w:t>vispārējā pieeja</w:t>
      </w:r>
    </w:p>
    <w:p w14:paraId="6A971CA5" w14:textId="6732C794" w:rsidR="00DB60C8" w:rsidRPr="000117E5" w:rsidRDefault="00DB60C8" w:rsidP="000117E5">
      <w:pPr>
        <w:pStyle w:val="BodyText2"/>
        <w:widowControl w:val="0"/>
        <w:spacing w:after="0" w:line="240" w:lineRule="auto"/>
        <w:ind w:firstLine="720"/>
        <w:jc w:val="both"/>
        <w:rPr>
          <w:sz w:val="26"/>
          <w:szCs w:val="26"/>
        </w:rPr>
      </w:pPr>
      <w:r w:rsidRPr="000117E5">
        <w:rPr>
          <w:sz w:val="26"/>
          <w:szCs w:val="26"/>
        </w:rPr>
        <w:t>Eiropadome 2014. gada 24. oktobrī pieņēma secinājumus „</w:t>
      </w:r>
      <w:r w:rsidRPr="000117E5">
        <w:rPr>
          <w:i/>
          <w:sz w:val="26"/>
          <w:szCs w:val="26"/>
        </w:rPr>
        <w:t>Par klimata un enerģētikas politikas satvaru laikposmam no 2020. gada līdz 2030. gadam</w:t>
      </w:r>
      <w:r w:rsidR="000117E5" w:rsidRPr="000117E5">
        <w:rPr>
          <w:sz w:val="26"/>
          <w:szCs w:val="26"/>
        </w:rPr>
        <w:t>” (turpmāk – </w:t>
      </w:r>
      <w:r w:rsidRPr="000117E5">
        <w:rPr>
          <w:sz w:val="26"/>
          <w:szCs w:val="26"/>
        </w:rPr>
        <w:t>Eiropadomes secinājumi) un tādējādi noteica nosacījumus Klimata un enerģētikas politikas satvara laika posmam līdz 2030. gadam mērķu īstenošanai. Tie paredz, ka ES Emisijas kvotu</w:t>
      </w:r>
      <w:r w:rsidR="000117E5" w:rsidRPr="000117E5">
        <w:rPr>
          <w:sz w:val="26"/>
          <w:szCs w:val="26"/>
        </w:rPr>
        <w:t xml:space="preserve"> tirdzniecības sistēma (turpmāk – </w:t>
      </w:r>
      <w:r w:rsidRPr="000117E5">
        <w:rPr>
          <w:sz w:val="26"/>
          <w:szCs w:val="26"/>
        </w:rPr>
        <w:t xml:space="preserve">ES ETS), kas tika izveidota ar </w:t>
      </w:r>
      <w:r w:rsidRPr="000117E5">
        <w:rPr>
          <w:i/>
          <w:sz w:val="26"/>
          <w:szCs w:val="26"/>
        </w:rPr>
        <w:t>Eiropas Parlamenta un Padomes 2003. gada 13. oktobra Direktīvu Nr. 2003/87/EK, ar kuru nosaka sistēmu siltumnīcas efektu izraisošo gāzu emisijas kvotu tirdzniecībai Kopienā un groza Padomes Direktīvu 96/61/EK</w:t>
      </w:r>
      <w:r w:rsidR="000117E5" w:rsidRPr="000117E5">
        <w:rPr>
          <w:sz w:val="26"/>
          <w:szCs w:val="26"/>
        </w:rPr>
        <w:t xml:space="preserve"> (turpmāk – </w:t>
      </w:r>
      <w:r w:rsidRPr="000117E5">
        <w:rPr>
          <w:sz w:val="26"/>
          <w:szCs w:val="26"/>
        </w:rPr>
        <w:t>ETS direktīva), ir jāreformē un ir jānodrošina laba un efektīva ES ETS darbība.</w:t>
      </w:r>
    </w:p>
    <w:p w14:paraId="4232D37D" w14:textId="5A219047" w:rsidR="00DB60C8" w:rsidRPr="000117E5" w:rsidRDefault="00B0160A" w:rsidP="000117E5">
      <w:pPr>
        <w:pStyle w:val="BodyText2"/>
        <w:widowControl w:val="0"/>
        <w:spacing w:after="0" w:line="240" w:lineRule="auto"/>
        <w:ind w:firstLine="720"/>
        <w:jc w:val="both"/>
        <w:rPr>
          <w:sz w:val="26"/>
          <w:szCs w:val="26"/>
        </w:rPr>
      </w:pPr>
      <w:r w:rsidRPr="000117E5">
        <w:rPr>
          <w:sz w:val="26"/>
          <w:szCs w:val="26"/>
        </w:rPr>
        <w:t>Eiropas Komisija (turpmāk</w:t>
      </w:r>
      <w:r w:rsidR="000117E5" w:rsidRPr="000117E5">
        <w:rPr>
          <w:sz w:val="26"/>
          <w:szCs w:val="26"/>
        </w:rPr>
        <w:t> – </w:t>
      </w:r>
      <w:r w:rsidRPr="000117E5">
        <w:rPr>
          <w:sz w:val="26"/>
          <w:szCs w:val="26"/>
        </w:rPr>
        <w:t xml:space="preserve">EK) </w:t>
      </w:r>
      <w:r w:rsidR="00DB60C8" w:rsidRPr="000117E5">
        <w:rPr>
          <w:sz w:val="26"/>
          <w:szCs w:val="26"/>
        </w:rPr>
        <w:t>2015. gada 15. jūlijā Enerģētikas Vasaras pakotnes</w:t>
      </w:r>
      <w:r w:rsidR="00DB60C8" w:rsidRPr="000117E5">
        <w:rPr>
          <w:rStyle w:val="FootnoteReference"/>
          <w:sz w:val="26"/>
          <w:szCs w:val="26"/>
        </w:rPr>
        <w:footnoteReference w:id="1"/>
      </w:r>
      <w:r w:rsidR="00DB60C8" w:rsidRPr="000117E5">
        <w:rPr>
          <w:sz w:val="26"/>
          <w:szCs w:val="26"/>
        </w:rPr>
        <w:t xml:space="preserve"> ietvaros publicēja </w:t>
      </w:r>
      <w:r w:rsidR="00DB60C8" w:rsidRPr="000117E5">
        <w:rPr>
          <w:i/>
          <w:sz w:val="26"/>
          <w:szCs w:val="26"/>
        </w:rPr>
        <w:t>Eiropas Parlamenta un Padomes direktīvas projektu, ar ko groza ETS direktīvu, lai sekmētu emisiju izmaksefektīvu samazināšanu un investīcijas mazoglekļa risinājumos</w:t>
      </w:r>
      <w:r w:rsidR="00DB60C8" w:rsidRPr="000117E5">
        <w:rPr>
          <w:sz w:val="26"/>
          <w:szCs w:val="26"/>
        </w:rPr>
        <w:t xml:space="preserve"> (turpmāk</w:t>
      </w:r>
      <w:r w:rsidR="000117E5" w:rsidRPr="000117E5">
        <w:rPr>
          <w:sz w:val="26"/>
          <w:szCs w:val="26"/>
        </w:rPr>
        <w:t> – </w:t>
      </w:r>
      <w:r w:rsidR="00DB60C8" w:rsidRPr="000117E5">
        <w:rPr>
          <w:sz w:val="26"/>
          <w:szCs w:val="26"/>
        </w:rPr>
        <w:t>Direktīvas projekts). Direktīvas projekts tika sagatavots, ņemot vērā Eiropadomes secinājumos noteiktos principus attiecībā uz ES ETS darbību:</w:t>
      </w:r>
    </w:p>
    <w:p w14:paraId="32E82B51" w14:textId="58E3860C" w:rsidR="00DB60C8" w:rsidRPr="000117E5" w:rsidRDefault="00DB60C8" w:rsidP="000117E5">
      <w:pPr>
        <w:pStyle w:val="BodyText2"/>
        <w:widowControl w:val="0"/>
        <w:numPr>
          <w:ilvl w:val="0"/>
          <w:numId w:val="6"/>
        </w:numPr>
        <w:spacing w:after="0" w:line="240" w:lineRule="auto"/>
        <w:ind w:left="284" w:hanging="284"/>
        <w:jc w:val="both"/>
        <w:rPr>
          <w:b/>
          <w:sz w:val="26"/>
          <w:szCs w:val="26"/>
        </w:rPr>
      </w:pPr>
      <w:r w:rsidRPr="000117E5">
        <w:rPr>
          <w:sz w:val="26"/>
          <w:szCs w:val="26"/>
        </w:rPr>
        <w:t>emisijas kvotu kopapjoma noteikšana, piemērojot Eiropadomes secinājumos noteikto ikgadējo koeficientu maksimālo pieļaujamo emis</w:t>
      </w:r>
      <w:r w:rsidR="000117E5" w:rsidRPr="000117E5">
        <w:rPr>
          <w:sz w:val="26"/>
          <w:szCs w:val="26"/>
        </w:rPr>
        <w:t>iju robežvērtības samazināšanai – </w:t>
      </w:r>
      <w:r w:rsidRPr="000117E5">
        <w:rPr>
          <w:sz w:val="26"/>
          <w:szCs w:val="26"/>
        </w:rPr>
        <w:t>no 1,74 % uz 2,2 %;</w:t>
      </w:r>
    </w:p>
    <w:p w14:paraId="0FD29227" w14:textId="77777777" w:rsidR="00DB60C8" w:rsidRPr="000117E5" w:rsidRDefault="00DB60C8" w:rsidP="000117E5">
      <w:pPr>
        <w:pStyle w:val="BodyText2"/>
        <w:widowControl w:val="0"/>
        <w:numPr>
          <w:ilvl w:val="0"/>
          <w:numId w:val="6"/>
        </w:numPr>
        <w:spacing w:after="0" w:line="240" w:lineRule="auto"/>
        <w:ind w:left="284" w:hanging="284"/>
        <w:jc w:val="both"/>
        <w:rPr>
          <w:b/>
          <w:sz w:val="26"/>
          <w:szCs w:val="26"/>
        </w:rPr>
      </w:pPr>
      <w:r w:rsidRPr="000117E5">
        <w:rPr>
          <w:sz w:val="26"/>
          <w:szCs w:val="26"/>
        </w:rPr>
        <w:t>emisijas kvotu izsolīšanas apjoma, bezmaksas emisijas kvotu piešķīruma, jauno iekārtu rezerves apjoma noteikšana, kā arī to emisijas kvotu apjoma noteikšana, kas ir nepieciešama ES ETS ietvaros izveidoto fondu finansēšanai;</w:t>
      </w:r>
    </w:p>
    <w:p w14:paraId="1C3D9FD6" w14:textId="77777777" w:rsidR="00DB60C8" w:rsidRPr="000117E5" w:rsidRDefault="00DB60C8" w:rsidP="000117E5">
      <w:pPr>
        <w:pStyle w:val="BodyText2"/>
        <w:widowControl w:val="0"/>
        <w:numPr>
          <w:ilvl w:val="0"/>
          <w:numId w:val="6"/>
        </w:numPr>
        <w:spacing w:after="0" w:line="240" w:lineRule="auto"/>
        <w:ind w:left="284" w:hanging="284"/>
        <w:jc w:val="both"/>
        <w:rPr>
          <w:b/>
          <w:sz w:val="26"/>
          <w:szCs w:val="26"/>
        </w:rPr>
      </w:pPr>
      <w:r w:rsidRPr="000117E5">
        <w:rPr>
          <w:sz w:val="26"/>
          <w:szCs w:val="26"/>
        </w:rPr>
        <w:t>bezmaksas emisijas kvotu piešķiršanas turpināšana gan oglekļa dioksīda pārvirzes riskam pakļauto nozaru uzņēmumiem, gan pārējiem ES ETS operatoriem, kā arī bezmaksas emisijas kvotu piešķiršanas iespējas saglabāšana noteiktu dalībvalstu elektroenerģijas ražotājiem.</w:t>
      </w:r>
    </w:p>
    <w:p w14:paraId="03299B07" w14:textId="77777777" w:rsidR="00DB60C8" w:rsidRPr="000117E5" w:rsidRDefault="00DB60C8" w:rsidP="000117E5">
      <w:pPr>
        <w:pStyle w:val="BodyText2"/>
        <w:widowControl w:val="0"/>
        <w:spacing w:after="0" w:line="240" w:lineRule="auto"/>
        <w:jc w:val="both"/>
        <w:rPr>
          <w:b/>
          <w:sz w:val="26"/>
          <w:szCs w:val="26"/>
        </w:rPr>
      </w:pPr>
      <w:r w:rsidRPr="000117E5">
        <w:rPr>
          <w:sz w:val="26"/>
          <w:szCs w:val="26"/>
        </w:rPr>
        <w:t>Direktīvas projektā ir iekļauti jauni nosacījumi attiecībā uz ES ETS ietvaros izveidojamajiem finansēšanas mehānismiem, t.sk. Inovāciju fondu, ar ko tiek turpināts šobrīd esošais NER300 fonds un Modernizācijas fondu.</w:t>
      </w:r>
    </w:p>
    <w:p w14:paraId="7807A527" w14:textId="77777777" w:rsidR="006D0E90" w:rsidRPr="000117E5" w:rsidRDefault="00DB60C8" w:rsidP="000117E5">
      <w:pPr>
        <w:widowControl w:val="0"/>
        <w:ind w:firstLine="720"/>
        <w:jc w:val="both"/>
        <w:rPr>
          <w:sz w:val="26"/>
          <w:szCs w:val="26"/>
        </w:rPr>
      </w:pPr>
      <w:r w:rsidRPr="000117E5">
        <w:rPr>
          <w:sz w:val="26"/>
          <w:szCs w:val="26"/>
        </w:rPr>
        <w:t xml:space="preserve">Diskusijas par Direktīvas projektu ir notikušas ES Padomes vides darba grupās </w:t>
      </w:r>
      <w:r w:rsidRPr="000117E5">
        <w:rPr>
          <w:sz w:val="26"/>
          <w:szCs w:val="26"/>
        </w:rPr>
        <w:lastRenderedPageBreak/>
        <w:t>Luksemburgas, Nīderlandes, Slovākijas un Maltas prezidentūru laikā. Ministru politiskās debates par šo jautājumu notika ES Vides padom</w:t>
      </w:r>
      <w:r w:rsidR="00B0160A" w:rsidRPr="000117E5">
        <w:rPr>
          <w:sz w:val="26"/>
          <w:szCs w:val="26"/>
        </w:rPr>
        <w:t>es</w:t>
      </w:r>
      <w:r w:rsidRPr="000117E5">
        <w:rPr>
          <w:sz w:val="26"/>
          <w:szCs w:val="26"/>
        </w:rPr>
        <w:t xml:space="preserve"> 2015. gada oktobr</w:t>
      </w:r>
      <w:r w:rsidR="00B0160A" w:rsidRPr="000117E5">
        <w:rPr>
          <w:sz w:val="26"/>
          <w:szCs w:val="26"/>
        </w:rPr>
        <w:t>a</w:t>
      </w:r>
      <w:r w:rsidR="000661F7" w:rsidRPr="000117E5">
        <w:rPr>
          <w:sz w:val="26"/>
          <w:szCs w:val="26"/>
        </w:rPr>
        <w:t xml:space="preserve"> un</w:t>
      </w:r>
      <w:r w:rsidRPr="000117E5">
        <w:rPr>
          <w:sz w:val="26"/>
          <w:szCs w:val="26"/>
        </w:rPr>
        <w:t xml:space="preserve"> 2016. gada jūnij</w:t>
      </w:r>
      <w:r w:rsidR="00B0160A" w:rsidRPr="000117E5">
        <w:rPr>
          <w:sz w:val="26"/>
          <w:szCs w:val="26"/>
        </w:rPr>
        <w:t>a sanāksmē</w:t>
      </w:r>
      <w:r w:rsidRPr="000117E5">
        <w:rPr>
          <w:sz w:val="26"/>
          <w:szCs w:val="26"/>
        </w:rPr>
        <w:t xml:space="preserve">. </w:t>
      </w:r>
      <w:r w:rsidR="00B0160A" w:rsidRPr="000117E5">
        <w:rPr>
          <w:sz w:val="26"/>
          <w:szCs w:val="26"/>
        </w:rPr>
        <w:t>ES Vides padomes</w:t>
      </w:r>
      <w:r w:rsidR="006D0E90" w:rsidRPr="000117E5">
        <w:rPr>
          <w:sz w:val="26"/>
          <w:szCs w:val="26"/>
        </w:rPr>
        <w:t xml:space="preserve"> </w:t>
      </w:r>
      <w:r w:rsidRPr="000117E5">
        <w:rPr>
          <w:sz w:val="26"/>
          <w:szCs w:val="26"/>
        </w:rPr>
        <w:t>2016.</w:t>
      </w:r>
      <w:r w:rsidR="00B0160A" w:rsidRPr="000117E5">
        <w:rPr>
          <w:sz w:val="26"/>
          <w:szCs w:val="26"/>
        </w:rPr>
        <w:t> </w:t>
      </w:r>
      <w:r w:rsidRPr="000117E5">
        <w:rPr>
          <w:sz w:val="26"/>
          <w:szCs w:val="26"/>
        </w:rPr>
        <w:t xml:space="preserve">gada decembra </w:t>
      </w:r>
      <w:r w:rsidR="00B0160A" w:rsidRPr="000117E5">
        <w:rPr>
          <w:sz w:val="26"/>
          <w:szCs w:val="26"/>
        </w:rPr>
        <w:t xml:space="preserve">sanāksmē </w:t>
      </w:r>
      <w:r w:rsidRPr="000117E5">
        <w:rPr>
          <w:sz w:val="26"/>
          <w:szCs w:val="26"/>
        </w:rPr>
        <w:t xml:space="preserve">Slovākijas prezidentūra sniedza informāciju par panākto progresu. Maltas prezidentūra vairāku padomes darba grupu un bilateriālo sarunu laikā ir panākusi progresu par svarīgākajiem šobrīd neatrisinātajiem jautājumiem, t.sk., starpsektora samazinājuma koeficienta mazināšana, ES ETS stiprināšana, zema oglekļa finansēšanas mehānismi. </w:t>
      </w:r>
      <w:r w:rsidR="000661F7" w:rsidRPr="000117E5">
        <w:rPr>
          <w:sz w:val="26"/>
          <w:szCs w:val="26"/>
        </w:rPr>
        <w:t xml:space="preserve">Šā gada </w:t>
      </w:r>
      <w:r w:rsidRPr="000117E5">
        <w:rPr>
          <w:sz w:val="26"/>
          <w:szCs w:val="26"/>
        </w:rPr>
        <w:t>15.</w:t>
      </w:r>
      <w:r w:rsidR="00EF46F1" w:rsidRPr="000117E5">
        <w:rPr>
          <w:sz w:val="26"/>
          <w:szCs w:val="26"/>
        </w:rPr>
        <w:t> </w:t>
      </w:r>
      <w:r w:rsidRPr="000117E5">
        <w:rPr>
          <w:sz w:val="26"/>
          <w:szCs w:val="26"/>
        </w:rPr>
        <w:t xml:space="preserve">februāra COREPER I sanāksmē skatīti atvērtie jautājumi un līdz </w:t>
      </w:r>
      <w:r w:rsidR="00D50CF0" w:rsidRPr="000117E5">
        <w:rPr>
          <w:sz w:val="26"/>
          <w:szCs w:val="26"/>
        </w:rPr>
        <w:t xml:space="preserve">šā gada </w:t>
      </w:r>
      <w:r w:rsidR="000661F7" w:rsidRPr="000117E5">
        <w:rPr>
          <w:sz w:val="26"/>
          <w:szCs w:val="26"/>
        </w:rPr>
        <w:t>17.</w:t>
      </w:r>
      <w:r w:rsidR="00EF46F1" w:rsidRPr="000117E5">
        <w:rPr>
          <w:sz w:val="26"/>
          <w:szCs w:val="26"/>
        </w:rPr>
        <w:t> </w:t>
      </w:r>
      <w:r w:rsidR="000661F7" w:rsidRPr="000117E5">
        <w:rPr>
          <w:sz w:val="26"/>
          <w:szCs w:val="26"/>
        </w:rPr>
        <w:t>februārim</w:t>
      </w:r>
      <w:r w:rsidRPr="000117E5">
        <w:rPr>
          <w:sz w:val="26"/>
          <w:szCs w:val="26"/>
        </w:rPr>
        <w:t xml:space="preserve"> tiks izplatīts jauns kompromisa teksta priekšlikums. </w:t>
      </w:r>
      <w:r w:rsidR="00EF46F1" w:rsidRPr="000117E5">
        <w:rPr>
          <w:sz w:val="26"/>
          <w:szCs w:val="26"/>
        </w:rPr>
        <w:t xml:space="preserve">ES Vides ministru padomes šā gada </w:t>
      </w:r>
      <w:r w:rsidRPr="000117E5">
        <w:rPr>
          <w:sz w:val="26"/>
          <w:szCs w:val="26"/>
        </w:rPr>
        <w:t>28. februāra</w:t>
      </w:r>
      <w:r w:rsidR="00EF46F1" w:rsidRPr="000117E5">
        <w:rPr>
          <w:sz w:val="26"/>
          <w:szCs w:val="26"/>
        </w:rPr>
        <w:t xml:space="preserve"> </w:t>
      </w:r>
      <w:r w:rsidRPr="000117E5">
        <w:rPr>
          <w:sz w:val="26"/>
          <w:szCs w:val="26"/>
        </w:rPr>
        <w:t xml:space="preserve">sanāksmē Maltas prezidentūra vēlas panākt dalībvalstu vienošanos par Padomes vispārējo pieeju. Joprojām atvērti diskusijām ir vairāki gan tehniski, gan politiski jautājumi, par kuriem nepieciešama diskusija politiskā līmenī. </w:t>
      </w:r>
    </w:p>
    <w:p w14:paraId="6E2D1D8D" w14:textId="6C1001DA" w:rsidR="00DB60C8" w:rsidRPr="000117E5" w:rsidRDefault="006D0E90" w:rsidP="000117E5">
      <w:pPr>
        <w:widowControl w:val="0"/>
        <w:ind w:firstLine="720"/>
        <w:jc w:val="both"/>
        <w:rPr>
          <w:sz w:val="26"/>
          <w:szCs w:val="26"/>
        </w:rPr>
      </w:pPr>
      <w:r w:rsidRPr="000117E5">
        <w:rPr>
          <w:sz w:val="26"/>
          <w:szCs w:val="26"/>
        </w:rPr>
        <w:t>Eiropas Parlaments šā gada 15. februārī apstiprināja savu viedokli par grozījumiem. Eiropas Parlamenta pieņemtie grozījumi ir mazāk ambiciozi kā Parlamenta ENVI komitejas sākotnējais ziņojums. Galvenie elementi, kas tika pieņemti: 2,2 % ikgadējais lineārais samazinājuma koeficients atbalstot Eiropas Komisijas priekšlikumu, ambiocizāka tirgus stabilititātes rezerve</w:t>
      </w:r>
      <w:r w:rsidR="000117E5" w:rsidRPr="000117E5">
        <w:rPr>
          <w:sz w:val="26"/>
          <w:szCs w:val="26"/>
        </w:rPr>
        <w:t> – </w:t>
      </w:r>
      <w:r w:rsidRPr="000117E5">
        <w:rPr>
          <w:sz w:val="26"/>
          <w:szCs w:val="26"/>
        </w:rPr>
        <w:t>tirgus stabilitātes rezerves ievietojamo kvotu apjoms tiktu dubultots, kā arī 800 miljoni emisijas kvotu tiktu dzēstas, attiecībā uz modernizācijas fondu Eiropas Parlaments nobalsoja par Grieķijas iekļaušanu fonda saņēmējvalstu pulkā. Eiropas Parlaments deva mandātu uzsākt neformālās trialoga sarunas.</w:t>
      </w:r>
    </w:p>
    <w:p w14:paraId="2B9A7265" w14:textId="77777777" w:rsidR="000117E5" w:rsidRPr="000117E5" w:rsidRDefault="000117E5" w:rsidP="000117E5">
      <w:pPr>
        <w:widowControl w:val="0"/>
        <w:ind w:firstLine="720"/>
        <w:jc w:val="both"/>
        <w:rPr>
          <w:sz w:val="26"/>
          <w:szCs w:val="26"/>
        </w:rPr>
      </w:pPr>
    </w:p>
    <w:p w14:paraId="53D3AB67" w14:textId="77777777" w:rsidR="00DB60C8" w:rsidRPr="000117E5" w:rsidRDefault="00DB60C8" w:rsidP="000117E5">
      <w:pPr>
        <w:widowControl w:val="0"/>
        <w:jc w:val="both"/>
        <w:rPr>
          <w:b/>
          <w:sz w:val="26"/>
          <w:szCs w:val="26"/>
          <w:u w:val="single"/>
        </w:rPr>
      </w:pPr>
      <w:r w:rsidRPr="000117E5">
        <w:rPr>
          <w:b/>
          <w:sz w:val="26"/>
          <w:szCs w:val="26"/>
          <w:u w:val="single"/>
        </w:rPr>
        <w:t>Latvijas viedoklis</w:t>
      </w:r>
    </w:p>
    <w:p w14:paraId="7A635EAA" w14:textId="28469B1E" w:rsidR="00DB60C8" w:rsidRPr="000117E5" w:rsidRDefault="00DB60C8" w:rsidP="000117E5">
      <w:pPr>
        <w:pStyle w:val="ListParagraph"/>
        <w:suppressAutoHyphens/>
        <w:autoSpaceDN w:val="0"/>
        <w:ind w:left="0" w:firstLine="709"/>
        <w:contextualSpacing w:val="0"/>
        <w:jc w:val="both"/>
        <w:textAlignment w:val="baseline"/>
        <w:rPr>
          <w:sz w:val="26"/>
          <w:szCs w:val="26"/>
        </w:rPr>
      </w:pPr>
      <w:r w:rsidRPr="000117E5">
        <w:rPr>
          <w:sz w:val="26"/>
          <w:szCs w:val="26"/>
        </w:rPr>
        <w:t>ES ETS ir viens no svarīgākajiem instrumentiem ES klimata politikā. Direktīvas projektā iekļautie nosacījumi ir pietiekami efektīvi, lai ES ETS sektorā veicinātu iniciatīvas investīcijām oglekļa mazietilpīgā ekonomikā. Turklāt, ņemot vērā ES ETS tirgus stabilitātes mehānisma darbības uzsākšanu no 2019. gada 1. janvāra, emisijas kvotu tirgū pieejamais emisijas kvotu pārpalikums nākotnē pakāpeniski samazināsies</w:t>
      </w:r>
      <w:r w:rsidRPr="000117E5">
        <w:rPr>
          <w:rStyle w:val="FootnoteReference"/>
          <w:sz w:val="26"/>
          <w:szCs w:val="26"/>
        </w:rPr>
        <w:footnoteReference w:id="2"/>
      </w:r>
      <w:r w:rsidRPr="000117E5">
        <w:rPr>
          <w:sz w:val="26"/>
          <w:szCs w:val="26"/>
        </w:rPr>
        <w:t xml:space="preserve">. Tādējādi prognozējams emisijas kvotu cenu pieaugums, kas stimulēs operatorus investēt </w:t>
      </w:r>
      <w:r w:rsidR="000661F7" w:rsidRPr="000117E5">
        <w:rPr>
          <w:sz w:val="26"/>
          <w:szCs w:val="26"/>
        </w:rPr>
        <w:t>siltumnīcefekta gāzu (turpmāk</w:t>
      </w:r>
      <w:r w:rsidR="000117E5" w:rsidRPr="000117E5">
        <w:rPr>
          <w:sz w:val="26"/>
          <w:szCs w:val="26"/>
        </w:rPr>
        <w:t> – </w:t>
      </w:r>
      <w:r w:rsidR="000661F7" w:rsidRPr="000117E5">
        <w:rPr>
          <w:sz w:val="26"/>
          <w:szCs w:val="26"/>
        </w:rPr>
        <w:t xml:space="preserve">SEG) </w:t>
      </w:r>
      <w:r w:rsidRPr="000117E5">
        <w:rPr>
          <w:sz w:val="26"/>
          <w:szCs w:val="26"/>
        </w:rPr>
        <w:t xml:space="preserve">emisiju samazināšanas pasākumos. </w:t>
      </w:r>
    </w:p>
    <w:p w14:paraId="51338E34" w14:textId="64BE5864" w:rsidR="00DB60C8" w:rsidRPr="000117E5" w:rsidRDefault="00DB60C8" w:rsidP="000117E5">
      <w:pPr>
        <w:pStyle w:val="ListParagraph"/>
        <w:suppressAutoHyphens/>
        <w:autoSpaceDN w:val="0"/>
        <w:ind w:left="0" w:firstLine="709"/>
        <w:contextualSpacing w:val="0"/>
        <w:jc w:val="both"/>
        <w:textAlignment w:val="baseline"/>
        <w:rPr>
          <w:sz w:val="26"/>
          <w:szCs w:val="26"/>
        </w:rPr>
      </w:pPr>
      <w:r w:rsidRPr="000117E5">
        <w:rPr>
          <w:sz w:val="26"/>
          <w:szCs w:val="26"/>
        </w:rPr>
        <w:t>ES ETS Latvijā ir efektīvi nodrošinājusi SEG emisiju samazināšanu. No 2005. gada līdz 2014. gadam ES ETS sektora īpatsvars kopējā valsts SEG emisiju apjomā ir samazinājies par 4,31 %. ES ETS operatori laika posmā no ES ETS 3. perioda sākuma (2013.</w:t>
      </w:r>
      <w:r w:rsidR="000117E5" w:rsidRPr="000117E5">
        <w:rPr>
          <w:sz w:val="26"/>
          <w:szCs w:val="26"/>
        </w:rPr>
        <w:t> – </w:t>
      </w:r>
      <w:r w:rsidRPr="000117E5">
        <w:rPr>
          <w:sz w:val="26"/>
          <w:szCs w:val="26"/>
        </w:rPr>
        <w:t>2015. gadā) ir samazinājuši savas SEG emisijas par 12,73 %. ES ETS operatori aktīvi veic pāreju no fosilo kurināmo izmantošanas uz ilgtspējīgas biomasas izmantošanu. Jau aptuveni 22 % no ES ETS operatoru iekārtās saražotās enerģijas tiek saražoti, izmantojot biomasu. Kopš 2005. gada ilgtspējīgās biomasas izmantošana Latvijā ES ETS ietvaros ir pieaugusi 4 reizes (no 2</w:t>
      </w:r>
      <w:r w:rsidR="000661F7" w:rsidRPr="000117E5">
        <w:rPr>
          <w:sz w:val="26"/>
          <w:szCs w:val="26"/>
        </w:rPr>
        <w:t> </w:t>
      </w:r>
      <w:r w:rsidRPr="000117E5">
        <w:rPr>
          <w:sz w:val="26"/>
          <w:szCs w:val="26"/>
        </w:rPr>
        <w:t>191 TJ 2005. gadā līdz 8 655 TJ 2014. gadā).</w:t>
      </w:r>
    </w:p>
    <w:p w14:paraId="41E330D7" w14:textId="551F8B67" w:rsidR="00DB60C8" w:rsidRPr="000117E5" w:rsidRDefault="00DB60C8" w:rsidP="000117E5">
      <w:pPr>
        <w:ind w:firstLine="709"/>
        <w:jc w:val="both"/>
        <w:rPr>
          <w:sz w:val="26"/>
          <w:szCs w:val="26"/>
        </w:rPr>
      </w:pPr>
      <w:r w:rsidRPr="000117E5">
        <w:rPr>
          <w:sz w:val="26"/>
          <w:szCs w:val="26"/>
        </w:rPr>
        <w:t>Detalizēt</w:t>
      </w:r>
      <w:r w:rsidR="00EF46F1" w:rsidRPr="000117E5">
        <w:rPr>
          <w:sz w:val="26"/>
          <w:szCs w:val="26"/>
        </w:rPr>
        <w:t>a</w:t>
      </w:r>
      <w:r w:rsidRPr="000117E5">
        <w:rPr>
          <w:sz w:val="26"/>
          <w:szCs w:val="26"/>
        </w:rPr>
        <w:t xml:space="preserve"> Latvijas </w:t>
      </w:r>
      <w:r w:rsidR="00EF46F1" w:rsidRPr="000117E5">
        <w:rPr>
          <w:sz w:val="26"/>
          <w:szCs w:val="26"/>
        </w:rPr>
        <w:t>nostāja</w:t>
      </w:r>
      <w:r w:rsidRPr="000117E5">
        <w:rPr>
          <w:sz w:val="26"/>
          <w:szCs w:val="26"/>
        </w:rPr>
        <w:t xml:space="preserve"> iekļaut</w:t>
      </w:r>
      <w:r w:rsidR="00EF46F1" w:rsidRPr="000117E5">
        <w:rPr>
          <w:sz w:val="26"/>
          <w:szCs w:val="26"/>
        </w:rPr>
        <w:t>a</w:t>
      </w:r>
      <w:r w:rsidRPr="000117E5">
        <w:rPr>
          <w:sz w:val="26"/>
          <w:szCs w:val="26"/>
        </w:rPr>
        <w:t xml:space="preserve"> nacionālajā pozīcijā Nr. 1 „</w:t>
      </w:r>
      <w:r w:rsidRPr="000117E5">
        <w:rPr>
          <w:i/>
          <w:sz w:val="26"/>
          <w:szCs w:val="26"/>
        </w:rPr>
        <w:t>Par Priekšlikumu Eiropas Parlamenta un Padomes direktīvai, ar ko groza Direktīvu</w:t>
      </w:r>
      <w:r w:rsidR="000661F7" w:rsidRPr="000117E5">
        <w:rPr>
          <w:i/>
          <w:sz w:val="26"/>
          <w:szCs w:val="26"/>
        </w:rPr>
        <w:t> </w:t>
      </w:r>
      <w:r w:rsidRPr="000117E5">
        <w:rPr>
          <w:i/>
          <w:sz w:val="26"/>
          <w:szCs w:val="26"/>
        </w:rPr>
        <w:t>2003/87/EK, lai sekmētu emisiju izmaksefektīvu samazināšanu un investīcijas mazoglekļa risinājumos</w:t>
      </w:r>
      <w:r w:rsidRPr="000117E5">
        <w:rPr>
          <w:sz w:val="26"/>
          <w:szCs w:val="26"/>
        </w:rPr>
        <w:t xml:space="preserve">”, kas apstiprināta Ministru kabineta 2015. gada </w:t>
      </w:r>
      <w:r w:rsidRPr="000117E5">
        <w:rPr>
          <w:sz w:val="26"/>
          <w:szCs w:val="26"/>
        </w:rPr>
        <w:lastRenderedPageBreak/>
        <w:t>13. oktobra sēdē. Savukārt atjauninātā Latvijas nacionālā pozīcija Nr.</w:t>
      </w:r>
      <w:r w:rsidR="000661F7" w:rsidRPr="000117E5">
        <w:rPr>
          <w:sz w:val="26"/>
          <w:szCs w:val="26"/>
        </w:rPr>
        <w:t> </w:t>
      </w:r>
      <w:r w:rsidRPr="000117E5">
        <w:rPr>
          <w:sz w:val="26"/>
          <w:szCs w:val="26"/>
        </w:rPr>
        <w:t>2 „</w:t>
      </w:r>
      <w:r w:rsidRPr="000117E5">
        <w:rPr>
          <w:i/>
          <w:sz w:val="26"/>
          <w:szCs w:val="26"/>
        </w:rPr>
        <w:t>Par Priekšlikumu Eiropas Parlamenta un Padomes direktīvai, ar ko groza Direktīvu 2003/87/EK, lai sekmētu emisiju izmaksefektīvu samazināšanu un investīcijas mazoglekļa risinājumos</w:t>
      </w:r>
      <w:r w:rsidRPr="000117E5">
        <w:rPr>
          <w:sz w:val="26"/>
          <w:szCs w:val="26"/>
        </w:rPr>
        <w:t>” tika apstiprināta Ministru kabineta 2016. gada 14. jūnija sēdē.</w:t>
      </w:r>
    </w:p>
    <w:p w14:paraId="770632BE" w14:textId="77777777" w:rsidR="007E4133" w:rsidRPr="000117E5" w:rsidRDefault="007E4133" w:rsidP="000117E5">
      <w:pPr>
        <w:pStyle w:val="Default"/>
        <w:ind w:firstLine="720"/>
        <w:jc w:val="both"/>
        <w:rPr>
          <w:rFonts w:ascii="Times New Roman" w:eastAsia="Calibri" w:hAnsi="Times New Roman" w:cs="Times New Roman"/>
          <w:sz w:val="26"/>
          <w:szCs w:val="26"/>
        </w:rPr>
      </w:pPr>
    </w:p>
    <w:p w14:paraId="13C219E1" w14:textId="540B1AEE" w:rsidR="00D4513D" w:rsidRPr="000117E5" w:rsidRDefault="00A35DD2" w:rsidP="000117E5">
      <w:pPr>
        <w:pStyle w:val="PointManual"/>
        <w:shd w:val="clear" w:color="auto" w:fill="A6A6A6" w:themeFill="background1" w:themeFillShade="A6"/>
        <w:spacing w:before="0"/>
        <w:ind w:left="284" w:hanging="284"/>
        <w:jc w:val="both"/>
        <w:rPr>
          <w:b/>
          <w:sz w:val="26"/>
          <w:szCs w:val="26"/>
        </w:rPr>
      </w:pPr>
      <w:r w:rsidRPr="000117E5">
        <w:rPr>
          <w:b/>
          <w:sz w:val="26"/>
          <w:szCs w:val="26"/>
        </w:rPr>
        <w:t>2. </w:t>
      </w:r>
      <w:r w:rsidR="00AD450F" w:rsidRPr="000117E5">
        <w:rPr>
          <w:b/>
          <w:sz w:val="26"/>
          <w:szCs w:val="26"/>
        </w:rPr>
        <w:t>Ilgtspējīgas attīstības programmas 2030. gadam īstenošana: ietekme uz ES vides politiku</w:t>
      </w:r>
      <w:r w:rsidR="00AD450F" w:rsidRPr="000117E5">
        <w:rPr>
          <w:sz w:val="26"/>
          <w:szCs w:val="26"/>
        </w:rPr>
        <w:t xml:space="preserve"> </w:t>
      </w:r>
      <w:r w:rsidR="00AD450F" w:rsidRPr="000117E5">
        <w:rPr>
          <w:rFonts w:eastAsia="Calibri"/>
          <w:b/>
          <w:sz w:val="26"/>
          <w:szCs w:val="26"/>
        </w:rPr>
        <w:t>–</w:t>
      </w:r>
      <w:r w:rsidR="0011611D" w:rsidRPr="000117E5">
        <w:rPr>
          <w:rFonts w:eastAsia="Calibri"/>
          <w:b/>
          <w:sz w:val="26"/>
          <w:szCs w:val="26"/>
        </w:rPr>
        <w:t xml:space="preserve"> </w:t>
      </w:r>
      <w:r w:rsidR="00AD450F" w:rsidRPr="000117E5">
        <w:rPr>
          <w:rFonts w:eastAsia="Calibri"/>
          <w:sz w:val="26"/>
          <w:szCs w:val="26"/>
        </w:rPr>
        <w:t>viedokļu apmaiņa</w:t>
      </w:r>
    </w:p>
    <w:p w14:paraId="156D0E88" w14:textId="12D40B1B" w:rsidR="008F6A74" w:rsidRPr="000117E5" w:rsidRDefault="006D0E90" w:rsidP="000117E5">
      <w:pPr>
        <w:ind w:firstLine="709"/>
        <w:jc w:val="both"/>
        <w:rPr>
          <w:sz w:val="26"/>
          <w:szCs w:val="26"/>
        </w:rPr>
      </w:pPr>
      <w:r w:rsidRPr="000117E5">
        <w:rPr>
          <w:sz w:val="26"/>
          <w:szCs w:val="26"/>
        </w:rPr>
        <w:t>ANO</w:t>
      </w:r>
      <w:r w:rsidR="00EF46F1" w:rsidRPr="000117E5">
        <w:rPr>
          <w:sz w:val="26"/>
          <w:szCs w:val="26"/>
        </w:rPr>
        <w:t xml:space="preserve"> Ģenerālā asambleja </w:t>
      </w:r>
      <w:r w:rsidR="008F6A74" w:rsidRPr="000117E5">
        <w:rPr>
          <w:sz w:val="26"/>
          <w:szCs w:val="26"/>
        </w:rPr>
        <w:t xml:space="preserve">2015. gada septembrī apstiprināja </w:t>
      </w:r>
      <w:r w:rsidR="008F6A74" w:rsidRPr="000117E5">
        <w:rPr>
          <w:b/>
          <w:sz w:val="26"/>
          <w:szCs w:val="26"/>
        </w:rPr>
        <w:t>Dienaskārtību ilgtspējīgai attīstībai 2030.</w:t>
      </w:r>
      <w:r w:rsidR="00D50CF0" w:rsidRPr="000117E5">
        <w:rPr>
          <w:b/>
          <w:sz w:val="26"/>
          <w:szCs w:val="26"/>
        </w:rPr>
        <w:t> </w:t>
      </w:r>
      <w:r w:rsidR="008F6A74" w:rsidRPr="000117E5">
        <w:rPr>
          <w:b/>
          <w:sz w:val="26"/>
          <w:szCs w:val="26"/>
        </w:rPr>
        <w:t>gadam</w:t>
      </w:r>
      <w:r w:rsidR="008F6A74" w:rsidRPr="000117E5">
        <w:rPr>
          <w:sz w:val="26"/>
          <w:szCs w:val="26"/>
        </w:rPr>
        <w:t xml:space="preserve"> (turpmāk</w:t>
      </w:r>
      <w:r w:rsidR="000117E5" w:rsidRPr="000117E5">
        <w:rPr>
          <w:sz w:val="26"/>
          <w:szCs w:val="26"/>
        </w:rPr>
        <w:t> – </w:t>
      </w:r>
      <w:r w:rsidR="008F6A74" w:rsidRPr="000117E5">
        <w:rPr>
          <w:sz w:val="26"/>
          <w:szCs w:val="26"/>
        </w:rPr>
        <w:t>Dienaskārtība 2030), kas ietver universāli piemērojamus un savstarpēji saistītus 17 ilgtspējīgas attīstības mērķus (turpmāk</w:t>
      </w:r>
      <w:r w:rsidR="000117E5" w:rsidRPr="000117E5">
        <w:rPr>
          <w:sz w:val="26"/>
          <w:szCs w:val="26"/>
        </w:rPr>
        <w:t> – </w:t>
      </w:r>
      <w:r w:rsidR="008F6A74" w:rsidRPr="000117E5">
        <w:rPr>
          <w:sz w:val="26"/>
          <w:szCs w:val="26"/>
        </w:rPr>
        <w:t>IAM) un 169 apakšmērķus. Dienaskārtība 2030 ir apņemšanās līdz 2030. gadam izskaust nabadzību un sasniegt ilgtspējīgu attīstību visā pasaulē, nodrošinot, lai neviens nebūtu aizmirsts.</w:t>
      </w:r>
    </w:p>
    <w:p w14:paraId="10ECF486" w14:textId="7998205B" w:rsidR="008F6A74" w:rsidRPr="000117E5" w:rsidRDefault="00EF46F1" w:rsidP="000117E5">
      <w:pPr>
        <w:ind w:firstLine="709"/>
        <w:jc w:val="both"/>
        <w:rPr>
          <w:rFonts w:eastAsia="Calibri"/>
          <w:b/>
          <w:i/>
          <w:iCs/>
          <w:sz w:val="26"/>
          <w:szCs w:val="26"/>
        </w:rPr>
      </w:pPr>
      <w:r w:rsidRPr="000117E5">
        <w:rPr>
          <w:sz w:val="26"/>
          <w:szCs w:val="26"/>
        </w:rPr>
        <w:t xml:space="preserve">EK </w:t>
      </w:r>
      <w:r w:rsidR="008F6A74" w:rsidRPr="000117E5">
        <w:rPr>
          <w:sz w:val="26"/>
          <w:szCs w:val="26"/>
        </w:rPr>
        <w:t xml:space="preserve">2016. gada 22. novembrī nāca klajā ar paziņojumu </w:t>
      </w:r>
      <w:r w:rsidR="008F6A74" w:rsidRPr="000117E5">
        <w:rPr>
          <w:bCs/>
          <w:sz w:val="26"/>
          <w:szCs w:val="26"/>
          <w:lang w:eastAsia="fr-BE"/>
        </w:rPr>
        <w:t>“</w:t>
      </w:r>
      <w:r w:rsidR="008F6A74" w:rsidRPr="000117E5">
        <w:rPr>
          <w:i/>
          <w:iCs/>
          <w:sz w:val="26"/>
          <w:szCs w:val="26"/>
        </w:rPr>
        <w:t>Turpmākie pasākumi ilgtspējīgai Eiropas nākotnei. Eiropas rīcība ilgtspējas jomā”</w:t>
      </w:r>
      <w:r w:rsidR="008F6A74" w:rsidRPr="000117E5">
        <w:rPr>
          <w:bCs/>
          <w:sz w:val="26"/>
          <w:szCs w:val="26"/>
          <w:lang w:eastAsia="fr-BE"/>
        </w:rPr>
        <w:t xml:space="preserve"> </w:t>
      </w:r>
      <w:r w:rsidR="00D50CF0" w:rsidRPr="000117E5">
        <w:rPr>
          <w:bCs/>
          <w:sz w:val="26"/>
          <w:szCs w:val="26"/>
          <w:lang w:eastAsia="fr-BE"/>
        </w:rPr>
        <w:t>(turpmāk</w:t>
      </w:r>
      <w:r w:rsidR="000117E5" w:rsidRPr="000117E5">
        <w:rPr>
          <w:sz w:val="26"/>
          <w:szCs w:val="26"/>
        </w:rPr>
        <w:t> – </w:t>
      </w:r>
      <w:r w:rsidR="00D50CF0" w:rsidRPr="000117E5">
        <w:rPr>
          <w:bCs/>
          <w:sz w:val="26"/>
          <w:szCs w:val="26"/>
          <w:lang w:eastAsia="fr-BE"/>
        </w:rPr>
        <w:t xml:space="preserve">Paziņojums) </w:t>
      </w:r>
      <w:r w:rsidR="008F6A74" w:rsidRPr="000117E5">
        <w:rPr>
          <w:bCs/>
          <w:sz w:val="26"/>
          <w:szCs w:val="26"/>
          <w:lang w:eastAsia="fr-BE"/>
        </w:rPr>
        <w:t>par veicamajiem soļiem attiecībā uz ilgtspējīgu attīstību ES</w:t>
      </w:r>
      <w:r w:rsidR="008F6A74" w:rsidRPr="000117E5">
        <w:rPr>
          <w:rStyle w:val="FootnoteReference"/>
          <w:bCs/>
          <w:sz w:val="26"/>
          <w:szCs w:val="26"/>
          <w:lang w:eastAsia="fr-BE"/>
        </w:rPr>
        <w:footnoteReference w:id="3"/>
      </w:r>
      <w:r w:rsidR="008F6A74" w:rsidRPr="000117E5">
        <w:rPr>
          <w:bCs/>
          <w:sz w:val="26"/>
          <w:szCs w:val="26"/>
          <w:lang w:eastAsia="fr-BE"/>
        </w:rPr>
        <w:t>. Maltas prezidentūra plāno izstrādāt ES Padomes viedokli par šo jautājumu, ko apstiprinātu ES Vispārējo lietu padome š.g. jūnijā. Paziņojuma pielikums satur IAM un esošo ES politiku kartējumu, apkopojot</w:t>
      </w:r>
      <w:r w:rsidR="008F6A74" w:rsidRPr="000117E5">
        <w:rPr>
          <w:sz w:val="26"/>
          <w:szCs w:val="26"/>
        </w:rPr>
        <w:t xml:space="preserve"> svarīgākos pasākumus, ko ES veic attiecībā uz katru no 17 ilgtspējīgas attīstības mērķiem.</w:t>
      </w:r>
      <w:r w:rsidR="008F6A74" w:rsidRPr="000117E5">
        <w:rPr>
          <w:bCs/>
          <w:sz w:val="26"/>
          <w:szCs w:val="26"/>
          <w:lang w:eastAsia="fr-BE"/>
        </w:rPr>
        <w:t xml:space="preserve"> </w:t>
      </w:r>
    </w:p>
    <w:p w14:paraId="0F6B40D5" w14:textId="43DC2EDD" w:rsidR="008F6A74" w:rsidRPr="000117E5" w:rsidRDefault="008F6A74" w:rsidP="000117E5">
      <w:pPr>
        <w:ind w:firstLine="709"/>
        <w:jc w:val="both"/>
        <w:rPr>
          <w:sz w:val="26"/>
          <w:szCs w:val="26"/>
        </w:rPr>
      </w:pPr>
      <w:r w:rsidRPr="000117E5">
        <w:rPr>
          <w:sz w:val="26"/>
          <w:szCs w:val="26"/>
        </w:rPr>
        <w:t>Latvijā Pārresoru koordinācijas centrs uzsācis un līdz rudenim plāno veikt Latvijas Ilgtspējīgas attīstības stratēģijas līdz 2030. gadam (</w:t>
      </w:r>
      <w:r w:rsidR="00EF46F1" w:rsidRPr="000117E5">
        <w:rPr>
          <w:sz w:val="26"/>
          <w:szCs w:val="26"/>
        </w:rPr>
        <w:t xml:space="preserve">turpmāk </w:t>
      </w:r>
      <w:r w:rsidR="000117E5" w:rsidRPr="000117E5">
        <w:rPr>
          <w:sz w:val="26"/>
          <w:szCs w:val="26"/>
        </w:rPr>
        <w:t> – </w:t>
      </w:r>
      <w:r w:rsidRPr="000117E5">
        <w:rPr>
          <w:sz w:val="26"/>
          <w:szCs w:val="26"/>
        </w:rPr>
        <w:t>LIAS2030), Latvijas Nacionālā attīstības plāna 2014.</w:t>
      </w:r>
      <w:r w:rsidR="000117E5" w:rsidRPr="000117E5">
        <w:rPr>
          <w:sz w:val="26"/>
          <w:szCs w:val="26"/>
        </w:rPr>
        <w:t xml:space="preserve">  – </w:t>
      </w:r>
      <w:r w:rsidRPr="000117E5">
        <w:rPr>
          <w:sz w:val="26"/>
          <w:szCs w:val="26"/>
        </w:rPr>
        <w:t>2020. gadam (</w:t>
      </w:r>
      <w:r w:rsidR="00EF46F1" w:rsidRPr="000117E5">
        <w:rPr>
          <w:sz w:val="26"/>
          <w:szCs w:val="26"/>
        </w:rPr>
        <w:t>turpmāk</w:t>
      </w:r>
      <w:r w:rsidR="000117E5" w:rsidRPr="000117E5">
        <w:rPr>
          <w:sz w:val="26"/>
          <w:szCs w:val="26"/>
        </w:rPr>
        <w:t> – </w:t>
      </w:r>
      <w:r w:rsidRPr="000117E5">
        <w:rPr>
          <w:sz w:val="26"/>
          <w:szCs w:val="26"/>
        </w:rPr>
        <w:t xml:space="preserve">NAP2020), nozaru politikas pamatnostādņu un plānu sasaites ar Ilgtspējīgas attīstības mērķiem izvērtējumu un nepieciešamības gadījumā sagatavot priekšlikumus par iespējamām izmaiņām LIAS2030 un NAP2020, lai sekmētu Ilgtspējīgas attīstības mērķu īstenošanu. Latvija arī plāno ziņot par progresu 2018. gada ANO Augsta līmeņa politikas forumā </w:t>
      </w:r>
      <w:r w:rsidRPr="000117E5">
        <w:rPr>
          <w:i/>
          <w:sz w:val="26"/>
          <w:szCs w:val="26"/>
        </w:rPr>
        <w:t>(HLPF jeb High-Level Policy Platform</w:t>
      </w:r>
      <w:r w:rsidRPr="000117E5">
        <w:rPr>
          <w:sz w:val="26"/>
          <w:szCs w:val="26"/>
        </w:rPr>
        <w:t>).</w:t>
      </w:r>
    </w:p>
    <w:p w14:paraId="793F26E7" w14:textId="79F59955" w:rsidR="00B13678" w:rsidRPr="000117E5" w:rsidRDefault="00EF46F1" w:rsidP="000117E5">
      <w:pPr>
        <w:ind w:firstLine="709"/>
        <w:jc w:val="both"/>
        <w:rPr>
          <w:sz w:val="26"/>
          <w:szCs w:val="26"/>
        </w:rPr>
      </w:pPr>
      <w:r w:rsidRPr="000117E5">
        <w:rPr>
          <w:sz w:val="26"/>
          <w:szCs w:val="26"/>
        </w:rPr>
        <w:t xml:space="preserve">Šā gada </w:t>
      </w:r>
      <w:r w:rsidR="00B13678" w:rsidRPr="000117E5">
        <w:rPr>
          <w:sz w:val="26"/>
          <w:szCs w:val="26"/>
        </w:rPr>
        <w:t>28.</w:t>
      </w:r>
      <w:r w:rsidR="000661F7" w:rsidRPr="000117E5">
        <w:rPr>
          <w:sz w:val="26"/>
          <w:szCs w:val="26"/>
        </w:rPr>
        <w:t> </w:t>
      </w:r>
      <w:r w:rsidR="00B13678" w:rsidRPr="000117E5">
        <w:rPr>
          <w:sz w:val="26"/>
          <w:szCs w:val="26"/>
        </w:rPr>
        <w:t>februāra ES Vides padomes sanāksmē plānotas diskusijas, balstoties uz Maltas prezidentūras sagatavotajiem jautājumiem.</w:t>
      </w:r>
    </w:p>
    <w:p w14:paraId="2DE2F4EB" w14:textId="77777777" w:rsidR="000117E5" w:rsidRPr="000117E5" w:rsidRDefault="000117E5" w:rsidP="000117E5">
      <w:pPr>
        <w:ind w:firstLine="709"/>
        <w:jc w:val="both"/>
        <w:rPr>
          <w:sz w:val="26"/>
          <w:szCs w:val="26"/>
        </w:rPr>
      </w:pPr>
    </w:p>
    <w:p w14:paraId="45534D2D" w14:textId="77777777" w:rsidR="00321EAA" w:rsidRPr="000117E5" w:rsidRDefault="00321EAA" w:rsidP="000117E5">
      <w:pPr>
        <w:rPr>
          <w:rFonts w:eastAsia="Calibri"/>
          <w:b/>
          <w:iCs/>
          <w:sz w:val="26"/>
          <w:szCs w:val="26"/>
          <w:u w:val="single"/>
        </w:rPr>
      </w:pPr>
      <w:r w:rsidRPr="000117E5">
        <w:rPr>
          <w:rFonts w:eastAsia="Calibri"/>
          <w:b/>
          <w:iCs/>
          <w:sz w:val="26"/>
          <w:szCs w:val="26"/>
          <w:u w:val="single"/>
        </w:rPr>
        <w:t>Latvijas viedoklis</w:t>
      </w:r>
    </w:p>
    <w:p w14:paraId="044EE7F8" w14:textId="2DE88AD1" w:rsidR="008F6A74" w:rsidRPr="000117E5" w:rsidRDefault="008F6A74" w:rsidP="000117E5">
      <w:pPr>
        <w:ind w:firstLine="709"/>
        <w:jc w:val="both"/>
        <w:rPr>
          <w:sz w:val="26"/>
          <w:szCs w:val="26"/>
        </w:rPr>
      </w:pPr>
      <w:r w:rsidRPr="000117E5">
        <w:rPr>
          <w:sz w:val="26"/>
          <w:szCs w:val="26"/>
        </w:rPr>
        <w:t xml:space="preserve">Latvija atbalsta integrētu un sistemātisku Dienaskārtības 2030. gadam ieviešanu ES gan iekšēji, gan ārēji. EK Paziņojums ir pamats turpmākam darbam, un tas sniedz pārskatu par esošajām ES politikām un finanšu instrumentiem. </w:t>
      </w:r>
    </w:p>
    <w:p w14:paraId="20A311B3" w14:textId="5950CD15" w:rsidR="00321EAA" w:rsidRPr="000117E5" w:rsidRDefault="008F6A74" w:rsidP="000117E5">
      <w:pPr>
        <w:ind w:firstLine="709"/>
        <w:jc w:val="both"/>
        <w:rPr>
          <w:sz w:val="26"/>
          <w:szCs w:val="26"/>
        </w:rPr>
      </w:pPr>
      <w:r w:rsidRPr="000117E5">
        <w:rPr>
          <w:sz w:val="26"/>
          <w:szCs w:val="26"/>
        </w:rPr>
        <w:t>Turpmākajā darbā nepieciešams arī analizēt nepilnības un iztrūkumus esošajās ES politikās, kā arī strādāt pie ilgtermiņa vīzijas, rīcībām un ES finanšu instrumentiem, lai nodrošinātu IAM ieviešanu tālākā nākotnē. Šajā procesā aicinām ņemt vērā jau nospraustās ilgtermiņa ES politiskās prioritātes un mērķus. Nepieciešams arī</w:t>
      </w:r>
      <w:r w:rsidR="00321EAA" w:rsidRPr="000117E5">
        <w:rPr>
          <w:sz w:val="26"/>
          <w:szCs w:val="26"/>
        </w:rPr>
        <w:t xml:space="preserve"> ņemt vērā dažādos ES dalībvalstu attīstības līmeņus, vajadzības un nacionālās prioritātes. </w:t>
      </w:r>
    </w:p>
    <w:p w14:paraId="21D03728" w14:textId="23113EF3" w:rsidR="00121E96" w:rsidRPr="000117E5" w:rsidRDefault="000661F7" w:rsidP="000117E5">
      <w:pPr>
        <w:ind w:firstLine="709"/>
        <w:jc w:val="both"/>
        <w:rPr>
          <w:sz w:val="26"/>
          <w:szCs w:val="26"/>
        </w:rPr>
      </w:pPr>
      <w:r w:rsidRPr="000117E5">
        <w:rPr>
          <w:sz w:val="26"/>
          <w:szCs w:val="26"/>
        </w:rPr>
        <w:t>Latvijas viedoklis par</w:t>
      </w:r>
      <w:r w:rsidR="00121E96" w:rsidRPr="000117E5">
        <w:rPr>
          <w:sz w:val="26"/>
          <w:szCs w:val="26"/>
        </w:rPr>
        <w:t xml:space="preserve"> Maltas prezidentūras sagatavotajiem jautājumiem:</w:t>
      </w:r>
    </w:p>
    <w:p w14:paraId="48FA47EB" w14:textId="77777777" w:rsidR="00BE1A16" w:rsidRPr="000117E5" w:rsidRDefault="00BE1A16" w:rsidP="000117E5">
      <w:pPr>
        <w:jc w:val="both"/>
        <w:rPr>
          <w:i/>
          <w:iCs/>
          <w:sz w:val="26"/>
          <w:szCs w:val="26"/>
        </w:rPr>
      </w:pPr>
      <w:r w:rsidRPr="000117E5">
        <w:rPr>
          <w:i/>
          <w:iCs/>
          <w:sz w:val="26"/>
          <w:szCs w:val="26"/>
        </w:rPr>
        <w:lastRenderedPageBreak/>
        <w:t>1.</w:t>
      </w:r>
      <w:r w:rsidRPr="000117E5">
        <w:rPr>
          <w:i/>
          <w:iCs/>
          <w:sz w:val="26"/>
          <w:szCs w:val="26"/>
        </w:rPr>
        <w:tab/>
        <w:t>2030. gada programmai ir vajadzīgs, lai visi IAM tiktu īstenoti līdzsvaroti un lai rīcība vienā jomā netraucētu centieniem citās politikas jomās. Kā mēs varam efektīvi panākt šo horizontālo saskaņotību praksē, vienlaikus nodrošinot nepieciešamo progresu sektorpolitikas jomu īstenošanā?</w:t>
      </w:r>
    </w:p>
    <w:p w14:paraId="44A5D398" w14:textId="77777777" w:rsidR="00BE1A16" w:rsidRPr="000117E5" w:rsidRDefault="00BE1A16" w:rsidP="000117E5">
      <w:pPr>
        <w:autoSpaceDE w:val="0"/>
        <w:autoSpaceDN w:val="0"/>
        <w:adjustRightInd w:val="0"/>
        <w:ind w:firstLine="709"/>
        <w:jc w:val="both"/>
        <w:rPr>
          <w:color w:val="191919"/>
          <w:sz w:val="26"/>
          <w:szCs w:val="26"/>
        </w:rPr>
      </w:pPr>
      <w:r w:rsidRPr="000117E5">
        <w:rPr>
          <w:color w:val="191919"/>
          <w:sz w:val="26"/>
          <w:szCs w:val="26"/>
        </w:rPr>
        <w:t>Īstenoto politiku sinerģija, izvairīšanās no informācijas dublēšanās un pārklāšanās, kā arī sadarbība un efektīva koordinācija starp visām iesaistītajām pusēm ir IAM ieviešanas stūrakmens gan globālā, gan ES līmenī. Dienaskārtību 2030 nebūs iespējams ieviest izolētībā.</w:t>
      </w:r>
    </w:p>
    <w:p w14:paraId="28B3442A" w14:textId="77777777" w:rsidR="00BE1A16" w:rsidRPr="000117E5" w:rsidRDefault="00BE1A16" w:rsidP="000117E5">
      <w:pPr>
        <w:autoSpaceDE w:val="0"/>
        <w:autoSpaceDN w:val="0"/>
        <w:adjustRightInd w:val="0"/>
        <w:ind w:firstLine="709"/>
        <w:jc w:val="both"/>
        <w:rPr>
          <w:color w:val="191919"/>
          <w:sz w:val="26"/>
          <w:szCs w:val="26"/>
        </w:rPr>
      </w:pPr>
      <w:r w:rsidRPr="000117E5">
        <w:rPr>
          <w:sz w:val="26"/>
          <w:szCs w:val="26"/>
        </w:rPr>
        <w:t xml:space="preserve">Tādēļ svarīgi nodrošināt sistemātisku politiku saskaņotību un visu trīs ilgtspējīgas attīstības dimensiju vienlīdzīgu integrēšanu politikās un iniciatīvās. To sasniegt palīdzētu regulāra sadarbība starp dažādām institūcijām, kā arī saikne ar privāto sektoru, nevalstiskajām organizācijām un citām iesaistītajām pusēm, izstrādājot risinājumus un tos īstenojot. </w:t>
      </w:r>
    </w:p>
    <w:p w14:paraId="004ABFDA" w14:textId="77777777" w:rsidR="00BE1A16" w:rsidRPr="000117E5" w:rsidRDefault="00BE1A16" w:rsidP="000117E5">
      <w:pPr>
        <w:autoSpaceDE w:val="0"/>
        <w:autoSpaceDN w:val="0"/>
        <w:adjustRightInd w:val="0"/>
        <w:ind w:firstLine="709"/>
        <w:jc w:val="both"/>
        <w:rPr>
          <w:color w:val="191919"/>
          <w:sz w:val="26"/>
          <w:szCs w:val="26"/>
        </w:rPr>
      </w:pPr>
      <w:r w:rsidRPr="000117E5">
        <w:rPr>
          <w:color w:val="191919"/>
          <w:sz w:val="26"/>
          <w:szCs w:val="26"/>
        </w:rPr>
        <w:t>Būtisku atbalstu sniedz iespēja apmainīties ar pieredzi. ANO līmenī šādu iespēju sniedz valstu nacionālie ziņojumu, kurus ik gadu valstis prezentē Augsta līmeņa politikas forumā (</w:t>
      </w:r>
      <w:r w:rsidRPr="000117E5">
        <w:rPr>
          <w:i/>
          <w:color w:val="191919"/>
          <w:sz w:val="26"/>
          <w:szCs w:val="26"/>
        </w:rPr>
        <w:t>HLPF</w:t>
      </w:r>
      <w:r w:rsidRPr="000117E5">
        <w:rPr>
          <w:color w:val="191919"/>
          <w:sz w:val="26"/>
          <w:szCs w:val="26"/>
        </w:rPr>
        <w:t xml:space="preserve">). Rosinām izmantot </w:t>
      </w:r>
      <w:r w:rsidRPr="000117E5">
        <w:rPr>
          <w:sz w:val="26"/>
          <w:szCs w:val="26"/>
        </w:rPr>
        <w:t>Daudzpusējo ieinteresēto personu platformu arī pieredzes un labo piemēru apmaiņai</w:t>
      </w:r>
      <w:r w:rsidRPr="000117E5">
        <w:rPr>
          <w:color w:val="191919"/>
          <w:sz w:val="26"/>
          <w:szCs w:val="26"/>
        </w:rPr>
        <w:t xml:space="preserve"> ES ietvaros</w:t>
      </w:r>
      <w:r w:rsidRPr="000117E5">
        <w:rPr>
          <w:sz w:val="26"/>
          <w:szCs w:val="26"/>
        </w:rPr>
        <w:t>.</w:t>
      </w:r>
    </w:p>
    <w:p w14:paraId="4EAEB156" w14:textId="77777777" w:rsidR="00BE1A16" w:rsidRPr="000117E5" w:rsidRDefault="00BE1A16" w:rsidP="000117E5">
      <w:pPr>
        <w:autoSpaceDE w:val="0"/>
        <w:autoSpaceDN w:val="0"/>
        <w:adjustRightInd w:val="0"/>
        <w:ind w:firstLine="709"/>
        <w:jc w:val="both"/>
        <w:rPr>
          <w:sz w:val="26"/>
          <w:szCs w:val="26"/>
        </w:rPr>
      </w:pPr>
      <w:r w:rsidRPr="000117E5">
        <w:rPr>
          <w:color w:val="191919"/>
          <w:sz w:val="26"/>
          <w:szCs w:val="26"/>
        </w:rPr>
        <w:t>Latvija uzsākusi nacionālā līmeņa IAM kartēšanu, lai izvērtētu nacionālās politikas atbilstību 2030 Dienaskārtības mērķiem un identificētu turpmākos soļus. Plānojam šo pirmo soli pabeigt šā gada rudenī.</w:t>
      </w:r>
    </w:p>
    <w:p w14:paraId="1ED6115A" w14:textId="77777777" w:rsidR="00BE1A16" w:rsidRPr="000117E5" w:rsidRDefault="00BE1A16" w:rsidP="000117E5">
      <w:pPr>
        <w:rPr>
          <w:sz w:val="26"/>
          <w:szCs w:val="26"/>
        </w:rPr>
      </w:pPr>
      <w:r w:rsidRPr="000117E5">
        <w:rPr>
          <w:i/>
          <w:iCs/>
          <w:sz w:val="26"/>
          <w:szCs w:val="26"/>
        </w:rPr>
        <w:t>2.</w:t>
      </w:r>
      <w:r w:rsidRPr="000117E5">
        <w:rPr>
          <w:i/>
          <w:iCs/>
          <w:sz w:val="26"/>
          <w:szCs w:val="26"/>
        </w:rPr>
        <w:tab/>
        <w:t>Kādiem vajadzētu būt nākamajiem veicamajiem pasākumiem un prioritārajām jomām, kam jāpievēršas 2030. gada programmas īstenošanā ES vides politikā?</w:t>
      </w:r>
    </w:p>
    <w:p w14:paraId="15647B25" w14:textId="2D693534" w:rsidR="00BE1A16" w:rsidRPr="000117E5" w:rsidRDefault="00BE1A16" w:rsidP="000117E5">
      <w:pPr>
        <w:ind w:firstLine="709"/>
        <w:jc w:val="both"/>
        <w:rPr>
          <w:iCs/>
          <w:color w:val="1F497D" w:themeColor="dark2"/>
          <w:sz w:val="26"/>
          <w:szCs w:val="26"/>
        </w:rPr>
      </w:pPr>
      <w:r w:rsidRPr="000117E5">
        <w:rPr>
          <w:color w:val="191919"/>
          <w:sz w:val="26"/>
          <w:szCs w:val="26"/>
        </w:rPr>
        <w:t xml:space="preserve">ES vides politika ir būtisks pīlārs ES kopējā politiskajā ietvarā, un arī turpmāk nepieciešama integrēta pieeja šīs dimensijas iekļaušanai visā politikā. Arī </w:t>
      </w:r>
      <w:r w:rsidRPr="000117E5">
        <w:rPr>
          <w:bCs/>
          <w:sz w:val="26"/>
          <w:szCs w:val="26"/>
          <w:lang w:eastAsia="fr-BE"/>
        </w:rPr>
        <w:t xml:space="preserve">EK </w:t>
      </w:r>
      <w:r w:rsidR="00D50CF0" w:rsidRPr="000117E5">
        <w:rPr>
          <w:bCs/>
          <w:sz w:val="26"/>
          <w:szCs w:val="26"/>
          <w:lang w:eastAsia="fr-BE"/>
        </w:rPr>
        <w:t>P</w:t>
      </w:r>
      <w:r w:rsidRPr="000117E5">
        <w:rPr>
          <w:bCs/>
          <w:sz w:val="26"/>
          <w:szCs w:val="26"/>
          <w:lang w:eastAsia="fr-BE"/>
        </w:rPr>
        <w:t>aziņojums</w:t>
      </w:r>
      <w:r w:rsidRPr="000117E5">
        <w:rPr>
          <w:i/>
          <w:iCs/>
          <w:sz w:val="26"/>
          <w:szCs w:val="26"/>
        </w:rPr>
        <w:t>”</w:t>
      </w:r>
      <w:r w:rsidRPr="000117E5">
        <w:rPr>
          <w:iCs/>
          <w:sz w:val="26"/>
          <w:szCs w:val="26"/>
        </w:rPr>
        <w:t xml:space="preserve"> uzsver nepieciešamību pilnībā integrēt IAM Eiropas politikas ietvarā, ilgtermiņa vīzijās un nozaru politikās pēc 2020.</w:t>
      </w:r>
      <w:r w:rsidR="00D50CF0" w:rsidRPr="000117E5">
        <w:rPr>
          <w:iCs/>
          <w:sz w:val="26"/>
          <w:szCs w:val="26"/>
        </w:rPr>
        <w:t> </w:t>
      </w:r>
      <w:r w:rsidRPr="000117E5">
        <w:rPr>
          <w:iCs/>
          <w:sz w:val="26"/>
          <w:szCs w:val="26"/>
        </w:rPr>
        <w:t>gada, t.sk. strādājot pie Daudzgadu finanšu shēmas pēc 2020.</w:t>
      </w:r>
      <w:r w:rsidR="00D50CF0" w:rsidRPr="000117E5">
        <w:rPr>
          <w:iCs/>
          <w:sz w:val="26"/>
          <w:szCs w:val="26"/>
        </w:rPr>
        <w:t> </w:t>
      </w:r>
      <w:r w:rsidRPr="000117E5">
        <w:rPr>
          <w:iCs/>
          <w:sz w:val="26"/>
          <w:szCs w:val="26"/>
        </w:rPr>
        <w:t xml:space="preserve">gadā. </w:t>
      </w:r>
    </w:p>
    <w:p w14:paraId="4AD4FEED" w14:textId="77777777" w:rsidR="00BE1A16" w:rsidRPr="000117E5" w:rsidRDefault="00BE1A16" w:rsidP="000117E5">
      <w:pPr>
        <w:ind w:firstLine="709"/>
        <w:jc w:val="both"/>
        <w:rPr>
          <w:iCs/>
          <w:color w:val="1F497D" w:themeColor="dark2"/>
          <w:sz w:val="26"/>
          <w:szCs w:val="26"/>
        </w:rPr>
      </w:pPr>
      <w:r w:rsidRPr="000117E5">
        <w:rPr>
          <w:sz w:val="26"/>
          <w:szCs w:val="26"/>
        </w:rPr>
        <w:t>Tādēļ Latvija atbalsta ES līmeņa politiku klimata pārmaiņu, aprites ekonomikas, gaisa kvalitātes, ūdens pārvaldības jomās. Vienlaikus svarīgi nodrošināt, ka tiek ņemtas vērā atšķirīgās nacionālās situācijas un vajadzības.</w:t>
      </w:r>
    </w:p>
    <w:p w14:paraId="6844A4AF" w14:textId="3D271B41" w:rsidR="00BE1A16" w:rsidRPr="000117E5" w:rsidRDefault="00BE1A16" w:rsidP="000117E5">
      <w:pPr>
        <w:ind w:firstLine="709"/>
        <w:jc w:val="both"/>
        <w:rPr>
          <w:bCs/>
          <w:sz w:val="26"/>
          <w:szCs w:val="26"/>
          <w:lang w:eastAsia="fr-BE"/>
        </w:rPr>
      </w:pPr>
      <w:r w:rsidRPr="000117E5">
        <w:rPr>
          <w:iCs/>
          <w:sz w:val="26"/>
          <w:szCs w:val="26"/>
        </w:rPr>
        <w:t xml:space="preserve">Kā viens no pirmajiem soļiem būtu nepieciešama </w:t>
      </w:r>
      <w:r w:rsidRPr="000117E5">
        <w:rPr>
          <w:bCs/>
          <w:sz w:val="26"/>
          <w:szCs w:val="26"/>
          <w:lang w:eastAsia="fr-BE"/>
        </w:rPr>
        <w:t>analīze par nepilnībām ES politikās (</w:t>
      </w:r>
      <w:r w:rsidRPr="000117E5">
        <w:rPr>
          <w:bCs/>
          <w:i/>
          <w:sz w:val="26"/>
          <w:szCs w:val="26"/>
          <w:lang w:eastAsia="fr-BE"/>
        </w:rPr>
        <w:t>gap analysis</w:t>
      </w:r>
      <w:r w:rsidRPr="000117E5">
        <w:rPr>
          <w:bCs/>
          <w:sz w:val="26"/>
          <w:szCs w:val="26"/>
          <w:lang w:eastAsia="fr-BE"/>
        </w:rPr>
        <w:t>), lai ieviestu IAM, t.sk. no vides un klimata politikas viedokļa.</w:t>
      </w:r>
      <w:r w:rsidRPr="000117E5">
        <w:rPr>
          <w:iCs/>
          <w:sz w:val="26"/>
          <w:szCs w:val="26"/>
        </w:rPr>
        <w:t xml:space="preserve"> </w:t>
      </w:r>
      <w:r w:rsidRPr="000117E5">
        <w:rPr>
          <w:bCs/>
          <w:sz w:val="26"/>
          <w:szCs w:val="26"/>
          <w:lang w:eastAsia="fr-BE"/>
        </w:rPr>
        <w:t>Šobrīd ES iekšējā dimensija vides jomā koncentrējas uz esošajām vides stratēģijām, politikām un ES finanšu instrumentiem, piemēram, 7.</w:t>
      </w:r>
      <w:r w:rsidR="00EB199E" w:rsidRPr="000117E5">
        <w:rPr>
          <w:bCs/>
          <w:sz w:val="26"/>
          <w:szCs w:val="26"/>
          <w:lang w:eastAsia="fr-BE"/>
        </w:rPr>
        <w:t> </w:t>
      </w:r>
      <w:r w:rsidRPr="000117E5">
        <w:rPr>
          <w:bCs/>
          <w:sz w:val="26"/>
          <w:szCs w:val="26"/>
          <w:lang w:eastAsia="fr-BE"/>
        </w:rPr>
        <w:t xml:space="preserve">Vides rīcības plāns, Enerģētikas Savienība, Eiropa 2020 stratēģija, Aprites ekonomikas pakotne u.c. Tomēr </w:t>
      </w:r>
      <w:r w:rsidRPr="000117E5">
        <w:rPr>
          <w:sz w:val="26"/>
          <w:szCs w:val="26"/>
        </w:rPr>
        <w:t xml:space="preserve">trūkst pietiekamas informācijas par politiku rezultātu rādītājiem un programmējamiem finanšu līdzekļiem ES līmeņa rezultātu sasniegšanai. </w:t>
      </w:r>
    </w:p>
    <w:p w14:paraId="2C6EBE91" w14:textId="77777777" w:rsidR="00BE1A16" w:rsidRPr="000117E5" w:rsidRDefault="00BE1A16" w:rsidP="000117E5">
      <w:pPr>
        <w:jc w:val="both"/>
        <w:rPr>
          <w:i/>
          <w:iCs/>
          <w:sz w:val="26"/>
          <w:szCs w:val="26"/>
        </w:rPr>
      </w:pPr>
      <w:r w:rsidRPr="000117E5">
        <w:rPr>
          <w:i/>
          <w:iCs/>
          <w:sz w:val="26"/>
          <w:szCs w:val="26"/>
        </w:rPr>
        <w:t>3.</w:t>
      </w:r>
      <w:r w:rsidRPr="000117E5">
        <w:rPr>
          <w:i/>
          <w:iCs/>
          <w:sz w:val="26"/>
          <w:szCs w:val="26"/>
        </w:rPr>
        <w:tab/>
        <w:t>Kā mēs varam ieinteresēt un efektīvi iesaistīt un iekļaut iedzīvotājus un privāto sektoru 2030. gada programmas īstenošanas procesā, tādējādi veicinot vispārējo mērķi, proti, ES atkal tuvināt iedzīvotājiem? Kāda loma šajā sakarā varētu būt daudzpusējai ieinteresēto personu platformai, kas minēta Komisijas paziņojumā?</w:t>
      </w:r>
    </w:p>
    <w:p w14:paraId="2F919738" w14:textId="77777777" w:rsidR="00BE1A16" w:rsidRPr="000117E5" w:rsidRDefault="00BE1A16" w:rsidP="000117E5">
      <w:pPr>
        <w:ind w:firstLine="709"/>
        <w:jc w:val="both"/>
        <w:rPr>
          <w:color w:val="191919"/>
          <w:sz w:val="26"/>
          <w:szCs w:val="26"/>
          <w:lang w:eastAsia="en-US"/>
        </w:rPr>
      </w:pPr>
      <w:r w:rsidRPr="000117E5">
        <w:rPr>
          <w:color w:val="191919"/>
          <w:sz w:val="26"/>
          <w:szCs w:val="26"/>
        </w:rPr>
        <w:t xml:space="preserve">Latvija uzskata, ka </w:t>
      </w:r>
      <w:r w:rsidRPr="000117E5">
        <w:rPr>
          <w:sz w:val="26"/>
          <w:szCs w:val="26"/>
        </w:rPr>
        <w:t>Daudzpusējās ieinteresēto personu platforma var sniegt būtisku atbalstu IAM ieviešanas procesā, kā arī kalpot par IAM ieviešanas pieredzes apmaiņas platformu visās nozarēs, tai skaitā arī vides nozarē, gan dalībvals</w:t>
      </w:r>
      <w:r w:rsidRPr="000117E5">
        <w:rPr>
          <w:color w:val="191919"/>
          <w:sz w:val="26"/>
          <w:szCs w:val="26"/>
        </w:rPr>
        <w:t>tu, gan ES līmenī. D</w:t>
      </w:r>
      <w:r w:rsidRPr="000117E5">
        <w:rPr>
          <w:sz w:val="26"/>
          <w:szCs w:val="26"/>
        </w:rPr>
        <w:t xml:space="preserve">audzpusējai ieinteresēto personu platformai </w:t>
      </w:r>
      <w:r w:rsidRPr="000117E5">
        <w:rPr>
          <w:color w:val="191919"/>
          <w:sz w:val="26"/>
          <w:szCs w:val="26"/>
        </w:rPr>
        <w:t xml:space="preserve">ir potenciāls ģenerēt politisko impulsu, lai ieviestu konkrētus rīcību plānus. </w:t>
      </w:r>
    </w:p>
    <w:p w14:paraId="7F631150" w14:textId="77777777" w:rsidR="00BE1A16" w:rsidRPr="000117E5" w:rsidRDefault="00BE1A16" w:rsidP="000117E5">
      <w:pPr>
        <w:ind w:firstLine="709"/>
        <w:jc w:val="both"/>
        <w:rPr>
          <w:color w:val="191919"/>
          <w:sz w:val="26"/>
          <w:szCs w:val="26"/>
        </w:rPr>
      </w:pPr>
      <w:r w:rsidRPr="000117E5">
        <w:rPr>
          <w:color w:val="191919"/>
          <w:sz w:val="26"/>
          <w:szCs w:val="26"/>
        </w:rPr>
        <w:lastRenderedPageBreak/>
        <w:t xml:space="preserve">Pēc iespējas vairāk jāatbalsta pilsoniskās sabiedrības iesaiste ar IAM saistītu stratēģiju un plānu formulēšanā. Paralēli svarīgi radīt piemērotus apstākļus un iespējas, lai veidotos dialogs ar visām sabiedrības grupām par IAM īstenošanu un dalītos ar labāko praksi. </w:t>
      </w:r>
      <w:r w:rsidRPr="000117E5">
        <w:rPr>
          <w:sz w:val="26"/>
          <w:szCs w:val="26"/>
        </w:rPr>
        <w:t xml:space="preserve">Eiropas Ilgtspējīgas attīstības nedēļa, kas šogad norisināsies no 30. maija līdz 5. jūnijam Latvijā un visā Eiropā, ir nozīmīga virtuālās tīklošanās platforma, kas sniegs vērā ņemamu pienesumu ilgtspējīgu attīstību veicinošu aktivitāšu un projektu popularizēšanā. </w:t>
      </w:r>
    </w:p>
    <w:p w14:paraId="0C7BC4EE" w14:textId="77777777" w:rsidR="00321EAA" w:rsidRPr="000117E5" w:rsidRDefault="00321EAA" w:rsidP="000117E5">
      <w:pPr>
        <w:rPr>
          <w:rFonts w:eastAsia="Calibri"/>
          <w:i/>
          <w:iCs/>
          <w:sz w:val="26"/>
          <w:szCs w:val="26"/>
        </w:rPr>
      </w:pPr>
    </w:p>
    <w:p w14:paraId="1EDB189A" w14:textId="1A7838FD" w:rsidR="00A53A92" w:rsidRPr="000117E5" w:rsidRDefault="00A071C6" w:rsidP="000117E5">
      <w:pPr>
        <w:shd w:val="clear" w:color="auto" w:fill="A6A6A6" w:themeFill="background1" w:themeFillShade="A6"/>
        <w:jc w:val="both"/>
        <w:rPr>
          <w:sz w:val="26"/>
          <w:szCs w:val="26"/>
        </w:rPr>
      </w:pPr>
      <w:r w:rsidRPr="000117E5">
        <w:rPr>
          <w:b/>
          <w:sz w:val="26"/>
          <w:szCs w:val="26"/>
        </w:rPr>
        <w:t>3.</w:t>
      </w:r>
      <w:r w:rsidR="00A97950" w:rsidRPr="000117E5">
        <w:rPr>
          <w:b/>
          <w:sz w:val="26"/>
          <w:szCs w:val="26"/>
        </w:rPr>
        <w:t> </w:t>
      </w:r>
      <w:r w:rsidRPr="000117E5">
        <w:rPr>
          <w:b/>
          <w:sz w:val="26"/>
          <w:szCs w:val="26"/>
        </w:rPr>
        <w:t>Eiropas pusgada zaļināšana un ES vides politikas īstenošanas pārskati</w:t>
      </w:r>
      <w:r w:rsidRPr="000117E5">
        <w:rPr>
          <w:sz w:val="26"/>
          <w:szCs w:val="26"/>
        </w:rPr>
        <w:t xml:space="preserve"> – viedokļu apmaiņa</w:t>
      </w:r>
    </w:p>
    <w:p w14:paraId="0AF38A27" w14:textId="74AD1BD4" w:rsidR="00A071C6" w:rsidRPr="000117E5" w:rsidRDefault="00A63487" w:rsidP="000117E5">
      <w:pPr>
        <w:suppressAutoHyphens/>
        <w:ind w:firstLine="720"/>
        <w:jc w:val="both"/>
        <w:rPr>
          <w:sz w:val="26"/>
          <w:szCs w:val="26"/>
          <w:u w:val="single"/>
        </w:rPr>
      </w:pPr>
      <w:r w:rsidRPr="000117E5">
        <w:rPr>
          <w:sz w:val="26"/>
          <w:szCs w:val="26"/>
        </w:rPr>
        <w:t xml:space="preserve">EK </w:t>
      </w:r>
      <w:r w:rsidR="00A071C6" w:rsidRPr="000117E5">
        <w:rPr>
          <w:sz w:val="26"/>
          <w:szCs w:val="26"/>
        </w:rPr>
        <w:t>2017.</w:t>
      </w:r>
      <w:r w:rsidR="00A97950" w:rsidRPr="000117E5">
        <w:rPr>
          <w:sz w:val="26"/>
          <w:szCs w:val="26"/>
        </w:rPr>
        <w:t> </w:t>
      </w:r>
      <w:r w:rsidR="00A071C6" w:rsidRPr="000117E5">
        <w:rPr>
          <w:sz w:val="26"/>
          <w:szCs w:val="26"/>
        </w:rPr>
        <w:t>gada 6.</w:t>
      </w:r>
      <w:r w:rsidR="00A97950" w:rsidRPr="000117E5">
        <w:rPr>
          <w:sz w:val="26"/>
          <w:szCs w:val="26"/>
        </w:rPr>
        <w:t> </w:t>
      </w:r>
      <w:r w:rsidR="00A071C6" w:rsidRPr="000117E5">
        <w:rPr>
          <w:sz w:val="26"/>
          <w:szCs w:val="26"/>
        </w:rPr>
        <w:t xml:space="preserve">februārī publicēja pirmo </w:t>
      </w:r>
      <w:r w:rsidR="00A071C6" w:rsidRPr="000117E5">
        <w:rPr>
          <w:b/>
          <w:sz w:val="26"/>
          <w:szCs w:val="26"/>
        </w:rPr>
        <w:t>ES vides politikas īstenošanas pārskatu</w:t>
      </w:r>
      <w:r w:rsidR="00A071C6" w:rsidRPr="000117E5">
        <w:rPr>
          <w:sz w:val="26"/>
          <w:szCs w:val="26"/>
        </w:rPr>
        <w:t xml:space="preserve"> </w:t>
      </w:r>
      <w:r w:rsidR="006D0E90" w:rsidRPr="000117E5">
        <w:rPr>
          <w:sz w:val="26"/>
          <w:szCs w:val="26"/>
        </w:rPr>
        <w:t>(turpmāk</w:t>
      </w:r>
      <w:r w:rsidR="000117E5" w:rsidRPr="000117E5">
        <w:rPr>
          <w:sz w:val="26"/>
          <w:szCs w:val="26"/>
        </w:rPr>
        <w:t> – </w:t>
      </w:r>
      <w:r w:rsidR="006D0E90" w:rsidRPr="000117E5">
        <w:rPr>
          <w:sz w:val="26"/>
          <w:szCs w:val="26"/>
        </w:rPr>
        <w:t>EIR)</w:t>
      </w:r>
      <w:r w:rsidR="00A071C6" w:rsidRPr="000117E5">
        <w:rPr>
          <w:sz w:val="26"/>
          <w:szCs w:val="26"/>
        </w:rPr>
        <w:t xml:space="preserve"> – jaunu instrumentu, kurš analizēs un palīdzēs uzlabot ES </w:t>
      </w:r>
      <w:r w:rsidRPr="000117E5">
        <w:rPr>
          <w:sz w:val="26"/>
          <w:szCs w:val="26"/>
        </w:rPr>
        <w:t xml:space="preserve">normatīvā regulējuma </w:t>
      </w:r>
      <w:r w:rsidR="00A071C6" w:rsidRPr="000117E5">
        <w:rPr>
          <w:sz w:val="26"/>
          <w:szCs w:val="26"/>
        </w:rPr>
        <w:t xml:space="preserve">vides </w:t>
      </w:r>
      <w:r w:rsidRPr="000117E5">
        <w:rPr>
          <w:sz w:val="26"/>
          <w:szCs w:val="26"/>
        </w:rPr>
        <w:t xml:space="preserve">jomā </w:t>
      </w:r>
      <w:r w:rsidR="00A071C6" w:rsidRPr="000117E5">
        <w:rPr>
          <w:sz w:val="26"/>
          <w:szCs w:val="26"/>
        </w:rPr>
        <w:t xml:space="preserve">īstenošanu dalībvalstīs. Pārskata paketē ietilpst 28 ziņojumi par katru no </w:t>
      </w:r>
      <w:r w:rsidRPr="000117E5">
        <w:rPr>
          <w:sz w:val="26"/>
          <w:szCs w:val="26"/>
        </w:rPr>
        <w:t xml:space="preserve">ES </w:t>
      </w:r>
      <w:r w:rsidR="00A071C6" w:rsidRPr="000117E5">
        <w:rPr>
          <w:sz w:val="26"/>
          <w:szCs w:val="26"/>
        </w:rPr>
        <w:t xml:space="preserve">valstīm, </w:t>
      </w:r>
      <w:r w:rsidRPr="000117E5">
        <w:rPr>
          <w:sz w:val="26"/>
          <w:szCs w:val="26"/>
        </w:rPr>
        <w:t>ilustrējot</w:t>
      </w:r>
      <w:r w:rsidR="00A071C6" w:rsidRPr="000117E5">
        <w:rPr>
          <w:sz w:val="26"/>
          <w:szCs w:val="26"/>
        </w:rPr>
        <w:t xml:space="preserve"> </w:t>
      </w:r>
      <w:r w:rsidRPr="000117E5">
        <w:rPr>
          <w:sz w:val="26"/>
          <w:szCs w:val="26"/>
        </w:rPr>
        <w:t xml:space="preserve">ES </w:t>
      </w:r>
      <w:r w:rsidR="00A071C6" w:rsidRPr="000117E5">
        <w:rPr>
          <w:sz w:val="26"/>
          <w:szCs w:val="26"/>
        </w:rPr>
        <w:t xml:space="preserve">valstu stiprās puses un iespējas, kā arī vājās puses; paziņojums ar politisko secinājumu apkopojumu un tendenču izvērtējumu, kā arī ieteikumi </w:t>
      </w:r>
      <w:r w:rsidRPr="000117E5">
        <w:rPr>
          <w:sz w:val="26"/>
          <w:szCs w:val="26"/>
        </w:rPr>
        <w:t xml:space="preserve">ES </w:t>
      </w:r>
      <w:r w:rsidR="00A071C6" w:rsidRPr="000117E5">
        <w:rPr>
          <w:sz w:val="26"/>
          <w:szCs w:val="26"/>
        </w:rPr>
        <w:t>dalībvalstīm.</w:t>
      </w:r>
    </w:p>
    <w:p w14:paraId="3C07BAC2" w14:textId="061BEF5B" w:rsidR="00A071C6" w:rsidRPr="000117E5" w:rsidRDefault="00A071C6" w:rsidP="000117E5">
      <w:pPr>
        <w:ind w:firstLine="720"/>
        <w:jc w:val="both"/>
        <w:rPr>
          <w:sz w:val="26"/>
          <w:szCs w:val="26"/>
        </w:rPr>
      </w:pPr>
      <w:r w:rsidRPr="000117E5">
        <w:rPr>
          <w:sz w:val="26"/>
          <w:szCs w:val="26"/>
        </w:rPr>
        <w:t>Attiecībā uz Latviju EK secinājusi</w:t>
      </w:r>
      <w:r w:rsidRPr="000117E5">
        <w:rPr>
          <w:rStyle w:val="FootnoteReference"/>
          <w:sz w:val="26"/>
          <w:szCs w:val="26"/>
        </w:rPr>
        <w:footnoteReference w:id="4"/>
      </w:r>
      <w:r w:rsidRPr="000117E5">
        <w:rPr>
          <w:sz w:val="26"/>
          <w:szCs w:val="26"/>
        </w:rPr>
        <w:t>, ka Latvij</w:t>
      </w:r>
      <w:r w:rsidR="006D0E90" w:rsidRPr="000117E5">
        <w:rPr>
          <w:sz w:val="26"/>
          <w:szCs w:val="26"/>
        </w:rPr>
        <w:t>ā</w:t>
      </w:r>
      <w:r w:rsidRPr="000117E5">
        <w:rPr>
          <w:sz w:val="26"/>
          <w:szCs w:val="26"/>
        </w:rPr>
        <w:t xml:space="preserve"> ir labs vides aizsardzības līmenis un kopumā augsta gaisa un ūdens kvalitāte. Valsts ir viena no bioloģiskās daudzveidības bagātākajām Eiropas valstīm ar iedibinātām dabas aizsardzības tradīcijām. Vides politikas īstenošana Latvijā noris labi, un ir mazs skaits sūdzību un pārkāpumu, kas minēts arī kā izcilības piemērs. Tomēr Latvijai problēmas joprojām sagādā atkritumu apsaimniekošana un it sevišķi pārstrāde, ar ko saistībā ir vajadzīgi lieli centieni, lai sasniegtu 2020.</w:t>
      </w:r>
      <w:r w:rsidR="00EB199E" w:rsidRPr="000117E5">
        <w:rPr>
          <w:sz w:val="26"/>
          <w:szCs w:val="26"/>
        </w:rPr>
        <w:t> </w:t>
      </w:r>
      <w:r w:rsidRPr="000117E5">
        <w:rPr>
          <w:sz w:val="26"/>
          <w:szCs w:val="26"/>
        </w:rPr>
        <w:t>gada pārstrādes mērķi 50</w:t>
      </w:r>
      <w:r w:rsidR="00EB199E" w:rsidRPr="000117E5">
        <w:rPr>
          <w:sz w:val="26"/>
          <w:szCs w:val="26"/>
        </w:rPr>
        <w:t> </w:t>
      </w:r>
      <w:r w:rsidRPr="000117E5">
        <w:rPr>
          <w:sz w:val="26"/>
          <w:szCs w:val="26"/>
        </w:rPr>
        <w:t>% apmērā. Tāpat uzlabojumi ir iespējami saistībā ar resursu izmantošanas intensitātes jautājumu risināšanu. Latvijai varētu lieti noderēt strukturētāka pieeja un politikas atbalsts aprites ekonomikai, kā arī mērķtiecīga ekoinovāciju politika.</w:t>
      </w:r>
    </w:p>
    <w:p w14:paraId="30119737" w14:textId="77777777" w:rsidR="000117E5" w:rsidRPr="000117E5" w:rsidRDefault="000117E5" w:rsidP="000117E5">
      <w:pPr>
        <w:ind w:firstLine="720"/>
        <w:jc w:val="both"/>
        <w:rPr>
          <w:sz w:val="26"/>
          <w:szCs w:val="26"/>
        </w:rPr>
      </w:pPr>
    </w:p>
    <w:p w14:paraId="3515C573" w14:textId="77777777" w:rsidR="00A97950" w:rsidRPr="000117E5" w:rsidRDefault="00A97950" w:rsidP="000117E5">
      <w:pPr>
        <w:rPr>
          <w:rFonts w:eastAsia="Calibri"/>
          <w:b/>
          <w:iCs/>
          <w:sz w:val="26"/>
          <w:szCs w:val="26"/>
          <w:u w:val="single"/>
        </w:rPr>
      </w:pPr>
      <w:r w:rsidRPr="000117E5">
        <w:rPr>
          <w:rFonts w:eastAsia="Calibri"/>
          <w:b/>
          <w:iCs/>
          <w:sz w:val="26"/>
          <w:szCs w:val="26"/>
          <w:u w:val="single"/>
        </w:rPr>
        <w:t>Latvijas viedoklis</w:t>
      </w:r>
    </w:p>
    <w:p w14:paraId="5417923F" w14:textId="5E46D8BC" w:rsidR="003F439F" w:rsidRPr="000117E5" w:rsidRDefault="003B0C59" w:rsidP="000117E5">
      <w:pPr>
        <w:ind w:firstLine="709"/>
        <w:jc w:val="both"/>
        <w:rPr>
          <w:sz w:val="26"/>
          <w:szCs w:val="26"/>
        </w:rPr>
      </w:pPr>
      <w:r w:rsidRPr="000117E5">
        <w:rPr>
          <w:sz w:val="26"/>
          <w:szCs w:val="26"/>
        </w:rPr>
        <w:t>Padomē plānota viedokļu apmaiņa balstoties uz</w:t>
      </w:r>
      <w:r w:rsidR="003F439F" w:rsidRPr="000117E5">
        <w:rPr>
          <w:sz w:val="26"/>
          <w:szCs w:val="26"/>
        </w:rPr>
        <w:t xml:space="preserve"> Maltas prezidentūras sagatavotajiem jautājumiem:</w:t>
      </w:r>
    </w:p>
    <w:p w14:paraId="60BECF74" w14:textId="77777777" w:rsidR="000117E5" w:rsidRPr="000117E5" w:rsidRDefault="000117E5" w:rsidP="000117E5">
      <w:pPr>
        <w:ind w:firstLine="709"/>
        <w:jc w:val="both"/>
        <w:rPr>
          <w:sz w:val="26"/>
          <w:szCs w:val="26"/>
        </w:rPr>
      </w:pPr>
    </w:p>
    <w:p w14:paraId="154CDA0B" w14:textId="6425CD84" w:rsidR="00A071C6" w:rsidRPr="0013502D" w:rsidRDefault="003F439F" w:rsidP="0013502D">
      <w:pPr>
        <w:jc w:val="both"/>
        <w:rPr>
          <w:sz w:val="26"/>
          <w:szCs w:val="26"/>
        </w:rPr>
      </w:pPr>
      <w:r w:rsidRPr="000117E5">
        <w:rPr>
          <w:i/>
          <w:iCs/>
          <w:sz w:val="26"/>
          <w:szCs w:val="26"/>
        </w:rPr>
        <w:t>1</w:t>
      </w:r>
      <w:r w:rsidR="006D0E90" w:rsidRPr="000117E5">
        <w:rPr>
          <w:i/>
          <w:iCs/>
          <w:sz w:val="26"/>
          <w:szCs w:val="26"/>
        </w:rPr>
        <w:t>.</w:t>
      </w:r>
      <w:r w:rsidR="006D0E90" w:rsidRPr="000117E5">
        <w:rPr>
          <w:i/>
          <w:iCs/>
          <w:sz w:val="26"/>
          <w:szCs w:val="26"/>
        </w:rPr>
        <w:tab/>
      </w:r>
      <w:r w:rsidRPr="0013502D">
        <w:rPr>
          <w:i/>
          <w:iCs/>
          <w:sz w:val="26"/>
          <w:szCs w:val="26"/>
        </w:rPr>
        <w:t>Ņemot vērā iepriekš minēto, kādi vissvarīgākie ilgtspējīgas attīstības un vides elementi trūkst gada izaugsmes pētījumā par 2017.</w:t>
      </w:r>
      <w:r w:rsidR="00EB199E" w:rsidRPr="0013502D">
        <w:rPr>
          <w:i/>
          <w:iCs/>
          <w:sz w:val="26"/>
          <w:szCs w:val="26"/>
        </w:rPr>
        <w:t> </w:t>
      </w:r>
      <w:r w:rsidRPr="0013502D">
        <w:rPr>
          <w:i/>
          <w:iCs/>
          <w:sz w:val="26"/>
          <w:szCs w:val="26"/>
        </w:rPr>
        <w:t>gadu?</w:t>
      </w:r>
    </w:p>
    <w:p w14:paraId="1FB9AB1E" w14:textId="0C3821FC" w:rsidR="0013502D" w:rsidRPr="002D111A" w:rsidRDefault="0013502D" w:rsidP="0013502D">
      <w:pPr>
        <w:pStyle w:val="NormalWeb"/>
        <w:spacing w:before="0" w:after="0"/>
        <w:ind w:left="0" w:right="-1" w:firstLine="567"/>
        <w:jc w:val="both"/>
        <w:rPr>
          <w:iCs/>
          <w:sz w:val="26"/>
          <w:szCs w:val="26"/>
        </w:rPr>
      </w:pPr>
      <w:r w:rsidRPr="002D111A">
        <w:rPr>
          <w:iCs/>
          <w:sz w:val="26"/>
          <w:szCs w:val="26"/>
        </w:rPr>
        <w:t xml:space="preserve">Gada izaugsmes pārskatā par 2017. gadu iekļauti vispārīgo apgalvojumi par aprites ekonomiku, kas tikšot veicināta ar lielākām investīcijām ilgtspējīgā attīstībā. Šis dokuments ietver arī vairākas vides nozares, kas ir svarīgas aprites ekonomikas attīstībai. Dokuments neizceļ atsevišķi vides kvalitāti, bet netieši izvērtē vidi tikai caur investīciju un jaunu darba vietu radīšanas prizmu. </w:t>
      </w:r>
    </w:p>
    <w:p w14:paraId="3EABD2B2" w14:textId="724ADF85" w:rsidR="000117E5" w:rsidRPr="0013502D" w:rsidRDefault="0013502D" w:rsidP="0013502D">
      <w:pPr>
        <w:pStyle w:val="NormalWeb"/>
        <w:spacing w:before="0" w:after="0"/>
        <w:ind w:left="0" w:right="-1" w:firstLine="567"/>
        <w:jc w:val="both"/>
        <w:rPr>
          <w:iCs/>
          <w:sz w:val="26"/>
          <w:szCs w:val="26"/>
        </w:rPr>
      </w:pPr>
      <w:r w:rsidRPr="002D111A">
        <w:rPr>
          <w:iCs/>
          <w:sz w:val="26"/>
          <w:szCs w:val="26"/>
        </w:rPr>
        <w:t>Šobrīd Gada izaugsmes pārskatam trūkst sasaistes un mērķu saskaņotības ar 7. Vides rīcības programmā (periodam līdz 2020.gadam) noteikto, sevišķi </w:t>
      </w:r>
      <w:r w:rsidRPr="002D111A">
        <w:rPr>
          <w:iCs/>
          <w:sz w:val="26"/>
          <w:szCs w:val="26"/>
        </w:rPr>
        <w:noBreakHyphen/>
        <w:t xml:space="preserve"> aizsargāt un saglabāt dabas kapitālu un aizsargāt Savienības iedzīvotājus no ietekmes saistībā ar vidi un veselības un labklājības riska. Šie vides aspekti ir svarīgi, plānojot un īstenojot ilgtspējīgu attīstību, kas ļauj nenoplicināt dabas kapitālu.  </w:t>
      </w:r>
    </w:p>
    <w:p w14:paraId="40559AC2" w14:textId="4AE17032" w:rsidR="00A071C6" w:rsidRPr="000117E5" w:rsidRDefault="003F439F" w:rsidP="000117E5">
      <w:pPr>
        <w:jc w:val="both"/>
        <w:rPr>
          <w:i/>
          <w:iCs/>
          <w:sz w:val="26"/>
          <w:szCs w:val="26"/>
        </w:rPr>
      </w:pPr>
      <w:r w:rsidRPr="000117E5">
        <w:rPr>
          <w:i/>
          <w:iCs/>
          <w:sz w:val="26"/>
          <w:szCs w:val="26"/>
        </w:rPr>
        <w:lastRenderedPageBreak/>
        <w:t>2</w:t>
      </w:r>
      <w:r w:rsidR="006D0E90" w:rsidRPr="000117E5">
        <w:rPr>
          <w:i/>
          <w:iCs/>
          <w:sz w:val="26"/>
          <w:szCs w:val="26"/>
        </w:rPr>
        <w:t>.</w:t>
      </w:r>
      <w:r w:rsidR="006D0E90" w:rsidRPr="000117E5">
        <w:rPr>
          <w:i/>
          <w:iCs/>
          <w:sz w:val="26"/>
          <w:szCs w:val="26"/>
        </w:rPr>
        <w:tab/>
      </w:r>
      <w:r w:rsidRPr="000117E5">
        <w:rPr>
          <w:i/>
          <w:iCs/>
          <w:sz w:val="26"/>
          <w:szCs w:val="26"/>
        </w:rPr>
        <w:t>Kā mēs varētu nodrošināt to, ka ar Vides politikas īstenošanas pārskatu tiek veicināta Eiropas pusgada zaļināšanas mērķu sasniegšana? Kāda loma Vides politikas īstenošanas pārskatam varētu būt zaļināšanas procesā?</w:t>
      </w:r>
    </w:p>
    <w:p w14:paraId="218E3CD0" w14:textId="27F3EAAE" w:rsidR="003F439F" w:rsidRPr="000117E5" w:rsidRDefault="003F439F" w:rsidP="000117E5">
      <w:pPr>
        <w:pStyle w:val="NormalWeb"/>
        <w:spacing w:before="0" w:after="0"/>
        <w:ind w:left="0" w:right="-1" w:firstLine="567"/>
        <w:jc w:val="both"/>
        <w:rPr>
          <w:iCs/>
          <w:sz w:val="26"/>
          <w:szCs w:val="26"/>
        </w:rPr>
      </w:pPr>
      <w:r w:rsidRPr="000117E5">
        <w:rPr>
          <w:iCs/>
          <w:sz w:val="26"/>
          <w:szCs w:val="26"/>
        </w:rPr>
        <w:t xml:space="preserve">Dialogos par EIR, kas tiks organizēti starp katru dalībvalsti un </w:t>
      </w:r>
      <w:r w:rsidR="006D0E90" w:rsidRPr="000117E5">
        <w:rPr>
          <w:iCs/>
          <w:sz w:val="26"/>
          <w:szCs w:val="26"/>
        </w:rPr>
        <w:t>EK</w:t>
      </w:r>
      <w:r w:rsidRPr="000117E5">
        <w:rPr>
          <w:iCs/>
          <w:sz w:val="26"/>
          <w:szCs w:val="26"/>
        </w:rPr>
        <w:t xml:space="preserve">, ir jāiesaista ne tikai vides, bet arī citu nozaru pārstāvjus no dalībvalstu puses. </w:t>
      </w:r>
    </w:p>
    <w:p w14:paraId="68BFCDE1" w14:textId="77777777" w:rsidR="003F439F" w:rsidRPr="000117E5" w:rsidRDefault="003F439F" w:rsidP="000117E5">
      <w:pPr>
        <w:pStyle w:val="NormalWeb"/>
        <w:spacing w:before="0" w:after="0"/>
        <w:ind w:left="0" w:right="-1" w:firstLine="567"/>
        <w:jc w:val="both"/>
        <w:rPr>
          <w:iCs/>
          <w:sz w:val="26"/>
          <w:szCs w:val="26"/>
        </w:rPr>
      </w:pPr>
      <w:r w:rsidRPr="000117E5">
        <w:rPr>
          <w:iCs/>
          <w:sz w:val="26"/>
          <w:szCs w:val="26"/>
        </w:rPr>
        <w:t>Ņemot vērā, ka šis pārskats nav ierobežots tikai ar dažām tēmām, tas var iekļaut starpsektorālos aspektus. Gan problēmu apskatā, gan izteiktajos ierosinājumos ir iespējams apskatīt jautājumus, kas pārsniedz vides aizsardzības kompetenci šaurā nozīmē.</w:t>
      </w:r>
    </w:p>
    <w:p w14:paraId="76DAB056" w14:textId="77777777" w:rsidR="000117E5" w:rsidRPr="000117E5" w:rsidRDefault="000117E5" w:rsidP="000117E5">
      <w:pPr>
        <w:pStyle w:val="NormalWeb"/>
        <w:spacing w:before="0" w:after="0"/>
        <w:ind w:left="0" w:right="-1" w:firstLine="567"/>
        <w:jc w:val="both"/>
        <w:rPr>
          <w:iCs/>
          <w:sz w:val="26"/>
          <w:szCs w:val="26"/>
        </w:rPr>
      </w:pPr>
    </w:p>
    <w:p w14:paraId="64F42CC1" w14:textId="194A1A58" w:rsidR="003F439F" w:rsidRPr="000117E5" w:rsidRDefault="003F439F" w:rsidP="000117E5">
      <w:pPr>
        <w:pStyle w:val="NormalWeb"/>
        <w:spacing w:before="0" w:after="0"/>
        <w:ind w:left="0" w:right="-1"/>
        <w:jc w:val="both"/>
        <w:rPr>
          <w:i/>
          <w:iCs/>
          <w:sz w:val="26"/>
          <w:szCs w:val="26"/>
        </w:rPr>
      </w:pPr>
      <w:r w:rsidRPr="000117E5">
        <w:rPr>
          <w:i/>
          <w:iCs/>
          <w:sz w:val="26"/>
          <w:szCs w:val="26"/>
        </w:rPr>
        <w:t>3</w:t>
      </w:r>
      <w:r w:rsidR="006D0E90" w:rsidRPr="000117E5">
        <w:rPr>
          <w:i/>
          <w:iCs/>
          <w:sz w:val="26"/>
          <w:szCs w:val="26"/>
        </w:rPr>
        <w:t>.</w:t>
      </w:r>
      <w:r w:rsidR="006D0E90" w:rsidRPr="000117E5">
        <w:rPr>
          <w:i/>
          <w:iCs/>
          <w:sz w:val="26"/>
          <w:szCs w:val="26"/>
        </w:rPr>
        <w:tab/>
      </w:r>
      <w:r w:rsidRPr="000117E5">
        <w:rPr>
          <w:i/>
          <w:iCs/>
          <w:sz w:val="26"/>
          <w:szCs w:val="26"/>
        </w:rPr>
        <w:t>Kā mēs vislabāk varētu izmantot Vides politikas īstenošanas pārskatu kā instrumentu, lai efektīvi īstenotu ES vides politiku un tiesību aktus, jo īpaši 7.</w:t>
      </w:r>
      <w:r w:rsidR="00EB199E" w:rsidRPr="000117E5">
        <w:rPr>
          <w:i/>
          <w:iCs/>
          <w:sz w:val="26"/>
          <w:szCs w:val="26"/>
        </w:rPr>
        <w:t> Vides rīcības programmu</w:t>
      </w:r>
      <w:r w:rsidRPr="000117E5">
        <w:rPr>
          <w:i/>
          <w:iCs/>
          <w:sz w:val="26"/>
          <w:szCs w:val="26"/>
        </w:rPr>
        <w:t>, kā arī Ilgtspējīgas attīstības programmu 2030.</w:t>
      </w:r>
      <w:r w:rsidR="00EB199E" w:rsidRPr="000117E5">
        <w:rPr>
          <w:i/>
          <w:iCs/>
          <w:sz w:val="26"/>
          <w:szCs w:val="26"/>
        </w:rPr>
        <w:t> </w:t>
      </w:r>
      <w:r w:rsidRPr="000117E5">
        <w:rPr>
          <w:i/>
          <w:iCs/>
          <w:sz w:val="26"/>
          <w:szCs w:val="26"/>
        </w:rPr>
        <w:t>gadam?</w:t>
      </w:r>
    </w:p>
    <w:p w14:paraId="0E671116" w14:textId="77777777" w:rsidR="003F439F" w:rsidRPr="000117E5" w:rsidRDefault="003F439F" w:rsidP="000117E5">
      <w:pPr>
        <w:pStyle w:val="NormalWeb"/>
        <w:spacing w:before="0" w:after="0"/>
        <w:ind w:left="0" w:right="-1" w:firstLine="567"/>
        <w:jc w:val="both"/>
        <w:rPr>
          <w:iCs/>
          <w:sz w:val="26"/>
          <w:szCs w:val="26"/>
        </w:rPr>
      </w:pPr>
      <w:r w:rsidRPr="000117E5">
        <w:rPr>
          <w:iCs/>
          <w:sz w:val="26"/>
          <w:szCs w:val="26"/>
        </w:rPr>
        <w:t xml:space="preserve">Ir vērtīgi, ka EIR ietver plašu skatījumu uz vides sfēru par katru dalībvalsti, un piekrītam, ka dalībvalstīm sava attīstība jāveido balstoties uz vides aizsardzības principu un vides stāvokļa uzlabošanu. </w:t>
      </w:r>
    </w:p>
    <w:p w14:paraId="750AA56E" w14:textId="1E520FF6" w:rsidR="003F439F" w:rsidRPr="000117E5" w:rsidRDefault="003F439F" w:rsidP="000117E5">
      <w:pPr>
        <w:pStyle w:val="NormalWeb"/>
        <w:spacing w:before="0" w:after="0"/>
        <w:ind w:left="0" w:right="-1" w:firstLine="567"/>
        <w:jc w:val="both"/>
        <w:rPr>
          <w:iCs/>
          <w:sz w:val="26"/>
          <w:szCs w:val="26"/>
        </w:rPr>
      </w:pPr>
      <w:r w:rsidRPr="000117E5">
        <w:rPr>
          <w:iCs/>
          <w:sz w:val="26"/>
          <w:szCs w:val="26"/>
        </w:rPr>
        <w:t>Uzskatām, ka pārskatā izteiktajiem ieteikumiem būtu jābūt mērķtiecīgi virzītiem, lai palīdzētu dalībvalstīm sasniegt noteiktos vides mērķus.</w:t>
      </w:r>
    </w:p>
    <w:p w14:paraId="2F1ED83F" w14:textId="77777777" w:rsidR="00A071C6" w:rsidRPr="000117E5" w:rsidRDefault="00A071C6" w:rsidP="000117E5">
      <w:pPr>
        <w:jc w:val="both"/>
        <w:rPr>
          <w:sz w:val="26"/>
          <w:szCs w:val="26"/>
        </w:rPr>
      </w:pPr>
    </w:p>
    <w:p w14:paraId="564B7E39" w14:textId="5E923CBA" w:rsidR="00920798" w:rsidRPr="000117E5" w:rsidRDefault="000117E5" w:rsidP="000117E5">
      <w:pPr>
        <w:shd w:val="clear" w:color="auto" w:fill="A6A6A6" w:themeFill="background1" w:themeFillShade="A6"/>
        <w:jc w:val="both"/>
        <w:rPr>
          <w:b/>
          <w:sz w:val="26"/>
          <w:szCs w:val="26"/>
        </w:rPr>
      </w:pPr>
      <w:r>
        <w:rPr>
          <w:b/>
          <w:sz w:val="26"/>
          <w:szCs w:val="26"/>
        </w:rPr>
        <w:t>4</w:t>
      </w:r>
      <w:r w:rsidR="00A35DD2" w:rsidRPr="000117E5">
        <w:rPr>
          <w:b/>
          <w:sz w:val="26"/>
          <w:szCs w:val="26"/>
        </w:rPr>
        <w:t>. </w:t>
      </w:r>
      <w:r w:rsidR="009C2A7E" w:rsidRPr="000117E5">
        <w:rPr>
          <w:b/>
          <w:sz w:val="26"/>
          <w:szCs w:val="26"/>
        </w:rPr>
        <w:t>Citi jautājumi:</w:t>
      </w:r>
    </w:p>
    <w:p w14:paraId="293625FA" w14:textId="4D5FA602" w:rsidR="00931124" w:rsidRPr="000117E5" w:rsidRDefault="00582E81" w:rsidP="000117E5">
      <w:pPr>
        <w:pStyle w:val="ListParagraph"/>
        <w:ind w:left="0" w:firstLine="720"/>
        <w:contextualSpacing w:val="0"/>
        <w:jc w:val="both"/>
        <w:rPr>
          <w:sz w:val="26"/>
          <w:szCs w:val="26"/>
        </w:rPr>
      </w:pPr>
      <w:r w:rsidRPr="000117E5">
        <w:rPr>
          <w:sz w:val="26"/>
          <w:szCs w:val="26"/>
        </w:rPr>
        <w:t>Š</w:t>
      </w:r>
      <w:r w:rsidR="005D346E" w:rsidRPr="000117E5">
        <w:rPr>
          <w:sz w:val="26"/>
          <w:szCs w:val="26"/>
          <w:lang w:eastAsia="en-US"/>
        </w:rPr>
        <w:t xml:space="preserve">ā gada </w:t>
      </w:r>
      <w:r w:rsidR="00A071C6" w:rsidRPr="000117E5">
        <w:rPr>
          <w:sz w:val="26"/>
          <w:szCs w:val="26"/>
          <w:lang w:eastAsia="en-US"/>
        </w:rPr>
        <w:t>28</w:t>
      </w:r>
      <w:r w:rsidR="00316C59" w:rsidRPr="000117E5">
        <w:rPr>
          <w:sz w:val="26"/>
          <w:szCs w:val="26"/>
          <w:lang w:eastAsia="en-US"/>
        </w:rPr>
        <w:t>.</w:t>
      </w:r>
      <w:r w:rsidRPr="000117E5">
        <w:rPr>
          <w:sz w:val="26"/>
          <w:szCs w:val="26"/>
          <w:lang w:eastAsia="en-US"/>
        </w:rPr>
        <w:t> </w:t>
      </w:r>
      <w:r w:rsidR="00A071C6" w:rsidRPr="000117E5">
        <w:rPr>
          <w:sz w:val="26"/>
          <w:szCs w:val="26"/>
          <w:lang w:eastAsia="en-US"/>
        </w:rPr>
        <w:t>februāra</w:t>
      </w:r>
      <w:r w:rsidR="005D346E" w:rsidRPr="000117E5">
        <w:rPr>
          <w:sz w:val="26"/>
          <w:szCs w:val="26"/>
          <w:lang w:eastAsia="en-US"/>
        </w:rPr>
        <w:t xml:space="preserve"> </w:t>
      </w:r>
      <w:r w:rsidR="006E35B5" w:rsidRPr="000117E5">
        <w:rPr>
          <w:sz w:val="26"/>
          <w:szCs w:val="26"/>
          <w:lang w:eastAsia="en-US"/>
        </w:rPr>
        <w:t xml:space="preserve">ES </w:t>
      </w:r>
      <w:r w:rsidR="005D346E" w:rsidRPr="000117E5">
        <w:rPr>
          <w:sz w:val="26"/>
          <w:szCs w:val="26"/>
          <w:lang w:eastAsia="en-US"/>
        </w:rPr>
        <w:t xml:space="preserve">Vides ministru </w:t>
      </w:r>
      <w:r w:rsidR="00761B93" w:rsidRPr="000117E5">
        <w:rPr>
          <w:sz w:val="26"/>
          <w:szCs w:val="26"/>
        </w:rPr>
        <w:t xml:space="preserve">padomes </w:t>
      </w:r>
      <w:r w:rsidR="00BF19FE" w:rsidRPr="000117E5">
        <w:rPr>
          <w:sz w:val="26"/>
          <w:szCs w:val="26"/>
        </w:rPr>
        <w:t xml:space="preserve">sanāksmes </w:t>
      </w:r>
      <w:r w:rsidR="00761B93" w:rsidRPr="000117E5">
        <w:rPr>
          <w:sz w:val="26"/>
          <w:szCs w:val="26"/>
        </w:rPr>
        <w:t xml:space="preserve">darba kārtības sadaļā „Citi jautājumi” iekļauti </w:t>
      </w:r>
      <w:r w:rsidR="00BF19FE" w:rsidRPr="000117E5">
        <w:rPr>
          <w:sz w:val="26"/>
          <w:szCs w:val="26"/>
        </w:rPr>
        <w:t>šādi</w:t>
      </w:r>
      <w:r w:rsidR="00761B93" w:rsidRPr="000117E5">
        <w:rPr>
          <w:sz w:val="26"/>
          <w:szCs w:val="26"/>
        </w:rPr>
        <w:t xml:space="preserve"> informatīvi jautājumi, ko Latvija pieņem zināšanai:</w:t>
      </w:r>
    </w:p>
    <w:p w14:paraId="13297859" w14:textId="77777777" w:rsidR="000117E5" w:rsidRPr="000117E5" w:rsidRDefault="000117E5" w:rsidP="000117E5">
      <w:pPr>
        <w:pStyle w:val="ListParagraph"/>
        <w:ind w:left="0" w:firstLine="720"/>
        <w:contextualSpacing w:val="0"/>
        <w:jc w:val="both"/>
        <w:rPr>
          <w:sz w:val="26"/>
          <w:szCs w:val="26"/>
        </w:rPr>
      </w:pPr>
    </w:p>
    <w:p w14:paraId="62C377E9" w14:textId="04F2B349" w:rsidR="00A97950" w:rsidRPr="000117E5" w:rsidRDefault="00DB60C8" w:rsidP="000117E5">
      <w:pPr>
        <w:pStyle w:val="PointManual"/>
        <w:spacing w:before="0"/>
        <w:jc w:val="both"/>
        <w:rPr>
          <w:b/>
          <w:i/>
          <w:sz w:val="26"/>
          <w:szCs w:val="26"/>
        </w:rPr>
      </w:pPr>
      <w:r w:rsidRPr="000117E5">
        <w:rPr>
          <w:b/>
          <w:sz w:val="26"/>
          <w:szCs w:val="26"/>
        </w:rPr>
        <w:t>1</w:t>
      </w:r>
      <w:r w:rsidR="00EB199E" w:rsidRPr="000117E5">
        <w:rPr>
          <w:b/>
          <w:sz w:val="26"/>
          <w:szCs w:val="26"/>
        </w:rPr>
        <w:t>. </w:t>
      </w:r>
      <w:r w:rsidR="00A97950" w:rsidRPr="000117E5">
        <w:rPr>
          <w:b/>
          <w:sz w:val="26"/>
          <w:szCs w:val="26"/>
        </w:rPr>
        <w:t>Emisijas kvotu tirdzniecības sistēma (ETS) – Aviācija</w:t>
      </w:r>
      <w:r w:rsidR="000117E5" w:rsidRPr="000117E5">
        <w:rPr>
          <w:sz w:val="26"/>
          <w:szCs w:val="26"/>
        </w:rPr>
        <w:t> – </w:t>
      </w:r>
      <w:r w:rsidR="00A97950" w:rsidRPr="000117E5">
        <w:rPr>
          <w:i/>
          <w:sz w:val="26"/>
          <w:szCs w:val="26"/>
        </w:rPr>
        <w:t>EK sniegta informācija</w:t>
      </w:r>
    </w:p>
    <w:p w14:paraId="70498F52" w14:textId="12380FBE" w:rsidR="00877EC4" w:rsidRPr="000117E5" w:rsidRDefault="00EB199E" w:rsidP="000117E5">
      <w:pPr>
        <w:ind w:firstLine="720"/>
        <w:jc w:val="both"/>
        <w:rPr>
          <w:sz w:val="26"/>
          <w:szCs w:val="26"/>
        </w:rPr>
      </w:pPr>
      <w:r w:rsidRPr="000117E5">
        <w:rPr>
          <w:sz w:val="26"/>
          <w:szCs w:val="26"/>
        </w:rPr>
        <w:t xml:space="preserve">EK </w:t>
      </w:r>
      <w:r w:rsidR="00DB60C8" w:rsidRPr="000117E5">
        <w:rPr>
          <w:sz w:val="26"/>
          <w:szCs w:val="26"/>
        </w:rPr>
        <w:t>2017.</w:t>
      </w:r>
      <w:r w:rsidRPr="000117E5">
        <w:rPr>
          <w:sz w:val="26"/>
          <w:szCs w:val="26"/>
        </w:rPr>
        <w:t> </w:t>
      </w:r>
      <w:r w:rsidR="00DB60C8" w:rsidRPr="000117E5">
        <w:rPr>
          <w:sz w:val="26"/>
          <w:szCs w:val="26"/>
        </w:rPr>
        <w:t>gada 3.</w:t>
      </w:r>
      <w:r w:rsidRPr="000117E5">
        <w:rPr>
          <w:sz w:val="26"/>
          <w:szCs w:val="26"/>
        </w:rPr>
        <w:t> </w:t>
      </w:r>
      <w:r w:rsidR="00DB60C8" w:rsidRPr="000117E5">
        <w:rPr>
          <w:sz w:val="26"/>
          <w:szCs w:val="26"/>
        </w:rPr>
        <w:t>februārī publicēja priekšlikumu Regulai</w:t>
      </w:r>
      <w:r w:rsidRPr="000117E5">
        <w:rPr>
          <w:sz w:val="26"/>
          <w:szCs w:val="26"/>
        </w:rPr>
        <w:t>,</w:t>
      </w:r>
      <w:r w:rsidR="00DB60C8" w:rsidRPr="000117E5">
        <w:rPr>
          <w:sz w:val="26"/>
          <w:szCs w:val="26"/>
        </w:rPr>
        <w:t xml:space="preserve"> ar ko groza Direktīvu 2003/87/EK nolūkā saglabāt pašreizējo darbības jomas ierobežojumu attiecībā uz aviācijas darbības darbībām un sagatavoties globālā tirgus pasākuma ieviešanai no 2021.</w:t>
      </w:r>
      <w:r w:rsidR="00877EC4" w:rsidRPr="000117E5">
        <w:rPr>
          <w:sz w:val="26"/>
          <w:szCs w:val="26"/>
        </w:rPr>
        <w:t> </w:t>
      </w:r>
      <w:r w:rsidR="00DB60C8" w:rsidRPr="000117E5">
        <w:rPr>
          <w:sz w:val="26"/>
          <w:szCs w:val="26"/>
        </w:rPr>
        <w:t>gada</w:t>
      </w:r>
      <w:r w:rsidR="00DB60C8" w:rsidRPr="000117E5">
        <w:rPr>
          <w:sz w:val="26"/>
          <w:szCs w:val="26"/>
          <w:vertAlign w:val="superscript"/>
        </w:rPr>
        <w:footnoteReference w:id="5"/>
      </w:r>
      <w:r w:rsidR="00F359AD" w:rsidRPr="000117E5">
        <w:rPr>
          <w:sz w:val="26"/>
          <w:szCs w:val="26"/>
        </w:rPr>
        <w:t xml:space="preserve"> (turpmāk</w:t>
      </w:r>
      <w:r w:rsidR="000117E5" w:rsidRPr="000117E5">
        <w:rPr>
          <w:sz w:val="26"/>
          <w:szCs w:val="26"/>
        </w:rPr>
        <w:t> – </w:t>
      </w:r>
      <w:r w:rsidR="00F359AD" w:rsidRPr="000117E5">
        <w:rPr>
          <w:sz w:val="26"/>
          <w:szCs w:val="26"/>
        </w:rPr>
        <w:t>Regulas projekts)</w:t>
      </w:r>
      <w:r w:rsidR="00DB60C8" w:rsidRPr="000117E5">
        <w:rPr>
          <w:sz w:val="26"/>
          <w:szCs w:val="26"/>
        </w:rPr>
        <w:t>. Regulas projekts paredz paildzināt sašaurinātā ES ETS aptvēruma piemērošanu (t.i. iekļaut ES ETS tikai lidojumus no/uz EEZ lidlaukiem), kas saskaņā ar šobrīd spēkā esošajiem tiesību aktiem bija spēkā līdz 2016.</w:t>
      </w:r>
      <w:r w:rsidR="00877EC4" w:rsidRPr="000117E5">
        <w:rPr>
          <w:sz w:val="26"/>
          <w:szCs w:val="26"/>
        </w:rPr>
        <w:t> </w:t>
      </w:r>
      <w:r w:rsidR="00DB60C8" w:rsidRPr="000117E5">
        <w:rPr>
          <w:sz w:val="26"/>
          <w:szCs w:val="26"/>
        </w:rPr>
        <w:t>gada 31.</w:t>
      </w:r>
      <w:r w:rsidR="00877EC4" w:rsidRPr="000117E5">
        <w:rPr>
          <w:sz w:val="26"/>
          <w:szCs w:val="26"/>
        </w:rPr>
        <w:t> </w:t>
      </w:r>
      <w:r w:rsidR="00DB60C8" w:rsidRPr="000117E5">
        <w:rPr>
          <w:sz w:val="26"/>
          <w:szCs w:val="26"/>
        </w:rPr>
        <w:t>decembrim</w:t>
      </w:r>
      <w:r w:rsidR="00DB60C8" w:rsidRPr="000117E5">
        <w:rPr>
          <w:sz w:val="26"/>
          <w:szCs w:val="26"/>
          <w:vertAlign w:val="superscript"/>
        </w:rPr>
        <w:footnoteReference w:id="6"/>
      </w:r>
      <w:r w:rsidR="00DB60C8" w:rsidRPr="000117E5">
        <w:rPr>
          <w:sz w:val="26"/>
          <w:szCs w:val="26"/>
        </w:rPr>
        <w:t>. Sākot ar 2017.</w:t>
      </w:r>
      <w:r w:rsidR="00877EC4" w:rsidRPr="000117E5">
        <w:rPr>
          <w:sz w:val="26"/>
          <w:szCs w:val="26"/>
        </w:rPr>
        <w:t> </w:t>
      </w:r>
      <w:r w:rsidR="00DB60C8" w:rsidRPr="000117E5">
        <w:rPr>
          <w:sz w:val="26"/>
          <w:szCs w:val="26"/>
        </w:rPr>
        <w:t>gadu ES ETS bija jāiekļauj visi lidojumi no/uz EEZ lidlaukiem, kā arī no/uz EEZ un trešo valstu lidlaukiem. Tomēr ņemot vērā progresu, kas tika sasniegts 2016.</w:t>
      </w:r>
      <w:r w:rsidR="00877EC4" w:rsidRPr="000117E5">
        <w:rPr>
          <w:sz w:val="26"/>
          <w:szCs w:val="26"/>
        </w:rPr>
        <w:t> </w:t>
      </w:r>
      <w:r w:rsidR="00DB60C8" w:rsidRPr="000117E5">
        <w:rPr>
          <w:sz w:val="26"/>
          <w:szCs w:val="26"/>
        </w:rPr>
        <w:t xml:space="preserve">gadā notikušajā </w:t>
      </w:r>
      <w:r w:rsidR="00877EC4" w:rsidRPr="000117E5">
        <w:rPr>
          <w:sz w:val="26"/>
          <w:szCs w:val="26"/>
        </w:rPr>
        <w:t>Starptautiskās Civilās aviācijas organizācijas (</w:t>
      </w:r>
      <w:r w:rsidR="00DB60C8" w:rsidRPr="000117E5">
        <w:rPr>
          <w:i/>
          <w:sz w:val="26"/>
          <w:szCs w:val="26"/>
        </w:rPr>
        <w:t>ICAO</w:t>
      </w:r>
      <w:r w:rsidR="00877EC4" w:rsidRPr="000117E5">
        <w:rPr>
          <w:sz w:val="26"/>
          <w:szCs w:val="26"/>
        </w:rPr>
        <w:t>)</w:t>
      </w:r>
      <w:r w:rsidR="00DB60C8" w:rsidRPr="000117E5">
        <w:rPr>
          <w:sz w:val="26"/>
          <w:szCs w:val="26"/>
        </w:rPr>
        <w:t xml:space="preserve"> 39.</w:t>
      </w:r>
      <w:r w:rsidR="00877EC4" w:rsidRPr="000117E5">
        <w:rPr>
          <w:sz w:val="26"/>
          <w:szCs w:val="26"/>
        </w:rPr>
        <w:t> </w:t>
      </w:r>
      <w:r w:rsidR="00DB60C8" w:rsidRPr="000117E5">
        <w:rPr>
          <w:sz w:val="26"/>
          <w:szCs w:val="26"/>
        </w:rPr>
        <w:t>asamblejā, kurā tika pieņemta rezolūcija Nr.</w:t>
      </w:r>
      <w:r w:rsidR="00877EC4" w:rsidRPr="000117E5">
        <w:rPr>
          <w:sz w:val="26"/>
          <w:szCs w:val="26"/>
        </w:rPr>
        <w:t> </w:t>
      </w:r>
      <w:r w:rsidR="00DB60C8" w:rsidRPr="000117E5">
        <w:rPr>
          <w:sz w:val="26"/>
          <w:szCs w:val="26"/>
        </w:rPr>
        <w:t>A39-3</w:t>
      </w:r>
      <w:r w:rsidR="00DB60C8" w:rsidRPr="000117E5">
        <w:rPr>
          <w:sz w:val="26"/>
          <w:szCs w:val="26"/>
          <w:vertAlign w:val="superscript"/>
        </w:rPr>
        <w:footnoteReference w:id="7"/>
      </w:r>
      <w:r w:rsidR="00DB60C8" w:rsidRPr="000117E5">
        <w:rPr>
          <w:sz w:val="26"/>
          <w:szCs w:val="26"/>
        </w:rPr>
        <w:t>, kas paredz, sākot ar 2021.</w:t>
      </w:r>
      <w:r w:rsidR="00877EC4" w:rsidRPr="000117E5">
        <w:rPr>
          <w:sz w:val="26"/>
          <w:szCs w:val="26"/>
        </w:rPr>
        <w:t> </w:t>
      </w:r>
      <w:r w:rsidR="00D34DD6" w:rsidRPr="000117E5">
        <w:rPr>
          <w:sz w:val="26"/>
          <w:szCs w:val="26"/>
        </w:rPr>
        <w:t>g</w:t>
      </w:r>
      <w:r w:rsidR="00DB60C8" w:rsidRPr="000117E5">
        <w:rPr>
          <w:sz w:val="26"/>
          <w:szCs w:val="26"/>
        </w:rPr>
        <w:t>adu</w:t>
      </w:r>
      <w:r w:rsidR="00D34DD6" w:rsidRPr="000117E5">
        <w:rPr>
          <w:sz w:val="26"/>
          <w:szCs w:val="26"/>
        </w:rPr>
        <w:t xml:space="preserve"> </w:t>
      </w:r>
      <w:r w:rsidR="00DB60C8" w:rsidRPr="000117E5">
        <w:rPr>
          <w:sz w:val="26"/>
          <w:szCs w:val="26"/>
        </w:rPr>
        <w:t>ieviest globālu tirgus mehānismu (</w:t>
      </w:r>
      <w:r w:rsidR="00DB60C8" w:rsidRPr="000117E5">
        <w:rPr>
          <w:i/>
          <w:sz w:val="26"/>
          <w:szCs w:val="26"/>
        </w:rPr>
        <w:t>GMBM</w:t>
      </w:r>
      <w:r w:rsidR="00DB60C8" w:rsidRPr="000117E5">
        <w:rPr>
          <w:sz w:val="26"/>
          <w:szCs w:val="26"/>
        </w:rPr>
        <w:t>), lai noturētu emisijas no starptautiskās aviācijas 2020.</w:t>
      </w:r>
      <w:r w:rsidR="00877EC4" w:rsidRPr="000117E5">
        <w:rPr>
          <w:sz w:val="26"/>
          <w:szCs w:val="26"/>
        </w:rPr>
        <w:t> </w:t>
      </w:r>
      <w:r w:rsidR="00DB60C8" w:rsidRPr="000117E5">
        <w:rPr>
          <w:sz w:val="26"/>
          <w:szCs w:val="26"/>
        </w:rPr>
        <w:t>gada līmenī</w:t>
      </w:r>
      <w:r w:rsidR="00877EC4" w:rsidRPr="000117E5">
        <w:rPr>
          <w:sz w:val="26"/>
          <w:szCs w:val="26"/>
        </w:rPr>
        <w:t>.</w:t>
      </w:r>
      <w:r w:rsidR="00DB60C8" w:rsidRPr="000117E5">
        <w:rPr>
          <w:sz w:val="26"/>
          <w:szCs w:val="26"/>
        </w:rPr>
        <w:t xml:space="preserve"> </w:t>
      </w:r>
    </w:p>
    <w:p w14:paraId="0A6EB74B" w14:textId="7FB72D74" w:rsidR="00DB60C8" w:rsidRPr="000117E5" w:rsidRDefault="00DB60C8" w:rsidP="000117E5">
      <w:pPr>
        <w:ind w:firstLine="720"/>
        <w:jc w:val="both"/>
        <w:rPr>
          <w:sz w:val="26"/>
          <w:szCs w:val="26"/>
        </w:rPr>
      </w:pPr>
      <w:r w:rsidRPr="000117E5">
        <w:rPr>
          <w:sz w:val="26"/>
          <w:szCs w:val="26"/>
        </w:rPr>
        <w:t>Latvija šobrīd vēl vērtē Regulas projektu un tuvākajā laikā sagat</w:t>
      </w:r>
      <w:r w:rsidR="00D34DD6" w:rsidRPr="000117E5">
        <w:rPr>
          <w:sz w:val="26"/>
          <w:szCs w:val="26"/>
        </w:rPr>
        <w:t>a</w:t>
      </w:r>
      <w:r w:rsidRPr="000117E5">
        <w:rPr>
          <w:sz w:val="26"/>
          <w:szCs w:val="26"/>
        </w:rPr>
        <w:t xml:space="preserve">vos Latvijas nacionālās pozīcijas projektu.  </w:t>
      </w:r>
    </w:p>
    <w:p w14:paraId="7C4799EA" w14:textId="77777777" w:rsidR="00DB60C8" w:rsidRPr="000117E5" w:rsidRDefault="00DB60C8" w:rsidP="000117E5">
      <w:pPr>
        <w:pStyle w:val="PointManual"/>
        <w:spacing w:before="0"/>
        <w:ind w:left="720" w:firstLine="0"/>
        <w:jc w:val="both"/>
        <w:rPr>
          <w:sz w:val="26"/>
          <w:szCs w:val="26"/>
        </w:rPr>
      </w:pPr>
    </w:p>
    <w:p w14:paraId="3A1AF939" w14:textId="7A93A210" w:rsidR="00A97950" w:rsidRPr="000117E5" w:rsidRDefault="00A97950" w:rsidP="000117E5">
      <w:pPr>
        <w:pStyle w:val="PointManual1"/>
        <w:ind w:left="0" w:firstLine="0"/>
        <w:jc w:val="both"/>
        <w:rPr>
          <w:i/>
          <w:sz w:val="26"/>
          <w:szCs w:val="26"/>
        </w:rPr>
      </w:pPr>
      <w:r w:rsidRPr="000117E5">
        <w:rPr>
          <w:b/>
          <w:sz w:val="26"/>
          <w:szCs w:val="26"/>
        </w:rPr>
        <w:lastRenderedPageBreak/>
        <w:t>2</w:t>
      </w:r>
      <w:r w:rsidR="00F359AD" w:rsidRPr="000117E5">
        <w:rPr>
          <w:b/>
          <w:sz w:val="26"/>
          <w:szCs w:val="26"/>
        </w:rPr>
        <w:t>.</w:t>
      </w:r>
      <w:r w:rsidRPr="000117E5">
        <w:rPr>
          <w:b/>
          <w:sz w:val="26"/>
          <w:szCs w:val="26"/>
        </w:rPr>
        <w:t> ES rīcības plāns pārejai uz aprites ekonomiku</w:t>
      </w:r>
      <w:r w:rsidR="000117E5" w:rsidRPr="000117E5">
        <w:rPr>
          <w:sz w:val="26"/>
          <w:szCs w:val="26"/>
        </w:rPr>
        <w:t> – </w:t>
      </w:r>
      <w:r w:rsidRPr="000117E5">
        <w:rPr>
          <w:i/>
          <w:sz w:val="26"/>
          <w:szCs w:val="26"/>
        </w:rPr>
        <w:t>EK sniegta informācija par nesenākajām norisēm</w:t>
      </w:r>
    </w:p>
    <w:p w14:paraId="3B9C81C6" w14:textId="715AF071" w:rsidR="003F439F" w:rsidRPr="000117E5" w:rsidRDefault="00F359AD" w:rsidP="000117E5">
      <w:pPr>
        <w:tabs>
          <w:tab w:val="left" w:pos="0"/>
        </w:tabs>
        <w:suppressAutoHyphens/>
        <w:ind w:firstLine="709"/>
        <w:jc w:val="both"/>
        <w:rPr>
          <w:sz w:val="26"/>
          <w:szCs w:val="26"/>
          <w:lang w:eastAsia="zh-CN"/>
        </w:rPr>
      </w:pPr>
      <w:r w:rsidRPr="000117E5">
        <w:rPr>
          <w:sz w:val="26"/>
          <w:szCs w:val="26"/>
          <w:lang w:eastAsia="zh-CN"/>
        </w:rPr>
        <w:t xml:space="preserve">EK </w:t>
      </w:r>
      <w:r w:rsidR="003F439F" w:rsidRPr="000117E5">
        <w:rPr>
          <w:sz w:val="26"/>
          <w:szCs w:val="26"/>
          <w:lang w:eastAsia="zh-CN"/>
        </w:rPr>
        <w:t>2015.</w:t>
      </w:r>
      <w:r w:rsidRPr="000117E5">
        <w:rPr>
          <w:sz w:val="26"/>
          <w:szCs w:val="26"/>
          <w:lang w:eastAsia="zh-CN"/>
        </w:rPr>
        <w:t> </w:t>
      </w:r>
      <w:r w:rsidR="003F439F" w:rsidRPr="000117E5">
        <w:rPr>
          <w:sz w:val="26"/>
          <w:szCs w:val="26"/>
          <w:lang w:eastAsia="zh-CN"/>
        </w:rPr>
        <w:t>gada 2.</w:t>
      </w:r>
      <w:r w:rsidRPr="000117E5">
        <w:rPr>
          <w:sz w:val="26"/>
          <w:szCs w:val="26"/>
          <w:lang w:eastAsia="zh-CN"/>
        </w:rPr>
        <w:t> </w:t>
      </w:r>
      <w:r w:rsidR="003F439F" w:rsidRPr="000117E5">
        <w:rPr>
          <w:sz w:val="26"/>
          <w:szCs w:val="26"/>
          <w:lang w:eastAsia="zh-CN"/>
        </w:rPr>
        <w:t>decembrī nāca klajā ar paziņojumu „Noslēgt aprites loku</w:t>
      </w:r>
      <w:r w:rsidR="000117E5" w:rsidRPr="000117E5">
        <w:rPr>
          <w:sz w:val="26"/>
          <w:szCs w:val="26"/>
        </w:rPr>
        <w:t> – </w:t>
      </w:r>
      <w:r w:rsidR="003F439F" w:rsidRPr="000117E5">
        <w:rPr>
          <w:sz w:val="26"/>
          <w:szCs w:val="26"/>
          <w:lang w:eastAsia="zh-CN"/>
        </w:rPr>
        <w:t>ES rīcības plāns pārejai uz aprites ekonomiku”</w:t>
      </w:r>
      <w:r w:rsidRPr="000117E5">
        <w:rPr>
          <w:rStyle w:val="FootnoteReference"/>
          <w:sz w:val="26"/>
          <w:szCs w:val="26"/>
          <w:lang w:eastAsia="zh-CN"/>
        </w:rPr>
        <w:footnoteReference w:id="8"/>
      </w:r>
      <w:r w:rsidR="003F439F" w:rsidRPr="000117E5">
        <w:rPr>
          <w:sz w:val="26"/>
          <w:szCs w:val="26"/>
          <w:lang w:eastAsia="zh-CN"/>
        </w:rPr>
        <w:t>, detalizētu rīcības plānu un direktīvu projektus katrai ar atkritumu apsaimniekošanu saistītajai direktīvai (turpmāk</w:t>
      </w:r>
      <w:r w:rsidR="000117E5" w:rsidRPr="000117E5">
        <w:rPr>
          <w:sz w:val="26"/>
          <w:szCs w:val="26"/>
        </w:rPr>
        <w:t> – </w:t>
      </w:r>
      <w:r w:rsidR="003F439F" w:rsidRPr="000117E5">
        <w:rPr>
          <w:sz w:val="26"/>
          <w:szCs w:val="26"/>
          <w:lang w:eastAsia="zh-CN"/>
        </w:rPr>
        <w:t xml:space="preserve">Aprites ekonomikas pakotne). </w:t>
      </w:r>
      <w:r w:rsidRPr="000117E5">
        <w:rPr>
          <w:sz w:val="26"/>
          <w:szCs w:val="26"/>
          <w:lang w:eastAsia="zh-CN"/>
        </w:rPr>
        <w:t xml:space="preserve">EK </w:t>
      </w:r>
      <w:r w:rsidR="003F439F" w:rsidRPr="000117E5">
        <w:rPr>
          <w:sz w:val="26"/>
          <w:szCs w:val="26"/>
          <w:lang w:eastAsia="zh-CN"/>
        </w:rPr>
        <w:t>2017.</w:t>
      </w:r>
      <w:r w:rsidRPr="000117E5">
        <w:rPr>
          <w:sz w:val="26"/>
          <w:szCs w:val="26"/>
          <w:lang w:eastAsia="zh-CN"/>
        </w:rPr>
        <w:t> </w:t>
      </w:r>
      <w:r w:rsidR="003F439F" w:rsidRPr="000117E5">
        <w:rPr>
          <w:sz w:val="26"/>
          <w:szCs w:val="26"/>
          <w:lang w:eastAsia="zh-CN"/>
        </w:rPr>
        <w:t xml:space="preserve">gada </w:t>
      </w:r>
      <w:r w:rsidR="00D34DD6" w:rsidRPr="000117E5">
        <w:rPr>
          <w:sz w:val="26"/>
          <w:szCs w:val="26"/>
          <w:lang w:eastAsia="zh-CN"/>
        </w:rPr>
        <w:t>26</w:t>
      </w:r>
      <w:r w:rsidR="003F439F" w:rsidRPr="000117E5">
        <w:rPr>
          <w:sz w:val="26"/>
          <w:szCs w:val="26"/>
          <w:lang w:eastAsia="zh-CN"/>
        </w:rPr>
        <w:t>.</w:t>
      </w:r>
      <w:r w:rsidRPr="000117E5">
        <w:rPr>
          <w:sz w:val="26"/>
          <w:szCs w:val="26"/>
          <w:lang w:eastAsia="zh-CN"/>
        </w:rPr>
        <w:t> </w:t>
      </w:r>
      <w:r w:rsidR="00D34DD6" w:rsidRPr="000117E5">
        <w:rPr>
          <w:sz w:val="26"/>
          <w:szCs w:val="26"/>
          <w:lang w:eastAsia="zh-CN"/>
        </w:rPr>
        <w:t xml:space="preserve">janvārī </w:t>
      </w:r>
      <w:r w:rsidR="003F439F" w:rsidRPr="000117E5">
        <w:rPr>
          <w:sz w:val="26"/>
          <w:szCs w:val="26"/>
          <w:lang w:eastAsia="zh-CN"/>
        </w:rPr>
        <w:t>publicēja pārskatu par 2016.</w:t>
      </w:r>
      <w:r w:rsidRPr="000117E5">
        <w:rPr>
          <w:sz w:val="26"/>
          <w:szCs w:val="26"/>
          <w:lang w:eastAsia="zh-CN"/>
        </w:rPr>
        <w:t> </w:t>
      </w:r>
      <w:r w:rsidR="003F439F" w:rsidRPr="000117E5">
        <w:rPr>
          <w:sz w:val="26"/>
          <w:szCs w:val="26"/>
          <w:lang w:eastAsia="zh-CN"/>
        </w:rPr>
        <w:t>gadā īstenotajām aktivitātēm aprites ekonomikas veicināšanai</w:t>
      </w:r>
      <w:r w:rsidR="00D34DD6" w:rsidRPr="000117E5">
        <w:rPr>
          <w:rStyle w:val="FootnoteReference"/>
          <w:sz w:val="26"/>
          <w:szCs w:val="26"/>
          <w:lang w:eastAsia="zh-CN"/>
        </w:rPr>
        <w:footnoteReference w:id="9"/>
      </w:r>
      <w:r w:rsidR="003F439F" w:rsidRPr="000117E5">
        <w:rPr>
          <w:sz w:val="26"/>
          <w:szCs w:val="26"/>
          <w:lang w:eastAsia="zh-CN"/>
        </w:rPr>
        <w:t>.</w:t>
      </w:r>
    </w:p>
    <w:p w14:paraId="7E2B531B" w14:textId="7133F197" w:rsidR="003F439F" w:rsidRPr="000117E5" w:rsidRDefault="003F439F" w:rsidP="000117E5">
      <w:pPr>
        <w:tabs>
          <w:tab w:val="left" w:pos="0"/>
        </w:tabs>
        <w:suppressAutoHyphens/>
        <w:ind w:firstLine="709"/>
        <w:jc w:val="both"/>
        <w:rPr>
          <w:sz w:val="26"/>
          <w:szCs w:val="26"/>
          <w:lang w:eastAsia="zh-CN"/>
        </w:rPr>
      </w:pPr>
      <w:r w:rsidRPr="000117E5">
        <w:rPr>
          <w:sz w:val="26"/>
          <w:szCs w:val="26"/>
          <w:lang w:eastAsia="zh-CN"/>
        </w:rPr>
        <w:t xml:space="preserve">Latvija atzinīgi vērtē paveikto, gan izstrādājot </w:t>
      </w:r>
      <w:r w:rsidR="00F359AD" w:rsidRPr="000117E5">
        <w:rPr>
          <w:sz w:val="26"/>
          <w:szCs w:val="26"/>
          <w:lang w:eastAsia="zh-CN"/>
        </w:rPr>
        <w:t xml:space="preserve">ES </w:t>
      </w:r>
      <w:r w:rsidRPr="000117E5">
        <w:rPr>
          <w:sz w:val="26"/>
          <w:szCs w:val="26"/>
          <w:lang w:eastAsia="zh-CN"/>
        </w:rPr>
        <w:t>normatīvo aktu projektus, gan organizējot dažādas pieredzes apmaiņas grupas, piemēram, par pārtikas atkritumu apsaimniekošanu un to samazināšanu, un izstrādājot vadlīnijas.</w:t>
      </w:r>
    </w:p>
    <w:p w14:paraId="5F202C44" w14:textId="1EBB368F" w:rsidR="003F439F" w:rsidRPr="000117E5" w:rsidRDefault="003F439F" w:rsidP="000117E5">
      <w:pPr>
        <w:tabs>
          <w:tab w:val="left" w:pos="0"/>
        </w:tabs>
        <w:suppressAutoHyphens/>
        <w:ind w:firstLine="709"/>
        <w:jc w:val="both"/>
        <w:rPr>
          <w:sz w:val="26"/>
          <w:szCs w:val="26"/>
          <w:lang w:eastAsia="zh-CN"/>
        </w:rPr>
      </w:pPr>
      <w:r w:rsidRPr="000117E5">
        <w:rPr>
          <w:sz w:val="26"/>
          <w:szCs w:val="26"/>
          <w:lang w:eastAsia="zh-CN"/>
        </w:rPr>
        <w:t>Aicinām turpināt iesākto darbu, arvien paplašinot iesaistīto pušu (</w:t>
      </w:r>
      <w:r w:rsidR="00F359AD" w:rsidRPr="000117E5">
        <w:rPr>
          <w:i/>
          <w:sz w:val="26"/>
          <w:szCs w:val="26"/>
          <w:lang w:eastAsia="zh-CN"/>
        </w:rPr>
        <w:t>s</w:t>
      </w:r>
      <w:r w:rsidRPr="000117E5">
        <w:rPr>
          <w:i/>
          <w:sz w:val="26"/>
          <w:szCs w:val="26"/>
          <w:lang w:eastAsia="zh-CN"/>
        </w:rPr>
        <w:t>takeholder</w:t>
      </w:r>
      <w:r w:rsidRPr="000117E5">
        <w:rPr>
          <w:sz w:val="26"/>
          <w:szCs w:val="26"/>
          <w:lang w:eastAsia="zh-CN"/>
        </w:rPr>
        <w:t xml:space="preserve">) loku. Apzināmies, ka efektīva aprites ekonomikas ieviešana dalībvalstu un Eiropas Savienības līmenī nav īstenojama tikai izolēti vides jomā, bet gan iesaistot arī citu nozares un paredzot atbalsta programmas vai rīcības plānus uzņēmējdarbības aktīvai iesaistei aprites ekonomikā. </w:t>
      </w:r>
    </w:p>
    <w:p w14:paraId="4D3B10BB" w14:textId="77777777" w:rsidR="003F439F" w:rsidRPr="000117E5" w:rsidRDefault="003F439F" w:rsidP="000117E5">
      <w:pPr>
        <w:pStyle w:val="PointManual1"/>
        <w:ind w:left="0" w:firstLine="0"/>
        <w:jc w:val="both"/>
        <w:rPr>
          <w:sz w:val="26"/>
          <w:szCs w:val="26"/>
        </w:rPr>
      </w:pPr>
    </w:p>
    <w:p w14:paraId="4558EC97" w14:textId="718F2312" w:rsidR="00A97950" w:rsidRPr="000117E5" w:rsidRDefault="005C0EFB" w:rsidP="000117E5">
      <w:pPr>
        <w:pStyle w:val="PointManual1"/>
        <w:ind w:left="0" w:firstLine="0"/>
        <w:jc w:val="both"/>
        <w:rPr>
          <w:i/>
          <w:sz w:val="26"/>
          <w:szCs w:val="26"/>
        </w:rPr>
      </w:pPr>
      <w:r w:rsidRPr="000117E5">
        <w:rPr>
          <w:b/>
          <w:sz w:val="26"/>
          <w:szCs w:val="26"/>
        </w:rPr>
        <w:t>3</w:t>
      </w:r>
      <w:r w:rsidR="00F359AD" w:rsidRPr="000117E5">
        <w:rPr>
          <w:b/>
          <w:sz w:val="26"/>
          <w:szCs w:val="26"/>
        </w:rPr>
        <w:t>.</w:t>
      </w:r>
      <w:r w:rsidR="00A97950" w:rsidRPr="000117E5">
        <w:rPr>
          <w:b/>
          <w:sz w:val="26"/>
          <w:szCs w:val="26"/>
        </w:rPr>
        <w:t xml:space="preserve"> Zinātniska konference </w:t>
      </w:r>
      <w:r w:rsidR="006227B9" w:rsidRPr="000117E5">
        <w:rPr>
          <w:b/>
          <w:sz w:val="26"/>
          <w:szCs w:val="26"/>
        </w:rPr>
        <w:t>„</w:t>
      </w:r>
      <w:r w:rsidR="00A97950" w:rsidRPr="000117E5">
        <w:rPr>
          <w:b/>
          <w:sz w:val="26"/>
          <w:szCs w:val="26"/>
        </w:rPr>
        <w:t xml:space="preserve">Ilgtspējīga attīstība un klimata pārmaiņas, ņemot vērā Pāvesta Franciska encikliku </w:t>
      </w:r>
      <w:r w:rsidR="006227B9" w:rsidRPr="000117E5">
        <w:rPr>
          <w:b/>
          <w:sz w:val="26"/>
          <w:szCs w:val="26"/>
        </w:rPr>
        <w:t>“</w:t>
      </w:r>
      <w:r w:rsidR="00A97950" w:rsidRPr="000117E5">
        <w:rPr>
          <w:b/>
          <w:i/>
          <w:sz w:val="26"/>
          <w:szCs w:val="26"/>
        </w:rPr>
        <w:t>Laudato Sí</w:t>
      </w:r>
      <w:r w:rsidR="006227B9" w:rsidRPr="000117E5">
        <w:rPr>
          <w:b/>
          <w:sz w:val="26"/>
          <w:szCs w:val="26"/>
        </w:rPr>
        <w:t>””</w:t>
      </w:r>
      <w:r w:rsidR="00A97950" w:rsidRPr="000117E5">
        <w:rPr>
          <w:b/>
          <w:sz w:val="26"/>
          <w:szCs w:val="26"/>
        </w:rPr>
        <w:t xml:space="preserve"> (Varšava, 2016. gada 15. oktobris)</w:t>
      </w:r>
      <w:r w:rsidR="000117E5" w:rsidRPr="000117E5">
        <w:rPr>
          <w:sz w:val="26"/>
          <w:szCs w:val="26"/>
        </w:rPr>
        <w:t xml:space="preserve">  – </w:t>
      </w:r>
      <w:r w:rsidR="00A97950" w:rsidRPr="000117E5">
        <w:rPr>
          <w:i/>
          <w:sz w:val="26"/>
          <w:szCs w:val="26"/>
        </w:rPr>
        <w:t>Polijas</w:t>
      </w:r>
      <w:r w:rsidR="006227B9" w:rsidRPr="000117E5">
        <w:rPr>
          <w:i/>
          <w:sz w:val="26"/>
          <w:szCs w:val="26"/>
        </w:rPr>
        <w:t xml:space="preserve"> </w:t>
      </w:r>
      <w:r w:rsidR="00A97950" w:rsidRPr="000117E5">
        <w:rPr>
          <w:i/>
          <w:sz w:val="26"/>
          <w:szCs w:val="26"/>
        </w:rPr>
        <w:t>delegācijas sniegta informācija</w:t>
      </w:r>
    </w:p>
    <w:p w14:paraId="1223B1C2" w14:textId="2BF38B5D" w:rsidR="00DB60C8" w:rsidRPr="000117E5" w:rsidRDefault="006400BD" w:rsidP="000117E5">
      <w:pPr>
        <w:ind w:firstLine="720"/>
        <w:jc w:val="both"/>
        <w:rPr>
          <w:sz w:val="26"/>
          <w:szCs w:val="26"/>
        </w:rPr>
      </w:pPr>
      <w:r w:rsidRPr="000117E5">
        <w:rPr>
          <w:sz w:val="26"/>
          <w:szCs w:val="26"/>
        </w:rPr>
        <w:t xml:space="preserve">Polijas Parlamentā </w:t>
      </w:r>
      <w:r w:rsidR="00DB60C8" w:rsidRPr="000117E5">
        <w:rPr>
          <w:sz w:val="26"/>
          <w:szCs w:val="26"/>
        </w:rPr>
        <w:t>2016.</w:t>
      </w:r>
      <w:r w:rsidRPr="000117E5">
        <w:rPr>
          <w:sz w:val="26"/>
          <w:szCs w:val="26"/>
        </w:rPr>
        <w:t> </w:t>
      </w:r>
      <w:r w:rsidR="00DB60C8" w:rsidRPr="000117E5">
        <w:rPr>
          <w:sz w:val="26"/>
          <w:szCs w:val="26"/>
        </w:rPr>
        <w:t>gada 15.</w:t>
      </w:r>
      <w:r w:rsidRPr="000117E5">
        <w:rPr>
          <w:sz w:val="26"/>
          <w:szCs w:val="26"/>
        </w:rPr>
        <w:t> </w:t>
      </w:r>
      <w:r w:rsidR="00DB60C8" w:rsidRPr="000117E5">
        <w:rPr>
          <w:sz w:val="26"/>
          <w:szCs w:val="26"/>
        </w:rPr>
        <w:t>oktobrī notika konference par ilgtspējīgu attīstību un klimata pārmaiņām kontekstā ar Pāvesta encikliku “</w:t>
      </w:r>
      <w:r w:rsidR="00DB60C8" w:rsidRPr="000117E5">
        <w:rPr>
          <w:i/>
          <w:sz w:val="26"/>
          <w:szCs w:val="26"/>
        </w:rPr>
        <w:t>Laudato Si</w:t>
      </w:r>
      <w:r w:rsidR="00DB60C8" w:rsidRPr="000117E5">
        <w:rPr>
          <w:sz w:val="26"/>
          <w:szCs w:val="26"/>
        </w:rPr>
        <w:t>”</w:t>
      </w:r>
      <w:r w:rsidR="00DB60C8" w:rsidRPr="000117E5">
        <w:rPr>
          <w:rStyle w:val="FootnoteReference"/>
          <w:sz w:val="26"/>
          <w:szCs w:val="26"/>
        </w:rPr>
        <w:footnoteReference w:id="10"/>
      </w:r>
      <w:r w:rsidR="00DB60C8" w:rsidRPr="000117E5">
        <w:rPr>
          <w:sz w:val="26"/>
          <w:szCs w:val="26"/>
        </w:rPr>
        <w:t>. Konferencē piedalījās vairāk nekā 800 dalībnieku no vairāk nekā 30 valstīm.</w:t>
      </w:r>
    </w:p>
    <w:p w14:paraId="7E671C3D" w14:textId="39362E53" w:rsidR="00DB60C8" w:rsidRPr="000117E5" w:rsidRDefault="00DB60C8" w:rsidP="000117E5">
      <w:pPr>
        <w:ind w:firstLine="720"/>
        <w:jc w:val="both"/>
        <w:rPr>
          <w:sz w:val="26"/>
          <w:szCs w:val="26"/>
        </w:rPr>
      </w:pPr>
      <w:r w:rsidRPr="000117E5">
        <w:rPr>
          <w:sz w:val="26"/>
          <w:szCs w:val="26"/>
        </w:rPr>
        <w:t>“</w:t>
      </w:r>
      <w:r w:rsidRPr="000117E5">
        <w:rPr>
          <w:i/>
          <w:sz w:val="26"/>
          <w:szCs w:val="26"/>
        </w:rPr>
        <w:t>Laudato Si</w:t>
      </w:r>
      <w:r w:rsidRPr="000117E5">
        <w:rPr>
          <w:sz w:val="26"/>
          <w:szCs w:val="26"/>
        </w:rPr>
        <w:t>” ir Pāvesta Franciska enciklika</w:t>
      </w:r>
      <w:r w:rsidR="006400BD" w:rsidRPr="000117E5">
        <w:rPr>
          <w:sz w:val="26"/>
          <w:szCs w:val="26"/>
        </w:rPr>
        <w:t xml:space="preserve"> (turpmāk – Enciklika)</w:t>
      </w:r>
      <w:r w:rsidRPr="000117E5">
        <w:rPr>
          <w:sz w:val="26"/>
          <w:szCs w:val="26"/>
        </w:rPr>
        <w:t>, kas tika publicēta 2015.</w:t>
      </w:r>
      <w:r w:rsidR="006400BD" w:rsidRPr="000117E5">
        <w:rPr>
          <w:sz w:val="26"/>
          <w:szCs w:val="26"/>
        </w:rPr>
        <w:t> </w:t>
      </w:r>
      <w:r w:rsidRPr="000117E5">
        <w:rPr>
          <w:sz w:val="26"/>
          <w:szCs w:val="26"/>
        </w:rPr>
        <w:t>gada 24.</w:t>
      </w:r>
      <w:r w:rsidR="006400BD" w:rsidRPr="000117E5">
        <w:rPr>
          <w:sz w:val="26"/>
          <w:szCs w:val="26"/>
        </w:rPr>
        <w:t> </w:t>
      </w:r>
      <w:r w:rsidRPr="000117E5">
        <w:rPr>
          <w:sz w:val="26"/>
          <w:szCs w:val="26"/>
        </w:rPr>
        <w:t xml:space="preserve">maijā. Pāvests tajā aicina visus rīkoties, lai mazinātu un novērstu cilvēku negatīvo ietekmi uz apkārtējo vidi (t.sk. ierobežotu klimata pārmaiņas). Enciklikā </w:t>
      </w:r>
      <w:r w:rsidR="006400BD" w:rsidRPr="000117E5">
        <w:rPr>
          <w:sz w:val="26"/>
          <w:szCs w:val="26"/>
        </w:rPr>
        <w:t>norādīts</w:t>
      </w:r>
      <w:r w:rsidRPr="000117E5">
        <w:rPr>
          <w:sz w:val="26"/>
          <w:szCs w:val="26"/>
        </w:rPr>
        <w:t xml:space="preserve">, ka cilvēki ir daļa no dabas un tādējādi ir nepārtrauktā mijiedarbībā ar to. Lai saprastu iemeslus, kāpēc konkrēta teritorija ir piesārņota, ir jāpēta, kā darbojas valsts ekonomika, sabiedrība, kādi ir uzvedības modeļi un kā sabiedrība uztver realitāti. Tāpat tiek pieminēta atbildība nākamo paaudžu priekšā un atbildība pret visnabadzīgākajiem. </w:t>
      </w:r>
    </w:p>
    <w:p w14:paraId="54B35C46" w14:textId="0BFB773D" w:rsidR="00DB60C8" w:rsidRPr="000117E5" w:rsidRDefault="00DB60C8" w:rsidP="000117E5">
      <w:pPr>
        <w:ind w:firstLine="720"/>
        <w:jc w:val="both"/>
        <w:rPr>
          <w:sz w:val="26"/>
          <w:szCs w:val="26"/>
        </w:rPr>
      </w:pPr>
      <w:r w:rsidRPr="000117E5">
        <w:rPr>
          <w:sz w:val="26"/>
          <w:szCs w:val="26"/>
        </w:rPr>
        <w:t xml:space="preserve">Konferences iznākums ir secinājumi, kuros cita starpā ir uzsvērts, ka </w:t>
      </w:r>
      <w:r w:rsidR="00D34DD6" w:rsidRPr="000117E5">
        <w:rPr>
          <w:sz w:val="26"/>
          <w:szCs w:val="26"/>
        </w:rPr>
        <w:t>ANO</w:t>
      </w:r>
      <w:r w:rsidR="00A32C01" w:rsidRPr="000117E5">
        <w:rPr>
          <w:sz w:val="26"/>
          <w:szCs w:val="26"/>
        </w:rPr>
        <w:t xml:space="preserve"> Vispārējās konvencijas par klimata pārmaiņām </w:t>
      </w:r>
      <w:r w:rsidRPr="000117E5">
        <w:rPr>
          <w:sz w:val="26"/>
          <w:szCs w:val="26"/>
        </w:rPr>
        <w:t>Parīzes nolīgums</w:t>
      </w:r>
      <w:r w:rsidR="00A32C01" w:rsidRPr="000117E5">
        <w:rPr>
          <w:sz w:val="26"/>
          <w:szCs w:val="26"/>
        </w:rPr>
        <w:t xml:space="preserve"> (turpmāk</w:t>
      </w:r>
      <w:r w:rsidR="000117E5" w:rsidRPr="000117E5">
        <w:rPr>
          <w:sz w:val="26"/>
          <w:szCs w:val="26"/>
        </w:rPr>
        <w:t> – </w:t>
      </w:r>
      <w:r w:rsidR="00A32C01" w:rsidRPr="000117E5">
        <w:rPr>
          <w:sz w:val="26"/>
          <w:szCs w:val="26"/>
        </w:rPr>
        <w:t>Parīzes nolīgums)</w:t>
      </w:r>
      <w:r w:rsidRPr="000117E5">
        <w:rPr>
          <w:sz w:val="26"/>
          <w:szCs w:val="26"/>
        </w:rPr>
        <w:t xml:space="preserve"> ietver risinājumus </w:t>
      </w:r>
      <w:r w:rsidR="006400BD" w:rsidRPr="000117E5">
        <w:rPr>
          <w:sz w:val="26"/>
          <w:szCs w:val="26"/>
        </w:rPr>
        <w:t>E</w:t>
      </w:r>
      <w:r w:rsidRPr="000117E5">
        <w:rPr>
          <w:sz w:val="26"/>
          <w:szCs w:val="26"/>
        </w:rPr>
        <w:t xml:space="preserve">nciklikā minētajiem postulātiem. Īpaši uzsvērta </w:t>
      </w:r>
      <w:r w:rsidR="006400BD" w:rsidRPr="000117E5">
        <w:rPr>
          <w:sz w:val="26"/>
          <w:szCs w:val="26"/>
        </w:rPr>
        <w:t>ogļskābās gāzes (turpmāk</w:t>
      </w:r>
      <w:r w:rsidR="000117E5" w:rsidRPr="000117E5">
        <w:rPr>
          <w:sz w:val="26"/>
          <w:szCs w:val="26"/>
        </w:rPr>
        <w:t> – </w:t>
      </w:r>
      <w:r w:rsidRPr="000117E5">
        <w:rPr>
          <w:sz w:val="26"/>
          <w:szCs w:val="26"/>
        </w:rPr>
        <w:t>CO</w:t>
      </w:r>
      <w:r w:rsidRPr="000117E5">
        <w:rPr>
          <w:sz w:val="26"/>
          <w:szCs w:val="26"/>
          <w:vertAlign w:val="subscript"/>
        </w:rPr>
        <w:t>2</w:t>
      </w:r>
      <w:r w:rsidR="006400BD" w:rsidRPr="000117E5">
        <w:rPr>
          <w:sz w:val="26"/>
          <w:szCs w:val="26"/>
        </w:rPr>
        <w:t>)</w:t>
      </w:r>
      <w:r w:rsidRPr="000117E5">
        <w:rPr>
          <w:sz w:val="26"/>
          <w:szCs w:val="26"/>
        </w:rPr>
        <w:t xml:space="preserve"> koncentrācijas atmosfērā samazināšanas nozīme un CO</w:t>
      </w:r>
      <w:r w:rsidRPr="000117E5">
        <w:rPr>
          <w:sz w:val="26"/>
          <w:szCs w:val="26"/>
          <w:vertAlign w:val="subscript"/>
        </w:rPr>
        <w:t>2</w:t>
      </w:r>
      <w:r w:rsidRPr="000117E5">
        <w:rPr>
          <w:sz w:val="26"/>
          <w:szCs w:val="26"/>
        </w:rPr>
        <w:t xml:space="preserve"> piesaistes veicināšanas svarīgums. Konferences secinājumos minēt</w:t>
      </w:r>
      <w:r w:rsidR="006400BD" w:rsidRPr="000117E5">
        <w:rPr>
          <w:sz w:val="26"/>
          <w:szCs w:val="26"/>
        </w:rPr>
        <w:t>a nepieciešamība</w:t>
      </w:r>
      <w:r w:rsidRPr="000117E5">
        <w:rPr>
          <w:sz w:val="26"/>
          <w:szCs w:val="26"/>
        </w:rPr>
        <w:t xml:space="preserve"> kopīga rīcība ilgtspējīgas attīstības sasniegšanai</w:t>
      </w:r>
      <w:r w:rsidR="006400BD" w:rsidRPr="000117E5">
        <w:rPr>
          <w:sz w:val="26"/>
          <w:szCs w:val="26"/>
        </w:rPr>
        <w:t>,</w:t>
      </w:r>
      <w:r w:rsidRPr="000117E5">
        <w:rPr>
          <w:sz w:val="26"/>
          <w:szCs w:val="26"/>
        </w:rPr>
        <w:t xml:space="preserve"> un ir jāpievērš īpaša uzmanība izglītības uzlabošanai. Ir nepieciešams veikt globālus pētījumu projektus. </w:t>
      </w:r>
    </w:p>
    <w:p w14:paraId="5517EE74" w14:textId="77777777" w:rsidR="00DB60C8" w:rsidRPr="000117E5" w:rsidRDefault="00DB60C8" w:rsidP="000117E5">
      <w:pPr>
        <w:pStyle w:val="PointManual1"/>
        <w:ind w:left="0" w:firstLine="0"/>
        <w:jc w:val="both"/>
        <w:rPr>
          <w:i/>
          <w:sz w:val="26"/>
          <w:szCs w:val="26"/>
        </w:rPr>
      </w:pPr>
    </w:p>
    <w:p w14:paraId="4DEF3A04" w14:textId="07E52D6B" w:rsidR="00A97950" w:rsidRPr="000117E5" w:rsidRDefault="005C0EFB" w:rsidP="000117E5">
      <w:pPr>
        <w:pStyle w:val="PointManual1"/>
        <w:ind w:left="0" w:firstLine="0"/>
        <w:jc w:val="both"/>
        <w:rPr>
          <w:i/>
          <w:sz w:val="26"/>
          <w:szCs w:val="26"/>
        </w:rPr>
      </w:pPr>
      <w:r w:rsidRPr="000117E5">
        <w:rPr>
          <w:b/>
          <w:sz w:val="26"/>
          <w:szCs w:val="26"/>
        </w:rPr>
        <w:t>4</w:t>
      </w:r>
      <w:r w:rsidR="006400BD" w:rsidRPr="000117E5">
        <w:rPr>
          <w:b/>
          <w:sz w:val="26"/>
          <w:szCs w:val="26"/>
        </w:rPr>
        <w:t>.</w:t>
      </w:r>
      <w:r w:rsidR="006227B9" w:rsidRPr="000117E5">
        <w:rPr>
          <w:sz w:val="26"/>
          <w:szCs w:val="26"/>
        </w:rPr>
        <w:t> </w:t>
      </w:r>
      <w:r w:rsidR="00A97950" w:rsidRPr="000117E5">
        <w:rPr>
          <w:b/>
          <w:sz w:val="26"/>
          <w:szCs w:val="26"/>
        </w:rPr>
        <w:t>Parīzes nolīgums: starptautiskas norises</w:t>
      </w:r>
      <w:r w:rsidR="000117E5" w:rsidRPr="000117E5">
        <w:rPr>
          <w:sz w:val="26"/>
          <w:szCs w:val="26"/>
        </w:rPr>
        <w:t> – </w:t>
      </w:r>
      <w:r w:rsidR="00A97950" w:rsidRPr="000117E5">
        <w:rPr>
          <w:i/>
          <w:sz w:val="26"/>
          <w:szCs w:val="26"/>
        </w:rPr>
        <w:t>Nīderlandes</w:t>
      </w:r>
      <w:r w:rsidR="006227B9" w:rsidRPr="000117E5">
        <w:rPr>
          <w:i/>
          <w:sz w:val="26"/>
          <w:szCs w:val="26"/>
        </w:rPr>
        <w:t xml:space="preserve"> </w:t>
      </w:r>
      <w:r w:rsidR="00A97950" w:rsidRPr="000117E5">
        <w:rPr>
          <w:i/>
          <w:sz w:val="26"/>
          <w:szCs w:val="26"/>
        </w:rPr>
        <w:t>delegācijas sniegta informācija</w:t>
      </w:r>
    </w:p>
    <w:p w14:paraId="0B5FF072" w14:textId="2DA7B2D7" w:rsidR="00DB60C8" w:rsidRPr="000117E5" w:rsidRDefault="00DB60C8" w:rsidP="000117E5">
      <w:pPr>
        <w:ind w:firstLine="567"/>
        <w:jc w:val="both"/>
        <w:rPr>
          <w:sz w:val="26"/>
          <w:szCs w:val="26"/>
        </w:rPr>
      </w:pPr>
      <w:r w:rsidRPr="000117E5">
        <w:rPr>
          <w:sz w:val="26"/>
          <w:szCs w:val="26"/>
        </w:rPr>
        <w:t>Latvija atbalsta, ka ES ministriem būtu jā</w:t>
      </w:r>
      <w:r w:rsidR="006400BD" w:rsidRPr="000117E5">
        <w:rPr>
          <w:sz w:val="26"/>
          <w:szCs w:val="26"/>
        </w:rPr>
        <w:t>vērš uzmanība</w:t>
      </w:r>
      <w:r w:rsidRPr="000117E5">
        <w:rPr>
          <w:sz w:val="26"/>
          <w:szCs w:val="26"/>
        </w:rPr>
        <w:t xml:space="preserve"> ES un tās dalībvalstu gatavība Parīzes nolīguma īstenošanai. Latvija atbalsta ciešas sadarbības veicināšanu ar globālajiem partneriem, lai sagatavotu Parīzes nolīguma īstenošanai nepieciešamos </w:t>
      </w:r>
      <w:r w:rsidRPr="000117E5">
        <w:rPr>
          <w:sz w:val="26"/>
          <w:szCs w:val="26"/>
        </w:rPr>
        <w:lastRenderedPageBreak/>
        <w:t>lēmumus ANO Vispārējās konvencijas par klimata pārmaiņām ietvaros vēlākais līdz 2018.</w:t>
      </w:r>
      <w:r w:rsidR="006400BD" w:rsidRPr="000117E5">
        <w:rPr>
          <w:sz w:val="26"/>
          <w:szCs w:val="26"/>
        </w:rPr>
        <w:t> </w:t>
      </w:r>
      <w:r w:rsidRPr="000117E5">
        <w:rPr>
          <w:sz w:val="26"/>
          <w:szCs w:val="26"/>
        </w:rPr>
        <w:t xml:space="preserve">gada nogalei. Tāpat Latvija piekrīt, ka ES dalībvalstīm, kas to vēl nav paspējušas izdarīt, pēc iespējas ātrāk ir jāratificē Parīzes nolīgums un Kioto protokola Dohas grozījums. </w:t>
      </w:r>
    </w:p>
    <w:p w14:paraId="7A98015A" w14:textId="77777777" w:rsidR="00DB60C8" w:rsidRPr="000117E5" w:rsidRDefault="00DB60C8" w:rsidP="000117E5">
      <w:pPr>
        <w:ind w:firstLine="567"/>
        <w:jc w:val="both"/>
        <w:rPr>
          <w:sz w:val="26"/>
          <w:szCs w:val="26"/>
        </w:rPr>
      </w:pPr>
    </w:p>
    <w:p w14:paraId="3478E5E3" w14:textId="77777777" w:rsidR="00DB60C8" w:rsidRPr="000117E5" w:rsidRDefault="00DB60C8" w:rsidP="000117E5">
      <w:pPr>
        <w:pStyle w:val="ListParagraph"/>
        <w:numPr>
          <w:ilvl w:val="0"/>
          <w:numId w:val="10"/>
        </w:numPr>
        <w:ind w:left="0" w:firstLine="0"/>
        <w:jc w:val="both"/>
        <w:rPr>
          <w:i/>
          <w:sz w:val="26"/>
          <w:szCs w:val="26"/>
        </w:rPr>
      </w:pPr>
      <w:r w:rsidRPr="000117E5">
        <w:rPr>
          <w:i/>
          <w:sz w:val="26"/>
          <w:szCs w:val="26"/>
        </w:rPr>
        <w:t>Parīzes nolīguma ratifikācija</w:t>
      </w:r>
    </w:p>
    <w:p w14:paraId="1D18099D" w14:textId="5F7B0AB7" w:rsidR="00DB60C8" w:rsidRPr="000117E5" w:rsidRDefault="00DB60C8" w:rsidP="000117E5">
      <w:pPr>
        <w:ind w:firstLine="567"/>
        <w:jc w:val="both"/>
        <w:rPr>
          <w:sz w:val="26"/>
          <w:szCs w:val="26"/>
        </w:rPr>
      </w:pPr>
      <w:r w:rsidRPr="000117E5">
        <w:rPr>
          <w:sz w:val="26"/>
          <w:szCs w:val="26"/>
        </w:rPr>
        <w:t xml:space="preserve">Latvija ir pabeigusi Parīzes nolīguma ratifikāciju nacionālā līmenī. </w:t>
      </w:r>
      <w:r w:rsidR="006400BD" w:rsidRPr="000117E5">
        <w:rPr>
          <w:sz w:val="26"/>
          <w:szCs w:val="26"/>
        </w:rPr>
        <w:t xml:space="preserve">Latvijas Republikas </w:t>
      </w:r>
      <w:r w:rsidRPr="000117E5">
        <w:rPr>
          <w:sz w:val="26"/>
          <w:szCs w:val="26"/>
        </w:rPr>
        <w:t>Saeima likumu par Apvienoto Nāciju Organizācijas Vispārējās konvencijas par klimata pārmaiņām Parīzes nolīgumu pieņēma (vienbalsīgi) 2017.</w:t>
      </w:r>
      <w:r w:rsidR="00A32C01" w:rsidRPr="000117E5">
        <w:rPr>
          <w:sz w:val="26"/>
          <w:szCs w:val="26"/>
        </w:rPr>
        <w:t> </w:t>
      </w:r>
      <w:r w:rsidRPr="000117E5">
        <w:rPr>
          <w:sz w:val="26"/>
          <w:szCs w:val="26"/>
        </w:rPr>
        <w:t>gada 2.</w:t>
      </w:r>
      <w:r w:rsidR="00A32C01" w:rsidRPr="000117E5">
        <w:rPr>
          <w:sz w:val="26"/>
          <w:szCs w:val="26"/>
        </w:rPr>
        <w:t> </w:t>
      </w:r>
      <w:r w:rsidRPr="000117E5">
        <w:rPr>
          <w:sz w:val="26"/>
          <w:szCs w:val="26"/>
        </w:rPr>
        <w:t>februārī</w:t>
      </w:r>
      <w:r w:rsidR="00A32C01" w:rsidRPr="000117E5">
        <w:rPr>
          <w:sz w:val="26"/>
          <w:szCs w:val="26"/>
        </w:rPr>
        <w:t>, un tas stājās spēkā šā gada 9. februārī</w:t>
      </w:r>
      <w:r w:rsidRPr="000117E5">
        <w:rPr>
          <w:sz w:val="26"/>
          <w:szCs w:val="26"/>
        </w:rPr>
        <w:t xml:space="preserve">.  Šobrīd Ārlietu ministrijā tiek </w:t>
      </w:r>
      <w:r w:rsidR="00A97D20" w:rsidRPr="000117E5">
        <w:rPr>
          <w:sz w:val="26"/>
          <w:szCs w:val="26"/>
        </w:rPr>
        <w:t>īstenotas procesuālās darbības</w:t>
      </w:r>
      <w:r w:rsidRPr="000117E5">
        <w:rPr>
          <w:sz w:val="26"/>
          <w:szCs w:val="26"/>
        </w:rPr>
        <w:t xml:space="preserve"> ratifikācijas instrumenta deponēšanai ANO. </w:t>
      </w:r>
    </w:p>
    <w:p w14:paraId="3E357ED6" w14:textId="77777777" w:rsidR="00DB60C8" w:rsidRPr="000117E5" w:rsidRDefault="00DB60C8" w:rsidP="000117E5">
      <w:pPr>
        <w:jc w:val="both"/>
        <w:rPr>
          <w:sz w:val="26"/>
          <w:szCs w:val="26"/>
        </w:rPr>
      </w:pPr>
    </w:p>
    <w:p w14:paraId="254FB76D" w14:textId="77777777" w:rsidR="00DB60C8" w:rsidRPr="000117E5" w:rsidRDefault="00DB60C8" w:rsidP="000117E5">
      <w:pPr>
        <w:pStyle w:val="ListParagraph"/>
        <w:numPr>
          <w:ilvl w:val="0"/>
          <w:numId w:val="10"/>
        </w:numPr>
        <w:ind w:left="0" w:firstLine="0"/>
        <w:jc w:val="both"/>
        <w:rPr>
          <w:sz w:val="26"/>
          <w:szCs w:val="26"/>
        </w:rPr>
      </w:pPr>
      <w:r w:rsidRPr="000117E5">
        <w:rPr>
          <w:i/>
          <w:sz w:val="26"/>
          <w:szCs w:val="26"/>
        </w:rPr>
        <w:t>ASV loma starptautiskajās sarunās par klimata pārmaiņu ierobežošanu un politiskās uzmanības noturēšana starptautiskā līmenī Parīzes nolīguma īstenošanai</w:t>
      </w:r>
    </w:p>
    <w:p w14:paraId="7E3CA8B6" w14:textId="29E00A5E" w:rsidR="00DB60C8" w:rsidRPr="000117E5" w:rsidRDefault="00DB60C8" w:rsidP="000117E5">
      <w:pPr>
        <w:ind w:firstLine="567"/>
        <w:jc w:val="both"/>
        <w:rPr>
          <w:sz w:val="26"/>
          <w:szCs w:val="26"/>
        </w:rPr>
      </w:pPr>
      <w:r w:rsidRPr="000117E5">
        <w:rPr>
          <w:sz w:val="26"/>
          <w:szCs w:val="26"/>
        </w:rPr>
        <w:t>Baraka Obamas prezidentūras laikā ASV bija nozīmīgs partneris klimata pārmaiņu ierobežošanā. Piemēram, ASV kopīgi ar Ķīnu 2014.</w:t>
      </w:r>
      <w:r w:rsidR="00A97D20" w:rsidRPr="000117E5">
        <w:rPr>
          <w:sz w:val="26"/>
          <w:szCs w:val="26"/>
        </w:rPr>
        <w:t> </w:t>
      </w:r>
      <w:r w:rsidRPr="000117E5">
        <w:rPr>
          <w:sz w:val="26"/>
          <w:szCs w:val="26"/>
        </w:rPr>
        <w:t>gadā nāca klajā ar paziņojumu par abu valstu nacionālajiem plāniem klimata pārmaiņu ierobežošanā. ASV ratificēja Parīzes nolīgumu 2016.</w:t>
      </w:r>
      <w:r w:rsidR="00A97D20" w:rsidRPr="000117E5">
        <w:rPr>
          <w:sz w:val="26"/>
          <w:szCs w:val="26"/>
        </w:rPr>
        <w:t> </w:t>
      </w:r>
      <w:r w:rsidRPr="000117E5">
        <w:rPr>
          <w:sz w:val="26"/>
          <w:szCs w:val="26"/>
        </w:rPr>
        <w:t>gada 3.</w:t>
      </w:r>
      <w:r w:rsidR="00A97D20" w:rsidRPr="000117E5">
        <w:rPr>
          <w:sz w:val="26"/>
          <w:szCs w:val="26"/>
        </w:rPr>
        <w:t> </w:t>
      </w:r>
      <w:r w:rsidRPr="000117E5">
        <w:rPr>
          <w:sz w:val="26"/>
          <w:szCs w:val="26"/>
        </w:rPr>
        <w:t xml:space="preserve">septembrī. </w:t>
      </w:r>
    </w:p>
    <w:p w14:paraId="78213F55" w14:textId="2905F693" w:rsidR="00DB60C8" w:rsidRPr="000117E5" w:rsidRDefault="00DB60C8" w:rsidP="000117E5">
      <w:pPr>
        <w:ind w:firstLine="567"/>
        <w:jc w:val="both"/>
        <w:rPr>
          <w:sz w:val="26"/>
          <w:szCs w:val="26"/>
        </w:rPr>
      </w:pPr>
      <w:r w:rsidRPr="000117E5">
        <w:rPr>
          <w:sz w:val="26"/>
          <w:szCs w:val="26"/>
        </w:rPr>
        <w:t>2017.</w:t>
      </w:r>
      <w:r w:rsidR="00A97D20" w:rsidRPr="000117E5">
        <w:rPr>
          <w:sz w:val="26"/>
          <w:szCs w:val="26"/>
        </w:rPr>
        <w:t> </w:t>
      </w:r>
      <w:r w:rsidRPr="000117E5">
        <w:rPr>
          <w:sz w:val="26"/>
          <w:szCs w:val="26"/>
        </w:rPr>
        <w:t xml:space="preserve">gadā plānotajās G7 un G20 sanāksmēs būtiski uzvērt Parīzes nolīguma īstenošanas nozīmi. Jāturpina darbs ANO Vispārējās konvencijas par klimata pārmaiņām konferenču ietvaros un jāizstrādā </w:t>
      </w:r>
      <w:r w:rsidR="00A97D20" w:rsidRPr="000117E5">
        <w:rPr>
          <w:sz w:val="26"/>
          <w:szCs w:val="26"/>
        </w:rPr>
        <w:t>saistošos tiesību aktus</w:t>
      </w:r>
      <w:r w:rsidRPr="000117E5">
        <w:rPr>
          <w:sz w:val="26"/>
          <w:szCs w:val="26"/>
        </w:rPr>
        <w:t xml:space="preserve"> efektīvai Parīzes nolīguma īstenošanai. </w:t>
      </w:r>
    </w:p>
    <w:p w14:paraId="6BE3F250" w14:textId="77777777" w:rsidR="00DB60C8" w:rsidRPr="000117E5" w:rsidRDefault="00DB60C8" w:rsidP="000117E5">
      <w:pPr>
        <w:pStyle w:val="PointManual1"/>
        <w:ind w:left="0" w:firstLine="0"/>
        <w:jc w:val="both"/>
        <w:rPr>
          <w:sz w:val="26"/>
          <w:szCs w:val="26"/>
        </w:rPr>
      </w:pPr>
    </w:p>
    <w:p w14:paraId="03D892BB" w14:textId="2F28F9B0" w:rsidR="00A97950" w:rsidRPr="000117E5" w:rsidRDefault="005C0EFB" w:rsidP="000117E5">
      <w:pPr>
        <w:pStyle w:val="PointManual1"/>
        <w:ind w:left="0" w:firstLine="0"/>
        <w:jc w:val="both"/>
        <w:rPr>
          <w:bCs/>
          <w:sz w:val="26"/>
          <w:szCs w:val="26"/>
        </w:rPr>
      </w:pPr>
      <w:r w:rsidRPr="000117E5">
        <w:rPr>
          <w:b/>
          <w:sz w:val="26"/>
          <w:szCs w:val="26"/>
        </w:rPr>
        <w:t>5</w:t>
      </w:r>
      <w:r w:rsidR="00A97D20" w:rsidRPr="000117E5">
        <w:rPr>
          <w:b/>
          <w:sz w:val="26"/>
          <w:szCs w:val="26"/>
        </w:rPr>
        <w:t>.</w:t>
      </w:r>
      <w:r w:rsidR="006227B9" w:rsidRPr="000117E5">
        <w:rPr>
          <w:b/>
          <w:sz w:val="26"/>
          <w:szCs w:val="26"/>
        </w:rPr>
        <w:t> </w:t>
      </w:r>
      <w:r w:rsidR="00A97950" w:rsidRPr="000117E5">
        <w:rPr>
          <w:b/>
          <w:sz w:val="26"/>
          <w:szCs w:val="26"/>
        </w:rPr>
        <w:t>Bažas par vidi saistībā ar Baltkrievijas kodolelektrostaciju</w:t>
      </w:r>
      <w:r w:rsidR="000117E5" w:rsidRPr="000117E5">
        <w:rPr>
          <w:sz w:val="26"/>
          <w:szCs w:val="26"/>
        </w:rPr>
        <w:t> – </w:t>
      </w:r>
      <w:r w:rsidR="00A97950" w:rsidRPr="000117E5">
        <w:rPr>
          <w:i/>
          <w:sz w:val="26"/>
          <w:szCs w:val="26"/>
        </w:rPr>
        <w:t>Lietuvas</w:t>
      </w:r>
      <w:r w:rsidR="006227B9" w:rsidRPr="000117E5">
        <w:rPr>
          <w:i/>
          <w:sz w:val="26"/>
          <w:szCs w:val="26"/>
        </w:rPr>
        <w:t xml:space="preserve"> </w:t>
      </w:r>
      <w:r w:rsidR="00A97950" w:rsidRPr="000117E5">
        <w:rPr>
          <w:i/>
          <w:sz w:val="26"/>
          <w:szCs w:val="26"/>
        </w:rPr>
        <w:t>delegācijas sniegt</w:t>
      </w:r>
      <w:r w:rsidR="00A97D20" w:rsidRPr="000117E5">
        <w:rPr>
          <w:i/>
          <w:sz w:val="26"/>
          <w:szCs w:val="26"/>
        </w:rPr>
        <w:t>ā</w:t>
      </w:r>
      <w:r w:rsidR="00A97950" w:rsidRPr="000117E5">
        <w:rPr>
          <w:i/>
          <w:sz w:val="26"/>
          <w:szCs w:val="26"/>
        </w:rPr>
        <w:t xml:space="preserve"> informācija</w:t>
      </w:r>
    </w:p>
    <w:p w14:paraId="254476F1" w14:textId="2BA9AE3F" w:rsidR="003F439F" w:rsidRPr="000117E5" w:rsidRDefault="003F439F" w:rsidP="000117E5">
      <w:pPr>
        <w:ind w:firstLine="567"/>
        <w:jc w:val="both"/>
        <w:rPr>
          <w:sz w:val="26"/>
          <w:szCs w:val="26"/>
        </w:rPr>
      </w:pPr>
      <w:r w:rsidRPr="000117E5">
        <w:rPr>
          <w:sz w:val="26"/>
          <w:szCs w:val="26"/>
        </w:rPr>
        <w:t xml:space="preserve">Lietuva sniegs informāciju par bažām saistībā ar Baltkrievijas kodolelektrostacijas projektu. Latvija aicina Baltkrieviju ievērot visas starptautiskās kodoldrošības un vides prasības, kā arī  būt </w:t>
      </w:r>
      <w:r w:rsidR="00A97D20" w:rsidRPr="000117E5">
        <w:rPr>
          <w:sz w:val="26"/>
          <w:szCs w:val="26"/>
        </w:rPr>
        <w:t>saziņā atklātai</w:t>
      </w:r>
      <w:r w:rsidRPr="000117E5">
        <w:rPr>
          <w:sz w:val="26"/>
          <w:szCs w:val="26"/>
        </w:rPr>
        <w:t xml:space="preserve"> un </w:t>
      </w:r>
      <w:r w:rsidR="00A97D20" w:rsidRPr="000117E5">
        <w:rPr>
          <w:sz w:val="26"/>
          <w:szCs w:val="26"/>
        </w:rPr>
        <w:t>informēt</w:t>
      </w:r>
      <w:r w:rsidRPr="000117E5">
        <w:rPr>
          <w:sz w:val="26"/>
          <w:szCs w:val="26"/>
        </w:rPr>
        <w:t xml:space="preserve"> par  Ostrovecas AES celtniecības gaitu. Baltkrievija sadarbojas ar Starptautisko Atomenerģijas aģentūru (SAEA) (tai skaitā janvārī notikušo </w:t>
      </w:r>
      <w:r w:rsidRPr="000117E5">
        <w:rPr>
          <w:i/>
          <w:sz w:val="26"/>
          <w:szCs w:val="26"/>
        </w:rPr>
        <w:t>Site and External Events Design</w:t>
      </w:r>
      <w:r w:rsidR="00DA3392" w:rsidRPr="000117E5">
        <w:rPr>
          <w:sz w:val="26"/>
          <w:szCs w:val="26"/>
        </w:rPr>
        <w:t xml:space="preserve"> (SEED) misiju)</w:t>
      </w:r>
      <w:r w:rsidR="00D50CF0" w:rsidRPr="000117E5">
        <w:rPr>
          <w:sz w:val="26"/>
          <w:szCs w:val="26"/>
        </w:rPr>
        <w:t>,</w:t>
      </w:r>
      <w:r w:rsidRPr="000117E5">
        <w:rPr>
          <w:sz w:val="26"/>
          <w:szCs w:val="26"/>
        </w:rPr>
        <w:t xml:space="preserve"> un līdzšinējās misijas ir sniegušas pozitīvu vērtējumu. </w:t>
      </w:r>
    </w:p>
    <w:p w14:paraId="155A6FB1" w14:textId="77777777" w:rsidR="00761B93" w:rsidRDefault="00761B93" w:rsidP="000117E5">
      <w:pPr>
        <w:jc w:val="both"/>
        <w:rPr>
          <w:sz w:val="26"/>
          <w:szCs w:val="26"/>
        </w:rPr>
      </w:pPr>
    </w:p>
    <w:p w14:paraId="2B309359" w14:textId="77777777" w:rsidR="000117E5" w:rsidRPr="000117E5" w:rsidRDefault="000117E5" w:rsidP="000117E5">
      <w:pPr>
        <w:jc w:val="both"/>
        <w:rPr>
          <w:sz w:val="26"/>
          <w:szCs w:val="26"/>
        </w:rPr>
      </w:pPr>
    </w:p>
    <w:p w14:paraId="268660EE" w14:textId="77777777" w:rsidR="00B7472F" w:rsidRPr="000117E5" w:rsidRDefault="00B7472F" w:rsidP="000117E5">
      <w:pPr>
        <w:rPr>
          <w:sz w:val="26"/>
          <w:szCs w:val="26"/>
        </w:rPr>
      </w:pPr>
      <w:r w:rsidRPr="000117E5">
        <w:rPr>
          <w:b/>
          <w:sz w:val="26"/>
          <w:szCs w:val="26"/>
        </w:rPr>
        <w:t>Latvijas delegācija</w:t>
      </w:r>
      <w:r w:rsidRPr="000117E5">
        <w:rPr>
          <w:sz w:val="26"/>
          <w:szCs w:val="26"/>
        </w:rPr>
        <w:t>:</w:t>
      </w:r>
    </w:p>
    <w:p w14:paraId="51FFA8EE" w14:textId="77777777" w:rsidR="000117E5" w:rsidRPr="000117E5" w:rsidRDefault="000117E5" w:rsidP="000117E5">
      <w:pPr>
        <w:rPr>
          <w:sz w:val="26"/>
          <w:szCs w:val="26"/>
        </w:rPr>
      </w:pPr>
    </w:p>
    <w:p w14:paraId="4852C7DC" w14:textId="6F5EC52D" w:rsidR="00A071C6" w:rsidRPr="000117E5" w:rsidRDefault="00B7472F" w:rsidP="000117E5">
      <w:pPr>
        <w:tabs>
          <w:tab w:val="left" w:pos="2835"/>
        </w:tabs>
        <w:ind w:left="2835" w:hanging="2835"/>
        <w:jc w:val="both"/>
        <w:rPr>
          <w:sz w:val="26"/>
          <w:szCs w:val="26"/>
        </w:rPr>
      </w:pPr>
      <w:r w:rsidRPr="000117E5">
        <w:rPr>
          <w:sz w:val="26"/>
          <w:szCs w:val="26"/>
        </w:rPr>
        <w:t>Delegācij</w:t>
      </w:r>
      <w:r w:rsidR="00526471" w:rsidRPr="000117E5">
        <w:rPr>
          <w:sz w:val="26"/>
          <w:szCs w:val="26"/>
        </w:rPr>
        <w:t>as vadītājs</w:t>
      </w:r>
      <w:r w:rsidRPr="000117E5">
        <w:rPr>
          <w:sz w:val="26"/>
          <w:szCs w:val="26"/>
        </w:rPr>
        <w:t xml:space="preserve"> -</w:t>
      </w:r>
      <w:r w:rsidR="007B2E76" w:rsidRPr="000117E5">
        <w:rPr>
          <w:sz w:val="26"/>
          <w:szCs w:val="26"/>
        </w:rPr>
        <w:t xml:space="preserve"> </w:t>
      </w:r>
      <w:r w:rsidR="007B2E76" w:rsidRPr="000117E5">
        <w:rPr>
          <w:sz w:val="26"/>
          <w:szCs w:val="26"/>
        </w:rPr>
        <w:tab/>
      </w:r>
      <w:r w:rsidR="00A071C6" w:rsidRPr="000117E5">
        <w:rPr>
          <w:b/>
          <w:sz w:val="26"/>
          <w:szCs w:val="26"/>
        </w:rPr>
        <w:t>Jānis Eglīts</w:t>
      </w:r>
      <w:r w:rsidR="00A071C6" w:rsidRPr="000117E5">
        <w:rPr>
          <w:sz w:val="26"/>
          <w:szCs w:val="26"/>
        </w:rPr>
        <w:t>, Vides aizsardzības un reģionālās attīstības ministrijas parlamentārais sekretārs.</w:t>
      </w:r>
    </w:p>
    <w:p w14:paraId="019186C4" w14:textId="77777777" w:rsidR="000117E5" w:rsidRDefault="000117E5" w:rsidP="000117E5">
      <w:pPr>
        <w:tabs>
          <w:tab w:val="left" w:pos="2835"/>
        </w:tabs>
        <w:ind w:left="2835" w:hanging="2835"/>
        <w:jc w:val="both"/>
        <w:rPr>
          <w:sz w:val="26"/>
          <w:szCs w:val="26"/>
        </w:rPr>
      </w:pPr>
    </w:p>
    <w:p w14:paraId="3410FC2B" w14:textId="4161BCBB" w:rsidR="00A071C6" w:rsidRPr="000117E5" w:rsidRDefault="00B6611E" w:rsidP="000117E5">
      <w:pPr>
        <w:tabs>
          <w:tab w:val="left" w:pos="2835"/>
        </w:tabs>
        <w:ind w:left="2835" w:hanging="2835"/>
        <w:jc w:val="both"/>
        <w:rPr>
          <w:sz w:val="26"/>
          <w:szCs w:val="26"/>
        </w:rPr>
      </w:pPr>
      <w:r w:rsidRPr="000117E5">
        <w:rPr>
          <w:sz w:val="26"/>
          <w:szCs w:val="26"/>
        </w:rPr>
        <w:t>Delegācijas dalībnieki -</w:t>
      </w:r>
      <w:r w:rsidRPr="000117E5">
        <w:rPr>
          <w:sz w:val="26"/>
          <w:szCs w:val="26"/>
        </w:rPr>
        <w:tab/>
      </w:r>
      <w:r w:rsidR="00A071C6" w:rsidRPr="000117E5">
        <w:rPr>
          <w:b/>
          <w:sz w:val="26"/>
          <w:szCs w:val="26"/>
        </w:rPr>
        <w:t>Juris Štālmeistars</w:t>
      </w:r>
      <w:r w:rsidR="00A071C6" w:rsidRPr="000117E5">
        <w:rPr>
          <w:sz w:val="26"/>
          <w:szCs w:val="26"/>
        </w:rPr>
        <w:t>, vēstnieks, Latvijas Republikas Pastāvīgā pārstāvja vietnieks Eiropas Savienībā;</w:t>
      </w:r>
    </w:p>
    <w:p w14:paraId="2F0036B9" w14:textId="6A441B16" w:rsidR="00600076" w:rsidRPr="000117E5" w:rsidRDefault="00600076" w:rsidP="000117E5">
      <w:pPr>
        <w:ind w:left="2880" w:hanging="45"/>
        <w:jc w:val="both"/>
        <w:rPr>
          <w:sz w:val="26"/>
          <w:szCs w:val="26"/>
        </w:rPr>
      </w:pPr>
      <w:r w:rsidRPr="000117E5">
        <w:rPr>
          <w:b/>
          <w:sz w:val="26"/>
          <w:szCs w:val="26"/>
        </w:rPr>
        <w:t>Alda Ozola</w:t>
      </w:r>
      <w:r w:rsidRPr="000117E5">
        <w:rPr>
          <w:sz w:val="26"/>
          <w:szCs w:val="26"/>
        </w:rPr>
        <w:t>,</w:t>
      </w:r>
      <w:r w:rsidR="00F64E5B" w:rsidRPr="000117E5">
        <w:rPr>
          <w:sz w:val="26"/>
          <w:szCs w:val="26"/>
        </w:rPr>
        <w:t xml:space="preserve"> </w:t>
      </w:r>
      <w:r w:rsidRPr="000117E5">
        <w:rPr>
          <w:sz w:val="26"/>
          <w:szCs w:val="26"/>
        </w:rPr>
        <w:t>Vides aizsardzības un reģionālās attīstības ministrijas valsts sekretāra vietniece;</w:t>
      </w:r>
    </w:p>
    <w:p w14:paraId="364026C8" w14:textId="77777777" w:rsidR="00600076" w:rsidRPr="000117E5" w:rsidRDefault="00931124" w:rsidP="000117E5">
      <w:pPr>
        <w:ind w:left="2835"/>
        <w:jc w:val="both"/>
        <w:rPr>
          <w:sz w:val="26"/>
          <w:szCs w:val="26"/>
        </w:rPr>
      </w:pPr>
      <w:r w:rsidRPr="000117E5">
        <w:rPr>
          <w:b/>
          <w:sz w:val="26"/>
          <w:szCs w:val="26"/>
        </w:rPr>
        <w:t>Ilze Prūse</w:t>
      </w:r>
      <w:r w:rsidR="00600076" w:rsidRPr="000117E5">
        <w:rPr>
          <w:b/>
          <w:sz w:val="26"/>
          <w:szCs w:val="26"/>
        </w:rPr>
        <w:t xml:space="preserve">, </w:t>
      </w:r>
      <w:r w:rsidR="00600076" w:rsidRPr="000117E5">
        <w:rPr>
          <w:sz w:val="26"/>
          <w:szCs w:val="26"/>
        </w:rPr>
        <w:t xml:space="preserve">Vides aizsardzības un reģionālās attīstības ministrijas </w:t>
      </w:r>
      <w:r w:rsidRPr="000117E5">
        <w:rPr>
          <w:sz w:val="26"/>
          <w:szCs w:val="26"/>
        </w:rPr>
        <w:t>Klimata pārmaiņu departamenta direktore</w:t>
      </w:r>
      <w:r w:rsidR="00600076" w:rsidRPr="000117E5">
        <w:rPr>
          <w:sz w:val="26"/>
          <w:szCs w:val="26"/>
        </w:rPr>
        <w:t>;</w:t>
      </w:r>
    </w:p>
    <w:p w14:paraId="03E45E11" w14:textId="239164A7" w:rsidR="00A071C6" w:rsidRPr="000117E5" w:rsidRDefault="00A071C6" w:rsidP="000117E5">
      <w:pPr>
        <w:ind w:left="2835"/>
        <w:jc w:val="both"/>
        <w:rPr>
          <w:sz w:val="26"/>
          <w:szCs w:val="26"/>
        </w:rPr>
      </w:pPr>
      <w:r w:rsidRPr="000117E5">
        <w:rPr>
          <w:b/>
          <w:sz w:val="26"/>
          <w:szCs w:val="26"/>
        </w:rPr>
        <w:t xml:space="preserve">Anna Popkova, </w:t>
      </w:r>
      <w:r w:rsidRPr="000117E5">
        <w:rPr>
          <w:sz w:val="26"/>
          <w:szCs w:val="26"/>
        </w:rPr>
        <w:t>Vides aizsardzības reģionālās attīstības ministrijas Koordinācijas departamenta Starptautiskās sadarbības un ES koordinācijas nodaļas</w:t>
      </w:r>
      <w:r w:rsidR="007B56F2" w:rsidRPr="000117E5">
        <w:rPr>
          <w:sz w:val="26"/>
          <w:szCs w:val="26"/>
        </w:rPr>
        <w:t xml:space="preserve"> vecākā eksperte;</w:t>
      </w:r>
    </w:p>
    <w:p w14:paraId="22B64047" w14:textId="77777777" w:rsidR="00704D02" w:rsidRPr="000117E5" w:rsidRDefault="007C76DF" w:rsidP="000117E5">
      <w:pPr>
        <w:ind w:left="2835"/>
        <w:jc w:val="both"/>
        <w:rPr>
          <w:sz w:val="26"/>
          <w:szCs w:val="26"/>
        </w:rPr>
      </w:pPr>
      <w:r w:rsidRPr="000117E5">
        <w:rPr>
          <w:b/>
          <w:sz w:val="26"/>
          <w:szCs w:val="26"/>
        </w:rPr>
        <w:lastRenderedPageBreak/>
        <w:t>Anita Drondina</w:t>
      </w:r>
      <w:r w:rsidR="007B2E76" w:rsidRPr="000117E5">
        <w:rPr>
          <w:b/>
          <w:sz w:val="26"/>
          <w:szCs w:val="26"/>
        </w:rPr>
        <w:t xml:space="preserve">, </w:t>
      </w:r>
      <w:r w:rsidR="007B2E76" w:rsidRPr="000117E5">
        <w:rPr>
          <w:sz w:val="26"/>
          <w:szCs w:val="26"/>
        </w:rPr>
        <w:t>Vides</w:t>
      </w:r>
      <w:r w:rsidR="000211C7" w:rsidRPr="000117E5">
        <w:rPr>
          <w:sz w:val="26"/>
          <w:szCs w:val="26"/>
        </w:rPr>
        <w:t xml:space="preserve"> aizsardzības</w:t>
      </w:r>
      <w:r w:rsidR="007B2E76" w:rsidRPr="000117E5">
        <w:rPr>
          <w:sz w:val="26"/>
          <w:szCs w:val="26"/>
        </w:rPr>
        <w:t xml:space="preserve"> un reģ</w:t>
      </w:r>
      <w:r w:rsidR="00E71632" w:rsidRPr="000117E5">
        <w:rPr>
          <w:sz w:val="26"/>
          <w:szCs w:val="26"/>
        </w:rPr>
        <w:t xml:space="preserve">ionālās attīstības ministrijas </w:t>
      </w:r>
      <w:r w:rsidR="00647AC6" w:rsidRPr="000117E5">
        <w:rPr>
          <w:sz w:val="26"/>
          <w:szCs w:val="26"/>
        </w:rPr>
        <w:t>nozares padomniece</w:t>
      </w:r>
      <w:r w:rsidR="00F64E5B" w:rsidRPr="000117E5">
        <w:rPr>
          <w:sz w:val="26"/>
          <w:szCs w:val="26"/>
        </w:rPr>
        <w:t>;</w:t>
      </w:r>
    </w:p>
    <w:p w14:paraId="44CCA50E" w14:textId="77777777" w:rsidR="00B7472F" w:rsidRPr="000117E5" w:rsidRDefault="00704D02" w:rsidP="000117E5">
      <w:pPr>
        <w:ind w:left="2835"/>
        <w:jc w:val="both"/>
        <w:rPr>
          <w:sz w:val="26"/>
          <w:szCs w:val="26"/>
        </w:rPr>
      </w:pPr>
      <w:r w:rsidRPr="000117E5">
        <w:rPr>
          <w:b/>
          <w:sz w:val="26"/>
          <w:szCs w:val="26"/>
        </w:rPr>
        <w:t xml:space="preserve">Linda Leja, </w:t>
      </w:r>
      <w:r w:rsidRPr="000117E5">
        <w:rPr>
          <w:sz w:val="26"/>
          <w:szCs w:val="26"/>
        </w:rPr>
        <w:t>Vides aizsardzības un reģionālās attīstības ministrijas nozares padomniece</w:t>
      </w:r>
      <w:r w:rsidR="001D4A7C" w:rsidRPr="000117E5">
        <w:rPr>
          <w:sz w:val="26"/>
          <w:szCs w:val="26"/>
        </w:rPr>
        <w:t>.</w:t>
      </w:r>
    </w:p>
    <w:p w14:paraId="79E4EBF0" w14:textId="77777777" w:rsidR="00117A7B" w:rsidRPr="000117E5" w:rsidRDefault="00117A7B" w:rsidP="000117E5">
      <w:pPr>
        <w:rPr>
          <w:sz w:val="26"/>
          <w:szCs w:val="26"/>
        </w:rPr>
      </w:pPr>
    </w:p>
    <w:p w14:paraId="5E3C5EEE" w14:textId="77777777" w:rsidR="00F64E5B" w:rsidRPr="000117E5" w:rsidRDefault="00F64E5B" w:rsidP="000117E5">
      <w:pPr>
        <w:rPr>
          <w:sz w:val="26"/>
          <w:szCs w:val="26"/>
        </w:rPr>
      </w:pPr>
    </w:p>
    <w:p w14:paraId="4D12BD55" w14:textId="54FF8BAD" w:rsidR="00444D94" w:rsidRPr="000117E5" w:rsidRDefault="00444D94" w:rsidP="000117E5">
      <w:pPr>
        <w:rPr>
          <w:sz w:val="26"/>
          <w:szCs w:val="26"/>
        </w:rPr>
      </w:pPr>
      <w:r w:rsidRPr="000117E5">
        <w:rPr>
          <w:sz w:val="26"/>
          <w:szCs w:val="26"/>
        </w:rPr>
        <w:t>Vides aizsardzības un</w:t>
      </w:r>
      <w:r w:rsidR="00F06E3A" w:rsidRPr="000117E5">
        <w:rPr>
          <w:sz w:val="26"/>
          <w:szCs w:val="26"/>
        </w:rPr>
        <w:br/>
      </w:r>
      <w:r w:rsidRPr="000117E5">
        <w:rPr>
          <w:sz w:val="26"/>
          <w:szCs w:val="26"/>
        </w:rPr>
        <w:t>reģionālās attīstības ministr</w:t>
      </w:r>
      <w:r w:rsidR="007C5075" w:rsidRPr="000117E5">
        <w:rPr>
          <w:sz w:val="26"/>
          <w:szCs w:val="26"/>
        </w:rPr>
        <w:t>s</w:t>
      </w:r>
      <w:r w:rsidRPr="000117E5">
        <w:rPr>
          <w:sz w:val="26"/>
          <w:szCs w:val="26"/>
        </w:rPr>
        <w:tab/>
      </w:r>
      <w:r w:rsidRPr="000117E5">
        <w:rPr>
          <w:sz w:val="26"/>
          <w:szCs w:val="26"/>
        </w:rPr>
        <w:tab/>
      </w:r>
      <w:r w:rsidRPr="000117E5">
        <w:rPr>
          <w:sz w:val="26"/>
          <w:szCs w:val="26"/>
        </w:rPr>
        <w:tab/>
      </w:r>
      <w:r w:rsidRPr="000117E5">
        <w:rPr>
          <w:sz w:val="26"/>
          <w:szCs w:val="26"/>
        </w:rPr>
        <w:tab/>
      </w:r>
      <w:r w:rsidRPr="000117E5">
        <w:rPr>
          <w:sz w:val="26"/>
          <w:szCs w:val="26"/>
        </w:rPr>
        <w:tab/>
      </w:r>
      <w:r w:rsidRPr="000117E5">
        <w:rPr>
          <w:sz w:val="26"/>
          <w:szCs w:val="26"/>
        </w:rPr>
        <w:tab/>
      </w:r>
      <w:r w:rsidR="00A97D20" w:rsidRPr="000117E5">
        <w:rPr>
          <w:sz w:val="26"/>
          <w:szCs w:val="26"/>
        </w:rPr>
        <w:t xml:space="preserve">                    </w:t>
      </w:r>
      <w:r w:rsidR="007C5075" w:rsidRPr="000117E5">
        <w:rPr>
          <w:sz w:val="26"/>
          <w:szCs w:val="26"/>
        </w:rPr>
        <w:t>K.</w:t>
      </w:r>
      <w:r w:rsidR="00A97D20" w:rsidRPr="000117E5">
        <w:rPr>
          <w:sz w:val="26"/>
          <w:szCs w:val="26"/>
        </w:rPr>
        <w:t> </w:t>
      </w:r>
      <w:r w:rsidR="007C5075" w:rsidRPr="000117E5">
        <w:rPr>
          <w:sz w:val="26"/>
          <w:szCs w:val="26"/>
        </w:rPr>
        <w:t>Gerhards</w:t>
      </w:r>
    </w:p>
    <w:p w14:paraId="1A6B31F3" w14:textId="77777777" w:rsidR="00326302" w:rsidRPr="000117E5" w:rsidRDefault="00326302" w:rsidP="000117E5">
      <w:pPr>
        <w:jc w:val="both"/>
        <w:rPr>
          <w:sz w:val="26"/>
          <w:szCs w:val="26"/>
        </w:rPr>
      </w:pPr>
    </w:p>
    <w:p w14:paraId="2BC54A9C" w14:textId="3D90EF24" w:rsidR="00444D94" w:rsidRPr="000117E5" w:rsidRDefault="00A97D20" w:rsidP="000117E5">
      <w:pPr>
        <w:rPr>
          <w:sz w:val="26"/>
          <w:szCs w:val="26"/>
        </w:rPr>
      </w:pPr>
      <w:r w:rsidRPr="000117E5">
        <w:rPr>
          <w:sz w:val="26"/>
          <w:szCs w:val="26"/>
        </w:rPr>
        <w:t>Vides aizsardzības un reģionālās attīstības</w:t>
      </w:r>
      <w:r w:rsidR="00326302" w:rsidRPr="000117E5">
        <w:rPr>
          <w:sz w:val="26"/>
          <w:szCs w:val="26"/>
        </w:rPr>
        <w:br/>
      </w:r>
      <w:r w:rsidRPr="000117E5">
        <w:rPr>
          <w:sz w:val="26"/>
          <w:szCs w:val="26"/>
        </w:rPr>
        <w:t>ministrijas</w:t>
      </w:r>
      <w:r w:rsidR="00BD2F1B" w:rsidRPr="000117E5">
        <w:rPr>
          <w:sz w:val="26"/>
          <w:szCs w:val="26"/>
        </w:rPr>
        <w:t>v</w:t>
      </w:r>
      <w:r w:rsidR="00D2551B" w:rsidRPr="000117E5">
        <w:rPr>
          <w:sz w:val="26"/>
          <w:szCs w:val="26"/>
        </w:rPr>
        <w:t>alsts sekretārs</w:t>
      </w:r>
      <w:r w:rsidR="00D2551B" w:rsidRPr="000117E5">
        <w:rPr>
          <w:sz w:val="26"/>
          <w:szCs w:val="26"/>
        </w:rPr>
        <w:tab/>
      </w:r>
      <w:r w:rsidR="00D2551B" w:rsidRPr="000117E5">
        <w:rPr>
          <w:sz w:val="26"/>
          <w:szCs w:val="26"/>
        </w:rPr>
        <w:tab/>
      </w:r>
      <w:r w:rsidR="00D2551B" w:rsidRPr="000117E5">
        <w:rPr>
          <w:sz w:val="26"/>
          <w:szCs w:val="26"/>
        </w:rPr>
        <w:tab/>
      </w:r>
      <w:r w:rsidR="00D2551B" w:rsidRPr="000117E5">
        <w:rPr>
          <w:sz w:val="26"/>
          <w:szCs w:val="26"/>
        </w:rPr>
        <w:tab/>
      </w:r>
      <w:r w:rsidR="00D2551B" w:rsidRPr="000117E5">
        <w:rPr>
          <w:sz w:val="26"/>
          <w:szCs w:val="26"/>
        </w:rPr>
        <w:tab/>
      </w:r>
      <w:r w:rsidR="00D2551B" w:rsidRPr="000117E5">
        <w:rPr>
          <w:sz w:val="26"/>
          <w:szCs w:val="26"/>
        </w:rPr>
        <w:tab/>
      </w:r>
      <w:r w:rsidR="00D2551B" w:rsidRPr="000117E5">
        <w:rPr>
          <w:sz w:val="26"/>
          <w:szCs w:val="26"/>
        </w:rPr>
        <w:tab/>
      </w:r>
      <w:r w:rsidRPr="000117E5">
        <w:rPr>
          <w:sz w:val="26"/>
          <w:szCs w:val="26"/>
        </w:rPr>
        <w:t xml:space="preserve">            </w:t>
      </w:r>
      <w:r w:rsidR="00D2551B" w:rsidRPr="000117E5">
        <w:rPr>
          <w:sz w:val="26"/>
          <w:szCs w:val="26"/>
        </w:rPr>
        <w:t>R.</w:t>
      </w:r>
      <w:r w:rsidR="000D3C0E" w:rsidRPr="000117E5">
        <w:rPr>
          <w:sz w:val="26"/>
          <w:szCs w:val="26"/>
        </w:rPr>
        <w:t> </w:t>
      </w:r>
      <w:r w:rsidR="00D2551B" w:rsidRPr="000117E5">
        <w:rPr>
          <w:sz w:val="26"/>
          <w:szCs w:val="26"/>
        </w:rPr>
        <w:t>Muciņš</w:t>
      </w:r>
      <w:r w:rsidR="00F06E3A" w:rsidRPr="000117E5">
        <w:rPr>
          <w:sz w:val="26"/>
          <w:szCs w:val="26"/>
        </w:rPr>
        <w:br/>
      </w:r>
    </w:p>
    <w:p w14:paraId="4ACC0249" w14:textId="77777777" w:rsidR="00903090" w:rsidRPr="000117E5" w:rsidRDefault="00903090" w:rsidP="000117E5">
      <w:pPr>
        <w:rPr>
          <w:sz w:val="26"/>
          <w:szCs w:val="26"/>
        </w:rPr>
      </w:pPr>
    </w:p>
    <w:p w14:paraId="72F5022E" w14:textId="77777777" w:rsidR="000117E5" w:rsidRPr="000117E5" w:rsidRDefault="000117E5" w:rsidP="000117E5">
      <w:pPr>
        <w:rPr>
          <w:sz w:val="26"/>
          <w:szCs w:val="26"/>
        </w:rPr>
      </w:pPr>
    </w:p>
    <w:p w14:paraId="3C619FF6" w14:textId="77777777" w:rsidR="000117E5" w:rsidRPr="000117E5" w:rsidRDefault="000117E5" w:rsidP="000117E5">
      <w:pPr>
        <w:rPr>
          <w:sz w:val="26"/>
          <w:szCs w:val="26"/>
        </w:rPr>
      </w:pPr>
    </w:p>
    <w:p w14:paraId="084286F3" w14:textId="77777777" w:rsidR="000117E5" w:rsidRPr="000117E5" w:rsidRDefault="000117E5" w:rsidP="000117E5">
      <w:pPr>
        <w:rPr>
          <w:sz w:val="26"/>
          <w:szCs w:val="26"/>
        </w:rPr>
      </w:pPr>
    </w:p>
    <w:p w14:paraId="46A3C285" w14:textId="0EB6681B" w:rsidR="00A97D20" w:rsidRPr="000117E5" w:rsidRDefault="00C47871" w:rsidP="000117E5">
      <w:pPr>
        <w:rPr>
          <w:sz w:val="20"/>
          <w:szCs w:val="20"/>
        </w:rPr>
      </w:pPr>
      <w:r w:rsidRPr="000117E5">
        <w:rPr>
          <w:sz w:val="20"/>
          <w:szCs w:val="20"/>
        </w:rPr>
        <w:t>Ķipēna</w:t>
      </w:r>
      <w:r w:rsidR="00A97D20" w:rsidRPr="000117E5">
        <w:rPr>
          <w:sz w:val="20"/>
          <w:szCs w:val="20"/>
        </w:rPr>
        <w:t xml:space="preserve"> </w:t>
      </w:r>
      <w:r w:rsidRPr="000117E5">
        <w:rPr>
          <w:sz w:val="20"/>
          <w:szCs w:val="20"/>
        </w:rPr>
        <w:t>67026452</w:t>
      </w:r>
    </w:p>
    <w:p w14:paraId="5A69D77F" w14:textId="136A4F59" w:rsidR="00FA3F75" w:rsidRPr="000117E5" w:rsidRDefault="002D111A" w:rsidP="000117E5">
      <w:pPr>
        <w:rPr>
          <w:sz w:val="20"/>
          <w:szCs w:val="20"/>
        </w:rPr>
      </w:pPr>
      <w:hyperlink r:id="rId8" w:history="1">
        <w:r w:rsidR="00C47871" w:rsidRPr="000117E5">
          <w:rPr>
            <w:rStyle w:val="Hyperlink"/>
            <w:sz w:val="20"/>
            <w:szCs w:val="20"/>
          </w:rPr>
          <w:t>santa.kipena@varam.g</w:t>
        </w:r>
        <w:bookmarkStart w:id="0" w:name="_GoBack"/>
        <w:r w:rsidR="00C47871" w:rsidRPr="000117E5">
          <w:rPr>
            <w:rStyle w:val="Hyperlink"/>
            <w:sz w:val="20"/>
            <w:szCs w:val="20"/>
          </w:rPr>
          <w:t>o</w:t>
        </w:r>
        <w:bookmarkEnd w:id="0"/>
        <w:r w:rsidR="00C47871" w:rsidRPr="000117E5">
          <w:rPr>
            <w:rStyle w:val="Hyperlink"/>
            <w:sz w:val="20"/>
            <w:szCs w:val="20"/>
          </w:rPr>
          <w:t>v.lv</w:t>
        </w:r>
      </w:hyperlink>
    </w:p>
    <w:sectPr w:rsidR="00FA3F75" w:rsidRPr="000117E5" w:rsidSect="000117E5">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55B1" w14:textId="77777777" w:rsidR="00173592" w:rsidRDefault="00173592" w:rsidP="00AE6879">
      <w:r>
        <w:separator/>
      </w:r>
    </w:p>
  </w:endnote>
  <w:endnote w:type="continuationSeparator" w:id="0">
    <w:p w14:paraId="4FFB881C" w14:textId="77777777" w:rsidR="00173592" w:rsidRDefault="00173592" w:rsidP="00AE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ohit Hind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756B" w14:textId="7DF3FD67" w:rsidR="006400BD" w:rsidRPr="003810BA" w:rsidRDefault="006400BD" w:rsidP="00580BAC">
    <w:pPr>
      <w:pStyle w:val="Footer"/>
      <w:spacing w:before="120"/>
      <w:ind w:right="-1"/>
      <w:jc w:val="both"/>
      <w:rPr>
        <w:sz w:val="22"/>
        <w:szCs w:val="22"/>
      </w:rPr>
    </w:pPr>
    <w:r w:rsidRPr="002F1A3F">
      <w:rPr>
        <w:sz w:val="22"/>
        <w:szCs w:val="22"/>
      </w:rPr>
      <w:fldChar w:fldCharType="begin"/>
    </w:r>
    <w:r w:rsidRPr="002F1A3F">
      <w:rPr>
        <w:sz w:val="22"/>
        <w:szCs w:val="22"/>
      </w:rPr>
      <w:instrText xml:space="preserve"> FILENAME </w:instrText>
    </w:r>
    <w:r w:rsidRPr="002F1A3F">
      <w:rPr>
        <w:sz w:val="22"/>
        <w:szCs w:val="22"/>
      </w:rPr>
      <w:fldChar w:fldCharType="separate"/>
    </w:r>
    <w:r>
      <w:rPr>
        <w:noProof/>
        <w:sz w:val="22"/>
        <w:szCs w:val="22"/>
      </w:rPr>
      <w:t>VARAMzino_200217</w:t>
    </w:r>
    <w:r w:rsidRPr="002F1A3F">
      <w:rPr>
        <w:sz w:val="22"/>
        <w:szCs w:val="22"/>
      </w:rPr>
      <w:fldChar w:fldCharType="end"/>
    </w:r>
    <w:r>
      <w:rPr>
        <w:sz w:val="22"/>
        <w:szCs w:val="22"/>
      </w:rPr>
      <w:t>_VidesPadome</w:t>
    </w:r>
    <w:r w:rsidRPr="002F1A3F">
      <w:rPr>
        <w:sz w:val="22"/>
        <w:szCs w:val="22"/>
      </w:rPr>
      <w:t>;</w:t>
    </w:r>
    <w:r>
      <w:rPr>
        <w:sz w:val="22"/>
        <w:szCs w:val="22"/>
      </w:rPr>
      <w:t xml:space="preserve"> </w:t>
    </w:r>
    <w:r w:rsidRPr="002F1A3F">
      <w:rPr>
        <w:sz w:val="22"/>
        <w:szCs w:val="22"/>
      </w:rPr>
      <w:t>Informatīvais ziņojums „</w:t>
    </w:r>
    <w:r w:rsidRPr="00444D94">
      <w:rPr>
        <w:sz w:val="22"/>
        <w:szCs w:val="22"/>
      </w:rPr>
      <w:t>Par 20</w:t>
    </w:r>
    <w:r>
      <w:rPr>
        <w:sz w:val="22"/>
        <w:szCs w:val="22"/>
      </w:rPr>
      <w:t>17</w:t>
    </w:r>
    <w:r w:rsidRPr="00444D94">
      <w:rPr>
        <w:sz w:val="22"/>
        <w:szCs w:val="22"/>
      </w:rPr>
      <w:t>.</w:t>
    </w:r>
    <w:r>
      <w:rPr>
        <w:sz w:val="22"/>
        <w:szCs w:val="22"/>
      </w:rPr>
      <w:t> </w:t>
    </w:r>
    <w:r w:rsidRPr="00444D94">
      <w:rPr>
        <w:sz w:val="22"/>
        <w:szCs w:val="22"/>
      </w:rPr>
      <w:t xml:space="preserve">gada </w:t>
    </w:r>
    <w:r>
      <w:rPr>
        <w:sz w:val="22"/>
        <w:szCs w:val="22"/>
      </w:rPr>
      <w:t>28.februāra</w:t>
    </w:r>
    <w:r w:rsidRPr="00444D94">
      <w:rPr>
        <w:sz w:val="22"/>
        <w:szCs w:val="22"/>
      </w:rPr>
      <w:t xml:space="preserve"> Eiropas Savienības Vides ministru padom</w:t>
    </w:r>
    <w:r>
      <w:rPr>
        <w:sz w:val="22"/>
        <w:szCs w:val="22"/>
      </w:rPr>
      <w:t>es sanāksm</w:t>
    </w:r>
    <w:r w:rsidRPr="00444D94">
      <w:rPr>
        <w:sz w:val="22"/>
        <w:szCs w:val="22"/>
      </w:rPr>
      <w:t>ē izskatāmajiem jautājumiem</w:t>
    </w:r>
    <w:r w:rsidRPr="002F1A3F">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B31E" w14:textId="77777777" w:rsidR="006400BD" w:rsidRPr="00A53A92" w:rsidRDefault="006400BD" w:rsidP="00A53A92">
    <w:pPr>
      <w:pStyle w:val="Footer"/>
      <w:spacing w:before="120"/>
      <w:ind w:right="357"/>
      <w:jc w:val="both"/>
      <w:rPr>
        <w:sz w:val="22"/>
        <w:szCs w:val="22"/>
      </w:rPr>
    </w:pPr>
    <w:r w:rsidRPr="002F1A3F">
      <w:rPr>
        <w:sz w:val="22"/>
        <w:szCs w:val="22"/>
      </w:rPr>
      <w:fldChar w:fldCharType="begin"/>
    </w:r>
    <w:r w:rsidRPr="002F1A3F">
      <w:rPr>
        <w:sz w:val="22"/>
        <w:szCs w:val="22"/>
      </w:rPr>
      <w:instrText xml:space="preserve"> FILENAME </w:instrText>
    </w:r>
    <w:r w:rsidRPr="002F1A3F">
      <w:rPr>
        <w:sz w:val="22"/>
        <w:szCs w:val="22"/>
      </w:rPr>
      <w:fldChar w:fldCharType="separate"/>
    </w:r>
    <w:r>
      <w:rPr>
        <w:noProof/>
        <w:sz w:val="22"/>
        <w:szCs w:val="22"/>
      </w:rPr>
      <w:t>VARAMzino_26022016</w:t>
    </w:r>
    <w:r w:rsidRPr="002F1A3F">
      <w:rPr>
        <w:sz w:val="22"/>
        <w:szCs w:val="22"/>
      </w:rPr>
      <w:fldChar w:fldCharType="end"/>
    </w:r>
    <w:r>
      <w:rPr>
        <w:sz w:val="22"/>
        <w:szCs w:val="22"/>
      </w:rPr>
      <w:t>_VidesPadome</w:t>
    </w:r>
    <w:r w:rsidRPr="002F1A3F">
      <w:rPr>
        <w:sz w:val="22"/>
        <w:szCs w:val="22"/>
      </w:rPr>
      <w:t>;</w:t>
    </w:r>
    <w:r>
      <w:rPr>
        <w:sz w:val="22"/>
        <w:szCs w:val="22"/>
      </w:rPr>
      <w:t xml:space="preserve"> </w:t>
    </w:r>
    <w:r w:rsidRPr="002F1A3F">
      <w:rPr>
        <w:sz w:val="22"/>
        <w:szCs w:val="22"/>
      </w:rPr>
      <w:t>Informatīvais ziņojums „</w:t>
    </w:r>
    <w:r w:rsidRPr="00444D94">
      <w:rPr>
        <w:sz w:val="22"/>
        <w:szCs w:val="22"/>
      </w:rPr>
      <w:t>Par 20</w:t>
    </w:r>
    <w:r>
      <w:rPr>
        <w:sz w:val="22"/>
        <w:szCs w:val="22"/>
      </w:rPr>
      <w:t>16</w:t>
    </w:r>
    <w:r w:rsidRPr="00444D94">
      <w:rPr>
        <w:sz w:val="22"/>
        <w:szCs w:val="22"/>
      </w:rPr>
      <w:t xml:space="preserve">.gada </w:t>
    </w:r>
    <w:r>
      <w:rPr>
        <w:sz w:val="22"/>
        <w:szCs w:val="22"/>
      </w:rPr>
      <w:t>4.marta</w:t>
    </w:r>
    <w:r w:rsidRPr="00444D94">
      <w:rPr>
        <w:sz w:val="22"/>
        <w:szCs w:val="22"/>
      </w:rPr>
      <w:t xml:space="preserve"> Eiropas Savienības Vides ministru padomē izskatāmajiem jautājumiem</w:t>
    </w:r>
    <w:r w:rsidRPr="002F1A3F">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5FCB9" w14:textId="77777777" w:rsidR="00173592" w:rsidRDefault="00173592" w:rsidP="00AE6879">
      <w:r>
        <w:separator/>
      </w:r>
    </w:p>
  </w:footnote>
  <w:footnote w:type="continuationSeparator" w:id="0">
    <w:p w14:paraId="0897F8F2" w14:textId="77777777" w:rsidR="00173592" w:rsidRDefault="00173592" w:rsidP="00AE6879">
      <w:r>
        <w:continuationSeparator/>
      </w:r>
    </w:p>
  </w:footnote>
  <w:footnote w:id="1">
    <w:p w14:paraId="43D57AAD" w14:textId="77777777" w:rsidR="006400BD" w:rsidRPr="00866F94" w:rsidRDefault="006400BD" w:rsidP="00DB60C8">
      <w:pPr>
        <w:pStyle w:val="FootnoteText"/>
        <w:ind w:left="142" w:hanging="142"/>
        <w:jc w:val="both"/>
        <w:rPr>
          <w:rFonts w:cs="Times New Roman"/>
          <w:sz w:val="16"/>
          <w:szCs w:val="16"/>
        </w:rPr>
      </w:pPr>
      <w:r w:rsidRPr="00866F94">
        <w:rPr>
          <w:rStyle w:val="FootnoteReference"/>
          <w:sz w:val="16"/>
          <w:szCs w:val="16"/>
        </w:rPr>
        <w:footnoteRef/>
      </w:r>
      <w:r w:rsidRPr="00866F94">
        <w:rPr>
          <w:rFonts w:cs="Times New Roman"/>
          <w:sz w:val="16"/>
          <w:szCs w:val="16"/>
        </w:rPr>
        <w:t xml:space="preserve"> </w:t>
      </w:r>
      <w:hyperlink r:id="rId1" w:history="1">
        <w:r w:rsidRPr="00866F94">
          <w:rPr>
            <w:rStyle w:val="Hyperlink"/>
            <w:rFonts w:cs="Times New Roman"/>
            <w:sz w:val="16"/>
            <w:szCs w:val="16"/>
          </w:rPr>
          <w:t>http://europa.eu/rapid/press-release_IP-15-5358_lv.htm</w:t>
        </w:r>
      </w:hyperlink>
      <w:r w:rsidRPr="00866F94">
        <w:rPr>
          <w:rFonts w:cs="Times New Roman"/>
          <w:sz w:val="16"/>
          <w:szCs w:val="16"/>
        </w:rPr>
        <w:t xml:space="preserve"> </w:t>
      </w:r>
    </w:p>
  </w:footnote>
  <w:footnote w:id="2">
    <w:p w14:paraId="6FD01F21" w14:textId="77777777" w:rsidR="006400BD" w:rsidRPr="00866F94" w:rsidRDefault="006400BD" w:rsidP="00DB60C8">
      <w:pPr>
        <w:pStyle w:val="FootnoteText"/>
        <w:ind w:left="142" w:hanging="142"/>
        <w:rPr>
          <w:rFonts w:cs="Times New Roman"/>
          <w:sz w:val="16"/>
          <w:szCs w:val="16"/>
        </w:rPr>
      </w:pPr>
      <w:r w:rsidRPr="00866F94">
        <w:rPr>
          <w:rStyle w:val="FootnoteReference"/>
          <w:sz w:val="16"/>
          <w:szCs w:val="16"/>
        </w:rPr>
        <w:footnoteRef/>
      </w:r>
      <w:r w:rsidRPr="00866F94">
        <w:rPr>
          <w:rFonts w:cs="Times New Roman"/>
          <w:sz w:val="16"/>
          <w:szCs w:val="16"/>
        </w:rPr>
        <w:t xml:space="preserve"> Saskaņā ar Eiropas Vides aģentūras apkopojumu (</w:t>
      </w:r>
      <w:hyperlink r:id="rId2" w:history="1">
        <w:r w:rsidRPr="00866F94">
          <w:rPr>
            <w:rStyle w:val="Hyperlink"/>
            <w:rFonts w:cs="Times New Roman"/>
            <w:sz w:val="16"/>
            <w:szCs w:val="16"/>
          </w:rPr>
          <w:t>http://www.eea.europa.eu/highlights/surplus-emission-permits-start-decreasing</w:t>
        </w:r>
      </w:hyperlink>
      <w:r w:rsidRPr="00866F94">
        <w:rPr>
          <w:rFonts w:cs="Times New Roman"/>
          <w:sz w:val="16"/>
          <w:szCs w:val="16"/>
        </w:rPr>
        <w:t>) jau 2015.gadā ir sācis samazināties emisijas kvotu pārpalikums</w:t>
      </w:r>
    </w:p>
  </w:footnote>
  <w:footnote w:id="3">
    <w:p w14:paraId="26B3506A" w14:textId="77777777" w:rsidR="006400BD" w:rsidRPr="00FD4A20" w:rsidRDefault="006400BD" w:rsidP="008F6A74">
      <w:pPr>
        <w:pStyle w:val="FootnoteText"/>
        <w:rPr>
          <w:rFonts w:ascii="Times New Roman" w:hAnsi="Times New Roman"/>
        </w:rPr>
      </w:pPr>
      <w:r w:rsidRPr="00FD4A20">
        <w:rPr>
          <w:rStyle w:val="FootnoteReference"/>
          <w:rFonts w:ascii="Times New Roman" w:hAnsi="Times New Roman"/>
        </w:rPr>
        <w:footnoteRef/>
      </w:r>
      <w:r w:rsidRPr="00FD4A20">
        <w:rPr>
          <w:rFonts w:ascii="Times New Roman" w:hAnsi="Times New Roman"/>
        </w:rPr>
        <w:t xml:space="preserve"> </w:t>
      </w:r>
      <w:hyperlink r:id="rId3" w:history="1">
        <w:r w:rsidRPr="00085DE6">
          <w:rPr>
            <w:rStyle w:val="Hyperlink"/>
            <w:rFonts w:ascii="Times New Roman" w:hAnsi="Times New Roman" w:cs="Times New Roman"/>
          </w:rPr>
          <w:t>http://eur-lex.europa.eu/legal-content/EN/TXT/?qid=1485957931185&amp;uri=CELEX:52016DC0739</w:t>
        </w:r>
      </w:hyperlink>
      <w:r w:rsidRPr="00FD4A20">
        <w:rPr>
          <w:rFonts w:ascii="Times New Roman" w:hAnsi="Times New Roman"/>
        </w:rPr>
        <w:t xml:space="preserve"> </w:t>
      </w:r>
    </w:p>
  </w:footnote>
  <w:footnote w:id="4">
    <w:p w14:paraId="0F946DFC" w14:textId="77777777" w:rsidR="006400BD" w:rsidRPr="00DB60C8" w:rsidRDefault="006400BD" w:rsidP="00A071C6">
      <w:pPr>
        <w:pStyle w:val="FootnoteText"/>
        <w:rPr>
          <w:rFonts w:ascii="Times New Roman" w:hAnsi="Times New Roman" w:cs="Times New Roman"/>
        </w:rPr>
      </w:pPr>
      <w:r w:rsidRPr="00FD4A20">
        <w:rPr>
          <w:rStyle w:val="FootnoteReference"/>
          <w:rFonts w:ascii="Times New Roman" w:hAnsi="Times New Roman"/>
        </w:rPr>
        <w:footnoteRef/>
      </w:r>
      <w:r w:rsidRPr="00FD4A20">
        <w:rPr>
          <w:rFonts w:ascii="Times New Roman" w:hAnsi="Times New Roman"/>
        </w:rPr>
        <w:t xml:space="preserve"> </w:t>
      </w:r>
      <w:hyperlink r:id="rId4" w:history="1">
        <w:r w:rsidRPr="00DB60C8">
          <w:rPr>
            <w:rStyle w:val="Hyperlink"/>
            <w:rFonts w:ascii="Times New Roman" w:hAnsi="Times New Roman" w:cs="Times New Roman"/>
          </w:rPr>
          <w:t>http://ec.europa.eu/environment/eir/pdf/report_lv_lv.pdf</w:t>
        </w:r>
      </w:hyperlink>
      <w:r w:rsidRPr="00DB60C8">
        <w:rPr>
          <w:rFonts w:ascii="Times New Roman" w:hAnsi="Times New Roman" w:cs="Times New Roman"/>
        </w:rPr>
        <w:t xml:space="preserve"> </w:t>
      </w:r>
    </w:p>
  </w:footnote>
  <w:footnote w:id="5">
    <w:p w14:paraId="547A626E" w14:textId="2AC11977" w:rsidR="006400BD" w:rsidRPr="00D34DD6" w:rsidRDefault="006400BD" w:rsidP="00D34DD6">
      <w:pPr>
        <w:pStyle w:val="FootnoteText"/>
        <w:spacing w:after="0" w:line="240" w:lineRule="auto"/>
        <w:ind w:left="142" w:hanging="142"/>
        <w:rPr>
          <w:rFonts w:ascii="Times New Roman" w:hAnsi="Times New Roman" w:cs="Times New Roman"/>
          <w:sz w:val="16"/>
          <w:szCs w:val="16"/>
        </w:rPr>
      </w:pPr>
      <w:r w:rsidRPr="00D34DD6">
        <w:rPr>
          <w:rStyle w:val="FootnoteReference"/>
          <w:rFonts w:ascii="Times New Roman" w:hAnsi="Times New Roman" w:cs="Times New Roman"/>
          <w:sz w:val="16"/>
          <w:szCs w:val="16"/>
        </w:rPr>
        <w:footnoteRef/>
      </w:r>
      <w:r w:rsidRPr="00D34DD6">
        <w:rPr>
          <w:rFonts w:ascii="Times New Roman" w:hAnsi="Times New Roman" w:cs="Times New Roman"/>
          <w:sz w:val="16"/>
          <w:szCs w:val="16"/>
        </w:rPr>
        <w:t xml:space="preserve"> Pieejams: </w:t>
      </w:r>
      <w:hyperlink r:id="rId5" w:history="1">
        <w:r w:rsidRPr="00D34DD6">
          <w:rPr>
            <w:rStyle w:val="Hyperlink"/>
            <w:rFonts w:ascii="Times New Roman" w:hAnsi="Times New Roman" w:cs="Times New Roman"/>
            <w:sz w:val="16"/>
            <w:szCs w:val="16"/>
          </w:rPr>
          <w:t>http://ec.europa.eu/transparency/regdoc/rep/1/2017/LV/COM-2017-54-F1-LV-MAIN-PART-1.PDF</w:t>
        </w:r>
      </w:hyperlink>
      <w:r w:rsidRPr="00D34DD6">
        <w:rPr>
          <w:rFonts w:ascii="Times New Roman" w:hAnsi="Times New Roman" w:cs="Times New Roman"/>
          <w:sz w:val="16"/>
          <w:szCs w:val="16"/>
        </w:rPr>
        <w:t xml:space="preserve"> </w:t>
      </w:r>
    </w:p>
  </w:footnote>
  <w:footnote w:id="6">
    <w:p w14:paraId="761EF9EA" w14:textId="38D0513B" w:rsidR="006400BD" w:rsidRPr="00D34DD6" w:rsidRDefault="006400BD" w:rsidP="00D34DD6">
      <w:pPr>
        <w:pStyle w:val="FootnoteText"/>
        <w:spacing w:after="0" w:line="240" w:lineRule="auto"/>
        <w:ind w:left="142" w:hanging="142"/>
        <w:jc w:val="both"/>
        <w:rPr>
          <w:rFonts w:ascii="Times New Roman" w:hAnsi="Times New Roman" w:cs="Times New Roman"/>
          <w:sz w:val="16"/>
          <w:szCs w:val="16"/>
        </w:rPr>
      </w:pPr>
      <w:r w:rsidRPr="00D34DD6">
        <w:rPr>
          <w:rStyle w:val="FootnoteReference"/>
          <w:rFonts w:ascii="Times New Roman" w:hAnsi="Times New Roman" w:cs="Times New Roman"/>
          <w:sz w:val="16"/>
          <w:szCs w:val="16"/>
        </w:rPr>
        <w:footnoteRef/>
      </w:r>
      <w:r w:rsidRPr="00D34DD6">
        <w:rPr>
          <w:rFonts w:ascii="Times New Roman" w:hAnsi="Times New Roman" w:cs="Times New Roman"/>
          <w:sz w:val="16"/>
          <w:szCs w:val="16"/>
        </w:rPr>
        <w:t> </w:t>
      </w:r>
      <w:r w:rsidRPr="00D34DD6">
        <w:rPr>
          <w:rFonts w:ascii="Times New Roman" w:eastAsia="Times New Roman" w:hAnsi="Times New Roman" w:cs="Times New Roman"/>
          <w:color w:val="000000"/>
          <w:sz w:val="16"/>
          <w:szCs w:val="16"/>
        </w:rPr>
        <w:t xml:space="preserve">Eiropas Parlaments un Padomes 2014. gada 16. aprīļa Regula Nr. 421/2014, ar ko groza Direktīvu 2003/87/EK, ar kuru nosaka sistēmu siltumnīcas efektu izraisošo gāzu emisijas kvotu tirdzniecībai Kopienā, jo paredzams, ka līdz 2020. gadam tiks īstenota starptautiska vienošanās par vienota un globāla tirgus mehānisma piemērošanu starptautiskās aviācijas emisijām (pieejama: </w:t>
      </w:r>
      <w:hyperlink r:id="rId6" w:history="1">
        <w:r w:rsidRPr="00D34DD6">
          <w:rPr>
            <w:rStyle w:val="Hyperlink"/>
            <w:rFonts w:ascii="Times New Roman" w:eastAsia="Times New Roman" w:hAnsi="Times New Roman" w:cs="Times New Roman"/>
            <w:sz w:val="16"/>
            <w:szCs w:val="16"/>
          </w:rPr>
          <w:t>http://eur-lex.europa.eu/legal-content/LV/TXT/PDF/?uri=CELEX:32014R0421&amp;from=EN</w:t>
        </w:r>
      </w:hyperlink>
      <w:r w:rsidRPr="00D34DD6">
        <w:rPr>
          <w:rFonts w:ascii="Times New Roman" w:eastAsia="Times New Roman" w:hAnsi="Times New Roman" w:cs="Times New Roman"/>
          <w:color w:val="000000"/>
          <w:sz w:val="16"/>
          <w:szCs w:val="16"/>
        </w:rPr>
        <w:t>)</w:t>
      </w:r>
    </w:p>
  </w:footnote>
  <w:footnote w:id="7">
    <w:p w14:paraId="1D666BB0" w14:textId="2AC9107D" w:rsidR="006400BD" w:rsidRPr="00D34DD6" w:rsidRDefault="006400BD" w:rsidP="00D34DD6">
      <w:pPr>
        <w:pStyle w:val="FootnoteText"/>
        <w:spacing w:after="0" w:line="240" w:lineRule="auto"/>
        <w:ind w:left="142" w:hanging="142"/>
        <w:jc w:val="both"/>
        <w:rPr>
          <w:rFonts w:ascii="Times New Roman" w:hAnsi="Times New Roman" w:cs="Times New Roman"/>
          <w:sz w:val="16"/>
          <w:szCs w:val="16"/>
        </w:rPr>
      </w:pPr>
      <w:r w:rsidRPr="00D34DD6">
        <w:rPr>
          <w:rStyle w:val="FootnoteReference"/>
          <w:rFonts w:ascii="Times New Roman" w:hAnsi="Times New Roman" w:cs="Times New Roman"/>
          <w:sz w:val="16"/>
          <w:szCs w:val="16"/>
        </w:rPr>
        <w:footnoteRef/>
      </w:r>
      <w:r w:rsidRPr="00D34DD6">
        <w:rPr>
          <w:rFonts w:ascii="Times New Roman" w:hAnsi="Times New Roman" w:cs="Times New Roman"/>
          <w:sz w:val="16"/>
          <w:szCs w:val="16"/>
        </w:rPr>
        <w:t> </w:t>
      </w:r>
      <w:hyperlink r:id="rId7" w:history="1">
        <w:r w:rsidRPr="00D34DD6">
          <w:rPr>
            <w:rStyle w:val="Hyperlink"/>
            <w:rFonts w:ascii="Times New Roman" w:hAnsi="Times New Roman" w:cs="Times New Roman"/>
            <w:sz w:val="16"/>
            <w:szCs w:val="16"/>
          </w:rPr>
          <w:t>http://www.icao.int/environmental-protection/Documents/Resolution_A39_3.pdf</w:t>
        </w:r>
      </w:hyperlink>
      <w:r w:rsidRPr="00D34DD6">
        <w:rPr>
          <w:rFonts w:ascii="Times New Roman" w:hAnsi="Times New Roman" w:cs="Times New Roman"/>
          <w:sz w:val="16"/>
          <w:szCs w:val="16"/>
        </w:rPr>
        <w:t xml:space="preserve"> </w:t>
      </w:r>
    </w:p>
  </w:footnote>
  <w:footnote w:id="8">
    <w:p w14:paraId="2886F0CC" w14:textId="061AC379" w:rsidR="006400BD" w:rsidRPr="00D34DD6" w:rsidRDefault="006400BD" w:rsidP="00D34DD6">
      <w:pPr>
        <w:pStyle w:val="FootnoteText"/>
        <w:spacing w:after="0" w:line="240" w:lineRule="auto"/>
        <w:jc w:val="both"/>
        <w:rPr>
          <w:rFonts w:ascii="Times New Roman" w:hAnsi="Times New Roman" w:cs="Times New Roman"/>
          <w:sz w:val="16"/>
          <w:szCs w:val="16"/>
        </w:rPr>
      </w:pPr>
      <w:r w:rsidRPr="00D34DD6">
        <w:rPr>
          <w:rStyle w:val="FootnoteReference"/>
          <w:rFonts w:ascii="Times New Roman" w:hAnsi="Times New Roman" w:cs="Times New Roman"/>
          <w:sz w:val="16"/>
          <w:szCs w:val="16"/>
        </w:rPr>
        <w:footnoteRef/>
      </w:r>
      <w:r w:rsidRPr="00D34DD6">
        <w:rPr>
          <w:rFonts w:ascii="Times New Roman" w:hAnsi="Times New Roman" w:cs="Times New Roman"/>
          <w:sz w:val="16"/>
          <w:szCs w:val="16"/>
        </w:rPr>
        <w:t> </w:t>
      </w:r>
      <w:hyperlink r:id="rId8" w:history="1">
        <w:r w:rsidR="00D34DD6" w:rsidRPr="00D34DD6">
          <w:rPr>
            <w:rStyle w:val="Hyperlink"/>
            <w:rFonts w:ascii="Times New Roman" w:eastAsia="Times New Roman" w:hAnsi="Times New Roman" w:cs="Times New Roman"/>
            <w:sz w:val="16"/>
            <w:szCs w:val="16"/>
          </w:rPr>
          <w:t>http://ec.europa.eu/transparency/regdoc/rep/1/2015/LV/1-2015-614-LV-F1-1.PDF</w:t>
        </w:r>
      </w:hyperlink>
      <w:r w:rsidR="00D34DD6" w:rsidRPr="00D34DD6">
        <w:rPr>
          <w:rFonts w:ascii="Times New Roman" w:eastAsia="Times New Roman" w:hAnsi="Times New Roman" w:cs="Times New Roman"/>
          <w:color w:val="000000"/>
          <w:sz w:val="16"/>
          <w:szCs w:val="16"/>
        </w:rPr>
        <w:t xml:space="preserve"> </w:t>
      </w:r>
    </w:p>
  </w:footnote>
  <w:footnote w:id="9">
    <w:p w14:paraId="071E60BC" w14:textId="3F9A28F9" w:rsidR="00D34DD6" w:rsidRPr="00D34DD6" w:rsidRDefault="00D34DD6" w:rsidP="00D34DD6">
      <w:pPr>
        <w:pStyle w:val="FootnoteText"/>
        <w:spacing w:after="0" w:line="240" w:lineRule="auto"/>
        <w:rPr>
          <w:rFonts w:ascii="Times New Roman" w:hAnsi="Times New Roman" w:cs="Times New Roman"/>
          <w:sz w:val="16"/>
          <w:szCs w:val="16"/>
        </w:rPr>
      </w:pPr>
      <w:r w:rsidRPr="00D34DD6">
        <w:rPr>
          <w:rStyle w:val="FootnoteReference"/>
          <w:rFonts w:ascii="Times New Roman" w:hAnsi="Times New Roman" w:cs="Times New Roman"/>
          <w:sz w:val="16"/>
          <w:szCs w:val="16"/>
        </w:rPr>
        <w:footnoteRef/>
      </w:r>
      <w:r w:rsidRPr="00D34DD6">
        <w:rPr>
          <w:rFonts w:ascii="Times New Roman" w:hAnsi="Times New Roman" w:cs="Times New Roman"/>
          <w:sz w:val="16"/>
          <w:szCs w:val="16"/>
        </w:rPr>
        <w:t> </w:t>
      </w:r>
      <w:hyperlink r:id="rId9" w:history="1">
        <w:r w:rsidRPr="00D34DD6">
          <w:rPr>
            <w:rStyle w:val="Hyperlink"/>
            <w:rFonts w:ascii="Times New Roman" w:hAnsi="Times New Roman" w:cs="Times New Roman"/>
            <w:sz w:val="16"/>
            <w:szCs w:val="16"/>
          </w:rPr>
          <w:t>http://ec.europa.eu/transparency/regdoc/rep/1/2017/LV/COM-2017-33-F1-LV-MAIN-PART-1.PDF</w:t>
        </w:r>
      </w:hyperlink>
      <w:r w:rsidRPr="00D34DD6">
        <w:rPr>
          <w:rFonts w:ascii="Times New Roman" w:hAnsi="Times New Roman" w:cs="Times New Roman"/>
          <w:sz w:val="16"/>
          <w:szCs w:val="16"/>
        </w:rPr>
        <w:t xml:space="preserve"> </w:t>
      </w:r>
    </w:p>
  </w:footnote>
  <w:footnote w:id="10">
    <w:p w14:paraId="7FE7DD0A" w14:textId="7E8A4CE5" w:rsidR="006400BD" w:rsidRPr="00D34DD6" w:rsidRDefault="006400BD" w:rsidP="00D34DD6">
      <w:pPr>
        <w:pStyle w:val="FootnoteText"/>
        <w:spacing w:after="0" w:line="240" w:lineRule="auto"/>
        <w:ind w:left="142" w:hanging="142"/>
        <w:jc w:val="both"/>
        <w:rPr>
          <w:rFonts w:ascii="Times New Roman" w:hAnsi="Times New Roman" w:cs="Times New Roman"/>
          <w:sz w:val="16"/>
          <w:szCs w:val="16"/>
        </w:rPr>
      </w:pPr>
      <w:r w:rsidRPr="00D34DD6">
        <w:rPr>
          <w:rStyle w:val="FootnoteReference"/>
          <w:rFonts w:ascii="Times New Roman" w:hAnsi="Times New Roman" w:cs="Times New Roman"/>
          <w:sz w:val="16"/>
          <w:szCs w:val="16"/>
        </w:rPr>
        <w:footnoteRef/>
      </w:r>
      <w:r w:rsidRPr="00D34DD6">
        <w:rPr>
          <w:rFonts w:ascii="Times New Roman" w:hAnsi="Times New Roman" w:cs="Times New Roman"/>
          <w:sz w:val="16"/>
          <w:szCs w:val="16"/>
          <w:lang w:val="fr-FR"/>
        </w:rPr>
        <w:t> </w:t>
      </w:r>
      <w:r w:rsidRPr="00D34DD6">
        <w:rPr>
          <w:rFonts w:ascii="Times New Roman" w:eastAsia="Times New Roman" w:hAnsi="Times New Roman" w:cs="Times New Roman"/>
          <w:color w:val="000000"/>
          <w:sz w:val="16"/>
          <w:szCs w:val="16"/>
        </w:rPr>
        <w:t>Pāvesta Franciska enciklika “Laudato Si”; pieejama tiešsaistē:</w:t>
      </w:r>
      <w:r w:rsidRPr="00D34DD6">
        <w:rPr>
          <w:rFonts w:ascii="Times New Roman" w:hAnsi="Times New Roman" w:cs="Times New Roman"/>
          <w:sz w:val="16"/>
          <w:szCs w:val="16"/>
        </w:rPr>
        <w:t xml:space="preserve"> </w:t>
      </w:r>
      <w:hyperlink r:id="rId10" w:history="1">
        <w:r w:rsidRPr="00D34DD6">
          <w:rPr>
            <w:rStyle w:val="Hyperlink"/>
            <w:rFonts w:ascii="Times New Roman" w:hAnsi="Times New Roman" w:cs="Times New Roman"/>
            <w:sz w:val="16"/>
            <w:szCs w:val="16"/>
          </w:rPr>
          <w:t>http://w2.vatican.va/content/francesco/en/encyclicals/documents/papa-francesco_20150524_enciclica-laudato-si.html</w:t>
        </w:r>
      </w:hyperlink>
      <w:r w:rsidRPr="00D34DD6">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2FB0" w14:textId="77777777" w:rsidR="006400BD" w:rsidRDefault="006400BD" w:rsidP="00B747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72AE8" w14:textId="77777777" w:rsidR="006400BD" w:rsidRDefault="00640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C98B" w14:textId="77777777" w:rsidR="006400BD" w:rsidRDefault="006400BD" w:rsidP="00B747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11A">
      <w:rPr>
        <w:rStyle w:val="PageNumber"/>
        <w:noProof/>
      </w:rPr>
      <w:t>6</w:t>
    </w:r>
    <w:r>
      <w:rPr>
        <w:rStyle w:val="PageNumber"/>
      </w:rPr>
      <w:fldChar w:fldCharType="end"/>
    </w:r>
  </w:p>
  <w:p w14:paraId="186497EA" w14:textId="77777777" w:rsidR="006400BD" w:rsidRDefault="006400BD" w:rsidP="00B7472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68DB" w14:textId="77777777" w:rsidR="006400BD" w:rsidRDefault="006400BD" w:rsidP="00B747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 w15:restartNumberingAfterBreak="0">
    <w:nsid w:val="11E52873"/>
    <w:multiLevelType w:val="multilevel"/>
    <w:tmpl w:val="04547F5A"/>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D140E3B"/>
    <w:multiLevelType w:val="singleLevel"/>
    <w:tmpl w:val="A78C1CA0"/>
    <w:name w:val="Dash 2"/>
    <w:lvl w:ilvl="0">
      <w:start w:val="1"/>
      <w:numFmt w:val="bullet"/>
      <w:pStyle w:val="Dash2"/>
      <w:lvlText w:val="–"/>
      <w:lvlJc w:val="left"/>
      <w:pPr>
        <w:tabs>
          <w:tab w:val="num" w:pos="1701"/>
        </w:tabs>
        <w:ind w:left="1701" w:hanging="567"/>
      </w:pPr>
    </w:lvl>
  </w:abstractNum>
  <w:abstractNum w:abstractNumId="3" w15:restartNumberingAfterBreak="0">
    <w:nsid w:val="30061976"/>
    <w:multiLevelType w:val="hybridMultilevel"/>
    <w:tmpl w:val="E79CF8A2"/>
    <w:lvl w:ilvl="0" w:tplc="6FBAA314">
      <w:start w:val="7"/>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6" w15:restartNumberingAfterBreak="0">
    <w:nsid w:val="5D60669B"/>
    <w:multiLevelType w:val="singleLevel"/>
    <w:tmpl w:val="A97ED7DE"/>
    <w:name w:val="Dash 3"/>
    <w:lvl w:ilvl="0">
      <w:start w:val="1"/>
      <w:numFmt w:val="bullet"/>
      <w:pStyle w:val="Dash3"/>
      <w:lvlText w:val="–"/>
      <w:lvlJc w:val="left"/>
      <w:pPr>
        <w:tabs>
          <w:tab w:val="num" w:pos="2268"/>
        </w:tabs>
        <w:ind w:left="2268" w:hanging="567"/>
      </w:pPr>
      <w:rPr>
        <w:bdr w:val="none" w:sz="0" w:space="0" w:color="auto" w:frame="1"/>
      </w:rPr>
    </w:lvl>
  </w:abstractNum>
  <w:abstractNum w:abstractNumId="7"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8"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9"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9"/>
  </w:num>
  <w:num w:numId="7">
    <w:abstractNumId w:val="0"/>
  </w:num>
  <w:num w:numId="8">
    <w:abstractNumId w:val="7"/>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77"/>
    <w:rsid w:val="00010BAC"/>
    <w:rsid w:val="00010F5F"/>
    <w:rsid w:val="000117E5"/>
    <w:rsid w:val="0001676B"/>
    <w:rsid w:val="000211C7"/>
    <w:rsid w:val="00021789"/>
    <w:rsid w:val="00026128"/>
    <w:rsid w:val="00026757"/>
    <w:rsid w:val="0002777D"/>
    <w:rsid w:val="00027D57"/>
    <w:rsid w:val="0003192C"/>
    <w:rsid w:val="00032497"/>
    <w:rsid w:val="000367E7"/>
    <w:rsid w:val="000418C2"/>
    <w:rsid w:val="000423C7"/>
    <w:rsid w:val="000465FB"/>
    <w:rsid w:val="00054E9B"/>
    <w:rsid w:val="000624D3"/>
    <w:rsid w:val="000661F7"/>
    <w:rsid w:val="0007524B"/>
    <w:rsid w:val="00081150"/>
    <w:rsid w:val="00082CAF"/>
    <w:rsid w:val="00084BF2"/>
    <w:rsid w:val="00085A18"/>
    <w:rsid w:val="00085DE6"/>
    <w:rsid w:val="0009606E"/>
    <w:rsid w:val="00096389"/>
    <w:rsid w:val="000A775D"/>
    <w:rsid w:val="000B3314"/>
    <w:rsid w:val="000C05E1"/>
    <w:rsid w:val="000D3C0E"/>
    <w:rsid w:val="000E199A"/>
    <w:rsid w:val="000E36E2"/>
    <w:rsid w:val="000E4480"/>
    <w:rsid w:val="000E7107"/>
    <w:rsid w:val="000E76EB"/>
    <w:rsid w:val="000E7E02"/>
    <w:rsid w:val="000F2AC6"/>
    <w:rsid w:val="000F4052"/>
    <w:rsid w:val="000F5231"/>
    <w:rsid w:val="000F5AF8"/>
    <w:rsid w:val="0010158C"/>
    <w:rsid w:val="00103744"/>
    <w:rsid w:val="001075CE"/>
    <w:rsid w:val="001101EE"/>
    <w:rsid w:val="00112ADC"/>
    <w:rsid w:val="0011554A"/>
    <w:rsid w:val="0011611D"/>
    <w:rsid w:val="00116304"/>
    <w:rsid w:val="00117A7B"/>
    <w:rsid w:val="001201A8"/>
    <w:rsid w:val="00121E96"/>
    <w:rsid w:val="00126786"/>
    <w:rsid w:val="0013502D"/>
    <w:rsid w:val="00135321"/>
    <w:rsid w:val="00140408"/>
    <w:rsid w:val="0014059B"/>
    <w:rsid w:val="00140606"/>
    <w:rsid w:val="00141A1B"/>
    <w:rsid w:val="0014432C"/>
    <w:rsid w:val="00147A94"/>
    <w:rsid w:val="001500F9"/>
    <w:rsid w:val="0015025C"/>
    <w:rsid w:val="00151ADB"/>
    <w:rsid w:val="00152835"/>
    <w:rsid w:val="00156831"/>
    <w:rsid w:val="00160030"/>
    <w:rsid w:val="00170CF7"/>
    <w:rsid w:val="001729E9"/>
    <w:rsid w:val="00172B3C"/>
    <w:rsid w:val="00173592"/>
    <w:rsid w:val="001741A0"/>
    <w:rsid w:val="0018726C"/>
    <w:rsid w:val="0019130F"/>
    <w:rsid w:val="0019242A"/>
    <w:rsid w:val="00195426"/>
    <w:rsid w:val="001A125F"/>
    <w:rsid w:val="001B1C84"/>
    <w:rsid w:val="001D2C00"/>
    <w:rsid w:val="001D4A7C"/>
    <w:rsid w:val="001D59F3"/>
    <w:rsid w:val="001E0CD8"/>
    <w:rsid w:val="001E2297"/>
    <w:rsid w:val="001E4454"/>
    <w:rsid w:val="001E5E37"/>
    <w:rsid w:val="001E5EFB"/>
    <w:rsid w:val="001E5F42"/>
    <w:rsid w:val="001F1502"/>
    <w:rsid w:val="001F1669"/>
    <w:rsid w:val="001F3DE8"/>
    <w:rsid w:val="001F46C7"/>
    <w:rsid w:val="00200684"/>
    <w:rsid w:val="00200839"/>
    <w:rsid w:val="002018FC"/>
    <w:rsid w:val="002024B9"/>
    <w:rsid w:val="0020742E"/>
    <w:rsid w:val="00212C60"/>
    <w:rsid w:val="00213939"/>
    <w:rsid w:val="00214E0D"/>
    <w:rsid w:val="00221E03"/>
    <w:rsid w:val="00225058"/>
    <w:rsid w:val="00225222"/>
    <w:rsid w:val="00225FAF"/>
    <w:rsid w:val="00226C5D"/>
    <w:rsid w:val="00232CD1"/>
    <w:rsid w:val="00233987"/>
    <w:rsid w:val="00234ACB"/>
    <w:rsid w:val="00235999"/>
    <w:rsid w:val="0023605B"/>
    <w:rsid w:val="00241AB8"/>
    <w:rsid w:val="00242BC6"/>
    <w:rsid w:val="002450BD"/>
    <w:rsid w:val="0025098F"/>
    <w:rsid w:val="002714FF"/>
    <w:rsid w:val="00273C14"/>
    <w:rsid w:val="00275433"/>
    <w:rsid w:val="00276B92"/>
    <w:rsid w:val="002808C2"/>
    <w:rsid w:val="00285A15"/>
    <w:rsid w:val="00293098"/>
    <w:rsid w:val="00293E75"/>
    <w:rsid w:val="002953CB"/>
    <w:rsid w:val="00295C09"/>
    <w:rsid w:val="00297EE1"/>
    <w:rsid w:val="002A58E6"/>
    <w:rsid w:val="002A78E0"/>
    <w:rsid w:val="002B04DF"/>
    <w:rsid w:val="002B06CB"/>
    <w:rsid w:val="002B0771"/>
    <w:rsid w:val="002B15E2"/>
    <w:rsid w:val="002B771D"/>
    <w:rsid w:val="002C1EE4"/>
    <w:rsid w:val="002C24B6"/>
    <w:rsid w:val="002C375C"/>
    <w:rsid w:val="002C3AEB"/>
    <w:rsid w:val="002C70E4"/>
    <w:rsid w:val="002D0B77"/>
    <w:rsid w:val="002D111A"/>
    <w:rsid w:val="002D2741"/>
    <w:rsid w:val="002D44B5"/>
    <w:rsid w:val="002D6429"/>
    <w:rsid w:val="002E3276"/>
    <w:rsid w:val="002E613F"/>
    <w:rsid w:val="002E6290"/>
    <w:rsid w:val="002F1A3F"/>
    <w:rsid w:val="003028E8"/>
    <w:rsid w:val="003060E9"/>
    <w:rsid w:val="003147AD"/>
    <w:rsid w:val="00316C59"/>
    <w:rsid w:val="00317EEF"/>
    <w:rsid w:val="00321EAA"/>
    <w:rsid w:val="00326302"/>
    <w:rsid w:val="00330A33"/>
    <w:rsid w:val="00337232"/>
    <w:rsid w:val="00341220"/>
    <w:rsid w:val="00342A14"/>
    <w:rsid w:val="00342E1E"/>
    <w:rsid w:val="00351715"/>
    <w:rsid w:val="00351A83"/>
    <w:rsid w:val="0035645E"/>
    <w:rsid w:val="003635BB"/>
    <w:rsid w:val="0036388B"/>
    <w:rsid w:val="00377744"/>
    <w:rsid w:val="003810BA"/>
    <w:rsid w:val="00382BB7"/>
    <w:rsid w:val="00393DDA"/>
    <w:rsid w:val="003968DC"/>
    <w:rsid w:val="003A3BD6"/>
    <w:rsid w:val="003A51E8"/>
    <w:rsid w:val="003A64A4"/>
    <w:rsid w:val="003A7550"/>
    <w:rsid w:val="003B0C59"/>
    <w:rsid w:val="003B0ED4"/>
    <w:rsid w:val="003B43B9"/>
    <w:rsid w:val="003B646B"/>
    <w:rsid w:val="003C2499"/>
    <w:rsid w:val="003C35D3"/>
    <w:rsid w:val="003C5BF3"/>
    <w:rsid w:val="003C650F"/>
    <w:rsid w:val="003C793A"/>
    <w:rsid w:val="003D62BF"/>
    <w:rsid w:val="003E1536"/>
    <w:rsid w:val="003E2AC5"/>
    <w:rsid w:val="003E420B"/>
    <w:rsid w:val="003E42E3"/>
    <w:rsid w:val="003E4D54"/>
    <w:rsid w:val="003F439F"/>
    <w:rsid w:val="00404E96"/>
    <w:rsid w:val="0040646B"/>
    <w:rsid w:val="00407037"/>
    <w:rsid w:val="00415825"/>
    <w:rsid w:val="004208C1"/>
    <w:rsid w:val="00423468"/>
    <w:rsid w:val="004310CF"/>
    <w:rsid w:val="00431207"/>
    <w:rsid w:val="00433DE3"/>
    <w:rsid w:val="00436ED5"/>
    <w:rsid w:val="00441D12"/>
    <w:rsid w:val="00443170"/>
    <w:rsid w:val="00444D94"/>
    <w:rsid w:val="00445722"/>
    <w:rsid w:val="0044650B"/>
    <w:rsid w:val="0044664C"/>
    <w:rsid w:val="00451829"/>
    <w:rsid w:val="004527F6"/>
    <w:rsid w:val="00452D3D"/>
    <w:rsid w:val="00455306"/>
    <w:rsid w:val="00455C2B"/>
    <w:rsid w:val="00461A6A"/>
    <w:rsid w:val="0046320D"/>
    <w:rsid w:val="004701C8"/>
    <w:rsid w:val="0047080A"/>
    <w:rsid w:val="004721BE"/>
    <w:rsid w:val="00472EB0"/>
    <w:rsid w:val="004759AF"/>
    <w:rsid w:val="0048578C"/>
    <w:rsid w:val="00491A92"/>
    <w:rsid w:val="004924B2"/>
    <w:rsid w:val="00494EE2"/>
    <w:rsid w:val="00496221"/>
    <w:rsid w:val="004968D6"/>
    <w:rsid w:val="004A1116"/>
    <w:rsid w:val="004A3817"/>
    <w:rsid w:val="004A566A"/>
    <w:rsid w:val="004A605F"/>
    <w:rsid w:val="004B566F"/>
    <w:rsid w:val="004B6625"/>
    <w:rsid w:val="004B6CC5"/>
    <w:rsid w:val="004B7424"/>
    <w:rsid w:val="004C1694"/>
    <w:rsid w:val="004C1748"/>
    <w:rsid w:val="004C2DB7"/>
    <w:rsid w:val="004C3AB5"/>
    <w:rsid w:val="004C6A01"/>
    <w:rsid w:val="004D7221"/>
    <w:rsid w:val="004E2037"/>
    <w:rsid w:val="004E20F4"/>
    <w:rsid w:val="004E5DCB"/>
    <w:rsid w:val="004E6076"/>
    <w:rsid w:val="004E6A71"/>
    <w:rsid w:val="004E6DD3"/>
    <w:rsid w:val="004F2540"/>
    <w:rsid w:val="00501754"/>
    <w:rsid w:val="00506E9A"/>
    <w:rsid w:val="0051198A"/>
    <w:rsid w:val="00511F25"/>
    <w:rsid w:val="00513F70"/>
    <w:rsid w:val="00524468"/>
    <w:rsid w:val="00524509"/>
    <w:rsid w:val="00524A1D"/>
    <w:rsid w:val="00524AD3"/>
    <w:rsid w:val="00525A9A"/>
    <w:rsid w:val="00526471"/>
    <w:rsid w:val="00526745"/>
    <w:rsid w:val="0052692D"/>
    <w:rsid w:val="00527871"/>
    <w:rsid w:val="005305B8"/>
    <w:rsid w:val="0053481C"/>
    <w:rsid w:val="00534F74"/>
    <w:rsid w:val="005361DD"/>
    <w:rsid w:val="00542CE4"/>
    <w:rsid w:val="00543942"/>
    <w:rsid w:val="00552058"/>
    <w:rsid w:val="005520E0"/>
    <w:rsid w:val="0055327F"/>
    <w:rsid w:val="00554B70"/>
    <w:rsid w:val="00557DE4"/>
    <w:rsid w:val="00563292"/>
    <w:rsid w:val="00563FAB"/>
    <w:rsid w:val="0057554A"/>
    <w:rsid w:val="00580BAC"/>
    <w:rsid w:val="0058170D"/>
    <w:rsid w:val="00582E81"/>
    <w:rsid w:val="00586C32"/>
    <w:rsid w:val="00586FF0"/>
    <w:rsid w:val="00587B09"/>
    <w:rsid w:val="00590314"/>
    <w:rsid w:val="00591CA2"/>
    <w:rsid w:val="00592457"/>
    <w:rsid w:val="0059310C"/>
    <w:rsid w:val="00596743"/>
    <w:rsid w:val="00597624"/>
    <w:rsid w:val="005B3515"/>
    <w:rsid w:val="005C0EFB"/>
    <w:rsid w:val="005C1858"/>
    <w:rsid w:val="005C2437"/>
    <w:rsid w:val="005C27B8"/>
    <w:rsid w:val="005C5CA5"/>
    <w:rsid w:val="005D09FF"/>
    <w:rsid w:val="005D346E"/>
    <w:rsid w:val="005D37B2"/>
    <w:rsid w:val="005D542F"/>
    <w:rsid w:val="005E14BB"/>
    <w:rsid w:val="005F55B5"/>
    <w:rsid w:val="005F60C2"/>
    <w:rsid w:val="005F6491"/>
    <w:rsid w:val="00600076"/>
    <w:rsid w:val="00601C49"/>
    <w:rsid w:val="00603080"/>
    <w:rsid w:val="00603C46"/>
    <w:rsid w:val="00610C03"/>
    <w:rsid w:val="00611CB4"/>
    <w:rsid w:val="00616D37"/>
    <w:rsid w:val="006227B9"/>
    <w:rsid w:val="00623198"/>
    <w:rsid w:val="00630E2F"/>
    <w:rsid w:val="006335DF"/>
    <w:rsid w:val="00633F0B"/>
    <w:rsid w:val="006359B0"/>
    <w:rsid w:val="006400BD"/>
    <w:rsid w:val="00641B04"/>
    <w:rsid w:val="00641F54"/>
    <w:rsid w:val="00645226"/>
    <w:rsid w:val="00647AC6"/>
    <w:rsid w:val="00647DBB"/>
    <w:rsid w:val="0065173C"/>
    <w:rsid w:val="00653551"/>
    <w:rsid w:val="0065786D"/>
    <w:rsid w:val="0066660F"/>
    <w:rsid w:val="006677A3"/>
    <w:rsid w:val="00670737"/>
    <w:rsid w:val="00670B39"/>
    <w:rsid w:val="006755C4"/>
    <w:rsid w:val="00680A67"/>
    <w:rsid w:val="00687F48"/>
    <w:rsid w:val="00695ABA"/>
    <w:rsid w:val="00696244"/>
    <w:rsid w:val="0069686B"/>
    <w:rsid w:val="006A1E64"/>
    <w:rsid w:val="006A3161"/>
    <w:rsid w:val="006B7B28"/>
    <w:rsid w:val="006B7B9F"/>
    <w:rsid w:val="006D0E90"/>
    <w:rsid w:val="006D38BD"/>
    <w:rsid w:val="006D5407"/>
    <w:rsid w:val="006E35B5"/>
    <w:rsid w:val="006E61C1"/>
    <w:rsid w:val="006F279A"/>
    <w:rsid w:val="006F598C"/>
    <w:rsid w:val="007007DD"/>
    <w:rsid w:val="00703F12"/>
    <w:rsid w:val="00704D02"/>
    <w:rsid w:val="00707FEC"/>
    <w:rsid w:val="007124F7"/>
    <w:rsid w:val="0071379A"/>
    <w:rsid w:val="00714672"/>
    <w:rsid w:val="0072158E"/>
    <w:rsid w:val="00722E4F"/>
    <w:rsid w:val="0073421B"/>
    <w:rsid w:val="00734575"/>
    <w:rsid w:val="0073526A"/>
    <w:rsid w:val="00735394"/>
    <w:rsid w:val="00741BB0"/>
    <w:rsid w:val="0074397B"/>
    <w:rsid w:val="007439BA"/>
    <w:rsid w:val="00746F06"/>
    <w:rsid w:val="00750F12"/>
    <w:rsid w:val="007554E6"/>
    <w:rsid w:val="00756A2D"/>
    <w:rsid w:val="00757373"/>
    <w:rsid w:val="00761B93"/>
    <w:rsid w:val="00764DEE"/>
    <w:rsid w:val="00765547"/>
    <w:rsid w:val="007745DA"/>
    <w:rsid w:val="007778EB"/>
    <w:rsid w:val="00784403"/>
    <w:rsid w:val="00785764"/>
    <w:rsid w:val="0078674C"/>
    <w:rsid w:val="00797523"/>
    <w:rsid w:val="007A25A9"/>
    <w:rsid w:val="007A3F24"/>
    <w:rsid w:val="007A489E"/>
    <w:rsid w:val="007A52AF"/>
    <w:rsid w:val="007A7CBD"/>
    <w:rsid w:val="007B2E76"/>
    <w:rsid w:val="007B56F2"/>
    <w:rsid w:val="007C2B05"/>
    <w:rsid w:val="007C5075"/>
    <w:rsid w:val="007C76DF"/>
    <w:rsid w:val="007D4DDE"/>
    <w:rsid w:val="007D77B2"/>
    <w:rsid w:val="007E0A56"/>
    <w:rsid w:val="007E4062"/>
    <w:rsid w:val="007E4133"/>
    <w:rsid w:val="007E4AF3"/>
    <w:rsid w:val="007E7390"/>
    <w:rsid w:val="007F247E"/>
    <w:rsid w:val="008047C6"/>
    <w:rsid w:val="00806DE0"/>
    <w:rsid w:val="00812070"/>
    <w:rsid w:val="00812D9D"/>
    <w:rsid w:val="00814117"/>
    <w:rsid w:val="00814D32"/>
    <w:rsid w:val="00815E33"/>
    <w:rsid w:val="00825F1B"/>
    <w:rsid w:val="00826462"/>
    <w:rsid w:val="00826F03"/>
    <w:rsid w:val="00831649"/>
    <w:rsid w:val="008317D6"/>
    <w:rsid w:val="00831BFB"/>
    <w:rsid w:val="00832A1E"/>
    <w:rsid w:val="008331FE"/>
    <w:rsid w:val="00843C49"/>
    <w:rsid w:val="00850469"/>
    <w:rsid w:val="00853C03"/>
    <w:rsid w:val="00854BB0"/>
    <w:rsid w:val="00854CA9"/>
    <w:rsid w:val="0085658D"/>
    <w:rsid w:val="00865E8A"/>
    <w:rsid w:val="0086760A"/>
    <w:rsid w:val="00867AAF"/>
    <w:rsid w:val="00867D64"/>
    <w:rsid w:val="00875073"/>
    <w:rsid w:val="00876CC7"/>
    <w:rsid w:val="00877EC4"/>
    <w:rsid w:val="00882359"/>
    <w:rsid w:val="00883CA9"/>
    <w:rsid w:val="00885DE3"/>
    <w:rsid w:val="00886843"/>
    <w:rsid w:val="00891102"/>
    <w:rsid w:val="008925A0"/>
    <w:rsid w:val="00893C3A"/>
    <w:rsid w:val="008B1D44"/>
    <w:rsid w:val="008B3011"/>
    <w:rsid w:val="008B7301"/>
    <w:rsid w:val="008C02FF"/>
    <w:rsid w:val="008E13C4"/>
    <w:rsid w:val="008E2311"/>
    <w:rsid w:val="008E4F23"/>
    <w:rsid w:val="008E56AF"/>
    <w:rsid w:val="008E5BEF"/>
    <w:rsid w:val="008E702F"/>
    <w:rsid w:val="008F6A74"/>
    <w:rsid w:val="00903090"/>
    <w:rsid w:val="00904529"/>
    <w:rsid w:val="00906678"/>
    <w:rsid w:val="00920798"/>
    <w:rsid w:val="00922CE2"/>
    <w:rsid w:val="00931124"/>
    <w:rsid w:val="00933CE0"/>
    <w:rsid w:val="00935DF3"/>
    <w:rsid w:val="00940F3D"/>
    <w:rsid w:val="0094499D"/>
    <w:rsid w:val="0095278B"/>
    <w:rsid w:val="00955B73"/>
    <w:rsid w:val="00960EE2"/>
    <w:rsid w:val="00963C2C"/>
    <w:rsid w:val="0096541F"/>
    <w:rsid w:val="009748AE"/>
    <w:rsid w:val="0097635D"/>
    <w:rsid w:val="00976B34"/>
    <w:rsid w:val="009772E2"/>
    <w:rsid w:val="00986327"/>
    <w:rsid w:val="0098664E"/>
    <w:rsid w:val="00992CC1"/>
    <w:rsid w:val="00996203"/>
    <w:rsid w:val="00996270"/>
    <w:rsid w:val="00996F2C"/>
    <w:rsid w:val="009A227A"/>
    <w:rsid w:val="009A27F6"/>
    <w:rsid w:val="009A5437"/>
    <w:rsid w:val="009B0928"/>
    <w:rsid w:val="009B6B55"/>
    <w:rsid w:val="009B79FC"/>
    <w:rsid w:val="009C01FA"/>
    <w:rsid w:val="009C2A7E"/>
    <w:rsid w:val="009C5A4E"/>
    <w:rsid w:val="009C7683"/>
    <w:rsid w:val="009D056B"/>
    <w:rsid w:val="009D09F1"/>
    <w:rsid w:val="009D689F"/>
    <w:rsid w:val="009E453C"/>
    <w:rsid w:val="009E7D9E"/>
    <w:rsid w:val="009F0A82"/>
    <w:rsid w:val="009F1A98"/>
    <w:rsid w:val="00A0033E"/>
    <w:rsid w:val="00A02374"/>
    <w:rsid w:val="00A03229"/>
    <w:rsid w:val="00A0537B"/>
    <w:rsid w:val="00A06159"/>
    <w:rsid w:val="00A071C6"/>
    <w:rsid w:val="00A07872"/>
    <w:rsid w:val="00A147A1"/>
    <w:rsid w:val="00A16B91"/>
    <w:rsid w:val="00A26197"/>
    <w:rsid w:val="00A32C01"/>
    <w:rsid w:val="00A35DD2"/>
    <w:rsid w:val="00A3654D"/>
    <w:rsid w:val="00A4017F"/>
    <w:rsid w:val="00A40853"/>
    <w:rsid w:val="00A422F9"/>
    <w:rsid w:val="00A4308D"/>
    <w:rsid w:val="00A46333"/>
    <w:rsid w:val="00A46922"/>
    <w:rsid w:val="00A47C07"/>
    <w:rsid w:val="00A52A93"/>
    <w:rsid w:val="00A53A92"/>
    <w:rsid w:val="00A53C06"/>
    <w:rsid w:val="00A54E53"/>
    <w:rsid w:val="00A60EBA"/>
    <w:rsid w:val="00A626C6"/>
    <w:rsid w:val="00A63487"/>
    <w:rsid w:val="00A63E8B"/>
    <w:rsid w:val="00A65475"/>
    <w:rsid w:val="00A70AE0"/>
    <w:rsid w:val="00A72B5A"/>
    <w:rsid w:val="00A739D7"/>
    <w:rsid w:val="00A75A7D"/>
    <w:rsid w:val="00A812FE"/>
    <w:rsid w:val="00A85D16"/>
    <w:rsid w:val="00A86D9A"/>
    <w:rsid w:val="00A91365"/>
    <w:rsid w:val="00A97950"/>
    <w:rsid w:val="00A97D20"/>
    <w:rsid w:val="00AA3DCE"/>
    <w:rsid w:val="00AA43A3"/>
    <w:rsid w:val="00AB40B1"/>
    <w:rsid w:val="00AB5419"/>
    <w:rsid w:val="00AB67C3"/>
    <w:rsid w:val="00AC0DFE"/>
    <w:rsid w:val="00AC3C29"/>
    <w:rsid w:val="00AC57C9"/>
    <w:rsid w:val="00AC5A28"/>
    <w:rsid w:val="00AD05AD"/>
    <w:rsid w:val="00AD450F"/>
    <w:rsid w:val="00AE1DC6"/>
    <w:rsid w:val="00AE4386"/>
    <w:rsid w:val="00AE6879"/>
    <w:rsid w:val="00AF1DDD"/>
    <w:rsid w:val="00B001A0"/>
    <w:rsid w:val="00B0160A"/>
    <w:rsid w:val="00B031CA"/>
    <w:rsid w:val="00B048CA"/>
    <w:rsid w:val="00B115C0"/>
    <w:rsid w:val="00B13678"/>
    <w:rsid w:val="00B20981"/>
    <w:rsid w:val="00B213EC"/>
    <w:rsid w:val="00B2155A"/>
    <w:rsid w:val="00B2502E"/>
    <w:rsid w:val="00B37A3A"/>
    <w:rsid w:val="00B40722"/>
    <w:rsid w:val="00B40935"/>
    <w:rsid w:val="00B41A5A"/>
    <w:rsid w:val="00B458D6"/>
    <w:rsid w:val="00B47BB2"/>
    <w:rsid w:val="00B5578C"/>
    <w:rsid w:val="00B619CC"/>
    <w:rsid w:val="00B63C05"/>
    <w:rsid w:val="00B6611E"/>
    <w:rsid w:val="00B66A17"/>
    <w:rsid w:val="00B7472F"/>
    <w:rsid w:val="00B758F6"/>
    <w:rsid w:val="00B77D7E"/>
    <w:rsid w:val="00B81191"/>
    <w:rsid w:val="00B8197E"/>
    <w:rsid w:val="00B87BA0"/>
    <w:rsid w:val="00B90114"/>
    <w:rsid w:val="00B90DAB"/>
    <w:rsid w:val="00B91520"/>
    <w:rsid w:val="00B95A2F"/>
    <w:rsid w:val="00B961C8"/>
    <w:rsid w:val="00BA1BA3"/>
    <w:rsid w:val="00BA2226"/>
    <w:rsid w:val="00BA3758"/>
    <w:rsid w:val="00BA4956"/>
    <w:rsid w:val="00BA5B1D"/>
    <w:rsid w:val="00BA781E"/>
    <w:rsid w:val="00BB0B13"/>
    <w:rsid w:val="00BB2691"/>
    <w:rsid w:val="00BB3913"/>
    <w:rsid w:val="00BB5262"/>
    <w:rsid w:val="00BB6C54"/>
    <w:rsid w:val="00BC2063"/>
    <w:rsid w:val="00BC50C4"/>
    <w:rsid w:val="00BD2F1B"/>
    <w:rsid w:val="00BD6E49"/>
    <w:rsid w:val="00BE1A16"/>
    <w:rsid w:val="00BE6EF7"/>
    <w:rsid w:val="00BF19FE"/>
    <w:rsid w:val="00BF4711"/>
    <w:rsid w:val="00C030AF"/>
    <w:rsid w:val="00C218D8"/>
    <w:rsid w:val="00C36C99"/>
    <w:rsid w:val="00C40544"/>
    <w:rsid w:val="00C43CA0"/>
    <w:rsid w:val="00C4595C"/>
    <w:rsid w:val="00C462EE"/>
    <w:rsid w:val="00C47871"/>
    <w:rsid w:val="00C502A4"/>
    <w:rsid w:val="00C73079"/>
    <w:rsid w:val="00C743A8"/>
    <w:rsid w:val="00C7609E"/>
    <w:rsid w:val="00C87E08"/>
    <w:rsid w:val="00C90189"/>
    <w:rsid w:val="00C94449"/>
    <w:rsid w:val="00C94691"/>
    <w:rsid w:val="00C94B01"/>
    <w:rsid w:val="00CA1990"/>
    <w:rsid w:val="00CA7E80"/>
    <w:rsid w:val="00CB03AE"/>
    <w:rsid w:val="00CC659E"/>
    <w:rsid w:val="00CC65B1"/>
    <w:rsid w:val="00CD62A7"/>
    <w:rsid w:val="00CD79CA"/>
    <w:rsid w:val="00CE1C30"/>
    <w:rsid w:val="00CE26A2"/>
    <w:rsid w:val="00CE2D7E"/>
    <w:rsid w:val="00CE3A13"/>
    <w:rsid w:val="00CE59CC"/>
    <w:rsid w:val="00D027CE"/>
    <w:rsid w:val="00D0377F"/>
    <w:rsid w:val="00D113AA"/>
    <w:rsid w:val="00D145F5"/>
    <w:rsid w:val="00D23877"/>
    <w:rsid w:val="00D24B09"/>
    <w:rsid w:val="00D2551B"/>
    <w:rsid w:val="00D25D02"/>
    <w:rsid w:val="00D25EE5"/>
    <w:rsid w:val="00D275B5"/>
    <w:rsid w:val="00D34DD6"/>
    <w:rsid w:val="00D40C2B"/>
    <w:rsid w:val="00D4513D"/>
    <w:rsid w:val="00D50CF0"/>
    <w:rsid w:val="00D54B1F"/>
    <w:rsid w:val="00D57BA3"/>
    <w:rsid w:val="00D60719"/>
    <w:rsid w:val="00D656BA"/>
    <w:rsid w:val="00D713B8"/>
    <w:rsid w:val="00D7150C"/>
    <w:rsid w:val="00D7165E"/>
    <w:rsid w:val="00D819E0"/>
    <w:rsid w:val="00D81D6F"/>
    <w:rsid w:val="00D833F7"/>
    <w:rsid w:val="00D93E83"/>
    <w:rsid w:val="00D94607"/>
    <w:rsid w:val="00D967EB"/>
    <w:rsid w:val="00DA3392"/>
    <w:rsid w:val="00DA5E58"/>
    <w:rsid w:val="00DA7125"/>
    <w:rsid w:val="00DB5743"/>
    <w:rsid w:val="00DB60C8"/>
    <w:rsid w:val="00DC49E3"/>
    <w:rsid w:val="00DD4467"/>
    <w:rsid w:val="00DD4D4B"/>
    <w:rsid w:val="00DE1BA0"/>
    <w:rsid w:val="00DE23A1"/>
    <w:rsid w:val="00DE57FA"/>
    <w:rsid w:val="00DE5E04"/>
    <w:rsid w:val="00DE68F1"/>
    <w:rsid w:val="00DE71CE"/>
    <w:rsid w:val="00DF009D"/>
    <w:rsid w:val="00DF56B7"/>
    <w:rsid w:val="00DF69DD"/>
    <w:rsid w:val="00DF6BAA"/>
    <w:rsid w:val="00DF6E8B"/>
    <w:rsid w:val="00E07205"/>
    <w:rsid w:val="00E07B4C"/>
    <w:rsid w:val="00E14CFC"/>
    <w:rsid w:val="00E21848"/>
    <w:rsid w:val="00E222E4"/>
    <w:rsid w:val="00E22BA6"/>
    <w:rsid w:val="00E26DF8"/>
    <w:rsid w:val="00E278C2"/>
    <w:rsid w:val="00E2797E"/>
    <w:rsid w:val="00E35CF5"/>
    <w:rsid w:val="00E4113B"/>
    <w:rsid w:val="00E4195D"/>
    <w:rsid w:val="00E454D7"/>
    <w:rsid w:val="00E462C4"/>
    <w:rsid w:val="00E46F55"/>
    <w:rsid w:val="00E50116"/>
    <w:rsid w:val="00E5228F"/>
    <w:rsid w:val="00E551A5"/>
    <w:rsid w:val="00E6041B"/>
    <w:rsid w:val="00E64DF9"/>
    <w:rsid w:val="00E6598A"/>
    <w:rsid w:val="00E71632"/>
    <w:rsid w:val="00E72CE6"/>
    <w:rsid w:val="00E733B0"/>
    <w:rsid w:val="00E760EF"/>
    <w:rsid w:val="00E807E7"/>
    <w:rsid w:val="00E825F7"/>
    <w:rsid w:val="00E83949"/>
    <w:rsid w:val="00E83EDE"/>
    <w:rsid w:val="00E85F68"/>
    <w:rsid w:val="00E93014"/>
    <w:rsid w:val="00E942FF"/>
    <w:rsid w:val="00EA10DA"/>
    <w:rsid w:val="00EA1C80"/>
    <w:rsid w:val="00EA4470"/>
    <w:rsid w:val="00EA4BCC"/>
    <w:rsid w:val="00EA5411"/>
    <w:rsid w:val="00EA7C9E"/>
    <w:rsid w:val="00EB158C"/>
    <w:rsid w:val="00EB199E"/>
    <w:rsid w:val="00EB435B"/>
    <w:rsid w:val="00EB4915"/>
    <w:rsid w:val="00EC0385"/>
    <w:rsid w:val="00EC16AD"/>
    <w:rsid w:val="00EC2F09"/>
    <w:rsid w:val="00EC3B8A"/>
    <w:rsid w:val="00EC6B2E"/>
    <w:rsid w:val="00EC73EF"/>
    <w:rsid w:val="00ED0495"/>
    <w:rsid w:val="00ED1D95"/>
    <w:rsid w:val="00ED2779"/>
    <w:rsid w:val="00ED2DB7"/>
    <w:rsid w:val="00ED5CBB"/>
    <w:rsid w:val="00EE18F6"/>
    <w:rsid w:val="00EE2F57"/>
    <w:rsid w:val="00EE33CE"/>
    <w:rsid w:val="00EE4935"/>
    <w:rsid w:val="00EE575A"/>
    <w:rsid w:val="00EF0628"/>
    <w:rsid w:val="00EF3586"/>
    <w:rsid w:val="00EF46F1"/>
    <w:rsid w:val="00EF59CC"/>
    <w:rsid w:val="00F0031A"/>
    <w:rsid w:val="00F0548A"/>
    <w:rsid w:val="00F06424"/>
    <w:rsid w:val="00F06725"/>
    <w:rsid w:val="00F06E3A"/>
    <w:rsid w:val="00F12098"/>
    <w:rsid w:val="00F12D91"/>
    <w:rsid w:val="00F135C2"/>
    <w:rsid w:val="00F179AD"/>
    <w:rsid w:val="00F2387A"/>
    <w:rsid w:val="00F27376"/>
    <w:rsid w:val="00F3089F"/>
    <w:rsid w:val="00F359AD"/>
    <w:rsid w:val="00F37DC0"/>
    <w:rsid w:val="00F44075"/>
    <w:rsid w:val="00F44F45"/>
    <w:rsid w:val="00F47B41"/>
    <w:rsid w:val="00F51C0E"/>
    <w:rsid w:val="00F52903"/>
    <w:rsid w:val="00F53172"/>
    <w:rsid w:val="00F54973"/>
    <w:rsid w:val="00F55478"/>
    <w:rsid w:val="00F57B52"/>
    <w:rsid w:val="00F57D67"/>
    <w:rsid w:val="00F64E5B"/>
    <w:rsid w:val="00F656A7"/>
    <w:rsid w:val="00F71827"/>
    <w:rsid w:val="00F72BF4"/>
    <w:rsid w:val="00F73EBE"/>
    <w:rsid w:val="00F75078"/>
    <w:rsid w:val="00F77249"/>
    <w:rsid w:val="00F80B1B"/>
    <w:rsid w:val="00F81925"/>
    <w:rsid w:val="00FA0676"/>
    <w:rsid w:val="00FA3F75"/>
    <w:rsid w:val="00FB064E"/>
    <w:rsid w:val="00FB1C26"/>
    <w:rsid w:val="00FB4C04"/>
    <w:rsid w:val="00FC3039"/>
    <w:rsid w:val="00FC3520"/>
    <w:rsid w:val="00FC7346"/>
    <w:rsid w:val="00FC7EA8"/>
    <w:rsid w:val="00FD4180"/>
    <w:rsid w:val="00FE394D"/>
    <w:rsid w:val="00FE47FA"/>
    <w:rsid w:val="00FE7EDA"/>
    <w:rsid w:val="00FF0105"/>
    <w:rsid w:val="00FF25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2F42F"/>
  <w15:docId w15:val="{055074C8-A94C-4A91-9D93-CC5FB916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9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rsid w:val="00920798"/>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883CA9"/>
    <w:rPr>
      <w:rFonts w:ascii="Calibri" w:hAnsi="Calibri" w:cs="Calibri"/>
      <w:sz w:val="20"/>
      <w:szCs w:val="20"/>
      <w:lang w:eastAsia="lv-LV"/>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
      </w:numPr>
      <w:spacing w:before="120" w:after="120" w:line="360" w:lineRule="auto"/>
    </w:pPr>
    <w:rPr>
      <w:rFonts w:eastAsiaTheme="minorHAnsi"/>
    </w:rPr>
  </w:style>
  <w:style w:type="paragraph" w:customStyle="1" w:styleId="NumPar2">
    <w:name w:val="NumPar 2"/>
    <w:basedOn w:val="Normal"/>
    <w:rsid w:val="002808C2"/>
    <w:pPr>
      <w:numPr>
        <w:ilvl w:val="2"/>
        <w:numId w:val="1"/>
      </w:numPr>
      <w:spacing w:before="120" w:after="120" w:line="360" w:lineRule="auto"/>
    </w:pPr>
    <w:rPr>
      <w:rFonts w:eastAsiaTheme="minorHAnsi"/>
    </w:rPr>
  </w:style>
  <w:style w:type="paragraph" w:customStyle="1" w:styleId="NumPar3">
    <w:name w:val="NumPar 3"/>
    <w:basedOn w:val="Normal"/>
    <w:rsid w:val="002808C2"/>
    <w:pPr>
      <w:numPr>
        <w:ilvl w:val="3"/>
        <w:numId w:val="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E199A"/>
    <w:rPr>
      <w:rFonts w:asciiTheme="minorHAnsi" w:hAnsiTheme="minorHAnsi" w:cs="Tahoma"/>
      <w:sz w:val="22"/>
      <w:szCs w:val="16"/>
    </w:rPr>
  </w:style>
  <w:style w:type="character" w:customStyle="1" w:styleId="BalloonTextChar">
    <w:name w:val="Balloon Text Char"/>
    <w:basedOn w:val="DefaultParagraphFont"/>
    <w:link w:val="BalloonText"/>
    <w:uiPriority w:val="99"/>
    <w:semiHidden/>
    <w:rsid w:val="000E199A"/>
    <w:rPr>
      <w:rFonts w:eastAsia="Times New Roman" w:cs="Tahoma"/>
      <w:szCs w:val="16"/>
      <w:lang w:eastAsia="lv-LV"/>
    </w:rPr>
  </w:style>
  <w:style w:type="paragraph" w:styleId="NoSpacing">
    <w:name w:val="No Spacing"/>
    <w:uiPriority w:val="1"/>
    <w:qFormat/>
    <w:rsid w:val="002C70E4"/>
    <w:pPr>
      <w:spacing w:after="0" w:line="240" w:lineRule="auto"/>
    </w:pPr>
  </w:style>
  <w:style w:type="character" w:customStyle="1" w:styleId="apple-converted-space">
    <w:name w:val="apple-converted-space"/>
    <w:basedOn w:val="DefaultParagraphFont"/>
    <w:rsid w:val="002C70E4"/>
  </w:style>
  <w:style w:type="paragraph" w:customStyle="1" w:styleId="Default">
    <w:name w:val="Default"/>
    <w:rsid w:val="002C70E4"/>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D4180"/>
    <w:pPr>
      <w:spacing w:after="0"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D54B1F"/>
    <w:pPr>
      <w:spacing w:after="120" w:line="480" w:lineRule="auto"/>
    </w:pPr>
  </w:style>
  <w:style w:type="character" w:customStyle="1" w:styleId="BodyText2Char">
    <w:name w:val="Body Text 2 Char"/>
    <w:basedOn w:val="DefaultParagraphFont"/>
    <w:link w:val="BodyText2"/>
    <w:uiPriority w:val="99"/>
    <w:rsid w:val="00D54B1F"/>
    <w:rPr>
      <w:rFonts w:ascii="Times New Roman" w:eastAsia="Times New Roman" w:hAnsi="Times New Roman" w:cs="Times New Roman"/>
      <w:sz w:val="24"/>
      <w:szCs w:val="24"/>
      <w:lang w:eastAsia="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D54B1F"/>
    <w:rPr>
      <w:rFonts w:ascii="Times New Roman" w:eastAsia="Times New Roman" w:hAnsi="Times New Roman" w:cs="Times New Roman"/>
      <w:sz w:val="24"/>
      <w:szCs w:val="24"/>
      <w:lang w:eastAsia="lv-LV"/>
    </w:rPr>
  </w:style>
  <w:style w:type="paragraph" w:customStyle="1" w:styleId="PointManual">
    <w:name w:val="Point Manual"/>
    <w:basedOn w:val="Normal"/>
    <w:rsid w:val="00F81925"/>
    <w:pPr>
      <w:spacing w:before="200"/>
      <w:ind w:left="567" w:hanging="567"/>
    </w:pPr>
    <w:rPr>
      <w:lang w:bidi="lv-LV"/>
    </w:rPr>
  </w:style>
  <w:style w:type="paragraph" w:customStyle="1" w:styleId="Dash1">
    <w:name w:val="Dash 1"/>
    <w:basedOn w:val="Normal"/>
    <w:rsid w:val="002B04DF"/>
    <w:pPr>
      <w:numPr>
        <w:numId w:val="2"/>
      </w:numPr>
      <w:outlineLvl w:val="0"/>
    </w:pPr>
    <w:rPr>
      <w:lang w:bidi="lv-LV"/>
    </w:rPr>
  </w:style>
  <w:style w:type="paragraph" w:customStyle="1" w:styleId="FinalLineLandscape">
    <w:name w:val="Final Line (Landscape)"/>
    <w:basedOn w:val="Normal"/>
    <w:next w:val="Normal"/>
    <w:rsid w:val="002B04DF"/>
    <w:pPr>
      <w:pBdr>
        <w:bottom w:val="single" w:sz="4" w:space="0" w:color="000000"/>
      </w:pBdr>
      <w:spacing w:before="360" w:after="120"/>
      <w:ind w:left="5868" w:right="5868"/>
      <w:jc w:val="center"/>
    </w:pPr>
    <w:rPr>
      <w:b/>
      <w:lang w:bidi="lv-LV"/>
    </w:rPr>
  </w:style>
  <w:style w:type="paragraph" w:customStyle="1" w:styleId="FinalLine">
    <w:name w:val="Final Line"/>
    <w:basedOn w:val="Normal"/>
    <w:next w:val="Normal"/>
    <w:rsid w:val="002B04DF"/>
    <w:pPr>
      <w:pBdr>
        <w:bottom w:val="single" w:sz="4" w:space="0" w:color="000000"/>
      </w:pBdr>
      <w:spacing w:before="360" w:after="120"/>
      <w:ind w:left="3400" w:right="3400"/>
      <w:jc w:val="center"/>
    </w:pPr>
    <w:rPr>
      <w:b/>
      <w:lang w:bidi="lv-LV"/>
    </w:rPr>
  </w:style>
  <w:style w:type="paragraph" w:customStyle="1" w:styleId="FootnoteRefernece">
    <w:name w:val="Footnote Refernece"/>
    <w:aliases w:val="ftref,Odwołanie przypisu,Footnotes refss,Ref,de nota al pie,E,E FNZ"/>
    <w:basedOn w:val="Normal"/>
    <w:next w:val="Normal"/>
    <w:link w:val="FootnoteReference"/>
    <w:uiPriority w:val="99"/>
    <w:rsid w:val="0071379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PointManual1">
    <w:name w:val="Point Manual (1)"/>
    <w:basedOn w:val="Normal"/>
    <w:rsid w:val="00557DE4"/>
    <w:pPr>
      <w:ind w:left="1134" w:hanging="567"/>
      <w:outlineLvl w:val="0"/>
    </w:pPr>
    <w:rPr>
      <w:lang w:bidi="lv-LV"/>
    </w:rPr>
  </w:style>
  <w:style w:type="paragraph" w:customStyle="1" w:styleId="Dash2">
    <w:name w:val="Dash 2"/>
    <w:basedOn w:val="Normal"/>
    <w:rsid w:val="00557DE4"/>
    <w:pPr>
      <w:numPr>
        <w:numId w:val="3"/>
      </w:numPr>
      <w:outlineLvl w:val="1"/>
    </w:pPr>
    <w:rPr>
      <w:lang w:bidi="lv-LV"/>
    </w:rPr>
  </w:style>
  <w:style w:type="character" w:customStyle="1" w:styleId="Heading1Char">
    <w:name w:val="Heading 1 Char"/>
    <w:basedOn w:val="DefaultParagraphFont"/>
    <w:link w:val="Heading1"/>
    <w:uiPriority w:val="9"/>
    <w:rsid w:val="00920798"/>
    <w:rPr>
      <w:rFonts w:ascii="Times New Roman" w:eastAsia="Times New Roman" w:hAnsi="Times New Roman" w:cs="Times New Roman"/>
      <w:b/>
      <w:bCs/>
      <w:kern w:val="36"/>
      <w:sz w:val="48"/>
      <w:szCs w:val="48"/>
      <w:lang w:val="en-US" w:eastAsia="lv-LV"/>
    </w:rPr>
  </w:style>
  <w:style w:type="paragraph" w:customStyle="1" w:styleId="Text1">
    <w:name w:val="Text 1"/>
    <w:basedOn w:val="Normal"/>
    <w:rsid w:val="00A65475"/>
    <w:pPr>
      <w:ind w:left="567"/>
      <w:outlineLvl w:val="0"/>
    </w:pPr>
    <w:rPr>
      <w:lang w:bidi="lv-LV"/>
    </w:rPr>
  </w:style>
  <w:style w:type="paragraph" w:customStyle="1" w:styleId="Text2">
    <w:name w:val="Text 2"/>
    <w:basedOn w:val="Normal"/>
    <w:rsid w:val="00761B93"/>
    <w:pPr>
      <w:ind w:left="1134"/>
      <w:outlineLvl w:val="1"/>
    </w:pPr>
    <w:rPr>
      <w:lang w:eastAsia="en-US"/>
    </w:rPr>
  </w:style>
  <w:style w:type="paragraph" w:customStyle="1" w:styleId="Text3">
    <w:name w:val="Text 3"/>
    <w:basedOn w:val="Normal"/>
    <w:rsid w:val="00761B93"/>
    <w:pPr>
      <w:ind w:left="1701"/>
      <w:outlineLvl w:val="2"/>
    </w:pPr>
    <w:rPr>
      <w:lang w:eastAsia="en-US"/>
    </w:rPr>
  </w:style>
  <w:style w:type="paragraph" w:customStyle="1" w:styleId="Pointivx">
    <w:name w:val="Point ivx"/>
    <w:basedOn w:val="Normal"/>
    <w:rsid w:val="00761B93"/>
    <w:pPr>
      <w:numPr>
        <w:numId w:val="4"/>
      </w:numPr>
      <w:spacing w:before="200"/>
    </w:pPr>
    <w:rPr>
      <w:lang w:eastAsia="en-US"/>
    </w:rPr>
  </w:style>
  <w:style w:type="paragraph" w:customStyle="1" w:styleId="Pointivx1">
    <w:name w:val="Point ivx (1)"/>
    <w:basedOn w:val="Normal"/>
    <w:rsid w:val="00761B93"/>
    <w:pPr>
      <w:numPr>
        <w:ilvl w:val="1"/>
        <w:numId w:val="4"/>
      </w:numPr>
      <w:outlineLvl w:val="0"/>
    </w:pPr>
    <w:rPr>
      <w:lang w:eastAsia="en-US"/>
    </w:rPr>
  </w:style>
  <w:style w:type="paragraph" w:customStyle="1" w:styleId="Pointivx2">
    <w:name w:val="Point ivx (2)"/>
    <w:basedOn w:val="Normal"/>
    <w:rsid w:val="00761B93"/>
    <w:pPr>
      <w:numPr>
        <w:ilvl w:val="2"/>
        <w:numId w:val="4"/>
      </w:numPr>
      <w:outlineLvl w:val="1"/>
    </w:pPr>
    <w:rPr>
      <w:lang w:eastAsia="en-US"/>
    </w:rPr>
  </w:style>
  <w:style w:type="paragraph" w:customStyle="1" w:styleId="Pointivx3">
    <w:name w:val="Point ivx (3)"/>
    <w:basedOn w:val="Normal"/>
    <w:rsid w:val="00761B93"/>
    <w:pPr>
      <w:numPr>
        <w:ilvl w:val="3"/>
        <w:numId w:val="4"/>
      </w:numPr>
      <w:outlineLvl w:val="2"/>
    </w:pPr>
    <w:rPr>
      <w:lang w:eastAsia="en-US"/>
    </w:rPr>
  </w:style>
  <w:style w:type="paragraph" w:customStyle="1" w:styleId="Pointivx4">
    <w:name w:val="Point ivx (4)"/>
    <w:basedOn w:val="Normal"/>
    <w:rsid w:val="00761B93"/>
    <w:pPr>
      <w:numPr>
        <w:ilvl w:val="4"/>
        <w:numId w:val="4"/>
      </w:numPr>
      <w:outlineLvl w:val="3"/>
    </w:pPr>
    <w:rPr>
      <w:lang w:eastAsia="en-US"/>
    </w:rPr>
  </w:style>
  <w:style w:type="paragraph" w:customStyle="1" w:styleId="DashEqual2">
    <w:name w:val="Dash Equal 2"/>
    <w:basedOn w:val="Dash2"/>
    <w:rsid w:val="00761B93"/>
    <w:pPr>
      <w:numPr>
        <w:numId w:val="5"/>
      </w:numPr>
    </w:pPr>
    <w:rPr>
      <w:lang w:eastAsia="en-US" w:bidi="ar-SA"/>
    </w:rPr>
  </w:style>
  <w:style w:type="paragraph" w:customStyle="1" w:styleId="Bullet1">
    <w:name w:val="Bullet 1"/>
    <w:basedOn w:val="Normal"/>
    <w:rsid w:val="00806DE0"/>
    <w:pPr>
      <w:numPr>
        <w:numId w:val="7"/>
      </w:numPr>
      <w:spacing w:before="120" w:after="120" w:line="360" w:lineRule="auto"/>
      <w:outlineLvl w:val="0"/>
    </w:pPr>
    <w:rPr>
      <w:lang w:val="en-GB" w:eastAsia="en-US"/>
    </w:rPr>
  </w:style>
  <w:style w:type="paragraph" w:styleId="List">
    <w:name w:val="List"/>
    <w:basedOn w:val="BodyText"/>
    <w:rsid w:val="0066660F"/>
    <w:pPr>
      <w:suppressAutoHyphens/>
    </w:pPr>
    <w:rPr>
      <w:rFonts w:cs="Lohit Hindi"/>
      <w:lang w:eastAsia="zh-CN"/>
    </w:rPr>
  </w:style>
  <w:style w:type="paragraph" w:styleId="BodyText">
    <w:name w:val="Body Text"/>
    <w:basedOn w:val="Normal"/>
    <w:link w:val="BodyTextChar"/>
    <w:uiPriority w:val="99"/>
    <w:semiHidden/>
    <w:unhideWhenUsed/>
    <w:rsid w:val="0066660F"/>
    <w:pPr>
      <w:spacing w:after="120"/>
    </w:pPr>
  </w:style>
  <w:style w:type="character" w:customStyle="1" w:styleId="BodyTextChar">
    <w:name w:val="Body Text Char"/>
    <w:basedOn w:val="DefaultParagraphFont"/>
    <w:link w:val="BodyText"/>
    <w:uiPriority w:val="99"/>
    <w:semiHidden/>
    <w:rsid w:val="0066660F"/>
    <w:rPr>
      <w:rFonts w:ascii="Times New Roman" w:eastAsia="Times New Roman" w:hAnsi="Times New Roman" w:cs="Times New Roman"/>
      <w:sz w:val="24"/>
      <w:szCs w:val="24"/>
      <w:lang w:eastAsia="lv-LV"/>
    </w:rPr>
  </w:style>
  <w:style w:type="paragraph" w:customStyle="1" w:styleId="Bullet">
    <w:name w:val="Bullet"/>
    <w:basedOn w:val="Normal"/>
    <w:rsid w:val="00351A83"/>
    <w:pPr>
      <w:numPr>
        <w:numId w:val="8"/>
      </w:numPr>
      <w:spacing w:before="120" w:after="120" w:line="360" w:lineRule="auto"/>
    </w:pPr>
    <w:rPr>
      <w:lang w:val="en-GB" w:eastAsia="en-US"/>
    </w:rPr>
  </w:style>
  <w:style w:type="paragraph" w:customStyle="1" w:styleId="PointDoubleManual1">
    <w:name w:val="Point Double Manual (1)"/>
    <w:basedOn w:val="Normal"/>
    <w:rsid w:val="00200839"/>
    <w:pPr>
      <w:tabs>
        <w:tab w:val="left" w:pos="1134"/>
      </w:tabs>
      <w:ind w:left="1701" w:hanging="1134"/>
      <w:outlineLvl w:val="0"/>
    </w:pPr>
    <w:rPr>
      <w:lang w:eastAsia="en-US"/>
    </w:rPr>
  </w:style>
  <w:style w:type="character" w:customStyle="1" w:styleId="tableentry">
    <w:name w:val="tableentry"/>
    <w:basedOn w:val="DefaultParagraphFont"/>
    <w:rsid w:val="00EA10DA"/>
    <w:rPr>
      <w:rFonts w:ascii="Helvetica" w:hAnsi="Helvetica" w:cs="Helvetica" w:hint="default"/>
      <w:sz w:val="21"/>
      <w:szCs w:val="21"/>
    </w:rPr>
  </w:style>
  <w:style w:type="paragraph" w:customStyle="1" w:styleId="PointDoubleManual">
    <w:name w:val="Point Double Manual"/>
    <w:basedOn w:val="Normal"/>
    <w:rsid w:val="00AC57C9"/>
    <w:pPr>
      <w:tabs>
        <w:tab w:val="left" w:pos="567"/>
      </w:tabs>
      <w:spacing w:before="200"/>
      <w:ind w:left="1134" w:hanging="1134"/>
    </w:pPr>
    <w:rPr>
      <w:rFonts w:eastAsiaTheme="minorHAnsi"/>
      <w:szCs w:val="22"/>
      <w:lang w:eastAsia="en-US"/>
    </w:rPr>
  </w:style>
  <w:style w:type="paragraph" w:customStyle="1" w:styleId="Text4">
    <w:name w:val="Text 4"/>
    <w:basedOn w:val="Normal"/>
    <w:rsid w:val="00EE575A"/>
    <w:pPr>
      <w:ind w:left="2268"/>
    </w:pPr>
    <w:rPr>
      <w:rFonts w:eastAsiaTheme="minorHAnsi"/>
      <w:szCs w:val="22"/>
      <w:lang w:eastAsia="en-US"/>
    </w:rPr>
  </w:style>
  <w:style w:type="paragraph" w:customStyle="1" w:styleId="PointManual2">
    <w:name w:val="Point Manual (2)"/>
    <w:basedOn w:val="Normal"/>
    <w:rsid w:val="00EE575A"/>
    <w:pPr>
      <w:ind w:left="1701" w:hanging="567"/>
    </w:pPr>
    <w:rPr>
      <w:rFonts w:eastAsiaTheme="minorHAnsi"/>
      <w:szCs w:val="22"/>
      <w:lang w:eastAsia="en-US"/>
    </w:rPr>
  </w:style>
  <w:style w:type="paragraph" w:customStyle="1" w:styleId="Dash3">
    <w:name w:val="Dash 3"/>
    <w:basedOn w:val="Normal"/>
    <w:rsid w:val="00EE575A"/>
    <w:pPr>
      <w:numPr>
        <w:numId w:val="9"/>
      </w:numPr>
    </w:pPr>
    <w:rPr>
      <w:rFonts w:eastAsiaTheme="minorHAnsi"/>
      <w:szCs w:val="22"/>
      <w:lang w:eastAsia="en-US"/>
    </w:rPr>
  </w:style>
  <w:style w:type="character" w:styleId="Emphasis">
    <w:name w:val="Emphasis"/>
    <w:basedOn w:val="DefaultParagraphFont"/>
    <w:uiPriority w:val="20"/>
    <w:qFormat/>
    <w:rsid w:val="003E42E3"/>
    <w:rPr>
      <w:i/>
      <w:iCs/>
    </w:rPr>
  </w:style>
  <w:style w:type="character" w:styleId="IntenseEmphasis">
    <w:name w:val="Intense Emphasis"/>
    <w:basedOn w:val="DefaultParagraphFont"/>
    <w:uiPriority w:val="21"/>
    <w:qFormat/>
    <w:rsid w:val="003E42E3"/>
    <w:rPr>
      <w:i/>
      <w:iCs/>
      <w:color w:val="4F81BD" w:themeColor="accent1"/>
    </w:rPr>
  </w:style>
  <w:style w:type="paragraph" w:customStyle="1" w:styleId="BVIfnrChar1CharCharChar">
    <w:name w:val="BVI fnr Char1 Char Char Char"/>
    <w:aliases w:val="BVI fnr Car Car Char1 Char Char Char,BVI fnr Car Char1 Char Char Char,BVI fnr Car Car Car Car Char Char1 Char Char"/>
    <w:basedOn w:val="Normal"/>
    <w:uiPriority w:val="99"/>
    <w:rsid w:val="00A071C6"/>
    <w:pPr>
      <w:spacing w:after="160" w:line="240" w:lineRule="exact"/>
    </w:pPr>
    <w:rPr>
      <w:rFonts w:asciiTheme="minorHAnsi" w:eastAsiaTheme="minorHAnsi" w:hAnsiTheme="minorHAnsi" w:cstheme="minorBidi"/>
      <w:sz w:val="22"/>
      <w:szCs w:val="22"/>
      <w:vertAlign w:val="superscript"/>
      <w:lang w:eastAsia="en-US"/>
    </w:rPr>
  </w:style>
  <w:style w:type="character" w:styleId="FollowedHyperlink">
    <w:name w:val="FollowedHyperlink"/>
    <w:basedOn w:val="DefaultParagraphFont"/>
    <w:uiPriority w:val="99"/>
    <w:semiHidden/>
    <w:unhideWhenUsed/>
    <w:rsid w:val="00321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646">
      <w:bodyDiv w:val="1"/>
      <w:marLeft w:val="0"/>
      <w:marRight w:val="0"/>
      <w:marTop w:val="0"/>
      <w:marBottom w:val="0"/>
      <w:divBdr>
        <w:top w:val="none" w:sz="0" w:space="0" w:color="auto"/>
        <w:left w:val="none" w:sz="0" w:space="0" w:color="auto"/>
        <w:bottom w:val="none" w:sz="0" w:space="0" w:color="auto"/>
        <w:right w:val="none" w:sz="0" w:space="0" w:color="auto"/>
      </w:divBdr>
    </w:div>
    <w:div w:id="59713334">
      <w:bodyDiv w:val="1"/>
      <w:marLeft w:val="0"/>
      <w:marRight w:val="0"/>
      <w:marTop w:val="0"/>
      <w:marBottom w:val="0"/>
      <w:divBdr>
        <w:top w:val="none" w:sz="0" w:space="0" w:color="auto"/>
        <w:left w:val="none" w:sz="0" w:space="0" w:color="auto"/>
        <w:bottom w:val="none" w:sz="0" w:space="0" w:color="auto"/>
        <w:right w:val="none" w:sz="0" w:space="0" w:color="auto"/>
      </w:divBdr>
    </w:div>
    <w:div w:id="197279904">
      <w:bodyDiv w:val="1"/>
      <w:marLeft w:val="0"/>
      <w:marRight w:val="0"/>
      <w:marTop w:val="0"/>
      <w:marBottom w:val="0"/>
      <w:divBdr>
        <w:top w:val="none" w:sz="0" w:space="0" w:color="auto"/>
        <w:left w:val="none" w:sz="0" w:space="0" w:color="auto"/>
        <w:bottom w:val="none" w:sz="0" w:space="0" w:color="auto"/>
        <w:right w:val="none" w:sz="0" w:space="0" w:color="auto"/>
      </w:divBdr>
    </w:div>
    <w:div w:id="332415495">
      <w:bodyDiv w:val="1"/>
      <w:marLeft w:val="0"/>
      <w:marRight w:val="0"/>
      <w:marTop w:val="0"/>
      <w:marBottom w:val="0"/>
      <w:divBdr>
        <w:top w:val="none" w:sz="0" w:space="0" w:color="auto"/>
        <w:left w:val="none" w:sz="0" w:space="0" w:color="auto"/>
        <w:bottom w:val="none" w:sz="0" w:space="0" w:color="auto"/>
        <w:right w:val="none" w:sz="0" w:space="0" w:color="auto"/>
      </w:divBdr>
    </w:div>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02145086">
      <w:bodyDiv w:val="1"/>
      <w:marLeft w:val="0"/>
      <w:marRight w:val="0"/>
      <w:marTop w:val="0"/>
      <w:marBottom w:val="0"/>
      <w:divBdr>
        <w:top w:val="none" w:sz="0" w:space="0" w:color="auto"/>
        <w:left w:val="none" w:sz="0" w:space="0" w:color="auto"/>
        <w:bottom w:val="none" w:sz="0" w:space="0" w:color="auto"/>
        <w:right w:val="none" w:sz="0" w:space="0" w:color="auto"/>
      </w:divBdr>
    </w:div>
    <w:div w:id="416681237">
      <w:bodyDiv w:val="1"/>
      <w:marLeft w:val="0"/>
      <w:marRight w:val="0"/>
      <w:marTop w:val="0"/>
      <w:marBottom w:val="0"/>
      <w:divBdr>
        <w:top w:val="none" w:sz="0" w:space="0" w:color="auto"/>
        <w:left w:val="none" w:sz="0" w:space="0" w:color="auto"/>
        <w:bottom w:val="none" w:sz="0" w:space="0" w:color="auto"/>
        <w:right w:val="none" w:sz="0" w:space="0" w:color="auto"/>
      </w:divBdr>
    </w:div>
    <w:div w:id="428622996">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550388602">
      <w:bodyDiv w:val="1"/>
      <w:marLeft w:val="0"/>
      <w:marRight w:val="0"/>
      <w:marTop w:val="0"/>
      <w:marBottom w:val="0"/>
      <w:divBdr>
        <w:top w:val="none" w:sz="0" w:space="0" w:color="auto"/>
        <w:left w:val="none" w:sz="0" w:space="0" w:color="auto"/>
        <w:bottom w:val="none" w:sz="0" w:space="0" w:color="auto"/>
        <w:right w:val="none" w:sz="0" w:space="0" w:color="auto"/>
      </w:divBdr>
    </w:div>
    <w:div w:id="649552802">
      <w:bodyDiv w:val="1"/>
      <w:marLeft w:val="0"/>
      <w:marRight w:val="0"/>
      <w:marTop w:val="0"/>
      <w:marBottom w:val="0"/>
      <w:divBdr>
        <w:top w:val="none" w:sz="0" w:space="0" w:color="auto"/>
        <w:left w:val="none" w:sz="0" w:space="0" w:color="auto"/>
        <w:bottom w:val="none" w:sz="0" w:space="0" w:color="auto"/>
        <w:right w:val="none" w:sz="0" w:space="0" w:color="auto"/>
      </w:divBdr>
      <w:divsChild>
        <w:div w:id="633103540">
          <w:marLeft w:val="0"/>
          <w:marRight w:val="0"/>
          <w:marTop w:val="0"/>
          <w:marBottom w:val="0"/>
          <w:divBdr>
            <w:top w:val="none" w:sz="0" w:space="0" w:color="auto"/>
            <w:left w:val="none" w:sz="0" w:space="0" w:color="auto"/>
            <w:bottom w:val="none" w:sz="0" w:space="0" w:color="auto"/>
            <w:right w:val="none" w:sz="0" w:space="0" w:color="auto"/>
          </w:divBdr>
        </w:div>
        <w:div w:id="1925607847">
          <w:marLeft w:val="0"/>
          <w:marRight w:val="0"/>
          <w:marTop w:val="0"/>
          <w:marBottom w:val="0"/>
          <w:divBdr>
            <w:top w:val="none" w:sz="0" w:space="0" w:color="auto"/>
            <w:left w:val="none" w:sz="0" w:space="0" w:color="auto"/>
            <w:bottom w:val="none" w:sz="0" w:space="0" w:color="auto"/>
            <w:right w:val="none" w:sz="0" w:space="0" w:color="auto"/>
          </w:divBdr>
        </w:div>
        <w:div w:id="990131705">
          <w:marLeft w:val="0"/>
          <w:marRight w:val="0"/>
          <w:marTop w:val="0"/>
          <w:marBottom w:val="0"/>
          <w:divBdr>
            <w:top w:val="none" w:sz="0" w:space="0" w:color="auto"/>
            <w:left w:val="none" w:sz="0" w:space="0" w:color="auto"/>
            <w:bottom w:val="none" w:sz="0" w:space="0" w:color="auto"/>
            <w:right w:val="none" w:sz="0" w:space="0" w:color="auto"/>
          </w:divBdr>
        </w:div>
      </w:divsChild>
    </w:div>
    <w:div w:id="660085468">
      <w:bodyDiv w:val="1"/>
      <w:marLeft w:val="0"/>
      <w:marRight w:val="0"/>
      <w:marTop w:val="0"/>
      <w:marBottom w:val="0"/>
      <w:divBdr>
        <w:top w:val="none" w:sz="0" w:space="0" w:color="auto"/>
        <w:left w:val="none" w:sz="0" w:space="0" w:color="auto"/>
        <w:bottom w:val="none" w:sz="0" w:space="0" w:color="auto"/>
        <w:right w:val="none" w:sz="0" w:space="0" w:color="auto"/>
      </w:divBdr>
    </w:div>
    <w:div w:id="667640473">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736395073">
      <w:bodyDiv w:val="1"/>
      <w:marLeft w:val="0"/>
      <w:marRight w:val="0"/>
      <w:marTop w:val="0"/>
      <w:marBottom w:val="0"/>
      <w:divBdr>
        <w:top w:val="none" w:sz="0" w:space="0" w:color="auto"/>
        <w:left w:val="none" w:sz="0" w:space="0" w:color="auto"/>
        <w:bottom w:val="none" w:sz="0" w:space="0" w:color="auto"/>
        <w:right w:val="none" w:sz="0" w:space="0" w:color="auto"/>
      </w:divBdr>
    </w:div>
    <w:div w:id="831288751">
      <w:bodyDiv w:val="1"/>
      <w:marLeft w:val="0"/>
      <w:marRight w:val="0"/>
      <w:marTop w:val="0"/>
      <w:marBottom w:val="0"/>
      <w:divBdr>
        <w:top w:val="none" w:sz="0" w:space="0" w:color="auto"/>
        <w:left w:val="none" w:sz="0" w:space="0" w:color="auto"/>
        <w:bottom w:val="none" w:sz="0" w:space="0" w:color="auto"/>
        <w:right w:val="none" w:sz="0" w:space="0" w:color="auto"/>
      </w:divBdr>
    </w:div>
    <w:div w:id="838347500">
      <w:bodyDiv w:val="1"/>
      <w:marLeft w:val="0"/>
      <w:marRight w:val="0"/>
      <w:marTop w:val="0"/>
      <w:marBottom w:val="0"/>
      <w:divBdr>
        <w:top w:val="none" w:sz="0" w:space="0" w:color="auto"/>
        <w:left w:val="none" w:sz="0" w:space="0" w:color="auto"/>
        <w:bottom w:val="none" w:sz="0" w:space="0" w:color="auto"/>
        <w:right w:val="none" w:sz="0" w:space="0" w:color="auto"/>
      </w:divBdr>
    </w:div>
    <w:div w:id="928729660">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083451695">
      <w:bodyDiv w:val="1"/>
      <w:marLeft w:val="0"/>
      <w:marRight w:val="0"/>
      <w:marTop w:val="0"/>
      <w:marBottom w:val="0"/>
      <w:divBdr>
        <w:top w:val="none" w:sz="0" w:space="0" w:color="auto"/>
        <w:left w:val="none" w:sz="0" w:space="0" w:color="auto"/>
        <w:bottom w:val="none" w:sz="0" w:space="0" w:color="auto"/>
        <w:right w:val="none" w:sz="0" w:space="0" w:color="auto"/>
      </w:divBdr>
    </w:div>
    <w:div w:id="1106580840">
      <w:bodyDiv w:val="1"/>
      <w:marLeft w:val="0"/>
      <w:marRight w:val="0"/>
      <w:marTop w:val="0"/>
      <w:marBottom w:val="0"/>
      <w:divBdr>
        <w:top w:val="none" w:sz="0" w:space="0" w:color="auto"/>
        <w:left w:val="none" w:sz="0" w:space="0" w:color="auto"/>
        <w:bottom w:val="none" w:sz="0" w:space="0" w:color="auto"/>
        <w:right w:val="none" w:sz="0" w:space="0" w:color="auto"/>
      </w:divBdr>
      <w:divsChild>
        <w:div w:id="1736276154">
          <w:marLeft w:val="0"/>
          <w:marRight w:val="0"/>
          <w:marTop w:val="0"/>
          <w:marBottom w:val="0"/>
          <w:divBdr>
            <w:top w:val="none" w:sz="0" w:space="0" w:color="auto"/>
            <w:left w:val="none" w:sz="0" w:space="0" w:color="auto"/>
            <w:bottom w:val="none" w:sz="0" w:space="0" w:color="auto"/>
            <w:right w:val="none" w:sz="0" w:space="0" w:color="auto"/>
          </w:divBdr>
        </w:div>
      </w:divsChild>
    </w:div>
    <w:div w:id="1170288879">
      <w:bodyDiv w:val="1"/>
      <w:marLeft w:val="0"/>
      <w:marRight w:val="0"/>
      <w:marTop w:val="0"/>
      <w:marBottom w:val="0"/>
      <w:divBdr>
        <w:top w:val="none" w:sz="0" w:space="0" w:color="auto"/>
        <w:left w:val="none" w:sz="0" w:space="0" w:color="auto"/>
        <w:bottom w:val="none" w:sz="0" w:space="0" w:color="auto"/>
        <w:right w:val="none" w:sz="0" w:space="0" w:color="auto"/>
      </w:divBdr>
    </w:div>
    <w:div w:id="1412388558">
      <w:bodyDiv w:val="1"/>
      <w:marLeft w:val="0"/>
      <w:marRight w:val="0"/>
      <w:marTop w:val="0"/>
      <w:marBottom w:val="0"/>
      <w:divBdr>
        <w:top w:val="none" w:sz="0" w:space="0" w:color="auto"/>
        <w:left w:val="none" w:sz="0" w:space="0" w:color="auto"/>
        <w:bottom w:val="none" w:sz="0" w:space="0" w:color="auto"/>
        <w:right w:val="none" w:sz="0" w:space="0" w:color="auto"/>
      </w:divBdr>
    </w:div>
    <w:div w:id="1455369707">
      <w:bodyDiv w:val="1"/>
      <w:marLeft w:val="0"/>
      <w:marRight w:val="0"/>
      <w:marTop w:val="0"/>
      <w:marBottom w:val="0"/>
      <w:divBdr>
        <w:top w:val="none" w:sz="0" w:space="0" w:color="auto"/>
        <w:left w:val="none" w:sz="0" w:space="0" w:color="auto"/>
        <w:bottom w:val="none" w:sz="0" w:space="0" w:color="auto"/>
        <w:right w:val="none" w:sz="0" w:space="0" w:color="auto"/>
      </w:divBdr>
    </w:div>
    <w:div w:id="1471634813">
      <w:bodyDiv w:val="1"/>
      <w:marLeft w:val="0"/>
      <w:marRight w:val="0"/>
      <w:marTop w:val="0"/>
      <w:marBottom w:val="0"/>
      <w:divBdr>
        <w:top w:val="none" w:sz="0" w:space="0" w:color="auto"/>
        <w:left w:val="none" w:sz="0" w:space="0" w:color="auto"/>
        <w:bottom w:val="none" w:sz="0" w:space="0" w:color="auto"/>
        <w:right w:val="none" w:sz="0" w:space="0" w:color="auto"/>
      </w:divBdr>
    </w:div>
    <w:div w:id="1572079364">
      <w:bodyDiv w:val="1"/>
      <w:marLeft w:val="0"/>
      <w:marRight w:val="0"/>
      <w:marTop w:val="0"/>
      <w:marBottom w:val="0"/>
      <w:divBdr>
        <w:top w:val="none" w:sz="0" w:space="0" w:color="auto"/>
        <w:left w:val="none" w:sz="0" w:space="0" w:color="auto"/>
        <w:bottom w:val="none" w:sz="0" w:space="0" w:color="auto"/>
        <w:right w:val="none" w:sz="0" w:space="0" w:color="auto"/>
      </w:divBdr>
    </w:div>
    <w:div w:id="1580629943">
      <w:bodyDiv w:val="1"/>
      <w:marLeft w:val="0"/>
      <w:marRight w:val="0"/>
      <w:marTop w:val="0"/>
      <w:marBottom w:val="0"/>
      <w:divBdr>
        <w:top w:val="none" w:sz="0" w:space="0" w:color="auto"/>
        <w:left w:val="none" w:sz="0" w:space="0" w:color="auto"/>
        <w:bottom w:val="none" w:sz="0" w:space="0" w:color="auto"/>
        <w:right w:val="none" w:sz="0" w:space="0" w:color="auto"/>
      </w:divBdr>
    </w:div>
    <w:div w:id="1616643618">
      <w:bodyDiv w:val="1"/>
      <w:marLeft w:val="0"/>
      <w:marRight w:val="0"/>
      <w:marTop w:val="0"/>
      <w:marBottom w:val="0"/>
      <w:divBdr>
        <w:top w:val="none" w:sz="0" w:space="0" w:color="auto"/>
        <w:left w:val="none" w:sz="0" w:space="0" w:color="auto"/>
        <w:bottom w:val="none" w:sz="0" w:space="0" w:color="auto"/>
        <w:right w:val="none" w:sz="0" w:space="0" w:color="auto"/>
      </w:divBdr>
    </w:div>
    <w:div w:id="1786921303">
      <w:bodyDiv w:val="1"/>
      <w:marLeft w:val="0"/>
      <w:marRight w:val="0"/>
      <w:marTop w:val="0"/>
      <w:marBottom w:val="0"/>
      <w:divBdr>
        <w:top w:val="none" w:sz="0" w:space="0" w:color="auto"/>
        <w:left w:val="none" w:sz="0" w:space="0" w:color="auto"/>
        <w:bottom w:val="none" w:sz="0" w:space="0" w:color="auto"/>
        <w:right w:val="none" w:sz="0" w:space="0" w:color="auto"/>
      </w:divBdr>
    </w:div>
    <w:div w:id="1825395034">
      <w:bodyDiv w:val="1"/>
      <w:marLeft w:val="0"/>
      <w:marRight w:val="0"/>
      <w:marTop w:val="0"/>
      <w:marBottom w:val="0"/>
      <w:divBdr>
        <w:top w:val="none" w:sz="0" w:space="0" w:color="auto"/>
        <w:left w:val="none" w:sz="0" w:space="0" w:color="auto"/>
        <w:bottom w:val="none" w:sz="0" w:space="0" w:color="auto"/>
        <w:right w:val="none" w:sz="0" w:space="0" w:color="auto"/>
      </w:divBdr>
    </w:div>
    <w:div w:id="1870491755">
      <w:bodyDiv w:val="1"/>
      <w:marLeft w:val="0"/>
      <w:marRight w:val="0"/>
      <w:marTop w:val="0"/>
      <w:marBottom w:val="0"/>
      <w:divBdr>
        <w:top w:val="none" w:sz="0" w:space="0" w:color="auto"/>
        <w:left w:val="none" w:sz="0" w:space="0" w:color="auto"/>
        <w:bottom w:val="none" w:sz="0" w:space="0" w:color="auto"/>
        <w:right w:val="none" w:sz="0" w:space="0" w:color="auto"/>
      </w:divBdr>
    </w:div>
    <w:div w:id="1958247810">
      <w:bodyDiv w:val="1"/>
      <w:marLeft w:val="0"/>
      <w:marRight w:val="0"/>
      <w:marTop w:val="0"/>
      <w:marBottom w:val="0"/>
      <w:divBdr>
        <w:top w:val="none" w:sz="0" w:space="0" w:color="auto"/>
        <w:left w:val="none" w:sz="0" w:space="0" w:color="auto"/>
        <w:bottom w:val="none" w:sz="0" w:space="0" w:color="auto"/>
        <w:right w:val="none" w:sz="0" w:space="0" w:color="auto"/>
      </w:divBdr>
    </w:div>
    <w:div w:id="2006588122">
      <w:bodyDiv w:val="1"/>
      <w:marLeft w:val="0"/>
      <w:marRight w:val="0"/>
      <w:marTop w:val="0"/>
      <w:marBottom w:val="0"/>
      <w:divBdr>
        <w:top w:val="none" w:sz="0" w:space="0" w:color="auto"/>
        <w:left w:val="none" w:sz="0" w:space="0" w:color="auto"/>
        <w:bottom w:val="none" w:sz="0" w:space="0" w:color="auto"/>
        <w:right w:val="none" w:sz="0" w:space="0" w:color="auto"/>
      </w:divBdr>
    </w:div>
    <w:div w:id="20154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a.kipen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doc/rep/1/2015/LV/1-2015-614-LV-F1-1.PDF" TargetMode="External"/><Relationship Id="rId3" Type="http://schemas.openxmlformats.org/officeDocument/2006/relationships/hyperlink" Target="http://eur-lex.europa.eu/legal-content/EN/TXT/?qid=1485957931185&amp;uri=CELEX:52016DC0739" TargetMode="External"/><Relationship Id="rId7" Type="http://schemas.openxmlformats.org/officeDocument/2006/relationships/hyperlink" Target="http://www.icao.int/environmental-protection/Documents/Resolution_A39_3.pdf" TargetMode="External"/><Relationship Id="rId2" Type="http://schemas.openxmlformats.org/officeDocument/2006/relationships/hyperlink" Target="http://www.eea.europa.eu/highlights/surplus-emission-permits-start-decreasing" TargetMode="External"/><Relationship Id="rId1" Type="http://schemas.openxmlformats.org/officeDocument/2006/relationships/hyperlink" Target="http://europa.eu/rapid/press-release_IP-15-5358_lv.htm" TargetMode="External"/><Relationship Id="rId6" Type="http://schemas.openxmlformats.org/officeDocument/2006/relationships/hyperlink" Target="http://eur-lex.europa.eu/legal-content/LV/TXT/PDF/?uri=CELEX:32014R0421&amp;from=EN" TargetMode="External"/><Relationship Id="rId5" Type="http://schemas.openxmlformats.org/officeDocument/2006/relationships/hyperlink" Target="http://ec.europa.eu/transparency/regdoc/rep/1/2017/LV/COM-2017-54-F1-LV-MAIN-PART-1.PDF" TargetMode="External"/><Relationship Id="rId10" Type="http://schemas.openxmlformats.org/officeDocument/2006/relationships/hyperlink" Target="http://w2.vatican.va/content/francesco/en/encyclicals/documents/papa-francesco_20150524_enciclica-laudato-si.html" TargetMode="External"/><Relationship Id="rId4" Type="http://schemas.openxmlformats.org/officeDocument/2006/relationships/hyperlink" Target="http://ec.europa.eu/environment/eir/pdf/report_lv_lv.pdf" TargetMode="External"/><Relationship Id="rId9" Type="http://schemas.openxmlformats.org/officeDocument/2006/relationships/hyperlink" Target="http://ec.europa.eu/transparency/regdoc/rep/1/2017/LV/COM-2017-33-F1-LV-MAIN-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8216-E32A-4CDA-B078-5645DDE1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15223</Words>
  <Characters>8678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Par Latvijas informatīvo ziņojumu par 2014.gada 16.-17.jūlijā neformālajā Eiropas Savienības Vides ministru padomē izskatāmajiem jautājumiem</vt:lpstr>
    </vt:vector>
  </TitlesOfParts>
  <Company>Vides aizsardzības un reģionālās attīstības ministrija</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2017. gada 28. februāra Eiropas Savienības Vides ministru padomes sanāksmē izskatāmajiem jautājumiem</dc:title>
  <dc:subject>Informatīvais ziņojums</dc:subject>
  <dc:creator>Evita Stanga;Santa.Kipena@varam.gov.lv</dc:creator>
  <dc:description>67026542, santa.kipena@varam.gov.lv</dc:description>
  <cp:lastModifiedBy>Santa Ķipēna</cp:lastModifiedBy>
  <cp:revision>6</cp:revision>
  <cp:lastPrinted>2014-07-10T13:29:00Z</cp:lastPrinted>
  <dcterms:created xsi:type="dcterms:W3CDTF">2017-02-17T10:15:00Z</dcterms:created>
  <dcterms:modified xsi:type="dcterms:W3CDTF">2017-02-20T07:52:00Z</dcterms:modified>
</cp:coreProperties>
</file>