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CB824" w14:textId="77777777" w:rsidR="00E62865" w:rsidRPr="00415B5D" w:rsidRDefault="00E62865" w:rsidP="00E62865">
      <w:pPr>
        <w:pStyle w:val="Title"/>
        <w:rPr>
          <w:sz w:val="28"/>
          <w:szCs w:val="28"/>
        </w:rPr>
      </w:pPr>
      <w:r w:rsidRPr="00415B5D">
        <w:rPr>
          <w:sz w:val="28"/>
          <w:szCs w:val="28"/>
        </w:rPr>
        <w:t xml:space="preserve">Ministru kabineta noteikumu projekta </w:t>
      </w:r>
    </w:p>
    <w:p w14:paraId="699CB825" w14:textId="77777777" w:rsidR="00976730" w:rsidRDefault="00415B5D" w:rsidP="001E7050">
      <w:pPr>
        <w:jc w:val="center"/>
        <w:rPr>
          <w:b/>
          <w:sz w:val="28"/>
          <w:szCs w:val="28"/>
        </w:rPr>
      </w:pPr>
      <w:bookmarkStart w:id="0" w:name="OLE_LINK5"/>
      <w:bookmarkStart w:id="1" w:name="OLE_LINK6"/>
      <w:bookmarkStart w:id="2" w:name="OLE_LINK1"/>
      <w:bookmarkStart w:id="3" w:name="OLE_LINK2"/>
      <w:r w:rsidRPr="00415B5D">
        <w:rPr>
          <w:b/>
          <w:sz w:val="28"/>
          <w:szCs w:val="28"/>
        </w:rPr>
        <w:t xml:space="preserve">„Grozījumi </w:t>
      </w:r>
      <w:bookmarkStart w:id="4" w:name="OLE_LINK7"/>
      <w:bookmarkStart w:id="5" w:name="OLE_LINK8"/>
      <w:bookmarkEnd w:id="0"/>
      <w:bookmarkEnd w:id="1"/>
      <w:r w:rsidRPr="00415B5D">
        <w:rPr>
          <w:b/>
          <w:sz w:val="28"/>
          <w:szCs w:val="28"/>
        </w:rPr>
        <w:t xml:space="preserve">Ministru kabineta </w:t>
      </w:r>
      <w:r w:rsidR="002547EA">
        <w:rPr>
          <w:b/>
          <w:sz w:val="28"/>
          <w:szCs w:val="28"/>
        </w:rPr>
        <w:t>2009.</w:t>
      </w:r>
      <w:r w:rsidR="00976730">
        <w:rPr>
          <w:b/>
          <w:sz w:val="28"/>
          <w:szCs w:val="28"/>
        </w:rPr>
        <w:t> </w:t>
      </w:r>
      <w:r w:rsidR="002547EA">
        <w:rPr>
          <w:b/>
          <w:sz w:val="28"/>
          <w:szCs w:val="28"/>
        </w:rPr>
        <w:t>gada 3.</w:t>
      </w:r>
      <w:r w:rsidR="00976730">
        <w:rPr>
          <w:b/>
          <w:sz w:val="28"/>
          <w:szCs w:val="28"/>
        </w:rPr>
        <w:t> </w:t>
      </w:r>
      <w:r w:rsidR="002547EA">
        <w:rPr>
          <w:b/>
          <w:sz w:val="28"/>
          <w:szCs w:val="28"/>
        </w:rPr>
        <w:t xml:space="preserve">novembra </w:t>
      </w:r>
      <w:r w:rsidRPr="001E7050">
        <w:rPr>
          <w:b/>
          <w:sz w:val="28"/>
          <w:szCs w:val="28"/>
        </w:rPr>
        <w:t>noteikumos Nr.</w:t>
      </w:r>
      <w:r w:rsidR="00976730">
        <w:rPr>
          <w:b/>
          <w:sz w:val="28"/>
          <w:szCs w:val="28"/>
        </w:rPr>
        <w:t> </w:t>
      </w:r>
      <w:r w:rsidRPr="001E7050">
        <w:rPr>
          <w:b/>
          <w:sz w:val="28"/>
          <w:szCs w:val="28"/>
        </w:rPr>
        <w:t>1</w:t>
      </w:r>
      <w:r w:rsidR="001E7050" w:rsidRPr="001E7050">
        <w:rPr>
          <w:b/>
          <w:sz w:val="28"/>
          <w:szCs w:val="28"/>
        </w:rPr>
        <w:t>290</w:t>
      </w:r>
      <w:r w:rsidRPr="001E7050">
        <w:rPr>
          <w:b/>
          <w:sz w:val="28"/>
          <w:szCs w:val="28"/>
        </w:rPr>
        <w:t xml:space="preserve"> „</w:t>
      </w:r>
      <w:bookmarkEnd w:id="2"/>
      <w:bookmarkEnd w:id="3"/>
      <w:bookmarkEnd w:id="4"/>
      <w:bookmarkEnd w:id="5"/>
      <w:r w:rsidR="001E7050" w:rsidRPr="001E7050">
        <w:rPr>
          <w:b/>
          <w:sz w:val="28"/>
          <w:szCs w:val="28"/>
        </w:rPr>
        <w:t>Noteikumi par gaisa kvalitāti”</w:t>
      </w:r>
      <w:r w:rsidR="002547EA">
        <w:rPr>
          <w:b/>
          <w:sz w:val="28"/>
          <w:szCs w:val="28"/>
        </w:rPr>
        <w:t>”</w:t>
      </w:r>
      <w:r w:rsidR="001E7050" w:rsidRPr="001E7050">
        <w:rPr>
          <w:b/>
          <w:sz w:val="28"/>
          <w:szCs w:val="28"/>
        </w:rPr>
        <w:t xml:space="preserve"> </w:t>
      </w:r>
    </w:p>
    <w:p w14:paraId="699CB826" w14:textId="77777777" w:rsidR="00E62865" w:rsidRPr="001E7050" w:rsidRDefault="00E62865" w:rsidP="001E7050">
      <w:pPr>
        <w:jc w:val="center"/>
        <w:rPr>
          <w:b/>
          <w:sz w:val="28"/>
          <w:szCs w:val="28"/>
        </w:rPr>
      </w:pPr>
      <w:r w:rsidRPr="001E7050">
        <w:rPr>
          <w:b/>
          <w:sz w:val="28"/>
          <w:szCs w:val="28"/>
        </w:rPr>
        <w:t>sākotnējās ietekmes novērtējuma ziņojums (anotācija)</w:t>
      </w:r>
    </w:p>
    <w:p w14:paraId="699CB827" w14:textId="77777777" w:rsidR="00E62865" w:rsidRDefault="00E62865" w:rsidP="00E62865">
      <w:pPr>
        <w:jc w:val="center"/>
        <w:rPr>
          <w:b/>
        </w:rPr>
      </w:pPr>
    </w:p>
    <w:p w14:paraId="699CB828" w14:textId="77777777" w:rsidR="003855A0" w:rsidRPr="000B7CDC" w:rsidRDefault="003855A0" w:rsidP="00E62865">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1702"/>
        <w:gridCol w:w="6939"/>
      </w:tblGrid>
      <w:tr w:rsidR="00E62865" w:rsidRPr="00415B5D" w14:paraId="699CB82A" w14:textId="77777777" w:rsidTr="0006669E">
        <w:tc>
          <w:tcPr>
            <w:tcW w:w="5000" w:type="pct"/>
            <w:gridSpan w:val="3"/>
          </w:tcPr>
          <w:p w14:paraId="699CB829" w14:textId="77777777" w:rsidR="00E62865" w:rsidRPr="00415B5D" w:rsidRDefault="00E62865" w:rsidP="0098329C">
            <w:pPr>
              <w:jc w:val="center"/>
              <w:rPr>
                <w:b/>
              </w:rPr>
            </w:pPr>
            <w:r w:rsidRPr="00415B5D">
              <w:rPr>
                <w:b/>
              </w:rPr>
              <w:t>I.</w:t>
            </w:r>
            <w:r w:rsidR="00660FDA">
              <w:rPr>
                <w:b/>
              </w:rPr>
              <w:t> </w:t>
            </w:r>
            <w:r w:rsidRPr="00415B5D">
              <w:rPr>
                <w:b/>
              </w:rPr>
              <w:t>Tiesību akta projekta izstrādes nepieciešamība</w:t>
            </w:r>
          </w:p>
        </w:tc>
      </w:tr>
      <w:tr w:rsidR="00E62865" w:rsidRPr="00415B5D" w14:paraId="699CB833" w14:textId="77777777" w:rsidTr="00241D1B">
        <w:trPr>
          <w:trHeight w:val="1014"/>
        </w:trPr>
        <w:tc>
          <w:tcPr>
            <w:tcW w:w="232" w:type="pct"/>
          </w:tcPr>
          <w:p w14:paraId="699CB82B" w14:textId="77777777" w:rsidR="00E62865" w:rsidRPr="002F62E4" w:rsidRDefault="00E62865" w:rsidP="0098329C">
            <w:pPr>
              <w:jc w:val="center"/>
            </w:pPr>
            <w:r w:rsidRPr="002F62E4">
              <w:t>1.</w:t>
            </w:r>
          </w:p>
        </w:tc>
        <w:tc>
          <w:tcPr>
            <w:tcW w:w="939" w:type="pct"/>
          </w:tcPr>
          <w:p w14:paraId="699CB82C" w14:textId="77777777" w:rsidR="00E62865" w:rsidRPr="00FD20A2" w:rsidRDefault="00E62865" w:rsidP="0098329C">
            <w:r w:rsidRPr="00FD20A2">
              <w:t>Pamatojums</w:t>
            </w:r>
          </w:p>
          <w:p w14:paraId="699CB82D" w14:textId="77777777" w:rsidR="00E62865" w:rsidRPr="00FD20A2" w:rsidRDefault="00E62865" w:rsidP="0098329C"/>
        </w:tc>
        <w:tc>
          <w:tcPr>
            <w:tcW w:w="3829" w:type="pct"/>
          </w:tcPr>
          <w:p w14:paraId="699CB82E" w14:textId="77777777" w:rsidR="00FC631B" w:rsidRPr="00FD20A2" w:rsidRDefault="000947BC" w:rsidP="00FC631B">
            <w:pPr>
              <w:pStyle w:val="Title"/>
              <w:spacing w:before="120"/>
              <w:jc w:val="both"/>
              <w:rPr>
                <w:b w:val="0"/>
              </w:rPr>
            </w:pPr>
            <w:r w:rsidRPr="00FD20A2">
              <w:rPr>
                <w:b w:val="0"/>
              </w:rPr>
              <w:t>Ministru kabineta noteikumu projekt</w:t>
            </w:r>
            <w:r w:rsidR="00976DB4" w:rsidRPr="00FD20A2">
              <w:rPr>
                <w:b w:val="0"/>
              </w:rPr>
              <w:t>s</w:t>
            </w:r>
            <w:r w:rsidRPr="00FD20A2">
              <w:rPr>
                <w:b w:val="0"/>
              </w:rPr>
              <w:t xml:space="preserve"> </w:t>
            </w:r>
            <w:r w:rsidR="002547EA" w:rsidRPr="00FD20A2">
              <w:rPr>
                <w:b w:val="0"/>
              </w:rPr>
              <w:t>„Grozījumi Ministru kabineta</w:t>
            </w:r>
            <w:r w:rsidR="002547EA" w:rsidRPr="00FD20A2">
              <w:t xml:space="preserve"> </w:t>
            </w:r>
            <w:r w:rsidR="002547EA" w:rsidRPr="00FD20A2">
              <w:rPr>
                <w:b w:val="0"/>
              </w:rPr>
              <w:t>2009.</w:t>
            </w:r>
            <w:r w:rsidR="00DD6A75">
              <w:rPr>
                <w:b w:val="0"/>
              </w:rPr>
              <w:t> </w:t>
            </w:r>
            <w:r w:rsidR="002547EA" w:rsidRPr="00FD20A2">
              <w:rPr>
                <w:b w:val="0"/>
              </w:rPr>
              <w:t>gada 3.</w:t>
            </w:r>
            <w:r w:rsidR="00DD6A75">
              <w:rPr>
                <w:b w:val="0"/>
              </w:rPr>
              <w:t> </w:t>
            </w:r>
            <w:r w:rsidR="002547EA" w:rsidRPr="00FD20A2">
              <w:rPr>
                <w:b w:val="0"/>
              </w:rPr>
              <w:t>novembra noteikumos Nr.</w:t>
            </w:r>
            <w:r w:rsidR="00DD6A75">
              <w:rPr>
                <w:b w:val="0"/>
              </w:rPr>
              <w:t> </w:t>
            </w:r>
            <w:r w:rsidR="002547EA" w:rsidRPr="00FD20A2">
              <w:rPr>
                <w:b w:val="0"/>
              </w:rPr>
              <w:t>1290 „Noteikumi par gaisa kvalitāti””</w:t>
            </w:r>
            <w:r w:rsidRPr="00FD20A2">
              <w:rPr>
                <w:b w:val="0"/>
              </w:rPr>
              <w:t xml:space="preserve"> (turpmāk - noteikumu </w:t>
            </w:r>
            <w:r w:rsidR="00E62865" w:rsidRPr="00FD20A2">
              <w:rPr>
                <w:b w:val="0"/>
              </w:rPr>
              <w:t>projekts</w:t>
            </w:r>
            <w:r w:rsidRPr="00FD20A2">
              <w:rPr>
                <w:b w:val="0"/>
              </w:rPr>
              <w:t>)</w:t>
            </w:r>
            <w:r w:rsidR="00A1514B" w:rsidRPr="00FD20A2">
              <w:rPr>
                <w:b w:val="0"/>
              </w:rPr>
              <w:t xml:space="preserve"> izstrādāts, lai</w:t>
            </w:r>
            <w:r w:rsidR="00FC631B" w:rsidRPr="00FD20A2">
              <w:rPr>
                <w:b w:val="0"/>
              </w:rPr>
              <w:t>:</w:t>
            </w:r>
          </w:p>
          <w:p w14:paraId="699CB82F" w14:textId="77777777" w:rsidR="00FC631B" w:rsidRPr="00FD20A2" w:rsidRDefault="00FC631B" w:rsidP="00FC631B">
            <w:pPr>
              <w:pStyle w:val="Title"/>
              <w:spacing w:before="120"/>
              <w:jc w:val="both"/>
              <w:rPr>
                <w:b w:val="0"/>
              </w:rPr>
            </w:pPr>
            <w:r w:rsidRPr="00FD20A2">
              <w:rPr>
                <w:b w:val="0"/>
              </w:rPr>
              <w:t>-</w:t>
            </w:r>
            <w:r w:rsidR="00A1514B" w:rsidRPr="00FD20A2">
              <w:rPr>
                <w:b w:val="0"/>
              </w:rPr>
              <w:t xml:space="preserve"> </w:t>
            </w:r>
            <w:r w:rsidR="002547EA" w:rsidRPr="00373587">
              <w:t>risinātu</w:t>
            </w:r>
            <w:r w:rsidR="002547EA" w:rsidRPr="00FD20A2">
              <w:rPr>
                <w:b w:val="0"/>
              </w:rPr>
              <w:t xml:space="preserve"> </w:t>
            </w:r>
            <w:r w:rsidR="002547EA" w:rsidRPr="00373587">
              <w:t>problēmas</w:t>
            </w:r>
            <w:r w:rsidRPr="00373587">
              <w:t>, kas konstatētas praksē</w:t>
            </w:r>
            <w:r w:rsidR="00DD6A75" w:rsidRPr="00D02372">
              <w:rPr>
                <w:b w:val="0"/>
              </w:rPr>
              <w:t>,</w:t>
            </w:r>
            <w:r w:rsidRPr="00FD20A2">
              <w:rPr>
                <w:b w:val="0"/>
              </w:rPr>
              <w:t xml:space="preserve"> īstenojo</w:t>
            </w:r>
            <w:r w:rsidR="00C855A9">
              <w:rPr>
                <w:b w:val="0"/>
              </w:rPr>
              <w:t>t</w:t>
            </w:r>
            <w:r w:rsidRPr="00FD20A2">
              <w:rPr>
                <w:b w:val="0"/>
              </w:rPr>
              <w:t xml:space="preserve"> šobrīd spēkā esošos noteikumus</w:t>
            </w:r>
            <w:r w:rsidR="00B13685">
              <w:rPr>
                <w:b w:val="0"/>
              </w:rPr>
              <w:t xml:space="preserve"> un uzlabotu gaisa kvalitātes pārvaldību</w:t>
            </w:r>
            <w:r w:rsidR="007B2A3D">
              <w:rPr>
                <w:b w:val="0"/>
              </w:rPr>
              <w:t xml:space="preserve"> Latvijā</w:t>
            </w:r>
            <w:r w:rsidRPr="00FD20A2">
              <w:rPr>
                <w:b w:val="0"/>
              </w:rPr>
              <w:t>;</w:t>
            </w:r>
          </w:p>
          <w:p w14:paraId="699CB830" w14:textId="77777777" w:rsidR="00032BA1" w:rsidRDefault="00FC631B" w:rsidP="00FC631B">
            <w:pPr>
              <w:pStyle w:val="Title"/>
              <w:spacing w:before="120"/>
              <w:jc w:val="both"/>
              <w:rPr>
                <w:b w:val="0"/>
              </w:rPr>
            </w:pPr>
            <w:r w:rsidRPr="00FD20A2">
              <w:rPr>
                <w:b w:val="0"/>
              </w:rPr>
              <w:t>-</w:t>
            </w:r>
            <w:r w:rsidR="002547EA" w:rsidRPr="00FD20A2">
              <w:rPr>
                <w:b w:val="0"/>
              </w:rPr>
              <w:t xml:space="preserve"> </w:t>
            </w:r>
            <w:r w:rsidR="00BC543B">
              <w:rPr>
                <w:b w:val="0"/>
              </w:rPr>
              <w:t>līdz 2016.</w:t>
            </w:r>
            <w:r w:rsidR="00456E9A">
              <w:rPr>
                <w:b w:val="0"/>
              </w:rPr>
              <w:t> </w:t>
            </w:r>
            <w:r w:rsidR="00BC543B">
              <w:rPr>
                <w:b w:val="0"/>
              </w:rPr>
              <w:t>gada 31.</w:t>
            </w:r>
            <w:r w:rsidR="00456E9A">
              <w:rPr>
                <w:b w:val="0"/>
              </w:rPr>
              <w:t> </w:t>
            </w:r>
            <w:r w:rsidR="00BC543B">
              <w:rPr>
                <w:b w:val="0"/>
              </w:rPr>
              <w:t xml:space="preserve">decembrim </w:t>
            </w:r>
            <w:r w:rsidR="002547EA" w:rsidRPr="00FD20A2">
              <w:rPr>
                <w:b w:val="0"/>
              </w:rPr>
              <w:t xml:space="preserve">pārņemtu </w:t>
            </w:r>
            <w:r w:rsidR="00DD6A75">
              <w:rPr>
                <w:b w:val="0"/>
              </w:rPr>
              <w:t xml:space="preserve">Eiropas </w:t>
            </w:r>
            <w:r w:rsidR="008B4913" w:rsidRPr="00013FE8">
              <w:rPr>
                <w:b w:val="0"/>
              </w:rPr>
              <w:t>Komisijas</w:t>
            </w:r>
            <w:r w:rsidR="008B4913" w:rsidRPr="00FD20A2">
              <w:t xml:space="preserve"> </w:t>
            </w:r>
            <w:r w:rsidR="00DD6A75" w:rsidRPr="00013FE8">
              <w:rPr>
                <w:b w:val="0"/>
              </w:rPr>
              <w:t>2015. gada 28. augusta</w:t>
            </w:r>
            <w:r w:rsidR="00DD6A75">
              <w:t xml:space="preserve"> D</w:t>
            </w:r>
            <w:r w:rsidR="008B4913" w:rsidRPr="00FD20A2">
              <w:t>irektīv</w:t>
            </w:r>
            <w:r w:rsidR="00373587">
              <w:t>u</w:t>
            </w:r>
            <w:r w:rsidR="008B4913" w:rsidRPr="00FD20A2">
              <w:t xml:space="preserve"> </w:t>
            </w:r>
            <w:r w:rsidR="00DD6A75">
              <w:t>(ES)</w:t>
            </w:r>
            <w:r w:rsidR="00660FDA">
              <w:t> </w:t>
            </w:r>
            <w:r w:rsidR="008B4913" w:rsidRPr="00FD20A2">
              <w:t>2015/1480</w:t>
            </w:r>
            <w:r w:rsidR="00BF650C">
              <w:t xml:space="preserve"> (</w:t>
            </w:r>
            <w:r w:rsidR="00BF650C" w:rsidRPr="00D02372">
              <w:rPr>
                <w:b w:val="0"/>
              </w:rPr>
              <w:t xml:space="preserve">turpmāk </w:t>
            </w:r>
            <w:r w:rsidR="00BF650C" w:rsidRPr="00D02372">
              <w:rPr>
                <w:b w:val="0"/>
              </w:rPr>
              <w:noBreakHyphen/>
              <w:t xml:space="preserve"> direktīva 2015/1480)</w:t>
            </w:r>
            <w:r w:rsidRPr="00FD20A2">
              <w:rPr>
                <w:b w:val="0"/>
              </w:rPr>
              <w:t>,</w:t>
            </w:r>
            <w:r w:rsidR="008B4913" w:rsidRPr="00FD20A2">
              <w:rPr>
                <w:b w:val="0"/>
              </w:rPr>
              <w:t xml:space="preserve"> </w:t>
            </w:r>
            <w:r w:rsidRPr="00FD20A2">
              <w:rPr>
                <w:b w:val="0"/>
              </w:rPr>
              <w:t>ar kuru groza dažus pielikumus Eiropas Parlamenta un Padomes Direktīvās 2004/107/EK un 2008/50/EK, ar ko paredz noteikumus attiecībā uz standartmetodēm, datu validēšanu un paraugu ņemšanas vietu izvietojumu gaisa kvalitātes novērtēšanai;</w:t>
            </w:r>
          </w:p>
          <w:p w14:paraId="699CB831" w14:textId="77777777" w:rsidR="004378BC" w:rsidRDefault="00FC631B" w:rsidP="00020FFC">
            <w:pPr>
              <w:pStyle w:val="Title"/>
              <w:spacing w:before="120"/>
              <w:jc w:val="both"/>
              <w:rPr>
                <w:b w:val="0"/>
              </w:rPr>
            </w:pPr>
            <w:r w:rsidRPr="00FD20A2">
              <w:rPr>
                <w:b w:val="0"/>
              </w:rPr>
              <w:t xml:space="preserve">- ieviestu iepriekš nepārņemtās vai nepilnīgi pārņemtās Eiropas Parlamenta un Padomes </w:t>
            </w:r>
            <w:r w:rsidR="00660FDA">
              <w:rPr>
                <w:b w:val="0"/>
              </w:rPr>
              <w:t xml:space="preserve">2008. gada 21. maija </w:t>
            </w:r>
            <w:r w:rsidR="00660FDA">
              <w:t>D</w:t>
            </w:r>
            <w:r w:rsidRPr="00FD20A2">
              <w:t>irektīvas 2008/50/EK</w:t>
            </w:r>
            <w:r w:rsidRPr="00FD20A2">
              <w:rPr>
                <w:b w:val="0"/>
              </w:rPr>
              <w:t xml:space="preserve"> </w:t>
            </w:r>
            <w:r w:rsidR="006738EF">
              <w:rPr>
                <w:b w:val="0"/>
              </w:rPr>
              <w:t xml:space="preserve">(turpmāk – direktīva 2008/50/EK) </w:t>
            </w:r>
            <w:r w:rsidRPr="00FD20A2">
              <w:rPr>
                <w:b w:val="0"/>
              </w:rPr>
              <w:t>par gaisa kvalitāti un tīrāku gaisu Eiropai prasības un izpildītu atbildes vēstulē uz Eiropas Komisijas 2015.</w:t>
            </w:r>
            <w:r w:rsidR="00660FDA">
              <w:rPr>
                <w:b w:val="0"/>
              </w:rPr>
              <w:t> </w:t>
            </w:r>
            <w:r w:rsidRPr="00FD20A2">
              <w:rPr>
                <w:b w:val="0"/>
              </w:rPr>
              <w:t>gada 1.</w:t>
            </w:r>
            <w:r w:rsidR="00660FDA">
              <w:rPr>
                <w:b w:val="0"/>
              </w:rPr>
              <w:t> </w:t>
            </w:r>
            <w:r w:rsidRPr="00FD20A2">
              <w:rPr>
                <w:b w:val="0"/>
              </w:rPr>
              <w:t>jūlija pieprasījumu EU Pilot lietā Nr.</w:t>
            </w:r>
            <w:r w:rsidR="00660FDA">
              <w:rPr>
                <w:b w:val="0"/>
              </w:rPr>
              <w:t> </w:t>
            </w:r>
            <w:r w:rsidRPr="00FD20A2">
              <w:rPr>
                <w:b w:val="0"/>
              </w:rPr>
              <w:t>6211/14/ENVI solīto</w:t>
            </w:r>
            <w:r w:rsidR="00660FDA">
              <w:rPr>
                <w:b w:val="0"/>
              </w:rPr>
              <w:t>;</w:t>
            </w:r>
          </w:p>
          <w:p w14:paraId="699CB832" w14:textId="77777777" w:rsidR="0077670B" w:rsidRPr="00FD20A2" w:rsidRDefault="008A015C" w:rsidP="00020FFC">
            <w:pPr>
              <w:pStyle w:val="Title"/>
              <w:spacing w:before="120"/>
              <w:jc w:val="both"/>
              <w:rPr>
                <w:b w:val="0"/>
              </w:rPr>
            </w:pPr>
            <w:r>
              <w:rPr>
                <w:b w:val="0"/>
              </w:rPr>
              <w:t>- pārņemtu atsevišķu normu</w:t>
            </w:r>
            <w:r w:rsidR="00F63103">
              <w:rPr>
                <w:b w:val="0"/>
              </w:rPr>
              <w:t>, kas izriet</w:t>
            </w:r>
            <w:r>
              <w:rPr>
                <w:b w:val="0"/>
              </w:rPr>
              <w:t xml:space="preserve"> no </w:t>
            </w:r>
            <w:r w:rsidRPr="008A015C">
              <w:rPr>
                <w:b w:val="0"/>
              </w:rPr>
              <w:t xml:space="preserve">Eiropas Parlamenta un Padomes </w:t>
            </w:r>
            <w:r w:rsidR="00660FDA">
              <w:rPr>
                <w:b w:val="0"/>
              </w:rPr>
              <w:t xml:space="preserve">2015. gada 25. novembra </w:t>
            </w:r>
            <w:r w:rsidR="00660FDA">
              <w:t>D</w:t>
            </w:r>
            <w:r>
              <w:t xml:space="preserve">irektīvas </w:t>
            </w:r>
            <w:r w:rsidR="00660FDA">
              <w:t>(ES) </w:t>
            </w:r>
            <w:r>
              <w:t>2015/2193</w:t>
            </w:r>
            <w:r w:rsidR="007817C8">
              <w:t xml:space="preserve"> </w:t>
            </w:r>
            <w:r w:rsidR="007817C8" w:rsidRPr="00D02372">
              <w:rPr>
                <w:b w:val="0"/>
              </w:rPr>
              <w:t xml:space="preserve">(turpmāk </w:t>
            </w:r>
            <w:r w:rsidR="007817C8" w:rsidRPr="00D02372">
              <w:rPr>
                <w:b w:val="0"/>
              </w:rPr>
              <w:noBreakHyphen/>
              <w:t xml:space="preserve"> direktīva 2015/2193)</w:t>
            </w:r>
            <w:r>
              <w:t xml:space="preserve"> </w:t>
            </w:r>
            <w:r w:rsidRPr="008A015C">
              <w:rPr>
                <w:b w:val="0"/>
              </w:rPr>
              <w:t>par ierobežojumiem attiecībā uz dažu piesārņojošu vielu emisiju gaisā no vidējas jaudas sadedzināšanas iekārtām</w:t>
            </w:r>
            <w:r w:rsidR="00660FDA">
              <w:rPr>
                <w:b w:val="0"/>
              </w:rPr>
              <w:t>.</w:t>
            </w:r>
          </w:p>
        </w:tc>
      </w:tr>
      <w:tr w:rsidR="00E62865" w:rsidRPr="000E0755" w14:paraId="699CB856" w14:textId="77777777" w:rsidTr="00241D1B">
        <w:trPr>
          <w:trHeight w:val="416"/>
        </w:trPr>
        <w:tc>
          <w:tcPr>
            <w:tcW w:w="232" w:type="pct"/>
          </w:tcPr>
          <w:p w14:paraId="699CB834" w14:textId="77777777" w:rsidR="00E62865" w:rsidRPr="000E0755" w:rsidRDefault="00E62865" w:rsidP="0098329C">
            <w:pPr>
              <w:jc w:val="center"/>
            </w:pPr>
            <w:r w:rsidRPr="000E0755">
              <w:t>2.</w:t>
            </w:r>
          </w:p>
        </w:tc>
        <w:tc>
          <w:tcPr>
            <w:tcW w:w="939" w:type="pct"/>
          </w:tcPr>
          <w:p w14:paraId="699CB835" w14:textId="77777777" w:rsidR="00E62865" w:rsidRPr="000E0755" w:rsidRDefault="00E62865" w:rsidP="0098329C">
            <w:r w:rsidRPr="000E0755">
              <w:t>Pašreizējā situācija un problēmas, kuru risināšanai tiesību akta projekts izstrādāts, tiesiskā regulējuma mērķis un būtība</w:t>
            </w:r>
          </w:p>
        </w:tc>
        <w:tc>
          <w:tcPr>
            <w:tcW w:w="3829" w:type="pct"/>
          </w:tcPr>
          <w:p w14:paraId="699CB836" w14:textId="77777777" w:rsidR="005E6639" w:rsidRPr="000E0755" w:rsidRDefault="00EC0680" w:rsidP="000D0BAC">
            <w:pPr>
              <w:spacing w:before="75" w:after="75"/>
              <w:ind w:firstLine="397"/>
              <w:jc w:val="both"/>
            </w:pPr>
            <w:r w:rsidRPr="000E0755">
              <w:t xml:space="preserve">Noteikumu projekta </w:t>
            </w:r>
            <w:r w:rsidRPr="000E0755">
              <w:rPr>
                <w:u w:val="single"/>
              </w:rPr>
              <w:t>mērķis</w:t>
            </w:r>
            <w:r w:rsidRPr="000E0755">
              <w:t xml:space="preserve"> ir uzla</w:t>
            </w:r>
            <w:r w:rsidR="00B62B44" w:rsidRPr="000E0755">
              <w:t>bot gaisa kvalitātes pārvaldību,</w:t>
            </w:r>
            <w:r w:rsidR="00117225" w:rsidRPr="000E0755">
              <w:t xml:space="preserve"> nodrošināt precīzāk</w:t>
            </w:r>
            <w:r w:rsidR="00984353" w:rsidRPr="000E0755">
              <w:t>u gaisa kvalitātes datu iegūšanu</w:t>
            </w:r>
            <w:r w:rsidR="00117225" w:rsidRPr="000E0755">
              <w:t xml:space="preserve"> un </w:t>
            </w:r>
            <w:r w:rsidR="00984353" w:rsidRPr="000E0755">
              <w:t xml:space="preserve">nodrošināt, lai sabiedrībai būtu pieejama korekta un ticama informācija par esošo gaisa kvalitāti un būtu iespējams izdarīt secinājums par gaisa piesārņojuma radīto ietekmi uz veselību. </w:t>
            </w:r>
            <w:r w:rsidR="00660FDA" w:rsidRPr="000E0755">
              <w:t>Ar noteikumu projektu k</w:t>
            </w:r>
            <w:r w:rsidRPr="000E0755">
              <w:t>onkrētāk noteikt</w:t>
            </w:r>
            <w:r w:rsidR="00984353" w:rsidRPr="000E0755">
              <w:t>as dažādu iestāžu funkcijas, ka arī r</w:t>
            </w:r>
            <w:r w:rsidRPr="000E0755">
              <w:t>isināt</w:t>
            </w:r>
            <w:r w:rsidR="00984353" w:rsidRPr="000E0755">
              <w:t>as citas</w:t>
            </w:r>
            <w:r w:rsidR="00640A82" w:rsidRPr="000E0755">
              <w:t xml:space="preserve"> Ministru kabineta 2009.</w:t>
            </w:r>
            <w:r w:rsidR="006738EF" w:rsidRPr="000E0755">
              <w:t> </w:t>
            </w:r>
            <w:r w:rsidR="00640A82" w:rsidRPr="000E0755">
              <w:t>gada 3.</w:t>
            </w:r>
            <w:r w:rsidR="006738EF" w:rsidRPr="000E0755">
              <w:t> </w:t>
            </w:r>
            <w:r w:rsidR="00640A82" w:rsidRPr="000E0755">
              <w:t>novembra</w:t>
            </w:r>
            <w:r w:rsidR="00984353" w:rsidRPr="000E0755">
              <w:t xml:space="preserve"> noteikumu Nr.</w:t>
            </w:r>
            <w:r w:rsidR="006738EF" w:rsidRPr="000E0755">
              <w:t> </w:t>
            </w:r>
            <w:r w:rsidR="00984353" w:rsidRPr="000E0755">
              <w:t>1290</w:t>
            </w:r>
            <w:r w:rsidR="00640A82" w:rsidRPr="000E0755">
              <w:t xml:space="preserve"> </w:t>
            </w:r>
            <w:r w:rsidR="006738EF" w:rsidRPr="000E0755">
              <w:t>„</w:t>
            </w:r>
            <w:r w:rsidR="00640A82" w:rsidRPr="000E0755">
              <w:t>Noteikumi par gaisa kvalitāti” (turpmāk – MK noteikumi Nr.</w:t>
            </w:r>
            <w:r w:rsidR="006738EF" w:rsidRPr="000E0755">
              <w:t> </w:t>
            </w:r>
            <w:r w:rsidR="00640A82" w:rsidRPr="000E0755">
              <w:t>1290)</w:t>
            </w:r>
            <w:r w:rsidR="00984353" w:rsidRPr="000E0755">
              <w:t xml:space="preserve"> īstenošanas</w:t>
            </w:r>
            <w:r w:rsidRPr="000E0755">
              <w:t xml:space="preserve"> praksē konstatētās problēmas.</w:t>
            </w:r>
          </w:p>
          <w:p w14:paraId="699CB837" w14:textId="77777777" w:rsidR="00637BEA" w:rsidRPr="000E0755" w:rsidRDefault="005E6639" w:rsidP="004C782A">
            <w:pPr>
              <w:spacing w:before="75" w:after="75"/>
              <w:jc w:val="both"/>
            </w:pPr>
            <w:r w:rsidRPr="000E0755">
              <w:t>1</w:t>
            </w:r>
            <w:r w:rsidR="006738EF" w:rsidRPr="000E0755">
              <w:t>. </w:t>
            </w:r>
            <w:r w:rsidR="00FF6B55" w:rsidRPr="000E0755">
              <w:t xml:space="preserve">Noteikumu projekts </w:t>
            </w:r>
            <w:r w:rsidR="00FF6B55" w:rsidRPr="000E0755">
              <w:rPr>
                <w:u w:val="single"/>
              </w:rPr>
              <w:t>risina šādas praksē konstatētās problēmas</w:t>
            </w:r>
            <w:r w:rsidR="00FF6B55" w:rsidRPr="000E0755">
              <w:t>:</w:t>
            </w:r>
          </w:p>
          <w:p w14:paraId="699CB838" w14:textId="77777777" w:rsidR="00F379FC" w:rsidRPr="00567D78" w:rsidRDefault="00E8621A" w:rsidP="00E8621A">
            <w:pPr>
              <w:spacing w:before="75" w:after="75"/>
              <w:jc w:val="both"/>
            </w:pPr>
            <w:r w:rsidRPr="000E0755">
              <w:t xml:space="preserve">- </w:t>
            </w:r>
            <w:r w:rsidR="000E5FF2" w:rsidRPr="000E0755">
              <w:t>n</w:t>
            </w:r>
            <w:r w:rsidRPr="000E0755">
              <w:t xml:space="preserve">oteikts, ka </w:t>
            </w:r>
            <w:r w:rsidR="00A32566" w:rsidRPr="000E0755">
              <w:t xml:space="preserve">valsts sabiedrība ar ierobežotu atbildību </w:t>
            </w:r>
            <w:r w:rsidR="006738EF" w:rsidRPr="000E0755">
              <w:t>„</w:t>
            </w:r>
            <w:r w:rsidR="00A32566" w:rsidRPr="000E0755">
              <w:t xml:space="preserve">Latvijas Vides, ģeoloģijas un meteoroloģijas </w:t>
            </w:r>
            <w:r w:rsidR="00A32566" w:rsidRPr="006C578B">
              <w:t>centrs</w:t>
            </w:r>
            <w:r w:rsidR="006738EF" w:rsidRPr="006C578B">
              <w:t>”</w:t>
            </w:r>
            <w:r w:rsidR="00A32566" w:rsidRPr="006C578B">
              <w:t xml:space="preserve"> (turpmāk – LVĢMC)</w:t>
            </w:r>
            <w:r w:rsidRPr="006C578B">
              <w:t xml:space="preserve"> ir </w:t>
            </w:r>
            <w:r w:rsidR="00772E4E" w:rsidRPr="006C578B">
              <w:t xml:space="preserve">nacionālā references laboratorija un ir </w:t>
            </w:r>
            <w:r w:rsidRPr="006C578B">
              <w:t>atbildīg</w:t>
            </w:r>
            <w:r w:rsidR="00772E4E" w:rsidRPr="006C578B">
              <w:t xml:space="preserve">a </w:t>
            </w:r>
            <w:r w:rsidRPr="006C578B">
              <w:t>par v</w:t>
            </w:r>
            <w:r w:rsidR="00F60ED7" w:rsidRPr="006C578B">
              <w:t>alsts monitoringa tīkla izveidi un</w:t>
            </w:r>
            <w:r w:rsidRPr="006C578B">
              <w:t xml:space="preserve"> </w:t>
            </w:r>
            <w:r w:rsidR="00F60ED7" w:rsidRPr="006C578B">
              <w:t xml:space="preserve">šo staciju </w:t>
            </w:r>
            <w:r w:rsidRPr="006C578B">
              <w:t>uzturēšanu, mērījumu</w:t>
            </w:r>
            <w:r w:rsidRPr="000E0755">
              <w:t xml:space="preserve"> veikšanu un mērījumu precizitātes nodrošināšanu, kā arī </w:t>
            </w:r>
            <w:r w:rsidR="0090472C" w:rsidRPr="000E0755">
              <w:t xml:space="preserve">nepieciešamības gadījumā valsts monitoringa </w:t>
            </w:r>
            <w:r w:rsidR="0090472C" w:rsidRPr="00567D78">
              <w:t xml:space="preserve">tīklā izmantoto </w:t>
            </w:r>
            <w:r w:rsidRPr="00567D78">
              <w:t>metožu līdzvērtīguma pierādīšanu</w:t>
            </w:r>
            <w:r w:rsidR="007F0EB5" w:rsidRPr="00567D78">
              <w:t>;</w:t>
            </w:r>
          </w:p>
          <w:p w14:paraId="699CB839" w14:textId="77777777" w:rsidR="00E8621A" w:rsidRPr="00567D78" w:rsidRDefault="00F379FC" w:rsidP="00E8621A">
            <w:pPr>
              <w:spacing w:before="75" w:after="75"/>
              <w:jc w:val="both"/>
            </w:pPr>
            <w:r w:rsidRPr="00567D78">
              <w:t xml:space="preserve">Šobrīd </w:t>
            </w:r>
            <w:r w:rsidR="00E903FC" w:rsidRPr="00567D78">
              <w:t>Rīgā Kr.</w:t>
            </w:r>
            <w:r w:rsidR="000177CF" w:rsidRPr="00567D78">
              <w:t xml:space="preserve"> </w:t>
            </w:r>
            <w:r w:rsidR="00E903FC" w:rsidRPr="00567D78">
              <w:t xml:space="preserve">Valdemāra ielā esošā </w:t>
            </w:r>
            <w:r w:rsidRPr="00567D78">
              <w:t xml:space="preserve">stacija, </w:t>
            </w:r>
            <w:r w:rsidR="008F2916" w:rsidRPr="00567D78">
              <w:t xml:space="preserve">kuras </w:t>
            </w:r>
            <w:r w:rsidRPr="00567D78">
              <w:t>dati atbilstoši direktīvas 2008/50/EK prasībām tiek ziņoti E</w:t>
            </w:r>
            <w:r w:rsidR="006E37D8" w:rsidRPr="00567D78">
              <w:t xml:space="preserve">iropas </w:t>
            </w:r>
            <w:r w:rsidRPr="00567D78">
              <w:t>K</w:t>
            </w:r>
            <w:r w:rsidR="006E37D8" w:rsidRPr="00567D78">
              <w:t xml:space="preserve">omisijai </w:t>
            </w:r>
            <w:r w:rsidR="006E37D8" w:rsidRPr="00567D78">
              <w:lastRenderedPageBreak/>
              <w:t>(turpmāk – EK)</w:t>
            </w:r>
            <w:r w:rsidR="00746906" w:rsidRPr="00567D78">
              <w:t xml:space="preserve"> un kura ir iekļauta valsts monitoringa tīklā un nepieciešama, lai nodrošinātu minimālo nepieciešamo monitoringa staciju skaitu</w:t>
            </w:r>
            <w:r w:rsidR="007F0EB5" w:rsidRPr="00567D78">
              <w:t>,</w:t>
            </w:r>
            <w:r w:rsidRPr="00567D78">
              <w:t xml:space="preserve"> ir </w:t>
            </w:r>
            <w:r w:rsidR="006E37D8" w:rsidRPr="00567D78">
              <w:t xml:space="preserve">Rīgas </w:t>
            </w:r>
            <w:r w:rsidR="00D02372" w:rsidRPr="00567D78">
              <w:t>domes</w:t>
            </w:r>
            <w:r w:rsidRPr="00567D78">
              <w:t xml:space="preserve"> īpašumā. </w:t>
            </w:r>
            <w:r w:rsidR="00E903FC" w:rsidRPr="00567D78">
              <w:t>Šī stacija</w:t>
            </w:r>
            <w:r w:rsidR="008238CD" w:rsidRPr="00567D78">
              <w:t xml:space="preserve"> </w:t>
            </w:r>
            <w:r w:rsidR="00A37063" w:rsidRPr="00567D78">
              <w:t xml:space="preserve">ir tehniski nokalpojusi </w:t>
            </w:r>
            <w:r w:rsidR="00E903FC" w:rsidRPr="00567D78">
              <w:t xml:space="preserve">un </w:t>
            </w:r>
            <w:r w:rsidR="00A37063" w:rsidRPr="00567D78">
              <w:t>ir nepieciešams veikt šīs stacijas nomaiņu</w:t>
            </w:r>
            <w:r w:rsidR="00427C24" w:rsidRPr="00567D78">
              <w:t xml:space="preserve"> un atsākt mērījumu veikšanu</w:t>
            </w:r>
            <w:r w:rsidRPr="00567D78">
              <w:t>. Lai šo situāciju risinātu</w:t>
            </w:r>
            <w:r w:rsidR="005464D7" w:rsidRPr="00567D78">
              <w:t xml:space="preserve"> </w:t>
            </w:r>
            <w:r w:rsidR="00E903FC" w:rsidRPr="00567D78">
              <w:t>un lai  Vides aizsardzības un reģionālās attīstības ministrija varētu iesniegt nepieciešamo informāciju EK, un izpildīt direktīvā 2008/50/EK noteiktās prasības</w:t>
            </w:r>
            <w:r w:rsidR="0027215B" w:rsidRPr="00567D78">
              <w:t>,</w:t>
            </w:r>
            <w:r w:rsidR="00E903FC" w:rsidRPr="00567D78" w:rsidDel="00427C24">
              <w:t xml:space="preserve"> </w:t>
            </w:r>
            <w:r w:rsidRPr="00567D78">
              <w:t>noteikumu projekts skaidri no</w:t>
            </w:r>
            <w:r w:rsidR="007F0EB5" w:rsidRPr="00567D78">
              <w:t>teic</w:t>
            </w:r>
            <w:r w:rsidRPr="00567D78">
              <w:t>, ka turpmāk par valsts monitoringa tīklu</w:t>
            </w:r>
            <w:r w:rsidR="00F71CCE" w:rsidRPr="00567D78">
              <w:t xml:space="preserve"> un minimālo staciju skaita nodrošināšanu atbilstoši direktīvas </w:t>
            </w:r>
            <w:r w:rsidR="00D02372" w:rsidRPr="00567D78">
              <w:t>200</w:t>
            </w:r>
            <w:r w:rsidR="00712AF4" w:rsidRPr="00567D78">
              <w:t xml:space="preserve">8/50/EK </w:t>
            </w:r>
            <w:r w:rsidR="00F71CCE" w:rsidRPr="00567D78">
              <w:t>prasībām</w:t>
            </w:r>
            <w:r w:rsidRPr="00567D78">
              <w:t xml:space="preserve"> ir atbildīgs LVĢMC. </w:t>
            </w:r>
            <w:r w:rsidR="0084331A" w:rsidRPr="00567D78">
              <w:t xml:space="preserve">Lai </w:t>
            </w:r>
            <w:r w:rsidR="006E033D" w:rsidRPr="00567D78">
              <w:t>minēto</w:t>
            </w:r>
            <w:r w:rsidR="0084331A" w:rsidRPr="00567D78">
              <w:t xml:space="preserve"> prasību izpildītu un nodrošinātu minimālo nepieciešamo staciju skaitu Rīgā</w:t>
            </w:r>
            <w:r w:rsidR="00B67D1E" w:rsidRPr="00567D78">
              <w:t xml:space="preserve"> un arī pārējā Latvijas teritorijā</w:t>
            </w:r>
            <w:r w:rsidR="0084331A" w:rsidRPr="00567D78">
              <w:t>, plānots izmantot E</w:t>
            </w:r>
            <w:r w:rsidR="00100765" w:rsidRPr="00567D78">
              <w:t xml:space="preserve">iropas </w:t>
            </w:r>
            <w:r w:rsidR="0084331A" w:rsidRPr="00567D78">
              <w:t>S</w:t>
            </w:r>
            <w:r w:rsidR="00100765" w:rsidRPr="00567D78">
              <w:t>avienības</w:t>
            </w:r>
            <w:r w:rsidR="0084331A" w:rsidRPr="00567D78">
              <w:t xml:space="preserve"> fondu finans</w:t>
            </w:r>
            <w:r w:rsidR="004508F7" w:rsidRPr="00567D78">
              <w:t>ējumu</w:t>
            </w:r>
            <w:r w:rsidR="00100765" w:rsidRPr="00567D78">
              <w:t xml:space="preserve"> (darbības programma </w:t>
            </w:r>
            <w:r w:rsidR="006E033D" w:rsidRPr="00567D78">
              <w:t>„</w:t>
            </w:r>
            <w:r w:rsidR="00100765" w:rsidRPr="00567D78">
              <w:t>Izaugsme un nodarbinātība” 5.4.2.2.</w:t>
            </w:r>
            <w:r w:rsidR="006E033D" w:rsidRPr="00567D78">
              <w:t> </w:t>
            </w:r>
            <w:r w:rsidR="00100765" w:rsidRPr="00567D78">
              <w:t xml:space="preserve">pasākuma </w:t>
            </w:r>
            <w:r w:rsidR="006E033D" w:rsidRPr="00567D78">
              <w:t>„</w:t>
            </w:r>
            <w:r w:rsidR="00100765" w:rsidRPr="00567D78">
              <w:t xml:space="preserve">Vides monitoringa un kontroles sistēmas attīstība un sabiedrības līdzdalības vides pārvaldībā veicināšana”) </w:t>
            </w:r>
            <w:r w:rsidR="0084331A" w:rsidRPr="00567D78">
              <w:t>j</w:t>
            </w:r>
            <w:r w:rsidR="005464D7" w:rsidRPr="00567D78">
              <w:t>aun</w:t>
            </w:r>
            <w:r w:rsidR="0084331A" w:rsidRPr="00567D78">
              <w:t>as</w:t>
            </w:r>
            <w:r w:rsidR="005464D7" w:rsidRPr="00567D78">
              <w:t xml:space="preserve"> transporta </w:t>
            </w:r>
            <w:r w:rsidR="004508F7" w:rsidRPr="00567D78">
              <w:t xml:space="preserve">ietekmes </w:t>
            </w:r>
            <w:r w:rsidR="005464D7" w:rsidRPr="00567D78">
              <w:t>novērtējuma stac</w:t>
            </w:r>
            <w:r w:rsidR="0084331A" w:rsidRPr="00567D78">
              <w:t>ijas uzstādīšanai, kas aizstās Kr.</w:t>
            </w:r>
            <w:r w:rsidR="006E033D" w:rsidRPr="00567D78">
              <w:t> </w:t>
            </w:r>
            <w:r w:rsidR="0084331A" w:rsidRPr="00567D78">
              <w:t>Valdemāra ie</w:t>
            </w:r>
            <w:r w:rsidR="005464D7" w:rsidRPr="00567D78">
              <w:t>lā</w:t>
            </w:r>
            <w:r w:rsidR="00427C24" w:rsidRPr="00567D78">
              <w:t xml:space="preserve"> esošo staciju</w:t>
            </w:r>
            <w:r w:rsidR="006E033D" w:rsidRPr="00567D78">
              <w:t>,</w:t>
            </w:r>
            <w:r w:rsidR="005464D7" w:rsidRPr="00567D78">
              <w:t xml:space="preserve"> </w:t>
            </w:r>
            <w:r w:rsidR="0084331A" w:rsidRPr="00567D78">
              <w:t>un par kuras darbību turpmāk atbildēs LVĢMC</w:t>
            </w:r>
            <w:r w:rsidR="00100765" w:rsidRPr="00567D78">
              <w:t>, kā arī veikt citus uzlabojumus, lai nodrošinātu atbilstību Eiropas Savienības tiesību aktos noteiktajām prasībām</w:t>
            </w:r>
            <w:r w:rsidR="00B67D1E" w:rsidRPr="00567D78">
              <w:t xml:space="preserve"> gan Rīgas, gan arī pārējās Latvijas teritorijā esošajās gaisa kvalitātes monitoringa stacijās</w:t>
            </w:r>
            <w:r w:rsidR="005464D7" w:rsidRPr="00567D78">
              <w:t>.</w:t>
            </w:r>
          </w:p>
          <w:p w14:paraId="699CB83A" w14:textId="77777777" w:rsidR="00A13CBE" w:rsidRPr="00567D78" w:rsidRDefault="00637BEA" w:rsidP="004C782A">
            <w:pPr>
              <w:spacing w:before="75" w:after="75"/>
              <w:jc w:val="both"/>
            </w:pPr>
            <w:r w:rsidRPr="00567D78">
              <w:t xml:space="preserve">- </w:t>
            </w:r>
            <w:r w:rsidR="0029220A" w:rsidRPr="00567D78">
              <w:t xml:space="preserve">šobrīd </w:t>
            </w:r>
            <w:r w:rsidR="007568CE" w:rsidRPr="00567D78">
              <w:t>trūks</w:t>
            </w:r>
            <w:r w:rsidR="0067603F" w:rsidRPr="00567D78">
              <w:t>t</w:t>
            </w:r>
            <w:r w:rsidR="007568CE" w:rsidRPr="00567D78">
              <w:t xml:space="preserve"> vienotas sistēmas, lai nodrošinātu kvalitatīvas un ticamas informācijas publicēšanu</w:t>
            </w:r>
            <w:r w:rsidR="00C7604B" w:rsidRPr="00567D78">
              <w:t xml:space="preserve"> sabiedrībai</w:t>
            </w:r>
            <w:r w:rsidR="0029220A" w:rsidRPr="00567D78">
              <w:t xml:space="preserve">. </w:t>
            </w:r>
            <w:r w:rsidR="00C7604B" w:rsidRPr="00567D78">
              <w:t>Ir konstatēti gadījumi, kad</w:t>
            </w:r>
            <w:r w:rsidR="0029220A" w:rsidRPr="00567D78">
              <w:t xml:space="preserve"> </w:t>
            </w:r>
            <w:r w:rsidR="00D72785" w:rsidRPr="00567D78">
              <w:t>tiek</w:t>
            </w:r>
            <w:r w:rsidR="0029220A" w:rsidRPr="00567D78">
              <w:t xml:space="preserve"> </w:t>
            </w:r>
            <w:r w:rsidR="00D72785" w:rsidRPr="00567D78">
              <w:t xml:space="preserve">publicēta </w:t>
            </w:r>
            <w:r w:rsidR="0029220A" w:rsidRPr="00567D78">
              <w:t xml:space="preserve">informācija, </w:t>
            </w:r>
            <w:r w:rsidR="00D72785" w:rsidRPr="00567D78">
              <w:t>kuras ticamība ir apšaubāma</w:t>
            </w:r>
            <w:r w:rsidR="007039B1" w:rsidRPr="00567D78">
              <w:t>, jo</w:t>
            </w:r>
            <w:r w:rsidR="00A13CBE" w:rsidRPr="00567D78">
              <w:t xml:space="preserve"> nav pārliecības par to, ka</w:t>
            </w:r>
            <w:r w:rsidR="007039B1" w:rsidRPr="00567D78">
              <w:t xml:space="preserve"> i</w:t>
            </w:r>
            <w:r w:rsidR="0029220A" w:rsidRPr="00567D78">
              <w:t>ekārtām tiek veikta atbilstoša apkope</w:t>
            </w:r>
            <w:r w:rsidR="00A13CBE" w:rsidRPr="00567D78">
              <w:t>, kalibrēšana un</w:t>
            </w:r>
            <w:r w:rsidR="0029220A" w:rsidRPr="00567D78">
              <w:t xml:space="preserve"> iegūtais datu apjoms ir pietiekams</w:t>
            </w:r>
            <w:r w:rsidR="00A13CBE" w:rsidRPr="00567D78">
              <w:t xml:space="preserve"> korektu secinājumu izdarīšanai</w:t>
            </w:r>
            <w:r w:rsidR="0029220A" w:rsidRPr="00567D78">
              <w:t xml:space="preserve"> u.t.t.</w:t>
            </w:r>
            <w:r w:rsidR="00C7604B" w:rsidRPr="00567D78">
              <w:t>, līdz ar to</w:t>
            </w:r>
            <w:r w:rsidR="00A13CBE" w:rsidRPr="00567D78">
              <w:t xml:space="preserve"> sabiedrībai var ti</w:t>
            </w:r>
            <w:r w:rsidR="00C7604B" w:rsidRPr="00567D78">
              <w:t>k</w:t>
            </w:r>
            <w:r w:rsidR="00A13CBE" w:rsidRPr="00567D78">
              <w:t>t</w:t>
            </w:r>
            <w:r w:rsidR="00C7604B" w:rsidRPr="00567D78">
              <w:t xml:space="preserve"> sniegta maldinoša informācija</w:t>
            </w:r>
            <w:r w:rsidR="0029220A" w:rsidRPr="00567D78">
              <w:t xml:space="preserve">. </w:t>
            </w:r>
            <w:r w:rsidR="008F6CB9" w:rsidRPr="00567D78">
              <w:t>Turklāt LVĢMC, kas ir atbildīgā iestāde par datu kvalitātes nodrošināšanas programmu koordinēšanu valstī, bieži vien pat nav informēts par to</w:t>
            </w:r>
            <w:r w:rsidR="006E033D" w:rsidRPr="00567D78">
              <w:t>,</w:t>
            </w:r>
            <w:r w:rsidR="008F6CB9" w:rsidRPr="00567D78">
              <w:t xml:space="preserve"> kādas iekārtas pašvaldība plāno uzstādīt</w:t>
            </w:r>
            <w:r w:rsidR="006E033D" w:rsidRPr="00567D78">
              <w:t>,</w:t>
            </w:r>
            <w:r w:rsidR="008F6CB9" w:rsidRPr="00567D78">
              <w:t xml:space="preserve"> un vai tajās tiek veiktas apkopes un datu kvalitātes kontrole</w:t>
            </w:r>
            <w:r w:rsidR="0099726B" w:rsidRPr="00567D78">
              <w:t>.</w:t>
            </w:r>
          </w:p>
          <w:p w14:paraId="699CB83B" w14:textId="77777777" w:rsidR="006D4EBF" w:rsidRPr="00567D78" w:rsidRDefault="00B67D1E" w:rsidP="00515428">
            <w:pPr>
              <w:spacing w:before="120" w:after="120"/>
              <w:jc w:val="both"/>
            </w:pPr>
            <w:r w:rsidRPr="00567D78">
              <w:t>Lai sabiedrībai sniegtu ticamu informāciju par esošo gaisa kvalitāti un lēmumu pieņemšanā izmantotu pamatotus un ticamus gaisa kvalitātes datus, n</w:t>
            </w:r>
            <w:r w:rsidR="00F75854" w:rsidRPr="00567D78">
              <w:t xml:space="preserve">oteikumu projekts paredz, ka </w:t>
            </w:r>
            <w:r w:rsidR="006B1D1C" w:rsidRPr="00567D78">
              <w:t xml:space="preserve">citām </w:t>
            </w:r>
            <w:r w:rsidR="00C969CA" w:rsidRPr="00567D78">
              <w:t xml:space="preserve">valsts un pašvaldību </w:t>
            </w:r>
            <w:r w:rsidR="00F75854" w:rsidRPr="00567D78">
              <w:t>iestādēm, kas</w:t>
            </w:r>
            <w:r w:rsidR="009A08A2" w:rsidRPr="00567D78">
              <w:t xml:space="preserve"> </w:t>
            </w:r>
            <w:r w:rsidR="00F75854" w:rsidRPr="00567D78">
              <w:t>tālāk iegūtos gaisa kvalitātes mērījumu datus izmanto sabiedrības informē</w:t>
            </w:r>
            <w:r w:rsidR="00F50E65" w:rsidRPr="00567D78">
              <w:t>šanai</w:t>
            </w:r>
            <w:r w:rsidR="00C969CA" w:rsidRPr="00567D78">
              <w:t xml:space="preserve"> </w:t>
            </w:r>
            <w:r w:rsidRPr="00567D78">
              <w:t xml:space="preserve">(tai skaitā, arī atspoguļojot informāciju dažādos politikas plānošanas un teritorijas attīstības plānošanas dokumentos) </w:t>
            </w:r>
            <w:r w:rsidR="00C969CA" w:rsidRPr="00567D78">
              <w:t xml:space="preserve">vai arī iegūtos datus izmanto gaisa </w:t>
            </w:r>
            <w:r w:rsidRPr="00567D78">
              <w:t>piesārņojuma samazināšanas</w:t>
            </w:r>
            <w:r w:rsidR="00C969CA" w:rsidRPr="00567D78">
              <w:t xml:space="preserve"> rīcības programmas izstrādei</w:t>
            </w:r>
            <w:r w:rsidR="00F50E65" w:rsidRPr="00567D78">
              <w:t xml:space="preserve"> </w:t>
            </w:r>
            <w:r w:rsidR="00C969CA" w:rsidRPr="00567D78">
              <w:t xml:space="preserve">jānodrošina, ka mērījumus veic </w:t>
            </w:r>
            <w:r w:rsidR="00F75854" w:rsidRPr="00567D78">
              <w:t>akreditēt</w:t>
            </w:r>
            <w:r w:rsidR="00C969CA" w:rsidRPr="00567D78">
              <w:t>a</w:t>
            </w:r>
            <w:r w:rsidR="00F75854" w:rsidRPr="00567D78">
              <w:t xml:space="preserve"> laboratorij</w:t>
            </w:r>
            <w:r w:rsidR="00C969CA" w:rsidRPr="00567D78">
              <w:t>a</w:t>
            </w:r>
            <w:r w:rsidR="009D5C86" w:rsidRPr="00567D78">
              <w:t xml:space="preserve">. </w:t>
            </w:r>
            <w:r w:rsidR="006D4EBF" w:rsidRPr="00567D78">
              <w:t>Lai pārējām iestādēm dotu pietiekamu laiku akreditācijas nodrošināšanai, noteikts, ka minētā prasība stājas spēkā 2018.gada 1.septembra.</w:t>
            </w:r>
          </w:p>
          <w:p w14:paraId="699CB83C" w14:textId="77777777" w:rsidR="00B67D1E" w:rsidRPr="00567D78" w:rsidRDefault="00B2079B" w:rsidP="00515428">
            <w:pPr>
              <w:spacing w:before="120" w:after="120"/>
              <w:jc w:val="both"/>
            </w:pPr>
            <w:r w:rsidRPr="00567D78">
              <w:t>Konkrētā prasība neattiecas uz operatoru veikto gaisa kvalitātes monitoringu, kā arī dažādām zinātniskajām institūcijām, kas veic gaisa kvalitātes mērījumus un iegūtos datus izmanto dažādu pētījumu veikšanai.</w:t>
            </w:r>
          </w:p>
          <w:p w14:paraId="699CB83D" w14:textId="77777777" w:rsidR="006D4EBF" w:rsidRPr="00567D78" w:rsidRDefault="00C969CA" w:rsidP="00515428">
            <w:pPr>
              <w:spacing w:before="120" w:after="120"/>
              <w:jc w:val="both"/>
            </w:pPr>
            <w:r w:rsidRPr="00567D78">
              <w:t>Veicot indikatīvus mērījumus</w:t>
            </w:r>
            <w:r w:rsidR="00B2079B" w:rsidRPr="00567D78">
              <w:t>,</w:t>
            </w:r>
            <w:r w:rsidRPr="00567D78">
              <w:t xml:space="preserve"> i</w:t>
            </w:r>
            <w:r w:rsidR="009D5C86" w:rsidRPr="00567D78">
              <w:t xml:space="preserve">estādes var arī </w:t>
            </w:r>
            <w:r w:rsidR="00CE34A2" w:rsidRPr="00567D78">
              <w:t>nenodrošināt, ka</w:t>
            </w:r>
            <w:r w:rsidR="009D5C86" w:rsidRPr="00567D78">
              <w:t xml:space="preserve"> mērījumus </w:t>
            </w:r>
            <w:r w:rsidR="00CE34A2" w:rsidRPr="00567D78">
              <w:t>veic akreditēta</w:t>
            </w:r>
            <w:r w:rsidR="009D5C86" w:rsidRPr="00567D78">
              <w:t xml:space="preserve"> </w:t>
            </w:r>
            <w:r w:rsidR="00F75854" w:rsidRPr="00567D78">
              <w:t xml:space="preserve"> </w:t>
            </w:r>
            <w:r w:rsidR="00CE34A2" w:rsidRPr="00567D78">
              <w:t>laboratorija</w:t>
            </w:r>
            <w:r w:rsidR="009D5C86" w:rsidRPr="00567D78">
              <w:t xml:space="preserve">, </w:t>
            </w:r>
            <w:r w:rsidR="00B2604F" w:rsidRPr="00567D78">
              <w:t xml:space="preserve">bet </w:t>
            </w:r>
            <w:r w:rsidR="009D5C86" w:rsidRPr="00567D78">
              <w:t>tādā gadījumā ir</w:t>
            </w:r>
            <w:r w:rsidR="00F75854" w:rsidRPr="00567D78">
              <w:t xml:space="preserve"> jāiesniedz atbilstoši dokumenti LVĢMC, lai LVĢMC kā nacionālā references laboratorija </w:t>
            </w:r>
            <w:r w:rsidR="00B2079B" w:rsidRPr="00567D78">
              <w:t xml:space="preserve">par noteiktu samaksu </w:t>
            </w:r>
            <w:r w:rsidR="00F75854" w:rsidRPr="00567D78">
              <w:t>varētu izvērtēt vai veiktie mērījumi atbilst n</w:t>
            </w:r>
            <w:r w:rsidR="00B2079B" w:rsidRPr="00567D78">
              <w:t xml:space="preserve">oteikumos noteiktajām prasībām un par to informēt arī </w:t>
            </w:r>
            <w:r w:rsidR="00B2079B" w:rsidRPr="00567D78">
              <w:lastRenderedPageBreak/>
              <w:t>attiecīgo iestādi.</w:t>
            </w:r>
            <w:r w:rsidR="006D4EBF" w:rsidRPr="00567D78">
              <w:t xml:space="preserve"> Noteikumu projekts paredz, ka minētā prasība stājas spēkā 2018.gada 1.septembra.</w:t>
            </w:r>
          </w:p>
          <w:p w14:paraId="699CB83E" w14:textId="77777777" w:rsidR="00B2079B" w:rsidRPr="00567D78" w:rsidRDefault="00B2079B" w:rsidP="00515428">
            <w:pPr>
              <w:spacing w:before="120" w:after="120"/>
              <w:jc w:val="both"/>
            </w:pPr>
            <w:r w:rsidRPr="00567D78">
              <w:t xml:space="preserve">Iestāde, kas veic gaisa kvalitātes mērījumus varēs arī neievērot iepriekš noteiktās prasības, taču tādā gadījumā šos datus varēs uzskatīt tikai par aptuveniem un nebūtu pieļaujama to izmantošana kādu lēmumu pieņemšanai (piemēram, lēmumi par jaunu objektu būvniecību un to radīto ietekmi uz gaisa kvalitāti) vai arī politikas plānošanas dokumentu, teritorijas attīstības plānošanas dokumentu un pašvaldību saistošo noteikumu izstrādei. Publicējot šādus datus sabiedrībai būs jānorāda, ka iegūtie dati par gaisa kvalitāti ir aptuveni. </w:t>
            </w:r>
          </w:p>
          <w:p w14:paraId="699CB83F" w14:textId="77777777" w:rsidR="00B2079B" w:rsidRPr="00567D78" w:rsidRDefault="00B2079B" w:rsidP="00515428">
            <w:pPr>
              <w:spacing w:before="120" w:after="120"/>
              <w:jc w:val="both"/>
            </w:pPr>
            <w:r w:rsidRPr="00567D78">
              <w:t xml:space="preserve">Valsts un pašvaldību iestādēm, kas veic gaisa kvalitātes mērījumus un iegūtos datus publicē sabiedrībai vai arī izmanto gaisa kvalitātes uzlabošanas rīcības programmu izstrādei būs jāinformē LVĢMC par uzstādīto iekārtu atrašanās vietu. </w:t>
            </w:r>
          </w:p>
          <w:p w14:paraId="699CB840" w14:textId="77777777" w:rsidR="00F75854" w:rsidRPr="00567D78" w:rsidRDefault="00F75854" w:rsidP="00515428">
            <w:pPr>
              <w:spacing w:before="120" w:after="120"/>
              <w:jc w:val="both"/>
            </w:pPr>
            <w:r w:rsidRPr="00567D78">
              <w:t>Iesniegtā informācija palīdzēs LVĢMC izvērtēt, kuru staciju dati ir ticami un atbilst direktīvā 2008/50/EK noteiktajām prasībām, bet kur</w:t>
            </w:r>
            <w:r w:rsidR="005521AA" w:rsidRPr="00567D78">
              <w:t>ās monitoringa stacijās</w:t>
            </w:r>
            <w:r w:rsidRPr="00567D78">
              <w:t xml:space="preserve"> iegūtie dati var tikt uzskatīti tikai par aptuveniem, un šo informāciju </w:t>
            </w:r>
            <w:r w:rsidR="00501FB3" w:rsidRPr="00567D78">
              <w:t xml:space="preserve">sākot ar 2020.gadu un turpmāk reizi 5 gados </w:t>
            </w:r>
            <w:r w:rsidRPr="00567D78">
              <w:t>darīt pieejamu arī sabiedrība</w:t>
            </w:r>
            <w:r w:rsidR="00DA1F25">
              <w:t>i</w:t>
            </w:r>
            <w:r w:rsidR="00501FB3" w:rsidRPr="00567D78">
              <w:t>, publicējot savā mājas lapā internetā.</w:t>
            </w:r>
            <w:r w:rsidRPr="00567D78">
              <w:t xml:space="preserve"> </w:t>
            </w:r>
          </w:p>
          <w:p w14:paraId="699CB841" w14:textId="77777777" w:rsidR="008F6CB9" w:rsidRPr="00567D78" w:rsidRDefault="008F6CB9" w:rsidP="004C782A">
            <w:pPr>
              <w:spacing w:before="75" w:after="75"/>
              <w:jc w:val="both"/>
            </w:pPr>
            <w:r w:rsidRPr="00567D78">
              <w:t xml:space="preserve">Noteikumu projekts paredz, ka turpmāk LVĢMC savā </w:t>
            </w:r>
            <w:r w:rsidR="006E033D" w:rsidRPr="00567D78">
              <w:t>tīmekļa vietnē</w:t>
            </w:r>
            <w:r w:rsidRPr="00567D78">
              <w:t xml:space="preserve"> publicēs norādes par piemērojam</w:t>
            </w:r>
            <w:r w:rsidR="006E033D" w:rsidRPr="00567D78">
              <w:t>ām</w:t>
            </w:r>
            <w:r w:rsidRPr="00567D78">
              <w:t xml:space="preserve"> kvalitātes kontroles procedūrām</w:t>
            </w:r>
            <w:r w:rsidR="00783D17" w:rsidRPr="00567D78">
              <w:t>,</w:t>
            </w:r>
            <w:r w:rsidRPr="00567D78">
              <w:t xml:space="preserve"> </w:t>
            </w:r>
            <w:r w:rsidR="00501FB3" w:rsidRPr="00567D78">
              <w:t xml:space="preserve">kuras varēs izmantot arī pārējās iestādes, kas </w:t>
            </w:r>
            <w:r w:rsidR="00DA1F25">
              <w:t xml:space="preserve">veic </w:t>
            </w:r>
            <w:r w:rsidRPr="00567D78">
              <w:t>gaisa kvalitātes mērījumus</w:t>
            </w:r>
            <w:r w:rsidR="00501FB3" w:rsidRPr="00567D78">
              <w:t xml:space="preserve">, tādā veidā </w:t>
            </w:r>
            <w:r w:rsidR="00DA1F25">
              <w:t xml:space="preserve">īstenojot </w:t>
            </w:r>
            <w:r w:rsidR="00501FB3" w:rsidRPr="00567D78">
              <w:t>Eiropas Savienības mēroga kvalitātes nodrošināšanas programmu koordināciju Latvijā</w:t>
            </w:r>
            <w:r w:rsidRPr="00567D78">
              <w:t>.</w:t>
            </w:r>
          </w:p>
          <w:p w14:paraId="699CB842" w14:textId="77777777" w:rsidR="00563C94" w:rsidRPr="00567D78" w:rsidRDefault="007568CE" w:rsidP="004C782A">
            <w:pPr>
              <w:spacing w:before="75" w:after="75"/>
              <w:jc w:val="both"/>
            </w:pPr>
            <w:r w:rsidRPr="00567D78">
              <w:t xml:space="preserve">- </w:t>
            </w:r>
            <w:r w:rsidR="00AF1A8A" w:rsidRPr="00567D78">
              <w:t>noteikumu projekts precizē normas, kas saistītas ar izmantojamās mērījumu</w:t>
            </w:r>
            <w:r w:rsidRPr="00567D78">
              <w:t xml:space="preserve"> metodes līd</w:t>
            </w:r>
            <w:r w:rsidR="00F339BA" w:rsidRPr="00567D78">
              <w:t>zvērtīguma pierādīšanu</w:t>
            </w:r>
            <w:r w:rsidR="003F63FB" w:rsidRPr="00567D78">
              <w:t xml:space="preserve">. Noteikumu projekta </w:t>
            </w:r>
            <w:r w:rsidR="00FA3CE5" w:rsidRPr="00567D78">
              <w:t>14</w:t>
            </w:r>
            <w:r w:rsidR="008C69B5" w:rsidRPr="00567D78">
              <w:t>.</w:t>
            </w:r>
            <w:r w:rsidR="003F63FB" w:rsidRPr="00567D78">
              <w:t>punkt</w:t>
            </w:r>
            <w:r w:rsidR="008C69B5" w:rsidRPr="00567D78">
              <w:t>s paredz, ka daļiņu PM</w:t>
            </w:r>
            <w:r w:rsidR="008C69B5" w:rsidRPr="00567D78">
              <w:rPr>
                <w:vertAlign w:val="subscript"/>
              </w:rPr>
              <w:t>10</w:t>
            </w:r>
            <w:r w:rsidR="008C69B5" w:rsidRPr="00567D78">
              <w:t xml:space="preserve"> un PM</w:t>
            </w:r>
            <w:r w:rsidR="008C69B5" w:rsidRPr="00567D78">
              <w:rPr>
                <w:vertAlign w:val="subscript"/>
              </w:rPr>
              <w:t>2,5</w:t>
            </w:r>
            <w:r w:rsidR="008C69B5" w:rsidRPr="00567D78">
              <w:t xml:space="preserve"> gadījumā, ja tiek izmantota metode, kas nav noteikumos minētā bāzes (references) metode, tad līdzvērtīguma</w:t>
            </w:r>
            <w:r w:rsidR="003E1693" w:rsidRPr="00567D78">
              <w:t xml:space="preserve"> nodrošināšanai izmanto koeficientus un tos apstiprina vai groza ar atsauci uz EK izstrādātajām vadlīnijām (</w:t>
            </w:r>
            <w:r w:rsidR="00EA5832" w:rsidRPr="00567D78">
              <w:t xml:space="preserve">vadlīnijas </w:t>
            </w:r>
            <w:r w:rsidR="003E1693" w:rsidRPr="00567D78">
              <w:t xml:space="preserve">pieejamas: </w:t>
            </w:r>
            <w:hyperlink r:id="rId8" w:history="1">
              <w:r w:rsidR="003E1693" w:rsidRPr="00567D78">
                <w:rPr>
                  <w:rStyle w:val="Hyperlink"/>
                  <w:color w:val="auto"/>
                </w:rPr>
                <w:t>http://ec.europa.eu/environment/air/quality/legislation/pdf/equivalence.pdf</w:t>
              </w:r>
            </w:hyperlink>
            <w:r w:rsidR="003E1693" w:rsidRPr="00567D78">
              <w:t>).</w:t>
            </w:r>
            <w:r w:rsidR="008C69B5" w:rsidRPr="00567D78">
              <w:t xml:space="preserve"> </w:t>
            </w:r>
            <w:r w:rsidR="003E1693" w:rsidRPr="00567D78">
              <w:t xml:space="preserve"> Ja kādai institūcijai noteikumu projekta </w:t>
            </w:r>
            <w:r w:rsidR="00FA3CE5" w:rsidRPr="00567D78">
              <w:t>14</w:t>
            </w:r>
            <w:r w:rsidR="003E1693" w:rsidRPr="00567D78">
              <w:t xml:space="preserve">.punktā minēto prasību izpildei būs nepieciešamas minētās vadlīnijas, tad VARAM </w:t>
            </w:r>
            <w:r w:rsidR="005C2F4A" w:rsidRPr="00567D78">
              <w:t xml:space="preserve">(ar Valsts Valodas centra iesaisti) </w:t>
            </w:r>
            <w:r w:rsidR="00EA5832" w:rsidRPr="00567D78">
              <w:t xml:space="preserve">pēc pieprasījuma </w:t>
            </w:r>
            <w:r w:rsidR="003E1693" w:rsidRPr="00567D78">
              <w:t>nodrošinās šo vadlīniju tulkošanu latviešu valodā.</w:t>
            </w:r>
          </w:p>
          <w:p w14:paraId="699CB843" w14:textId="77777777" w:rsidR="00F146CE" w:rsidRPr="00567D78" w:rsidRDefault="00BD04DD" w:rsidP="004C782A">
            <w:pPr>
              <w:spacing w:before="75" w:after="75"/>
              <w:jc w:val="both"/>
            </w:pPr>
            <w:r w:rsidRPr="00567D78">
              <w:t xml:space="preserve">- ņemot vērā to, ka </w:t>
            </w:r>
            <w:r w:rsidR="00243A46" w:rsidRPr="00567D78">
              <w:t>piecu</w:t>
            </w:r>
            <w:r w:rsidRPr="00567D78">
              <w:t xml:space="preserve"> gadu</w:t>
            </w:r>
            <w:r w:rsidR="00F146CE" w:rsidRPr="00567D78">
              <w:t xml:space="preserve"> periodā</w:t>
            </w:r>
            <w:r w:rsidRPr="00567D78">
              <w:t xml:space="preserve"> Latvijā parasti nav </w:t>
            </w:r>
            <w:r w:rsidR="00027818" w:rsidRPr="00567D78">
              <w:t>novērojamas tādas</w:t>
            </w:r>
            <w:r w:rsidRPr="00567D78">
              <w:t xml:space="preserve"> izmaiņas</w:t>
            </w:r>
            <w:r w:rsidR="00F146CE" w:rsidRPr="00567D78">
              <w:t xml:space="preserve"> (piemēram, jaunu nozīmīgu rūpniecisku objektu būvniecība),</w:t>
            </w:r>
            <w:r w:rsidRPr="00567D78">
              <w:t xml:space="preserve"> lai būtu nepieciešams mainīt staciju novietojumu, precizēts, ka turpmāk LVĢMC pārskatīs valsts iedalījumu zonās reizi 5 gados</w:t>
            </w:r>
            <w:r w:rsidR="006E033D" w:rsidRPr="00567D78">
              <w:t>,</w:t>
            </w:r>
            <w:r w:rsidRPr="00567D78">
              <w:t xml:space="preserve"> nevis reizi 3 gados</w:t>
            </w:r>
            <w:r w:rsidR="006E033D" w:rsidRPr="00567D78">
              <w:t>,</w:t>
            </w:r>
            <w:r w:rsidRPr="00567D78">
              <w:t xml:space="preserve"> kā minēts </w:t>
            </w:r>
            <w:r w:rsidR="00027818" w:rsidRPr="00567D78">
              <w:t>iepriekš</w:t>
            </w:r>
            <w:r w:rsidRPr="00567D78">
              <w:t>.</w:t>
            </w:r>
            <w:r w:rsidR="008428EC" w:rsidRPr="00567D78">
              <w:t xml:space="preserve"> </w:t>
            </w:r>
            <w:r w:rsidR="00F146CE" w:rsidRPr="00567D78">
              <w:t>Jānorāda, ka līdz šim Latvija tiek iedalīta 2 gaisa kvalitātes pārvaldības zonās – Rīga un pārējā Latvija</w:t>
            </w:r>
            <w:r w:rsidR="006E033D" w:rsidRPr="00567D78">
              <w:t>,</w:t>
            </w:r>
            <w:r w:rsidR="00F146CE" w:rsidRPr="00567D78">
              <w:t xml:space="preserve"> un līdz šim šo iedalījumu nav bijis nepieciešams mainīt</w:t>
            </w:r>
            <w:r w:rsidR="007F0EB5" w:rsidRPr="00567D78">
              <w:t>;</w:t>
            </w:r>
          </w:p>
          <w:p w14:paraId="699CB844" w14:textId="77777777" w:rsidR="00BD04DD" w:rsidRPr="00567D78" w:rsidRDefault="00B56998" w:rsidP="004C782A">
            <w:pPr>
              <w:spacing w:before="75" w:after="75"/>
              <w:jc w:val="both"/>
            </w:pPr>
            <w:r w:rsidRPr="00567D78">
              <w:t xml:space="preserve">Līdzīgi arī detalizētos </w:t>
            </w:r>
            <w:r w:rsidR="008428EC" w:rsidRPr="00567D78">
              <w:t xml:space="preserve">pārskatus </w:t>
            </w:r>
            <w:r w:rsidRPr="00567D78">
              <w:t>plānots gatavot</w:t>
            </w:r>
            <w:r w:rsidR="008428EC" w:rsidRPr="00567D78">
              <w:t xml:space="preserve"> reizi 5 gados</w:t>
            </w:r>
            <w:r w:rsidR="006E033D" w:rsidRPr="00567D78">
              <w:t>,</w:t>
            </w:r>
            <w:r w:rsidR="008428EC" w:rsidRPr="00567D78">
              <w:t xml:space="preserve"> nevis ik pēc 3 gadiem</w:t>
            </w:r>
            <w:r w:rsidRPr="00567D78">
              <w:t xml:space="preserve">, </w:t>
            </w:r>
            <w:r w:rsidR="00F46263" w:rsidRPr="00567D78">
              <w:t>kas ļaus</w:t>
            </w:r>
            <w:r w:rsidRPr="00567D78">
              <w:t xml:space="preserve"> analizēt </w:t>
            </w:r>
            <w:r w:rsidR="00F46263" w:rsidRPr="00567D78">
              <w:t>gaisa kvalitātes tendences ilgākā laika posmā</w:t>
            </w:r>
            <w:r w:rsidR="008428EC" w:rsidRPr="00567D78">
              <w:t xml:space="preserve">. </w:t>
            </w:r>
            <w:r w:rsidR="00F146CE" w:rsidRPr="00567D78">
              <w:t xml:space="preserve">Tas palīdzēs samazināt arī izdevumus, kas iepriekš bija nepieciešami tik biežai pārskatu gatavošanai. </w:t>
            </w:r>
            <w:r w:rsidR="008428EC" w:rsidRPr="00567D78">
              <w:t>Vienlaikus</w:t>
            </w:r>
            <w:r w:rsidRPr="00567D78">
              <w:t xml:space="preserve"> plānots uzlab</w:t>
            </w:r>
            <w:r w:rsidR="008428EC" w:rsidRPr="00567D78">
              <w:t>ot ikgadējo gaisa kvalitātes pārskatu</w:t>
            </w:r>
            <w:r w:rsidRPr="00567D78">
              <w:t xml:space="preserve">, lai tajā būtu pieejama </w:t>
            </w:r>
            <w:r w:rsidR="006E033D" w:rsidRPr="00567D78">
              <w:t>vispusīga</w:t>
            </w:r>
            <w:r w:rsidRPr="00567D78">
              <w:t xml:space="preserve"> informācija visām iesaistītajām pusēm</w:t>
            </w:r>
            <w:r w:rsidR="008428EC" w:rsidRPr="00567D78">
              <w:t>.</w:t>
            </w:r>
          </w:p>
          <w:p w14:paraId="699CB845" w14:textId="77777777" w:rsidR="007568CE" w:rsidRPr="00567D78" w:rsidRDefault="007568CE" w:rsidP="004C782A">
            <w:pPr>
              <w:spacing w:before="75" w:after="75"/>
              <w:jc w:val="both"/>
            </w:pPr>
            <w:r w:rsidRPr="00567D78">
              <w:lastRenderedPageBreak/>
              <w:t xml:space="preserve">- noteikts, ka valsts monitoringa tīklā iekļautajām stacijām nedrīkst mainīt novietojumu vai tās slēgt bez saskaņojuma ar </w:t>
            </w:r>
            <w:r w:rsidR="00BF650C" w:rsidRPr="00567D78">
              <w:t>Vides aizsardzības un reģionālās attīstības ministriju</w:t>
            </w:r>
            <w:r w:rsidR="00C7604B" w:rsidRPr="00567D78">
              <w:t xml:space="preserve">. </w:t>
            </w:r>
            <w:r w:rsidR="002D412C" w:rsidRPr="00567D78">
              <w:t>Spēkā esošo noteikumu darbības</w:t>
            </w:r>
            <w:r w:rsidR="00C7604B" w:rsidRPr="00567D78">
              <w:t xml:space="preserve"> laikā ir bijušas situācijas, kad bez saskaņojuma ar </w:t>
            </w:r>
            <w:r w:rsidR="00BF650C" w:rsidRPr="00567D78">
              <w:t>Vides aizsardzības un reģionālās attīstības ministriju</w:t>
            </w:r>
            <w:r w:rsidR="00C7604B" w:rsidRPr="00567D78">
              <w:t xml:space="preserve"> atsevišķas gaisa monitoringa stacijas ir slēgtas</w:t>
            </w:r>
            <w:r w:rsidR="00BF650C" w:rsidRPr="00567D78">
              <w:t>,</w:t>
            </w:r>
            <w:r w:rsidR="00C7604B" w:rsidRPr="00567D78">
              <w:t xml:space="preserve"> līdz ar to radot problēmas ar ziņo</w:t>
            </w:r>
            <w:r w:rsidR="007072D6" w:rsidRPr="00567D78">
              <w:t xml:space="preserve">jumu un datu </w:t>
            </w:r>
            <w:r w:rsidR="00AC6C55" w:rsidRPr="00567D78">
              <w:t>iesniegšanu</w:t>
            </w:r>
            <w:r w:rsidR="00C7604B" w:rsidRPr="00567D78">
              <w:t xml:space="preserve"> E</w:t>
            </w:r>
            <w:r w:rsidR="00BF650C" w:rsidRPr="00567D78">
              <w:t>K</w:t>
            </w:r>
            <w:r w:rsidRPr="00567D78">
              <w:t>;</w:t>
            </w:r>
          </w:p>
          <w:p w14:paraId="699CB846" w14:textId="77777777" w:rsidR="00FF03FB" w:rsidRPr="00567D78" w:rsidRDefault="00FF03FB" w:rsidP="004C782A">
            <w:pPr>
              <w:spacing w:before="75" w:after="75"/>
              <w:jc w:val="both"/>
            </w:pPr>
            <w:r w:rsidRPr="00567D78">
              <w:t xml:space="preserve">- noteikts, ka atskaites </w:t>
            </w:r>
            <w:r w:rsidR="00467C2A" w:rsidRPr="00567D78">
              <w:t xml:space="preserve">par rīcības programmas izpildi iepriekšējā gadā </w:t>
            </w:r>
            <w:r w:rsidRPr="00567D78">
              <w:t>pašvald</w:t>
            </w:r>
            <w:r w:rsidR="00467C2A" w:rsidRPr="00567D78">
              <w:t xml:space="preserve">ība iesniedz </w:t>
            </w:r>
            <w:r w:rsidR="00BF650C" w:rsidRPr="00567D78">
              <w:t>Vides aizsardzības un reģionālās attīstības ministrijā,</w:t>
            </w:r>
            <w:r w:rsidR="00467C2A" w:rsidRPr="00567D78">
              <w:t xml:space="preserve"> nevis </w:t>
            </w:r>
            <w:r w:rsidR="00BF650C" w:rsidRPr="00567D78">
              <w:t xml:space="preserve">Valsts vides dienesta </w:t>
            </w:r>
            <w:r w:rsidR="00467C2A" w:rsidRPr="00567D78">
              <w:t>reģionālajā vides pārvaldē</w:t>
            </w:r>
            <w:r w:rsidR="00BF650C" w:rsidRPr="00567D78">
              <w:t>,</w:t>
            </w:r>
            <w:r w:rsidR="00467C2A" w:rsidRPr="00567D78">
              <w:t xml:space="preserve"> kā tas bija līdz šim</w:t>
            </w:r>
            <w:r w:rsidR="00793E78" w:rsidRPr="00567D78">
              <w:t>.</w:t>
            </w:r>
            <w:r w:rsidR="00467C2A" w:rsidRPr="00567D78">
              <w:t xml:space="preserve"> </w:t>
            </w:r>
            <w:r w:rsidR="00BF650C" w:rsidRPr="00567D78">
              <w:t>Vides aizsardzības un reģionālās attīstības ministrija</w:t>
            </w:r>
            <w:r w:rsidR="00467C2A" w:rsidRPr="00567D78">
              <w:t xml:space="preserve"> attiecīgi nodot šo informāciju tālāk gan Valsts vides dienestam, gan arī LVĢMC, kā arī izvērtē rīcības programmas izpildi</w:t>
            </w:r>
            <w:r w:rsidR="00BF650C" w:rsidRPr="00567D78">
              <w:t>,</w:t>
            </w:r>
            <w:r w:rsidR="00467C2A" w:rsidRPr="00567D78">
              <w:t xml:space="preserve"> un nepieciešamības gadījumā sasauc kopā iesaistītās institūcijas</w:t>
            </w:r>
            <w:r w:rsidR="007F0EB5" w:rsidRPr="00567D78">
              <w:t>;</w:t>
            </w:r>
          </w:p>
          <w:p w14:paraId="699CB847" w14:textId="77777777" w:rsidR="001D0097" w:rsidRPr="00567D78" w:rsidRDefault="00467C2A" w:rsidP="004C782A">
            <w:pPr>
              <w:spacing w:before="75" w:after="75"/>
              <w:jc w:val="both"/>
            </w:pPr>
            <w:r w:rsidRPr="00567D78">
              <w:t xml:space="preserve">- veikti citi redakcionāli precizējumi gan </w:t>
            </w:r>
            <w:r w:rsidR="00BF650C" w:rsidRPr="00567D78">
              <w:t>Ministru kabineta 2009. gada 3. novembra noteikumos Nr. 1290 „Noteikumi par gaisa kvalitāti”</w:t>
            </w:r>
            <w:r w:rsidRPr="00567D78">
              <w:t xml:space="preserve">, gan arī </w:t>
            </w:r>
            <w:r w:rsidR="008B560F" w:rsidRPr="00567D78">
              <w:t xml:space="preserve">noteikumu </w:t>
            </w:r>
            <w:r w:rsidRPr="00567D78">
              <w:t xml:space="preserve">pielikumos, lai precīzāk pārņemtu </w:t>
            </w:r>
            <w:r w:rsidR="00BF650C" w:rsidRPr="00567D78">
              <w:t>d</w:t>
            </w:r>
            <w:r w:rsidRPr="00567D78">
              <w:t>irektīvas 2008/50/EK prasības</w:t>
            </w:r>
            <w:r w:rsidR="001D3D81" w:rsidRPr="00567D78">
              <w:t xml:space="preserve"> un izpildītu atbildes vēstulē uz E</w:t>
            </w:r>
            <w:r w:rsidR="00D50F94" w:rsidRPr="00567D78">
              <w:t>K</w:t>
            </w:r>
            <w:r w:rsidR="001D3D81" w:rsidRPr="00567D78">
              <w:t xml:space="preserve"> 2015.</w:t>
            </w:r>
            <w:r w:rsidR="00BF650C" w:rsidRPr="00567D78">
              <w:t> </w:t>
            </w:r>
            <w:r w:rsidR="001D3D81" w:rsidRPr="00567D78">
              <w:t>gada 1.</w:t>
            </w:r>
            <w:r w:rsidR="00BF650C" w:rsidRPr="00567D78">
              <w:t> </w:t>
            </w:r>
            <w:r w:rsidR="001D3D81" w:rsidRPr="00567D78">
              <w:t>jūlija pieprasījumu EU Pilot lietā Nr.</w:t>
            </w:r>
            <w:r w:rsidR="00BF650C" w:rsidRPr="00567D78">
              <w:t> </w:t>
            </w:r>
            <w:r w:rsidR="001D3D81" w:rsidRPr="00567D78">
              <w:t>6211/14/ENVI solīto</w:t>
            </w:r>
            <w:r w:rsidR="008B560F" w:rsidRPr="00567D78">
              <w:t>.</w:t>
            </w:r>
            <w:r w:rsidR="008246BF" w:rsidRPr="00567D78">
              <w:t xml:space="preserve"> Papildus precizēti iestāžu nosaukumi, piemēram, aizstāts lietotais nosaukums "Valsts vides dienesta reģionālā vides pārvalde" ar nosaukumu "Valsts vides dienests", kas ir pareizais šīs iestādes nosaukums.</w:t>
            </w:r>
            <w:r w:rsidR="00AA30B5" w:rsidRPr="00567D78">
              <w:t xml:space="preserve"> </w:t>
            </w:r>
          </w:p>
          <w:p w14:paraId="699CB848" w14:textId="77777777" w:rsidR="00467C2A" w:rsidRPr="00567D78" w:rsidRDefault="001D0097" w:rsidP="004C782A">
            <w:pPr>
              <w:spacing w:before="75" w:after="75"/>
              <w:jc w:val="both"/>
              <w:rPr>
                <w:color w:val="FF0000"/>
              </w:rPr>
            </w:pPr>
            <w:r w:rsidRPr="00567D78">
              <w:t>- p</w:t>
            </w:r>
            <w:r w:rsidR="00AA30B5" w:rsidRPr="00567D78">
              <w:t xml:space="preserve">apildināts arī </w:t>
            </w:r>
            <w:r w:rsidRPr="00567D78">
              <w:t xml:space="preserve">Ministru kabineta 2009. gada 3. novembra noteikumu Nr. 1290 „Noteikumi par gaisa kvalitāti” </w:t>
            </w:r>
            <w:r w:rsidR="00AA30B5" w:rsidRPr="00567D78">
              <w:t>deleģējums</w:t>
            </w:r>
            <w:r w:rsidR="00ED51EF" w:rsidRPr="00567D78">
              <w:t xml:space="preserve"> ar </w:t>
            </w:r>
            <w:r w:rsidRPr="00567D78">
              <w:t>Vides aizsardzības likuma 17.panta otr</w:t>
            </w:r>
            <w:r w:rsidR="00ED51EF" w:rsidRPr="00567D78">
              <w:t>o</w:t>
            </w:r>
            <w:r w:rsidRPr="00567D78">
              <w:t xml:space="preserve"> daļ</w:t>
            </w:r>
            <w:r w:rsidR="00ED51EF" w:rsidRPr="00567D78">
              <w:t>u, kas</w:t>
            </w:r>
            <w:r w:rsidRPr="00567D78">
              <w:t xml:space="preserve"> pilnvaro Ministru kabinetu noteikt </w:t>
            </w:r>
            <w:r w:rsidR="00527B42">
              <w:t>prasība</w:t>
            </w:r>
            <w:r w:rsidRPr="00567D78">
              <w:t>s, kas attiecas uz monitoringa veikšanas kārtību.</w:t>
            </w:r>
          </w:p>
          <w:p w14:paraId="699CB849" w14:textId="77777777" w:rsidR="005E6639" w:rsidRPr="000E0755" w:rsidRDefault="005E6639" w:rsidP="005E6639">
            <w:pPr>
              <w:spacing w:before="75" w:after="75"/>
              <w:jc w:val="both"/>
            </w:pPr>
          </w:p>
          <w:p w14:paraId="699CB84A" w14:textId="77777777" w:rsidR="005E6639" w:rsidRPr="000E0755" w:rsidRDefault="005E6639" w:rsidP="005E6639">
            <w:pPr>
              <w:spacing w:before="75" w:after="75"/>
              <w:jc w:val="both"/>
            </w:pPr>
            <w:r w:rsidRPr="000E0755">
              <w:t>2</w:t>
            </w:r>
            <w:r w:rsidR="00BF650C" w:rsidRPr="000E0755">
              <w:t>. </w:t>
            </w:r>
            <w:r w:rsidRPr="000E0755">
              <w:t xml:space="preserve"> Noteikumu projektā noteiktas šādas </w:t>
            </w:r>
            <w:r w:rsidR="00513CB9" w:rsidRPr="000E0755">
              <w:t>galvenās</w:t>
            </w:r>
            <w:r w:rsidRPr="000E0755">
              <w:t xml:space="preserve"> prasības, kas izriet no </w:t>
            </w:r>
            <w:r w:rsidRPr="000E0755">
              <w:rPr>
                <w:u w:val="single"/>
              </w:rPr>
              <w:t>direktīvas 2015/1480</w:t>
            </w:r>
            <w:r w:rsidRPr="000E0755">
              <w:t>:</w:t>
            </w:r>
          </w:p>
          <w:p w14:paraId="699CB84B" w14:textId="77777777" w:rsidR="00FB6091" w:rsidRPr="00FB6091" w:rsidRDefault="005E6639" w:rsidP="00FB6091">
            <w:pPr>
              <w:jc w:val="both"/>
            </w:pPr>
            <w:r w:rsidRPr="000E0755">
              <w:t xml:space="preserve">- </w:t>
            </w:r>
            <w:r w:rsidR="00BF650C" w:rsidRPr="000E0755">
              <w:t>a</w:t>
            </w:r>
            <w:r w:rsidRPr="000E0755">
              <w:t xml:space="preserve">ktualizētas </w:t>
            </w:r>
            <w:r w:rsidRPr="006C578B">
              <w:t>gaisa piesārņojuma mērījumu metodes</w:t>
            </w:r>
            <w:r w:rsidR="006F3393" w:rsidRPr="006C578B">
              <w:t xml:space="preserve"> jeb standarti</w:t>
            </w:r>
            <w:r w:rsidRPr="006C578B">
              <w:t>.</w:t>
            </w:r>
            <w:r w:rsidR="00FB6091">
              <w:t xml:space="preserve"> </w:t>
            </w:r>
            <w:r w:rsidR="00FB6091">
              <w:rPr>
                <w:sz w:val="22"/>
                <w:szCs w:val="22"/>
              </w:rPr>
              <w:t xml:space="preserve">Veikts </w:t>
            </w:r>
            <w:r w:rsidR="00FB6091" w:rsidRPr="00FB6091">
              <w:t>izvērtējums par iespēju piemērot tiešo atsauču uz standartiem vietā - netiešās atsauces, un secināts, ka šajā gadījumā, ja netiek lietotas tiešās atsauces, tad netiks korekti pārņemtas direktīvas prasības.</w:t>
            </w:r>
            <w:r w:rsidRPr="00FB6091">
              <w:t xml:space="preserve"> </w:t>
            </w:r>
          </w:p>
          <w:p w14:paraId="699CB84C" w14:textId="77777777" w:rsidR="005E6639" w:rsidRPr="00FB6091" w:rsidRDefault="005E6639" w:rsidP="00FB6091">
            <w:pPr>
              <w:jc w:val="both"/>
            </w:pPr>
            <w:r w:rsidRPr="00FB6091">
              <w:t xml:space="preserve">Noteikts, ka </w:t>
            </w:r>
            <w:r w:rsidR="00846169" w:rsidRPr="00FB6091">
              <w:t>centram kā nacionālajai references laboratorijai</w:t>
            </w:r>
            <w:r w:rsidR="004A6367" w:rsidRPr="00FB6091">
              <w:t xml:space="preserve"> </w:t>
            </w:r>
            <w:r w:rsidRPr="00FB6091">
              <w:t xml:space="preserve">ir pienākums akreditēties atbilstoši jaunākajām standartmetodēm </w:t>
            </w:r>
            <w:r w:rsidR="00BF650C" w:rsidRPr="00FB6091">
              <w:t xml:space="preserve">attiecībā uz </w:t>
            </w:r>
            <w:r w:rsidRPr="00FB6091">
              <w:t>tām vielām, kuru koncentrācija pārsniedz apakšējo pie</w:t>
            </w:r>
            <w:r w:rsidR="00345E1F" w:rsidRPr="00FB6091">
              <w:t>sārņojuma novērtēšanas slieksni</w:t>
            </w:r>
            <w:r w:rsidR="00846169" w:rsidRPr="00FB6091">
              <w:t>. Šo prasību iespējams izpildīt sākot no 2018.gada, kad tās veikš</w:t>
            </w:r>
            <w:r w:rsidR="006C578B" w:rsidRPr="00FB6091">
              <w:t>anai tiks piešķirts finansējums;</w:t>
            </w:r>
          </w:p>
          <w:p w14:paraId="699CB84D" w14:textId="77777777" w:rsidR="005E6639" w:rsidRPr="000E0755" w:rsidRDefault="005E6639" w:rsidP="00FB6091">
            <w:pPr>
              <w:jc w:val="both"/>
            </w:pPr>
            <w:r w:rsidRPr="00FB6091">
              <w:t xml:space="preserve">- </w:t>
            </w:r>
            <w:r w:rsidR="00BF650C" w:rsidRPr="00FB6091">
              <w:t>s</w:t>
            </w:r>
            <w:r w:rsidRPr="00FB6091">
              <w:t>ākot ar 2019.</w:t>
            </w:r>
            <w:r w:rsidR="00BF650C" w:rsidRPr="00FB6091">
              <w:t> </w:t>
            </w:r>
            <w:r w:rsidRPr="00FB6091">
              <w:t>gadu un</w:t>
            </w:r>
            <w:r w:rsidRPr="000E0755">
              <w:t xml:space="preserve"> reizi 5 gados LVĢMC būs jāizvērtē valsts monitoringa tīklā iekļautajām stacijām izveidotā kvalitātes nodrošināšanas un kontroles sistēma un jāsniedz informācija par veiktā izvērtējuma rezultātiem Vides aizsardzības un re</w:t>
            </w:r>
            <w:r w:rsidR="00345E1F" w:rsidRPr="000E0755">
              <w:t>ģionālās attīstības ministrijai</w:t>
            </w:r>
            <w:r w:rsidRPr="000E0755">
              <w:t xml:space="preserve">; </w:t>
            </w:r>
          </w:p>
          <w:p w14:paraId="699CB84E" w14:textId="77777777" w:rsidR="005E6639" w:rsidRPr="000E0755" w:rsidRDefault="005E6639" w:rsidP="005E6639">
            <w:pPr>
              <w:spacing w:before="75" w:after="75"/>
              <w:jc w:val="both"/>
            </w:pPr>
            <w:r w:rsidRPr="000E0755">
              <w:t>- lai nodrošinātu precīzākus mērījumu rezultātus</w:t>
            </w:r>
            <w:r w:rsidR="00BF650C" w:rsidRPr="000E0755">
              <w:t>,</w:t>
            </w:r>
            <w:r w:rsidRPr="000E0755">
              <w:t xml:space="preserve"> noteikumu projekts nosaka pienākumu nacionālajai references laboratorijai vismaz reizi 3 gados piedalīties E</w:t>
            </w:r>
            <w:r w:rsidR="00D50F94" w:rsidRPr="000E0755">
              <w:t xml:space="preserve">iropas </w:t>
            </w:r>
            <w:r w:rsidRPr="000E0755">
              <w:t>S</w:t>
            </w:r>
            <w:r w:rsidR="00D50F94" w:rsidRPr="000E0755">
              <w:t>avienības</w:t>
            </w:r>
            <w:r w:rsidRPr="000E0755">
              <w:t xml:space="preserve"> līmeņa savstarpējā iekārtu salīdzināšanā un nepieciešamības gadījumā novērst konstatētās neatbilstības</w:t>
            </w:r>
            <w:r w:rsidR="00BF650C" w:rsidRPr="000E0755">
              <w:t>;</w:t>
            </w:r>
          </w:p>
          <w:p w14:paraId="699CB84F" w14:textId="77777777" w:rsidR="00BB3457" w:rsidRPr="000E0755" w:rsidRDefault="00BB3457" w:rsidP="005E6639">
            <w:pPr>
              <w:spacing w:before="75" w:after="75"/>
              <w:jc w:val="both"/>
            </w:pPr>
            <w:r w:rsidRPr="000E0755">
              <w:lastRenderedPageBreak/>
              <w:t xml:space="preserve">- </w:t>
            </w:r>
            <w:r w:rsidR="007F0EB5" w:rsidRPr="000E0755">
              <w:t>n</w:t>
            </w:r>
            <w:r w:rsidR="00557F60" w:rsidRPr="000E0755">
              <w:t>oteikumu projekts paredz, ka sākot ar 2020.</w:t>
            </w:r>
            <w:r w:rsidR="00BF650C" w:rsidRPr="000E0755">
              <w:t> </w:t>
            </w:r>
            <w:r w:rsidR="00557F60" w:rsidRPr="000E0755">
              <w:t xml:space="preserve">gadu un turpmāk reizi 5 gados LVĢMC būs jāveic esošā </w:t>
            </w:r>
            <w:r w:rsidRPr="000E0755">
              <w:t>monitoringa tīkla pārskatīšana</w:t>
            </w:r>
            <w:r w:rsidR="003A4595" w:rsidRPr="000E0755">
              <w:t xml:space="preserve">. Šāda prasība </w:t>
            </w:r>
            <w:r w:rsidR="00887048" w:rsidRPr="000E0755">
              <w:t>ir</w:t>
            </w:r>
            <w:r w:rsidR="003A4595" w:rsidRPr="000E0755">
              <w:t xml:space="preserve"> noteikta arī </w:t>
            </w:r>
            <w:r w:rsidR="00887048" w:rsidRPr="000E0755">
              <w:t>šobrīd spēkā esošajos</w:t>
            </w:r>
            <w:r w:rsidR="003A4595" w:rsidRPr="000E0755">
              <w:t xml:space="preserve">, taču netika noteikts, ka šādu izvērtējumu jāiesniedz EK, līdz ar to </w:t>
            </w:r>
            <w:r w:rsidR="0067599C" w:rsidRPr="000E0755">
              <w:t>finansējuma trūkuma dēļ</w:t>
            </w:r>
            <w:r w:rsidR="003A4595" w:rsidRPr="000E0755">
              <w:t xml:space="preserve"> šāds izvērtējums netika veikt</w:t>
            </w:r>
            <w:r w:rsidR="0067599C" w:rsidRPr="000E0755">
              <w:t>s</w:t>
            </w:r>
            <w:r w:rsidR="003A4595" w:rsidRPr="000E0755">
              <w:t xml:space="preserve"> pilnvērtīgi kā to paredz direktīva.</w:t>
            </w:r>
          </w:p>
          <w:p w14:paraId="699CB850" w14:textId="77777777" w:rsidR="001D3D81" w:rsidRPr="000E0755" w:rsidRDefault="001D3D81" w:rsidP="005E6639">
            <w:pPr>
              <w:spacing w:before="75" w:after="75"/>
              <w:jc w:val="both"/>
            </w:pPr>
          </w:p>
          <w:p w14:paraId="699CB851" w14:textId="77777777" w:rsidR="001D3D81" w:rsidRPr="000E0755" w:rsidRDefault="001D3D81" w:rsidP="005E6639">
            <w:pPr>
              <w:spacing w:before="75" w:after="75"/>
              <w:jc w:val="both"/>
            </w:pPr>
            <w:r w:rsidRPr="000E0755">
              <w:t>3</w:t>
            </w:r>
            <w:r w:rsidR="007817C8" w:rsidRPr="000E0755">
              <w:t>. </w:t>
            </w:r>
            <w:r w:rsidR="00E84C48" w:rsidRPr="000E0755">
              <w:t>Noteikumu projekts pārņem</w:t>
            </w:r>
            <w:r w:rsidR="00852FAA" w:rsidRPr="000E0755">
              <w:t xml:space="preserve"> šādu</w:t>
            </w:r>
            <w:r w:rsidR="00E84C48" w:rsidRPr="000E0755">
              <w:t xml:space="preserve"> </w:t>
            </w:r>
            <w:r w:rsidR="007817C8" w:rsidRPr="000E0755">
              <w:rPr>
                <w:u w:val="single"/>
              </w:rPr>
              <w:t>d</w:t>
            </w:r>
            <w:r w:rsidR="00E84C48" w:rsidRPr="000E0755">
              <w:rPr>
                <w:u w:val="single"/>
              </w:rPr>
              <w:t xml:space="preserve">irektīvas </w:t>
            </w:r>
            <w:r w:rsidR="00852FAA" w:rsidRPr="000E0755">
              <w:rPr>
                <w:u w:val="single"/>
              </w:rPr>
              <w:t>2015/2193</w:t>
            </w:r>
            <w:r w:rsidR="00E84C48" w:rsidRPr="000E0755">
              <w:t xml:space="preserve"> prasīb</w:t>
            </w:r>
            <w:r w:rsidR="00852FAA" w:rsidRPr="000E0755">
              <w:t>u</w:t>
            </w:r>
            <w:r w:rsidR="00E84C48" w:rsidRPr="000E0755">
              <w:t>:</w:t>
            </w:r>
          </w:p>
          <w:p w14:paraId="699CB852" w14:textId="77777777" w:rsidR="0041651F" w:rsidRPr="00567D78" w:rsidRDefault="00D50F94" w:rsidP="005E6639">
            <w:pPr>
              <w:spacing w:before="75" w:after="75"/>
              <w:jc w:val="both"/>
            </w:pPr>
            <w:r w:rsidRPr="000E0755">
              <w:t>d</w:t>
            </w:r>
            <w:r w:rsidR="00852FAA" w:rsidRPr="000E0755">
              <w:t>irektīvas</w:t>
            </w:r>
            <w:r w:rsidR="0041651F" w:rsidRPr="000E0755">
              <w:t xml:space="preserve"> </w:t>
            </w:r>
            <w:r w:rsidRPr="000E0755">
              <w:t xml:space="preserve">2015/2193 </w:t>
            </w:r>
            <w:r w:rsidR="0041651F" w:rsidRPr="000E0755">
              <w:t>6.</w:t>
            </w:r>
            <w:r w:rsidRPr="000E0755">
              <w:t> </w:t>
            </w:r>
            <w:r w:rsidR="0041651F" w:rsidRPr="000E0755">
              <w:t>panta 9.</w:t>
            </w:r>
            <w:r w:rsidRPr="000E0755">
              <w:t> </w:t>
            </w:r>
            <w:r w:rsidR="0041651F" w:rsidRPr="000E0755">
              <w:t>punkts no</w:t>
            </w:r>
            <w:r w:rsidRPr="000E0755">
              <w:t>teic prasību</w:t>
            </w:r>
            <w:r w:rsidR="0041651F" w:rsidRPr="000E0755">
              <w:t>, ka</w:t>
            </w:r>
            <w:r w:rsidRPr="000E0755">
              <w:t>,</w:t>
            </w:r>
            <w:r w:rsidR="0041651F" w:rsidRPr="000E0755">
              <w:t xml:space="preserve"> veicot gaisa kvalitātes uzlabošanas rīcību programmu izstrādi</w:t>
            </w:r>
            <w:r w:rsidRPr="000E0755">
              <w:t>,</w:t>
            </w:r>
            <w:r w:rsidR="0041651F" w:rsidRPr="000E0755">
              <w:t xml:space="preserve"> ir jāizvērtē arī vidējas un mazas jaudas sadedzināšanas iekārtu radītā ietekme uz gaisa kvalitāti.</w:t>
            </w:r>
            <w:r w:rsidR="00852FAA" w:rsidRPr="000E0755">
              <w:t xml:space="preserve"> </w:t>
            </w:r>
            <w:r w:rsidR="0041651F" w:rsidRPr="000E0755">
              <w:t xml:space="preserve">Tādēļ noteikumu projekta </w:t>
            </w:r>
            <w:r w:rsidR="00FA3CE5" w:rsidRPr="000E0755">
              <w:t>2</w:t>
            </w:r>
            <w:r w:rsidR="001F0D72">
              <w:t>5</w:t>
            </w:r>
            <w:r w:rsidR="0041651F" w:rsidRPr="000E0755">
              <w:t>.</w:t>
            </w:r>
            <w:r w:rsidRPr="000E0755">
              <w:t> </w:t>
            </w:r>
            <w:r w:rsidR="0041651F" w:rsidRPr="000E0755">
              <w:t>punkts paredz, ka</w:t>
            </w:r>
            <w:r w:rsidRPr="000E0755">
              <w:t>,</w:t>
            </w:r>
            <w:r w:rsidR="0041651F" w:rsidRPr="000E0755">
              <w:t xml:space="preserve"> veicot gaisa kvalitātes uzlabošanas rīcības programmu izstrādi, jāveic arī novērtējums par sadedzināšanas iekārtu radīto ietekmi uz gaisa kvalitāti</w:t>
            </w:r>
            <w:r w:rsidRPr="000E0755">
              <w:t>,</w:t>
            </w:r>
            <w:r w:rsidR="0041651F" w:rsidRPr="000E0755">
              <w:t xml:space="preserve"> un ja rezultātā tiks secināts, ka būtu nepieciešams konkrētā pašvaldībā esošajām sadedzināša</w:t>
            </w:r>
            <w:r w:rsidR="0041651F" w:rsidRPr="00567D78">
              <w:t xml:space="preserve">nas iekārtām noteikt stingrākas prasības, tad pašvaldība atbilstoši likuma </w:t>
            </w:r>
            <w:r w:rsidRPr="00567D78">
              <w:t>„</w:t>
            </w:r>
            <w:r w:rsidR="0041651F" w:rsidRPr="00567D78">
              <w:t>Par piesārņojumu</w:t>
            </w:r>
            <w:r w:rsidRPr="00567D78">
              <w:t>”</w:t>
            </w:r>
            <w:r w:rsidR="0041651F" w:rsidRPr="00567D78">
              <w:t xml:space="preserve"> 14.</w:t>
            </w:r>
            <w:r w:rsidRPr="00567D78">
              <w:t> </w:t>
            </w:r>
            <w:r w:rsidR="0041651F" w:rsidRPr="00567D78">
              <w:t>panta 2.</w:t>
            </w:r>
            <w:r w:rsidRPr="00567D78">
              <w:t> </w:t>
            </w:r>
            <w:r w:rsidR="0041651F" w:rsidRPr="00567D78">
              <w:t>punktā noteiktajam varēs iekļaut stingrākas prasības pašvaldības saistošajos noteikumos.</w:t>
            </w:r>
          </w:p>
          <w:p w14:paraId="699CB853" w14:textId="77777777" w:rsidR="003E1693" w:rsidRPr="00567D78" w:rsidRDefault="003E1693" w:rsidP="005E6639">
            <w:pPr>
              <w:spacing w:before="75" w:after="75"/>
              <w:jc w:val="both"/>
            </w:pPr>
            <w:r w:rsidRPr="00567D78">
              <w:t>Nosakot stingrākas prasības</w:t>
            </w:r>
            <w:r w:rsidR="007A5F76" w:rsidRPr="00567D78">
              <w:t>,</w:t>
            </w:r>
            <w:r w:rsidRPr="00567D78">
              <w:t xml:space="preserve"> pašvaldībai būs jāņem vērā </w:t>
            </w:r>
            <w:r w:rsidR="00E65DBC">
              <w:t>EK</w:t>
            </w:r>
            <w:r w:rsidRPr="00567D78">
              <w:t xml:space="preserve"> sagatavotā informācija</w:t>
            </w:r>
            <w:r w:rsidR="007A5F76" w:rsidRPr="00567D78">
              <w:t xml:space="preserve"> par emisiju līmeņiem, ko var sasniegt ar labākajām pieejamajām tehnoloģijām</w:t>
            </w:r>
            <w:r w:rsidRPr="00567D78">
              <w:t xml:space="preserve">. Tā kā uz noteikumu projekta izstrādes brīdi šādu informāciju EK vēl nav sagatavojusi, tad gadījumā, ja šāda informācija tiks sagatavota vadlīniju formā, tad VARAM </w:t>
            </w:r>
            <w:r w:rsidR="005C2F4A" w:rsidRPr="00567D78">
              <w:t xml:space="preserve">(ar Valsts Valodas centra iesaisti) </w:t>
            </w:r>
            <w:r w:rsidR="007A5F76" w:rsidRPr="00567D78">
              <w:t xml:space="preserve">atbilstoši pieprasījumam </w:t>
            </w:r>
            <w:r w:rsidRPr="00567D78">
              <w:t xml:space="preserve">veiks </w:t>
            </w:r>
            <w:r w:rsidR="007A5F76" w:rsidRPr="00567D78">
              <w:t>šo vadlīniju</w:t>
            </w:r>
            <w:r w:rsidRPr="00567D78">
              <w:t xml:space="preserve"> tulkošanu</w:t>
            </w:r>
            <w:r w:rsidR="007A5F76" w:rsidRPr="00567D78">
              <w:t xml:space="preserve"> latviešu valodā</w:t>
            </w:r>
            <w:r w:rsidRPr="00567D78">
              <w:t>.</w:t>
            </w:r>
          </w:p>
          <w:p w14:paraId="699CB854" w14:textId="77777777" w:rsidR="00E84C48" w:rsidRPr="000E0755" w:rsidRDefault="00D50F94" w:rsidP="005E6639">
            <w:pPr>
              <w:spacing w:before="75" w:after="75"/>
              <w:jc w:val="both"/>
            </w:pPr>
            <w:r w:rsidRPr="00567D78">
              <w:t>Papildus jānorāda, ka p</w:t>
            </w:r>
            <w:r w:rsidR="00852FAA" w:rsidRPr="00567D78">
              <w:t xml:space="preserve">ārējās direktīvas </w:t>
            </w:r>
            <w:r w:rsidRPr="00567D78">
              <w:t>2015</w:t>
            </w:r>
            <w:r w:rsidRPr="000E0755">
              <w:t xml:space="preserve">/2193 </w:t>
            </w:r>
            <w:r w:rsidR="00852FAA" w:rsidRPr="000E0755">
              <w:t>prasības plānots pārņemt 2017.</w:t>
            </w:r>
            <w:r w:rsidRPr="000E0755">
              <w:t> </w:t>
            </w:r>
            <w:r w:rsidR="00852FAA" w:rsidRPr="000E0755">
              <w:t>gada laikā</w:t>
            </w:r>
            <w:r w:rsidRPr="000E0755">
              <w:t>,</w:t>
            </w:r>
            <w:r w:rsidR="00852FAA" w:rsidRPr="000E0755">
              <w:t xml:space="preserve"> vei</w:t>
            </w:r>
            <w:r w:rsidR="00170230" w:rsidRPr="000E0755">
              <w:t>cot grozījumus normatīvajos aktos, kas no</w:t>
            </w:r>
            <w:r w:rsidRPr="000E0755">
              <w:t>teic</w:t>
            </w:r>
            <w:r w:rsidR="00170230" w:rsidRPr="000E0755">
              <w:t xml:space="preserve"> prasības sadedzināšanas iek</w:t>
            </w:r>
            <w:r w:rsidR="0041651F" w:rsidRPr="000E0755">
              <w:t>ār</w:t>
            </w:r>
            <w:r w:rsidR="00170230" w:rsidRPr="000E0755">
              <w:t>tām.</w:t>
            </w:r>
          </w:p>
          <w:p w14:paraId="699CB855" w14:textId="77777777" w:rsidR="00B51501" w:rsidRPr="00B007B5" w:rsidRDefault="00B51501" w:rsidP="002A3228">
            <w:pPr>
              <w:jc w:val="both"/>
              <w:rPr>
                <w:strike/>
              </w:rPr>
            </w:pPr>
          </w:p>
        </w:tc>
      </w:tr>
      <w:tr w:rsidR="00E62865" w:rsidRPr="000E0755" w14:paraId="699CB85A" w14:textId="77777777" w:rsidTr="00241D1B">
        <w:tc>
          <w:tcPr>
            <w:tcW w:w="232" w:type="pct"/>
          </w:tcPr>
          <w:p w14:paraId="699CB857" w14:textId="77777777" w:rsidR="00E62865" w:rsidRPr="000E0755" w:rsidRDefault="00E62865" w:rsidP="0098329C">
            <w:pPr>
              <w:jc w:val="center"/>
            </w:pPr>
            <w:r w:rsidRPr="000E0755">
              <w:lastRenderedPageBreak/>
              <w:t>3.</w:t>
            </w:r>
          </w:p>
        </w:tc>
        <w:tc>
          <w:tcPr>
            <w:tcW w:w="939" w:type="pct"/>
          </w:tcPr>
          <w:p w14:paraId="699CB858" w14:textId="77777777" w:rsidR="00E62865" w:rsidRPr="000E0755" w:rsidRDefault="00E62865" w:rsidP="0098329C">
            <w:r w:rsidRPr="000E0755">
              <w:t>Projekta izstrādē iesaistītās institūcijas</w:t>
            </w:r>
          </w:p>
        </w:tc>
        <w:tc>
          <w:tcPr>
            <w:tcW w:w="3829" w:type="pct"/>
          </w:tcPr>
          <w:p w14:paraId="699CB859" w14:textId="77777777" w:rsidR="00E62865" w:rsidRPr="000E0755" w:rsidRDefault="000947BC" w:rsidP="0033457F">
            <w:pPr>
              <w:pStyle w:val="naiskr"/>
              <w:jc w:val="both"/>
            </w:pPr>
            <w:r w:rsidRPr="000E0755">
              <w:t xml:space="preserve">Vides aizsardzības un reģionālās attīstības ministrija, </w:t>
            </w:r>
            <w:r w:rsidR="0033457F" w:rsidRPr="000E0755">
              <w:t>L</w:t>
            </w:r>
            <w:r w:rsidR="006E3095" w:rsidRPr="000E0755">
              <w:t>VĢMC,</w:t>
            </w:r>
            <w:r w:rsidR="00566862" w:rsidRPr="000E0755">
              <w:t xml:space="preserve"> Valsts </w:t>
            </w:r>
            <w:r w:rsidR="007F0EB5" w:rsidRPr="000E0755">
              <w:t>v</w:t>
            </w:r>
            <w:r w:rsidR="00566862" w:rsidRPr="000E0755">
              <w:t>ides dienests</w:t>
            </w:r>
            <w:r w:rsidR="0033457F" w:rsidRPr="000E0755">
              <w:t>.</w:t>
            </w:r>
            <w:r w:rsidR="00566862" w:rsidRPr="000E0755">
              <w:t xml:space="preserve"> </w:t>
            </w:r>
          </w:p>
        </w:tc>
      </w:tr>
      <w:tr w:rsidR="00E62865" w:rsidRPr="000E0755" w14:paraId="699CB85E" w14:textId="77777777" w:rsidTr="00241D1B">
        <w:trPr>
          <w:trHeight w:val="365"/>
        </w:trPr>
        <w:tc>
          <w:tcPr>
            <w:tcW w:w="232" w:type="pct"/>
          </w:tcPr>
          <w:p w14:paraId="699CB85B" w14:textId="77777777" w:rsidR="00E62865" w:rsidRPr="000E0755" w:rsidRDefault="00E62865" w:rsidP="0098329C">
            <w:pPr>
              <w:jc w:val="center"/>
            </w:pPr>
            <w:r w:rsidRPr="000E0755">
              <w:t>4.</w:t>
            </w:r>
          </w:p>
        </w:tc>
        <w:tc>
          <w:tcPr>
            <w:tcW w:w="939" w:type="pct"/>
          </w:tcPr>
          <w:p w14:paraId="699CB85C" w14:textId="77777777" w:rsidR="00E62865" w:rsidRPr="000E0755" w:rsidRDefault="00E62865" w:rsidP="0098329C">
            <w:r w:rsidRPr="000E0755">
              <w:t>Cita informācija</w:t>
            </w:r>
          </w:p>
        </w:tc>
        <w:tc>
          <w:tcPr>
            <w:tcW w:w="3829" w:type="pct"/>
          </w:tcPr>
          <w:p w14:paraId="699CB85D" w14:textId="77777777" w:rsidR="00E62865" w:rsidRPr="000E0755" w:rsidRDefault="006E3095" w:rsidP="00B715DE">
            <w:pPr>
              <w:pStyle w:val="CommentText"/>
              <w:jc w:val="both"/>
              <w:rPr>
                <w:sz w:val="24"/>
                <w:szCs w:val="24"/>
              </w:rPr>
            </w:pPr>
            <w:r w:rsidRPr="000E0755">
              <w:rPr>
                <w:sz w:val="24"/>
                <w:szCs w:val="24"/>
              </w:rPr>
              <w:t>Nav</w:t>
            </w:r>
          </w:p>
        </w:tc>
      </w:tr>
    </w:tbl>
    <w:tbl>
      <w:tblPr>
        <w:tblpPr w:leftFromText="180" w:rightFromText="180" w:vertAnchor="text" w:horzAnchor="margin" w:tblpY="-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575"/>
        <w:gridCol w:w="6089"/>
      </w:tblGrid>
      <w:tr w:rsidR="00B02227" w:rsidRPr="000E0755" w14:paraId="699CB861" w14:textId="77777777" w:rsidTr="00B02227">
        <w:tc>
          <w:tcPr>
            <w:tcW w:w="5000" w:type="pct"/>
            <w:gridSpan w:val="3"/>
          </w:tcPr>
          <w:p w14:paraId="699CB85F" w14:textId="77777777" w:rsidR="00241D1B" w:rsidRDefault="00B02227" w:rsidP="00241D1B">
            <w:pPr>
              <w:jc w:val="center"/>
              <w:rPr>
                <w:b/>
              </w:rPr>
            </w:pPr>
            <w:r w:rsidRPr="000E0755">
              <w:rPr>
                <w:b/>
              </w:rPr>
              <w:lastRenderedPageBreak/>
              <w:t>II.</w:t>
            </w:r>
            <w:r w:rsidR="006E3095" w:rsidRPr="000E0755">
              <w:rPr>
                <w:b/>
              </w:rPr>
              <w:t> </w:t>
            </w:r>
            <w:r w:rsidRPr="000E0755">
              <w:rPr>
                <w:b/>
              </w:rPr>
              <w:t>Tiesību akta projekta ietekme uz sabiedrību</w:t>
            </w:r>
          </w:p>
          <w:p w14:paraId="699CB860" w14:textId="77777777" w:rsidR="00241D1B" w:rsidRPr="000E0755" w:rsidRDefault="00241D1B" w:rsidP="00241D1B">
            <w:pPr>
              <w:jc w:val="center"/>
              <w:rPr>
                <w:b/>
              </w:rPr>
            </w:pPr>
          </w:p>
        </w:tc>
      </w:tr>
      <w:tr w:rsidR="00B02227" w:rsidRPr="000E0755" w14:paraId="699CB86A" w14:textId="77777777" w:rsidTr="00241D1B">
        <w:trPr>
          <w:trHeight w:val="983"/>
        </w:trPr>
        <w:tc>
          <w:tcPr>
            <w:tcW w:w="219" w:type="pct"/>
          </w:tcPr>
          <w:p w14:paraId="699CB862" w14:textId="77777777" w:rsidR="00B02227" w:rsidRPr="000E0755" w:rsidRDefault="00B02227" w:rsidP="00B02227">
            <w:pPr>
              <w:jc w:val="center"/>
            </w:pPr>
            <w:r w:rsidRPr="000E0755">
              <w:t>1.</w:t>
            </w:r>
          </w:p>
        </w:tc>
        <w:tc>
          <w:tcPr>
            <w:tcW w:w="1421" w:type="pct"/>
          </w:tcPr>
          <w:p w14:paraId="699CB863" w14:textId="77777777" w:rsidR="00B02227" w:rsidRPr="000E0755" w:rsidRDefault="00B02227" w:rsidP="00B02227">
            <w:r w:rsidRPr="000E0755">
              <w:t>Sabiedrības mērķgrupas, kuras tiesiskais regulējums ietekmē vai varētu ietekmēt</w:t>
            </w:r>
          </w:p>
        </w:tc>
        <w:tc>
          <w:tcPr>
            <w:tcW w:w="3360" w:type="pct"/>
            <w:shd w:val="clear" w:color="auto" w:fill="auto"/>
          </w:tcPr>
          <w:p w14:paraId="699CB864" w14:textId="77777777" w:rsidR="00B02227" w:rsidRDefault="006E3095" w:rsidP="00241D1B">
            <w:pPr>
              <w:pStyle w:val="naiskr"/>
              <w:numPr>
                <w:ilvl w:val="0"/>
                <w:numId w:val="10"/>
              </w:numPr>
              <w:spacing w:before="0" w:after="0"/>
              <w:ind w:left="318" w:hanging="284"/>
              <w:jc w:val="both"/>
            </w:pPr>
            <w:r w:rsidRPr="000E0755">
              <w:t>s</w:t>
            </w:r>
            <w:r w:rsidR="00B02227" w:rsidRPr="000E0755">
              <w:t>abiedrība, kurai ir pieejama ticama un atbilstoša informācija par gaisa kvalitāti</w:t>
            </w:r>
            <w:r w:rsidRPr="000E0755">
              <w:t>;</w:t>
            </w:r>
          </w:p>
          <w:p w14:paraId="699CB865" w14:textId="77777777" w:rsidR="00241D1B" w:rsidRPr="000E0755" w:rsidRDefault="00241D1B" w:rsidP="00241D1B">
            <w:pPr>
              <w:pStyle w:val="naiskr"/>
              <w:spacing w:before="0" w:after="0"/>
              <w:ind w:left="318"/>
              <w:jc w:val="both"/>
            </w:pPr>
          </w:p>
          <w:p w14:paraId="699CB866" w14:textId="77777777" w:rsidR="00B02227" w:rsidRDefault="006E3095" w:rsidP="00241D1B">
            <w:pPr>
              <w:pStyle w:val="naiskr"/>
              <w:numPr>
                <w:ilvl w:val="0"/>
                <w:numId w:val="10"/>
              </w:numPr>
              <w:spacing w:before="0" w:after="0"/>
              <w:ind w:left="318" w:hanging="284"/>
              <w:jc w:val="both"/>
            </w:pPr>
            <w:r w:rsidRPr="000E0755">
              <w:t>k</w:t>
            </w:r>
            <w:r w:rsidR="00B02227" w:rsidRPr="000E0755">
              <w:t>omersanti un iestādes (operatori), kuri savai darbībai izmanto datus par gaisa piesārņojuma fona koncentrācijām, uz kuru pamata tiek pieņemti lēmumi par atļaujas izsniegšanu</w:t>
            </w:r>
            <w:r w:rsidRPr="000E0755">
              <w:t xml:space="preserve"> vai</w:t>
            </w:r>
            <w:r w:rsidR="0089604B" w:rsidRPr="000E0755">
              <w:t xml:space="preserve"> </w:t>
            </w:r>
            <w:r w:rsidR="00B02227" w:rsidRPr="000E0755">
              <w:t>neizsniegšanu</w:t>
            </w:r>
            <w:r w:rsidRPr="000E0755">
              <w:t>;</w:t>
            </w:r>
          </w:p>
          <w:p w14:paraId="699CB867" w14:textId="77777777" w:rsidR="00241D1B" w:rsidRPr="000E0755" w:rsidRDefault="00241D1B" w:rsidP="00241D1B">
            <w:pPr>
              <w:pStyle w:val="naiskr"/>
              <w:spacing w:before="0" w:after="0"/>
              <w:jc w:val="both"/>
            </w:pPr>
          </w:p>
          <w:p w14:paraId="699CB868" w14:textId="77777777" w:rsidR="00241D1B" w:rsidRDefault="006E3095" w:rsidP="00241D1B">
            <w:pPr>
              <w:pStyle w:val="naiskr"/>
              <w:numPr>
                <w:ilvl w:val="0"/>
                <w:numId w:val="10"/>
              </w:numPr>
              <w:spacing w:before="0" w:after="0"/>
              <w:ind w:left="318" w:hanging="284"/>
              <w:jc w:val="both"/>
            </w:pPr>
            <w:r w:rsidRPr="000E0755">
              <w:t>k</w:t>
            </w:r>
            <w:r w:rsidR="00B02227" w:rsidRPr="000E0755">
              <w:t>ontroles institūcijas un citas iestādes, k</w:t>
            </w:r>
            <w:r w:rsidRPr="000E0755">
              <w:t>as</w:t>
            </w:r>
            <w:r w:rsidR="00B02227" w:rsidRPr="000E0755">
              <w:t xml:space="preserve"> veic gaisa kvalitātes mērījumus un šo informāciju publicē.</w:t>
            </w:r>
          </w:p>
          <w:p w14:paraId="699CB869" w14:textId="77777777" w:rsidR="00241D1B" w:rsidRPr="000E0755" w:rsidRDefault="00241D1B" w:rsidP="00241D1B">
            <w:pPr>
              <w:pStyle w:val="naiskr"/>
              <w:spacing w:before="0" w:after="0"/>
              <w:jc w:val="both"/>
            </w:pPr>
          </w:p>
        </w:tc>
      </w:tr>
      <w:tr w:rsidR="00B02227" w:rsidRPr="000E0755" w14:paraId="699CB875" w14:textId="77777777" w:rsidTr="00241D1B">
        <w:tc>
          <w:tcPr>
            <w:tcW w:w="219" w:type="pct"/>
            <w:shd w:val="clear" w:color="auto" w:fill="auto"/>
          </w:tcPr>
          <w:p w14:paraId="699CB86B" w14:textId="77777777" w:rsidR="00B02227" w:rsidRPr="000E0755" w:rsidRDefault="00B02227" w:rsidP="00B02227">
            <w:pPr>
              <w:jc w:val="center"/>
            </w:pPr>
            <w:r w:rsidRPr="000E0755">
              <w:t>2.</w:t>
            </w:r>
          </w:p>
        </w:tc>
        <w:tc>
          <w:tcPr>
            <w:tcW w:w="1421" w:type="pct"/>
            <w:shd w:val="clear" w:color="auto" w:fill="FFFFFF"/>
          </w:tcPr>
          <w:p w14:paraId="699CB86C" w14:textId="77777777" w:rsidR="00B02227" w:rsidRPr="000E0755" w:rsidRDefault="00B02227" w:rsidP="00B02227">
            <w:r w:rsidRPr="000E0755">
              <w:t>Tiesiskā regulējuma ietekme uz tautsaimniecību un administratīvo slogu</w:t>
            </w:r>
          </w:p>
        </w:tc>
        <w:tc>
          <w:tcPr>
            <w:tcW w:w="3360" w:type="pct"/>
            <w:shd w:val="clear" w:color="auto" w:fill="auto"/>
          </w:tcPr>
          <w:p w14:paraId="699CB86D" w14:textId="77777777" w:rsidR="0065377E" w:rsidRDefault="006E3095" w:rsidP="00241D1B">
            <w:pPr>
              <w:jc w:val="both"/>
              <w:rPr>
                <w:shd w:val="clear" w:color="auto" w:fill="FFFFFF"/>
              </w:rPr>
            </w:pPr>
            <w:r w:rsidRPr="000E0755">
              <w:rPr>
                <w:shd w:val="clear" w:color="auto" w:fill="FFFFFF"/>
              </w:rPr>
              <w:t>Noteikumu p</w:t>
            </w:r>
            <w:r w:rsidR="00B02227" w:rsidRPr="000E0755">
              <w:rPr>
                <w:shd w:val="clear" w:color="auto" w:fill="FFFFFF"/>
              </w:rPr>
              <w:t>rojekta tiesiskais regulējums nerada negatīvu ietekmi uz uzņēmējdarbības vidi.</w:t>
            </w:r>
          </w:p>
          <w:p w14:paraId="699CB86E" w14:textId="77777777" w:rsidR="00241D1B" w:rsidRPr="000E0755" w:rsidRDefault="00241D1B" w:rsidP="00241D1B">
            <w:pPr>
              <w:jc w:val="both"/>
              <w:rPr>
                <w:shd w:val="clear" w:color="auto" w:fill="FFFFFF"/>
              </w:rPr>
            </w:pPr>
          </w:p>
          <w:p w14:paraId="699CB86F" w14:textId="77777777" w:rsidR="004764E2" w:rsidRDefault="004764E2" w:rsidP="00241D1B">
            <w:pPr>
              <w:jc w:val="both"/>
              <w:rPr>
                <w:shd w:val="clear" w:color="auto" w:fill="FFFFFF"/>
              </w:rPr>
            </w:pPr>
            <w:r w:rsidRPr="000E0755">
              <w:rPr>
                <w:shd w:val="clear" w:color="auto" w:fill="FFFFFF"/>
              </w:rPr>
              <w:t>Tām</w:t>
            </w:r>
            <w:r w:rsidR="00801A3A" w:rsidRPr="000E0755">
              <w:rPr>
                <w:shd w:val="clear" w:color="auto" w:fill="FFFFFF"/>
              </w:rPr>
              <w:t xml:space="preserve"> pašvaldībām</w:t>
            </w:r>
            <w:r w:rsidR="00441068" w:rsidRPr="000E0755">
              <w:rPr>
                <w:shd w:val="clear" w:color="auto" w:fill="FFFFFF"/>
              </w:rPr>
              <w:t xml:space="preserve"> un citām</w:t>
            </w:r>
            <w:r w:rsidR="00463385" w:rsidRPr="000E0755">
              <w:rPr>
                <w:shd w:val="clear" w:color="auto" w:fill="FFFFFF"/>
              </w:rPr>
              <w:t xml:space="preserve"> organizācijām</w:t>
            </w:r>
            <w:r w:rsidR="00801A3A" w:rsidRPr="000E0755">
              <w:rPr>
                <w:shd w:val="clear" w:color="auto" w:fill="FFFFFF"/>
              </w:rPr>
              <w:t>, k</w:t>
            </w:r>
            <w:r w:rsidR="006E3095" w:rsidRPr="000E0755">
              <w:rPr>
                <w:shd w:val="clear" w:color="auto" w:fill="FFFFFF"/>
              </w:rPr>
              <w:t>as</w:t>
            </w:r>
            <w:r w:rsidR="00801A3A" w:rsidRPr="000E0755">
              <w:rPr>
                <w:shd w:val="clear" w:color="auto" w:fill="FFFFFF"/>
              </w:rPr>
              <w:t xml:space="preserve"> </w:t>
            </w:r>
            <w:r w:rsidR="00684AC0" w:rsidRPr="000E0755">
              <w:rPr>
                <w:shd w:val="clear" w:color="auto" w:fill="FFFFFF"/>
              </w:rPr>
              <w:t>vēl</w:t>
            </w:r>
            <w:r w:rsidR="006E3095" w:rsidRPr="000E0755">
              <w:rPr>
                <w:shd w:val="clear" w:color="auto" w:fill="FFFFFF"/>
              </w:rPr>
              <w:t>ās</w:t>
            </w:r>
            <w:r w:rsidR="00684AC0" w:rsidRPr="000E0755">
              <w:rPr>
                <w:shd w:val="clear" w:color="auto" w:fill="FFFFFF"/>
              </w:rPr>
              <w:t xml:space="preserve"> brīvprātīgi veikt</w:t>
            </w:r>
            <w:r w:rsidR="00801A3A" w:rsidRPr="000E0755">
              <w:rPr>
                <w:shd w:val="clear" w:color="auto" w:fill="FFFFFF"/>
              </w:rPr>
              <w:t xml:space="preserve"> </w:t>
            </w:r>
            <w:r w:rsidR="00287ADE" w:rsidRPr="000E0755">
              <w:rPr>
                <w:shd w:val="clear" w:color="auto" w:fill="FFFFFF"/>
              </w:rPr>
              <w:t>savā teritorijā</w:t>
            </w:r>
            <w:r w:rsidR="00684AC0" w:rsidRPr="000E0755">
              <w:rPr>
                <w:shd w:val="clear" w:color="auto" w:fill="FFFFFF"/>
              </w:rPr>
              <w:t xml:space="preserve"> papildus</w:t>
            </w:r>
            <w:r w:rsidR="00287ADE" w:rsidRPr="000E0755">
              <w:rPr>
                <w:shd w:val="clear" w:color="auto" w:fill="FFFFFF"/>
              </w:rPr>
              <w:t xml:space="preserve"> </w:t>
            </w:r>
            <w:r w:rsidR="00801A3A" w:rsidRPr="000E0755">
              <w:rPr>
                <w:shd w:val="clear" w:color="auto" w:fill="FFFFFF"/>
              </w:rPr>
              <w:t>mērījumus un šos datus dar</w:t>
            </w:r>
            <w:r w:rsidR="00684AC0" w:rsidRPr="000E0755">
              <w:rPr>
                <w:shd w:val="clear" w:color="auto" w:fill="FFFFFF"/>
              </w:rPr>
              <w:t>īt</w:t>
            </w:r>
            <w:r w:rsidR="00801A3A" w:rsidRPr="000E0755">
              <w:rPr>
                <w:shd w:val="clear" w:color="auto" w:fill="FFFFFF"/>
              </w:rPr>
              <w:t xml:space="preserve"> pieejamus sabiedrībai</w:t>
            </w:r>
            <w:r w:rsidR="006E3095" w:rsidRPr="000E0755">
              <w:rPr>
                <w:shd w:val="clear" w:color="auto" w:fill="FFFFFF"/>
              </w:rPr>
              <w:t>,</w:t>
            </w:r>
            <w:r w:rsidR="00287ADE" w:rsidRPr="000E0755">
              <w:rPr>
                <w:shd w:val="clear" w:color="auto" w:fill="FFFFFF"/>
              </w:rPr>
              <w:t xml:space="preserve"> tiks radīts papildus slogs</w:t>
            </w:r>
            <w:r w:rsidR="006E3095" w:rsidRPr="000E0755">
              <w:rPr>
                <w:shd w:val="clear" w:color="auto" w:fill="FFFFFF"/>
              </w:rPr>
              <w:t>,</w:t>
            </w:r>
            <w:r w:rsidR="00287ADE" w:rsidRPr="000E0755">
              <w:rPr>
                <w:shd w:val="clear" w:color="auto" w:fill="FFFFFF"/>
              </w:rPr>
              <w:t xml:space="preserve"> informējot LVĢMC par </w:t>
            </w:r>
            <w:r w:rsidRPr="000E0755">
              <w:rPr>
                <w:shd w:val="clear" w:color="auto" w:fill="FFFFFF"/>
              </w:rPr>
              <w:t xml:space="preserve">savā teritorijā uzstādītajām monitoringa iekārtām un to atbilstību direktīvas </w:t>
            </w:r>
            <w:r w:rsidR="0089604B" w:rsidRPr="000E0755">
              <w:rPr>
                <w:shd w:val="clear" w:color="auto" w:fill="FFFFFF"/>
              </w:rPr>
              <w:t xml:space="preserve">2008/50/EK un </w:t>
            </w:r>
            <w:r w:rsidR="0089604B" w:rsidRPr="000E0755">
              <w:t xml:space="preserve">2015/1480 </w:t>
            </w:r>
            <w:r w:rsidRPr="000E0755">
              <w:rPr>
                <w:shd w:val="clear" w:color="auto" w:fill="FFFFFF"/>
              </w:rPr>
              <w:t>prasībām.</w:t>
            </w:r>
          </w:p>
          <w:p w14:paraId="699CB870" w14:textId="77777777" w:rsidR="00241D1B" w:rsidRPr="000E0755" w:rsidRDefault="00241D1B" w:rsidP="00241D1B">
            <w:pPr>
              <w:jc w:val="both"/>
              <w:rPr>
                <w:shd w:val="clear" w:color="auto" w:fill="FFFFFF"/>
              </w:rPr>
            </w:pPr>
          </w:p>
          <w:p w14:paraId="699CB871" w14:textId="77777777" w:rsidR="0065377E" w:rsidRDefault="004764E2" w:rsidP="00241D1B">
            <w:pPr>
              <w:jc w:val="both"/>
              <w:rPr>
                <w:shd w:val="clear" w:color="auto" w:fill="FFFFFF"/>
              </w:rPr>
            </w:pPr>
            <w:r w:rsidRPr="000E0755">
              <w:rPr>
                <w:shd w:val="clear" w:color="auto" w:fill="FFFFFF"/>
              </w:rPr>
              <w:t xml:space="preserve">LVĢMC palielinās slogs saistībā ar pašvaldību un citu </w:t>
            </w:r>
            <w:r w:rsidR="00252B1F" w:rsidRPr="000E0755">
              <w:rPr>
                <w:shd w:val="clear" w:color="auto" w:fill="FFFFFF"/>
              </w:rPr>
              <w:t>organizāciju</w:t>
            </w:r>
            <w:r w:rsidRPr="000E0755">
              <w:rPr>
                <w:shd w:val="clear" w:color="auto" w:fill="FFFFFF"/>
              </w:rPr>
              <w:t xml:space="preserve"> iesniegtās informācijas izvēr</w:t>
            </w:r>
            <w:r w:rsidR="00B007B5">
              <w:rPr>
                <w:shd w:val="clear" w:color="auto" w:fill="FFFFFF"/>
              </w:rPr>
              <w:t>tēšanu un pārskatu publicēšanu.</w:t>
            </w:r>
          </w:p>
          <w:p w14:paraId="699CB872" w14:textId="77777777" w:rsidR="00241D1B" w:rsidRPr="000E0755" w:rsidRDefault="00241D1B" w:rsidP="00241D1B">
            <w:pPr>
              <w:jc w:val="both"/>
              <w:rPr>
                <w:shd w:val="clear" w:color="auto" w:fill="FFFFFF"/>
              </w:rPr>
            </w:pPr>
          </w:p>
          <w:p w14:paraId="699CB873" w14:textId="77777777" w:rsidR="00241D1B" w:rsidRDefault="006E3095" w:rsidP="00241D1B">
            <w:pPr>
              <w:jc w:val="both"/>
              <w:rPr>
                <w:shd w:val="clear" w:color="auto" w:fill="FFFFFF"/>
              </w:rPr>
            </w:pPr>
            <w:r w:rsidRPr="000E0755">
              <w:rPr>
                <w:shd w:val="clear" w:color="auto" w:fill="FFFFFF"/>
              </w:rPr>
              <w:t>Vienlaikus</w:t>
            </w:r>
            <w:r w:rsidR="009000D2" w:rsidRPr="000E0755">
              <w:rPr>
                <w:shd w:val="clear" w:color="auto" w:fill="FFFFFF"/>
              </w:rPr>
              <w:t xml:space="preserve"> </w:t>
            </w:r>
            <w:r w:rsidR="00801A3A" w:rsidRPr="000E0755">
              <w:rPr>
                <w:shd w:val="clear" w:color="auto" w:fill="FFFFFF"/>
              </w:rPr>
              <w:t xml:space="preserve">LVĢMC tiks </w:t>
            </w:r>
            <w:r w:rsidR="009000D2" w:rsidRPr="000E0755">
              <w:rPr>
                <w:shd w:val="clear" w:color="auto" w:fill="FFFFFF"/>
              </w:rPr>
              <w:t>sa</w:t>
            </w:r>
            <w:r w:rsidR="0065377E" w:rsidRPr="000E0755">
              <w:rPr>
                <w:shd w:val="clear" w:color="auto" w:fill="FFFFFF"/>
              </w:rPr>
              <w:t>mazin</w:t>
            </w:r>
            <w:r w:rsidR="009000D2" w:rsidRPr="000E0755">
              <w:rPr>
                <w:shd w:val="clear" w:color="auto" w:fill="FFFFFF"/>
              </w:rPr>
              <w:t>āts administratīvais</w:t>
            </w:r>
            <w:r w:rsidR="0065377E" w:rsidRPr="000E0755">
              <w:rPr>
                <w:shd w:val="clear" w:color="auto" w:fill="FFFFFF"/>
              </w:rPr>
              <w:t xml:space="preserve"> slog</w:t>
            </w:r>
            <w:r w:rsidR="002A443A" w:rsidRPr="000E0755">
              <w:rPr>
                <w:shd w:val="clear" w:color="auto" w:fill="FFFFFF"/>
              </w:rPr>
              <w:t>s</w:t>
            </w:r>
            <w:r w:rsidR="004764E2" w:rsidRPr="000E0755">
              <w:rPr>
                <w:shd w:val="clear" w:color="auto" w:fill="FFFFFF"/>
              </w:rPr>
              <w:t xml:space="preserve">, jo turpmāk </w:t>
            </w:r>
            <w:r w:rsidR="009000D2" w:rsidRPr="000E0755">
              <w:rPr>
                <w:shd w:val="clear" w:color="auto" w:fill="FFFFFF"/>
              </w:rPr>
              <w:t xml:space="preserve">detalizēto </w:t>
            </w:r>
            <w:r w:rsidR="004764E2" w:rsidRPr="000E0755">
              <w:rPr>
                <w:shd w:val="clear" w:color="auto" w:fill="FFFFFF"/>
              </w:rPr>
              <w:t>pārskat</w:t>
            </w:r>
            <w:r w:rsidR="009000D2" w:rsidRPr="000E0755">
              <w:rPr>
                <w:shd w:val="clear" w:color="auto" w:fill="FFFFFF"/>
              </w:rPr>
              <w:t>u</w:t>
            </w:r>
            <w:r w:rsidR="004764E2" w:rsidRPr="000E0755">
              <w:rPr>
                <w:shd w:val="clear" w:color="auto" w:fill="FFFFFF"/>
              </w:rPr>
              <w:t xml:space="preserve"> par gaisa kvalitāti un valsts teritorijas iedalījums zonās būs jāveic tikai reizi 5 gados, nevis reizi 3 gados</w:t>
            </w:r>
            <w:r w:rsidRPr="000E0755">
              <w:rPr>
                <w:shd w:val="clear" w:color="auto" w:fill="FFFFFF"/>
              </w:rPr>
              <w:t>,</w:t>
            </w:r>
            <w:r w:rsidR="004764E2" w:rsidRPr="000E0755">
              <w:rPr>
                <w:shd w:val="clear" w:color="auto" w:fill="FFFFFF"/>
              </w:rPr>
              <w:t xml:space="preserve"> kā</w:t>
            </w:r>
            <w:r w:rsidR="009000D2" w:rsidRPr="000E0755">
              <w:rPr>
                <w:shd w:val="clear" w:color="auto" w:fill="FFFFFF"/>
              </w:rPr>
              <w:t xml:space="preserve"> tas</w:t>
            </w:r>
            <w:r w:rsidR="004764E2" w:rsidRPr="000E0755">
              <w:rPr>
                <w:shd w:val="clear" w:color="auto" w:fill="FFFFFF"/>
              </w:rPr>
              <w:t xml:space="preserve"> tik</w:t>
            </w:r>
            <w:r w:rsidR="009000D2" w:rsidRPr="000E0755">
              <w:rPr>
                <w:shd w:val="clear" w:color="auto" w:fill="FFFFFF"/>
              </w:rPr>
              <w:t>a</w:t>
            </w:r>
            <w:r w:rsidR="004764E2" w:rsidRPr="000E0755">
              <w:rPr>
                <w:shd w:val="clear" w:color="auto" w:fill="FFFFFF"/>
              </w:rPr>
              <w:t xml:space="preserve"> noteikts iepriekš.</w:t>
            </w:r>
          </w:p>
          <w:p w14:paraId="699CB874" w14:textId="77777777" w:rsidR="00241D1B" w:rsidRPr="00241D1B" w:rsidRDefault="00241D1B" w:rsidP="00241D1B">
            <w:pPr>
              <w:jc w:val="both"/>
              <w:rPr>
                <w:shd w:val="clear" w:color="auto" w:fill="FFFFFF"/>
              </w:rPr>
            </w:pPr>
          </w:p>
        </w:tc>
      </w:tr>
      <w:tr w:rsidR="00B02227" w:rsidRPr="000E0755" w14:paraId="699CB87C" w14:textId="77777777" w:rsidTr="00241D1B">
        <w:tc>
          <w:tcPr>
            <w:tcW w:w="219" w:type="pct"/>
          </w:tcPr>
          <w:p w14:paraId="699CB876" w14:textId="77777777" w:rsidR="00B02227" w:rsidRPr="000E0755" w:rsidRDefault="00B02227" w:rsidP="00B02227">
            <w:pPr>
              <w:jc w:val="center"/>
            </w:pPr>
            <w:r w:rsidRPr="000E0755">
              <w:t>3.</w:t>
            </w:r>
          </w:p>
        </w:tc>
        <w:tc>
          <w:tcPr>
            <w:tcW w:w="1421" w:type="pct"/>
          </w:tcPr>
          <w:p w14:paraId="699CB877" w14:textId="77777777" w:rsidR="00B02227" w:rsidRPr="000E0755" w:rsidRDefault="00B02227" w:rsidP="00B02227">
            <w:r w:rsidRPr="000E0755">
              <w:t>Administratīvo izmaksu monetārs novērtējums</w:t>
            </w:r>
          </w:p>
        </w:tc>
        <w:tc>
          <w:tcPr>
            <w:tcW w:w="3360" w:type="pct"/>
          </w:tcPr>
          <w:p w14:paraId="699CB878" w14:textId="77777777" w:rsidR="00B02227" w:rsidRPr="006C578B" w:rsidRDefault="006A2F39" w:rsidP="000D45F9">
            <w:pPr>
              <w:jc w:val="both"/>
            </w:pPr>
            <w:r>
              <w:t xml:space="preserve">Nav iespējams novērtēt cik lielas administratīvās izmaksas radīs </w:t>
            </w:r>
            <w:r w:rsidRPr="006A2F39">
              <w:t xml:space="preserve">noteikumu projekta </w:t>
            </w:r>
            <w:r w:rsidR="00FA3CE5" w:rsidRPr="006A2F39">
              <w:t>1</w:t>
            </w:r>
            <w:r w:rsidR="00FA3CE5">
              <w:t>6</w:t>
            </w:r>
            <w:r w:rsidRPr="006A2F39">
              <w:t>.punktā noteikto prasību izpilde</w:t>
            </w:r>
            <w:r w:rsidR="001B263E" w:rsidRPr="006A2F39">
              <w:t xml:space="preserve">, jo </w:t>
            </w:r>
            <w:r w:rsidR="00DA1F25">
              <w:t xml:space="preserve">šobrīd </w:t>
            </w:r>
            <w:r w:rsidR="001B263E" w:rsidRPr="006A2F39">
              <w:t xml:space="preserve">nav </w:t>
            </w:r>
            <w:r w:rsidR="001B263E" w:rsidRPr="006C578B">
              <w:t>zināms</w:t>
            </w:r>
            <w:r w:rsidR="005965A4" w:rsidRPr="006C578B">
              <w:t xml:space="preserve"> vai vispār kāda </w:t>
            </w:r>
            <w:r w:rsidR="001B263E" w:rsidRPr="006C578B">
              <w:t>iestāde un organizācija plāno veikt gaisa kvalitātes mērījumu</w:t>
            </w:r>
            <w:r w:rsidR="00217249" w:rsidRPr="006C578B">
              <w:t>s un iesniegt nepieciešamos dokumentus izvērtēšanai LVĢMC</w:t>
            </w:r>
            <w:r w:rsidR="00783D17" w:rsidRPr="006C578B">
              <w:t>.</w:t>
            </w:r>
          </w:p>
          <w:p w14:paraId="699CB879" w14:textId="77777777" w:rsidR="00241D1B" w:rsidRDefault="00241D1B" w:rsidP="00B7114E">
            <w:pPr>
              <w:jc w:val="both"/>
            </w:pPr>
          </w:p>
          <w:p w14:paraId="699CB87A" w14:textId="77777777" w:rsidR="000D45F9" w:rsidRDefault="000D45F9" w:rsidP="00B7114E">
            <w:pPr>
              <w:jc w:val="both"/>
            </w:pPr>
            <w:r w:rsidRPr="006C578B">
              <w:t>Par pārējām prasībām</w:t>
            </w:r>
            <w:r w:rsidR="006A2F39" w:rsidRPr="006C578B">
              <w:t xml:space="preserve"> ministrija nevar veikt detalizētu administratīvo izmaksu aprēķinu, jo nav iespējams precīzi noteikt kādas administratīvās izmaksas radīs dažādu noteikumu projektā minēto pārskatu, novērtējumu un citu </w:t>
            </w:r>
            <w:r w:rsidR="00C80D03" w:rsidRPr="006C578B">
              <w:t>noteikumos</w:t>
            </w:r>
            <w:r w:rsidR="006A2F39" w:rsidRPr="006C578B">
              <w:t xml:space="preserve"> minēto prasību izpilde.</w:t>
            </w:r>
          </w:p>
          <w:p w14:paraId="699CB87B" w14:textId="77777777" w:rsidR="00241D1B" w:rsidRPr="00C65CA1" w:rsidRDefault="00241D1B" w:rsidP="00B7114E">
            <w:pPr>
              <w:jc w:val="both"/>
              <w:rPr>
                <w:b/>
              </w:rPr>
            </w:pPr>
          </w:p>
        </w:tc>
      </w:tr>
      <w:tr w:rsidR="00B02227" w:rsidRPr="000E0755" w14:paraId="699CB881" w14:textId="77777777" w:rsidTr="00241D1B">
        <w:tc>
          <w:tcPr>
            <w:tcW w:w="219" w:type="pct"/>
          </w:tcPr>
          <w:p w14:paraId="699CB87D" w14:textId="77777777" w:rsidR="00B02227" w:rsidRPr="000E0755" w:rsidRDefault="00B02227" w:rsidP="00B02227">
            <w:pPr>
              <w:jc w:val="center"/>
            </w:pPr>
            <w:r w:rsidRPr="000E0755">
              <w:t>4.</w:t>
            </w:r>
          </w:p>
        </w:tc>
        <w:tc>
          <w:tcPr>
            <w:tcW w:w="1421" w:type="pct"/>
          </w:tcPr>
          <w:p w14:paraId="699CB87E" w14:textId="77777777" w:rsidR="00B02227" w:rsidRPr="000E0755" w:rsidRDefault="00B02227" w:rsidP="00B02227">
            <w:r w:rsidRPr="000E0755">
              <w:t>Cita informācija</w:t>
            </w:r>
          </w:p>
        </w:tc>
        <w:tc>
          <w:tcPr>
            <w:tcW w:w="3360" w:type="pct"/>
          </w:tcPr>
          <w:p w14:paraId="699CB87F" w14:textId="77777777" w:rsidR="00B02227" w:rsidRDefault="00B02227" w:rsidP="00B02227">
            <w:pPr>
              <w:jc w:val="both"/>
            </w:pPr>
            <w:r w:rsidRPr="000E0755">
              <w:t>Nav</w:t>
            </w:r>
          </w:p>
          <w:p w14:paraId="699CB880" w14:textId="77777777" w:rsidR="00241D1B" w:rsidRPr="000E0755" w:rsidRDefault="00241D1B" w:rsidP="00B02227">
            <w:pPr>
              <w:jc w:val="both"/>
            </w:pPr>
          </w:p>
        </w:tc>
      </w:tr>
    </w:tbl>
    <w:p w14:paraId="699CB882" w14:textId="77777777" w:rsidR="00E2799A" w:rsidRDefault="00E2799A" w:rsidP="00E62865">
      <w:pPr>
        <w:jc w:val="center"/>
      </w:pPr>
    </w:p>
    <w:p w14:paraId="699CB883" w14:textId="77777777" w:rsidR="00761F04" w:rsidRDefault="00761F04" w:rsidP="00E62865">
      <w:pPr>
        <w:jc w:val="center"/>
      </w:pPr>
    </w:p>
    <w:p w14:paraId="699CB884" w14:textId="77777777" w:rsidR="00241D1B" w:rsidRDefault="00241D1B" w:rsidP="00E62865">
      <w:pPr>
        <w:jc w:val="center"/>
      </w:pPr>
    </w:p>
    <w:p w14:paraId="699CB885" w14:textId="77777777" w:rsidR="00241D1B" w:rsidRDefault="00241D1B" w:rsidP="00E62865">
      <w:pPr>
        <w:jc w:val="center"/>
      </w:pPr>
    </w:p>
    <w:p w14:paraId="699CB886" w14:textId="77777777" w:rsidR="00241D1B" w:rsidRDefault="00241D1B" w:rsidP="00E62865">
      <w:pPr>
        <w:jc w:val="center"/>
      </w:pPr>
    </w:p>
    <w:p w14:paraId="699CB887" w14:textId="77777777" w:rsidR="00241D1B" w:rsidRPr="000E0755" w:rsidRDefault="00241D1B" w:rsidP="00E62865">
      <w:pPr>
        <w:jc w:val="center"/>
      </w:pPr>
    </w:p>
    <w:tbl>
      <w:tblPr>
        <w:tblW w:w="5139" w:type="pct"/>
        <w:tblCellMar>
          <w:left w:w="0" w:type="dxa"/>
          <w:right w:w="0" w:type="dxa"/>
        </w:tblCellMar>
        <w:tblLook w:val="04A0" w:firstRow="1" w:lastRow="0" w:firstColumn="1" w:lastColumn="0" w:noHBand="0" w:noVBand="1"/>
      </w:tblPr>
      <w:tblGrid>
        <w:gridCol w:w="1905"/>
        <w:gridCol w:w="901"/>
        <w:gridCol w:w="995"/>
        <w:gridCol w:w="1717"/>
        <w:gridCol w:w="1701"/>
        <w:gridCol w:w="1831"/>
        <w:gridCol w:w="253"/>
      </w:tblGrid>
      <w:tr w:rsidR="00100765" w:rsidRPr="00CB360A" w14:paraId="699CB889" w14:textId="77777777" w:rsidTr="00CB360A">
        <w:trPr>
          <w:gridAfter w:val="1"/>
          <w:wAfter w:w="136" w:type="pct"/>
        </w:trPr>
        <w:tc>
          <w:tcPr>
            <w:tcW w:w="4864" w:type="pct"/>
            <w:gridSpan w:val="6"/>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14:paraId="699CB888" w14:textId="77777777" w:rsidR="00100765" w:rsidRPr="00CB360A" w:rsidRDefault="00100765" w:rsidP="006C23F8">
            <w:pPr>
              <w:spacing w:before="100" w:beforeAutospacing="1" w:after="100" w:afterAutospacing="1" w:line="276" w:lineRule="auto"/>
              <w:jc w:val="center"/>
              <w:rPr>
                <w:b/>
                <w:bCs/>
              </w:rPr>
            </w:pPr>
            <w:r w:rsidRPr="00CB360A">
              <w:rPr>
                <w:b/>
                <w:bCs/>
              </w:rPr>
              <w:t>III.</w:t>
            </w:r>
            <w:r w:rsidR="006E3095" w:rsidRPr="00CB360A">
              <w:rPr>
                <w:b/>
                <w:bCs/>
              </w:rPr>
              <w:t> </w:t>
            </w:r>
            <w:r w:rsidRPr="00CB360A">
              <w:rPr>
                <w:b/>
                <w:bCs/>
              </w:rPr>
              <w:t>Tiesību akta projekta ietekme uz valsts budžetu un pašvaldību budžetiem</w:t>
            </w:r>
          </w:p>
        </w:tc>
      </w:tr>
      <w:tr w:rsidR="00100765" w:rsidRPr="00CB360A" w14:paraId="699CB88D" w14:textId="77777777" w:rsidTr="00CB360A">
        <w:trPr>
          <w:gridAfter w:val="1"/>
          <w:wAfter w:w="136" w:type="pct"/>
        </w:trPr>
        <w:tc>
          <w:tcPr>
            <w:tcW w:w="1024" w:type="pct"/>
            <w:vMerge w:val="restart"/>
            <w:tcBorders>
              <w:top w:val="nil"/>
              <w:left w:val="outset" w:sz="8" w:space="0" w:color="000000"/>
              <w:bottom w:val="outset" w:sz="8" w:space="0" w:color="000000"/>
              <w:right w:val="outset" w:sz="8" w:space="0" w:color="000000"/>
            </w:tcBorders>
            <w:tcMar>
              <w:top w:w="30" w:type="dxa"/>
              <w:left w:w="30" w:type="dxa"/>
              <w:bottom w:w="30" w:type="dxa"/>
              <w:right w:w="30" w:type="dxa"/>
            </w:tcMar>
            <w:vAlign w:val="center"/>
            <w:hideMark/>
          </w:tcPr>
          <w:p w14:paraId="699CB88A" w14:textId="77777777" w:rsidR="00100765" w:rsidRPr="00CB360A" w:rsidRDefault="00100765" w:rsidP="006C23F8">
            <w:pPr>
              <w:spacing w:before="100" w:beforeAutospacing="1" w:after="100" w:afterAutospacing="1" w:line="276" w:lineRule="auto"/>
              <w:jc w:val="center"/>
              <w:rPr>
                <w:b/>
                <w:bCs/>
              </w:rPr>
            </w:pPr>
            <w:r w:rsidRPr="00CB360A">
              <w:rPr>
                <w:b/>
                <w:bCs/>
              </w:rPr>
              <w:t>Rādītāji</w:t>
            </w:r>
          </w:p>
        </w:tc>
        <w:tc>
          <w:tcPr>
            <w:tcW w:w="1019" w:type="pct"/>
            <w:gridSpan w:val="2"/>
            <w:vMerge w:val="restart"/>
            <w:tcBorders>
              <w:top w:val="nil"/>
              <w:left w:val="nil"/>
              <w:bottom w:val="outset" w:sz="8" w:space="0" w:color="000000"/>
              <w:right w:val="outset" w:sz="8" w:space="0" w:color="000000"/>
            </w:tcBorders>
            <w:tcMar>
              <w:top w:w="30" w:type="dxa"/>
              <w:left w:w="30" w:type="dxa"/>
              <w:bottom w:w="30" w:type="dxa"/>
              <w:right w:w="30" w:type="dxa"/>
            </w:tcMar>
            <w:vAlign w:val="center"/>
            <w:hideMark/>
          </w:tcPr>
          <w:p w14:paraId="699CB88B" w14:textId="77777777" w:rsidR="00100765" w:rsidRPr="00CB360A" w:rsidRDefault="00100765" w:rsidP="00CB360A">
            <w:pPr>
              <w:spacing w:before="100" w:beforeAutospacing="1" w:after="100" w:afterAutospacing="1" w:line="276" w:lineRule="auto"/>
              <w:jc w:val="center"/>
              <w:rPr>
                <w:b/>
                <w:bCs/>
              </w:rPr>
            </w:pPr>
            <w:r w:rsidRPr="00CB360A">
              <w:rPr>
                <w:b/>
                <w:bCs/>
              </w:rPr>
              <w:t>201</w:t>
            </w:r>
            <w:r w:rsidR="00CB360A" w:rsidRPr="00CB360A">
              <w:rPr>
                <w:b/>
                <w:bCs/>
              </w:rPr>
              <w:t>7</w:t>
            </w:r>
            <w:r w:rsidRPr="00CB360A">
              <w:rPr>
                <w:b/>
                <w:bCs/>
              </w:rPr>
              <w:t>.</w:t>
            </w:r>
            <w:r w:rsidR="00794070" w:rsidRPr="00CB360A">
              <w:rPr>
                <w:b/>
                <w:bCs/>
              </w:rPr>
              <w:t> </w:t>
            </w:r>
            <w:r w:rsidRPr="00CB360A">
              <w:rPr>
                <w:b/>
                <w:bCs/>
              </w:rPr>
              <w:t>gads</w:t>
            </w:r>
          </w:p>
        </w:tc>
        <w:tc>
          <w:tcPr>
            <w:tcW w:w="2821" w:type="pct"/>
            <w:gridSpan w:val="3"/>
            <w:tcBorders>
              <w:top w:val="nil"/>
              <w:left w:val="nil"/>
              <w:bottom w:val="outset" w:sz="8" w:space="0" w:color="000000"/>
              <w:right w:val="outset" w:sz="8" w:space="0" w:color="000000"/>
            </w:tcBorders>
            <w:tcMar>
              <w:top w:w="30" w:type="dxa"/>
              <w:left w:w="30" w:type="dxa"/>
              <w:bottom w:w="30" w:type="dxa"/>
              <w:right w:w="30" w:type="dxa"/>
            </w:tcMar>
            <w:vAlign w:val="center"/>
            <w:hideMark/>
          </w:tcPr>
          <w:p w14:paraId="699CB88C" w14:textId="77777777" w:rsidR="00100765" w:rsidRPr="00CB360A" w:rsidRDefault="00100765" w:rsidP="006C23F8">
            <w:pPr>
              <w:spacing w:before="100" w:beforeAutospacing="1" w:after="100" w:afterAutospacing="1" w:line="276" w:lineRule="auto"/>
              <w:jc w:val="center"/>
            </w:pPr>
            <w:r w:rsidRPr="00CB360A">
              <w:t>Turpmākie trīs gadi (</w:t>
            </w:r>
            <w:r w:rsidRPr="00CB360A">
              <w:rPr>
                <w:i/>
              </w:rPr>
              <w:t>euro</w:t>
            </w:r>
            <w:r w:rsidRPr="00CB360A">
              <w:t>)</w:t>
            </w:r>
          </w:p>
        </w:tc>
      </w:tr>
      <w:tr w:rsidR="00CB360A" w:rsidRPr="00CB360A" w14:paraId="699CB893" w14:textId="77777777" w:rsidTr="00CB360A">
        <w:trPr>
          <w:gridAfter w:val="1"/>
          <w:wAfter w:w="136" w:type="pct"/>
        </w:trPr>
        <w:tc>
          <w:tcPr>
            <w:tcW w:w="1024" w:type="pct"/>
            <w:vMerge/>
            <w:tcBorders>
              <w:top w:val="nil"/>
              <w:left w:val="outset" w:sz="8" w:space="0" w:color="000000"/>
              <w:bottom w:val="outset" w:sz="8" w:space="0" w:color="000000"/>
              <w:right w:val="outset" w:sz="8" w:space="0" w:color="000000"/>
            </w:tcBorders>
            <w:vAlign w:val="center"/>
            <w:hideMark/>
          </w:tcPr>
          <w:p w14:paraId="699CB88E" w14:textId="77777777" w:rsidR="00CB360A" w:rsidRPr="00CB360A" w:rsidRDefault="00CB360A" w:rsidP="006C23F8">
            <w:pPr>
              <w:rPr>
                <w:rFonts w:eastAsiaTheme="minorHAnsi"/>
                <w:b/>
                <w:bCs/>
                <w:color w:val="000000"/>
                <w:lang w:eastAsia="en-US"/>
              </w:rPr>
            </w:pPr>
          </w:p>
        </w:tc>
        <w:tc>
          <w:tcPr>
            <w:tcW w:w="1019" w:type="pct"/>
            <w:gridSpan w:val="2"/>
            <w:vMerge/>
            <w:tcBorders>
              <w:top w:val="nil"/>
              <w:left w:val="nil"/>
              <w:bottom w:val="outset" w:sz="8" w:space="0" w:color="000000"/>
              <w:right w:val="outset" w:sz="8" w:space="0" w:color="000000"/>
            </w:tcBorders>
            <w:vAlign w:val="center"/>
            <w:hideMark/>
          </w:tcPr>
          <w:p w14:paraId="699CB88F" w14:textId="77777777" w:rsidR="00CB360A" w:rsidRPr="00CB360A" w:rsidRDefault="00CB360A" w:rsidP="006C23F8">
            <w:pPr>
              <w:rPr>
                <w:rFonts w:eastAsiaTheme="minorHAnsi"/>
                <w:b/>
                <w:bCs/>
                <w:color w:val="000000"/>
                <w:lang w:eastAsia="en-US"/>
              </w:rPr>
            </w:pPr>
          </w:p>
        </w:tc>
        <w:tc>
          <w:tcPr>
            <w:tcW w:w="923"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14:paraId="699CB890" w14:textId="77777777" w:rsidR="00CB360A" w:rsidRPr="00CB360A" w:rsidRDefault="00CB360A" w:rsidP="0089604B">
            <w:pPr>
              <w:spacing w:before="100" w:beforeAutospacing="1" w:after="100" w:afterAutospacing="1" w:line="276" w:lineRule="auto"/>
              <w:jc w:val="center"/>
              <w:rPr>
                <w:b/>
                <w:bCs/>
              </w:rPr>
            </w:pPr>
            <w:r w:rsidRPr="00CB360A">
              <w:rPr>
                <w:b/>
                <w:bCs/>
              </w:rPr>
              <w:t>2018</w:t>
            </w:r>
          </w:p>
        </w:tc>
        <w:tc>
          <w:tcPr>
            <w:tcW w:w="914"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14:paraId="699CB891" w14:textId="77777777" w:rsidR="00CB360A" w:rsidRPr="00CB360A" w:rsidRDefault="00CB360A" w:rsidP="0089604B">
            <w:pPr>
              <w:spacing w:before="100" w:beforeAutospacing="1" w:after="100" w:afterAutospacing="1" w:line="276" w:lineRule="auto"/>
              <w:jc w:val="center"/>
              <w:rPr>
                <w:b/>
                <w:bCs/>
              </w:rPr>
            </w:pPr>
            <w:r w:rsidRPr="00CB360A">
              <w:rPr>
                <w:b/>
                <w:bCs/>
              </w:rPr>
              <w:t>2019</w:t>
            </w:r>
          </w:p>
        </w:tc>
        <w:tc>
          <w:tcPr>
            <w:tcW w:w="984" w:type="pct"/>
            <w:tcBorders>
              <w:top w:val="nil"/>
              <w:left w:val="nil"/>
              <w:bottom w:val="outset" w:sz="8" w:space="0" w:color="000000"/>
              <w:right w:val="outset" w:sz="8" w:space="0" w:color="000000"/>
            </w:tcBorders>
            <w:tcMar>
              <w:top w:w="30" w:type="dxa"/>
              <w:left w:w="30" w:type="dxa"/>
              <w:bottom w:w="30" w:type="dxa"/>
              <w:right w:w="30" w:type="dxa"/>
            </w:tcMar>
            <w:hideMark/>
          </w:tcPr>
          <w:p w14:paraId="699CB892" w14:textId="77777777" w:rsidR="00CB360A" w:rsidRPr="00CB360A" w:rsidRDefault="00CB360A" w:rsidP="0089604B">
            <w:pPr>
              <w:spacing w:before="100" w:beforeAutospacing="1" w:after="100" w:afterAutospacing="1" w:line="276" w:lineRule="auto"/>
              <w:jc w:val="center"/>
              <w:rPr>
                <w:b/>
                <w:bCs/>
              </w:rPr>
            </w:pPr>
            <w:r w:rsidRPr="00CB360A">
              <w:rPr>
                <w:b/>
                <w:bCs/>
              </w:rPr>
              <w:t>2020</w:t>
            </w:r>
          </w:p>
        </w:tc>
      </w:tr>
      <w:tr w:rsidR="00CB360A" w:rsidRPr="00CB360A" w14:paraId="699CB89A" w14:textId="77777777" w:rsidTr="00CB360A">
        <w:trPr>
          <w:gridAfter w:val="1"/>
          <w:wAfter w:w="136" w:type="pct"/>
        </w:trPr>
        <w:tc>
          <w:tcPr>
            <w:tcW w:w="1024" w:type="pct"/>
            <w:vMerge/>
            <w:tcBorders>
              <w:top w:val="nil"/>
              <w:left w:val="outset" w:sz="8" w:space="0" w:color="000000"/>
              <w:bottom w:val="outset" w:sz="8" w:space="0" w:color="000000"/>
              <w:right w:val="outset" w:sz="8" w:space="0" w:color="000000"/>
            </w:tcBorders>
            <w:vAlign w:val="center"/>
            <w:hideMark/>
          </w:tcPr>
          <w:p w14:paraId="699CB894" w14:textId="77777777" w:rsidR="00CB360A" w:rsidRPr="00CB360A" w:rsidRDefault="00CB360A" w:rsidP="006C23F8">
            <w:pPr>
              <w:rPr>
                <w:rFonts w:eastAsiaTheme="minorHAnsi"/>
                <w:b/>
                <w:bCs/>
                <w:color w:val="000000"/>
                <w:lang w:eastAsia="en-US"/>
              </w:rPr>
            </w:pPr>
          </w:p>
        </w:tc>
        <w:tc>
          <w:tcPr>
            <w:tcW w:w="484"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14:paraId="699CB895" w14:textId="77777777" w:rsidR="00CB360A" w:rsidRPr="00AC3DD8" w:rsidRDefault="00CB360A" w:rsidP="00C140AB">
            <w:pPr>
              <w:jc w:val="center"/>
              <w:rPr>
                <w:sz w:val="22"/>
                <w:szCs w:val="22"/>
              </w:rPr>
            </w:pPr>
            <w:r w:rsidRPr="00AC3DD8">
              <w:rPr>
                <w:sz w:val="22"/>
                <w:szCs w:val="22"/>
              </w:rPr>
              <w:t>saskaņā ar valsts budžetu kārtējam gadam</w:t>
            </w:r>
          </w:p>
        </w:tc>
        <w:tc>
          <w:tcPr>
            <w:tcW w:w="535"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14:paraId="699CB896" w14:textId="77777777" w:rsidR="00CB360A" w:rsidRPr="00AC3DD8" w:rsidRDefault="00CB360A" w:rsidP="00C140AB">
            <w:pPr>
              <w:jc w:val="center"/>
              <w:rPr>
                <w:sz w:val="22"/>
                <w:szCs w:val="22"/>
              </w:rPr>
            </w:pPr>
            <w:r w:rsidRPr="00AC3DD8">
              <w:rPr>
                <w:sz w:val="22"/>
                <w:szCs w:val="22"/>
              </w:rPr>
              <w:t>izmaiņas kārtējā gadā, salīdzinot ar budžetu kārtējam gadam</w:t>
            </w:r>
          </w:p>
        </w:tc>
        <w:tc>
          <w:tcPr>
            <w:tcW w:w="923"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14:paraId="699CB897" w14:textId="77777777" w:rsidR="00CB360A" w:rsidRPr="00AC3DD8" w:rsidRDefault="00CB360A" w:rsidP="00CB360A">
            <w:pPr>
              <w:jc w:val="center"/>
              <w:rPr>
                <w:sz w:val="22"/>
                <w:szCs w:val="22"/>
              </w:rPr>
            </w:pPr>
            <w:r w:rsidRPr="00AC3DD8">
              <w:rPr>
                <w:sz w:val="22"/>
                <w:szCs w:val="22"/>
              </w:rPr>
              <w:t>izmaiņas, salīdzinot ar kārtējo 2017. gadu</w:t>
            </w:r>
          </w:p>
        </w:tc>
        <w:tc>
          <w:tcPr>
            <w:tcW w:w="914"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14:paraId="699CB898" w14:textId="77777777" w:rsidR="00CB360A" w:rsidRPr="00AC3DD8" w:rsidRDefault="00CB360A" w:rsidP="00CB360A">
            <w:pPr>
              <w:jc w:val="center"/>
              <w:rPr>
                <w:sz w:val="22"/>
                <w:szCs w:val="22"/>
              </w:rPr>
            </w:pPr>
            <w:r w:rsidRPr="00AC3DD8">
              <w:rPr>
                <w:sz w:val="22"/>
                <w:szCs w:val="22"/>
              </w:rPr>
              <w:t>izmaiņas, salīdzinot ar kārtējo 2017. gadu</w:t>
            </w:r>
          </w:p>
        </w:tc>
        <w:tc>
          <w:tcPr>
            <w:tcW w:w="984"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14:paraId="699CB899" w14:textId="77777777" w:rsidR="00CB360A" w:rsidRPr="00AC3DD8" w:rsidRDefault="00CB360A" w:rsidP="00CB360A">
            <w:pPr>
              <w:jc w:val="center"/>
              <w:rPr>
                <w:sz w:val="22"/>
                <w:szCs w:val="22"/>
              </w:rPr>
            </w:pPr>
            <w:r w:rsidRPr="00AC3DD8">
              <w:rPr>
                <w:sz w:val="22"/>
                <w:szCs w:val="22"/>
              </w:rPr>
              <w:t>izmaiņas, salīdzinot ar kārtējo 2017. gadu</w:t>
            </w:r>
          </w:p>
        </w:tc>
      </w:tr>
      <w:tr w:rsidR="00CB360A" w:rsidRPr="00CB360A" w14:paraId="699CB8A1" w14:textId="77777777" w:rsidTr="00CB360A">
        <w:trPr>
          <w:gridAfter w:val="1"/>
          <w:wAfter w:w="136" w:type="pct"/>
        </w:trPr>
        <w:tc>
          <w:tcPr>
            <w:tcW w:w="1024" w:type="pct"/>
            <w:tcBorders>
              <w:top w:val="nil"/>
              <w:left w:val="outset" w:sz="8" w:space="0" w:color="000000"/>
              <w:bottom w:val="outset" w:sz="8" w:space="0" w:color="000000"/>
              <w:right w:val="outset" w:sz="8" w:space="0" w:color="000000"/>
            </w:tcBorders>
            <w:tcMar>
              <w:top w:w="30" w:type="dxa"/>
              <w:left w:w="30" w:type="dxa"/>
              <w:bottom w:w="30" w:type="dxa"/>
              <w:right w:w="30" w:type="dxa"/>
            </w:tcMar>
            <w:vAlign w:val="center"/>
            <w:hideMark/>
          </w:tcPr>
          <w:p w14:paraId="699CB89B" w14:textId="77777777" w:rsidR="00CB360A" w:rsidRPr="00CB360A" w:rsidRDefault="00CB360A" w:rsidP="006C23F8">
            <w:pPr>
              <w:spacing w:before="100" w:beforeAutospacing="1" w:after="100" w:afterAutospacing="1" w:line="276" w:lineRule="auto"/>
              <w:jc w:val="center"/>
            </w:pPr>
            <w:r w:rsidRPr="00CB360A">
              <w:t>1</w:t>
            </w:r>
          </w:p>
        </w:tc>
        <w:tc>
          <w:tcPr>
            <w:tcW w:w="484"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14:paraId="699CB89C" w14:textId="77777777" w:rsidR="00CB360A" w:rsidRPr="00CB360A" w:rsidRDefault="00CB360A" w:rsidP="006C23F8">
            <w:pPr>
              <w:spacing w:before="100" w:beforeAutospacing="1" w:after="100" w:afterAutospacing="1" w:line="276" w:lineRule="auto"/>
              <w:jc w:val="center"/>
            </w:pPr>
            <w:r w:rsidRPr="00CB360A">
              <w:t>2</w:t>
            </w:r>
          </w:p>
        </w:tc>
        <w:tc>
          <w:tcPr>
            <w:tcW w:w="535"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14:paraId="699CB89D" w14:textId="77777777" w:rsidR="00CB360A" w:rsidRPr="00CB360A" w:rsidRDefault="00CB360A" w:rsidP="006C23F8">
            <w:pPr>
              <w:spacing w:before="100" w:beforeAutospacing="1" w:after="100" w:afterAutospacing="1" w:line="276" w:lineRule="auto"/>
              <w:jc w:val="center"/>
            </w:pPr>
            <w:r w:rsidRPr="00CB360A">
              <w:t>3</w:t>
            </w:r>
          </w:p>
        </w:tc>
        <w:tc>
          <w:tcPr>
            <w:tcW w:w="923"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14:paraId="699CB89E" w14:textId="77777777" w:rsidR="00CB360A" w:rsidRPr="00CB360A" w:rsidRDefault="00CB360A" w:rsidP="006C23F8">
            <w:pPr>
              <w:spacing w:before="100" w:beforeAutospacing="1" w:after="100" w:afterAutospacing="1" w:line="276" w:lineRule="auto"/>
              <w:jc w:val="center"/>
            </w:pPr>
            <w:r w:rsidRPr="00CB360A">
              <w:t>5</w:t>
            </w:r>
          </w:p>
        </w:tc>
        <w:tc>
          <w:tcPr>
            <w:tcW w:w="914"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14:paraId="699CB89F" w14:textId="77777777" w:rsidR="00CB360A" w:rsidRPr="00CB360A" w:rsidRDefault="00CB360A" w:rsidP="006C23F8">
            <w:pPr>
              <w:spacing w:before="100" w:beforeAutospacing="1" w:after="100" w:afterAutospacing="1" w:line="276" w:lineRule="auto"/>
              <w:jc w:val="center"/>
            </w:pPr>
            <w:r w:rsidRPr="00CB360A">
              <w:t>6</w:t>
            </w:r>
          </w:p>
        </w:tc>
        <w:tc>
          <w:tcPr>
            <w:tcW w:w="984" w:type="pct"/>
            <w:tcBorders>
              <w:top w:val="nil"/>
              <w:left w:val="nil"/>
              <w:bottom w:val="outset" w:sz="8" w:space="0" w:color="000000"/>
              <w:right w:val="outset" w:sz="8" w:space="0" w:color="000000"/>
            </w:tcBorders>
            <w:tcMar>
              <w:top w:w="30" w:type="dxa"/>
              <w:left w:w="30" w:type="dxa"/>
              <w:bottom w:w="30" w:type="dxa"/>
              <w:right w:w="30" w:type="dxa"/>
            </w:tcMar>
            <w:hideMark/>
          </w:tcPr>
          <w:p w14:paraId="699CB8A0" w14:textId="77777777" w:rsidR="00CB360A" w:rsidRPr="00CB360A" w:rsidRDefault="00CB360A" w:rsidP="006C23F8">
            <w:pPr>
              <w:spacing w:before="100" w:beforeAutospacing="1" w:after="100" w:afterAutospacing="1" w:line="276" w:lineRule="auto"/>
              <w:jc w:val="center"/>
            </w:pPr>
            <w:r w:rsidRPr="00CB360A">
              <w:t>7</w:t>
            </w:r>
          </w:p>
        </w:tc>
      </w:tr>
      <w:tr w:rsidR="00CB360A" w:rsidRPr="00CB360A" w14:paraId="699CB8A8" w14:textId="77777777" w:rsidTr="00CB360A">
        <w:trPr>
          <w:gridAfter w:val="1"/>
          <w:wAfter w:w="136" w:type="pct"/>
        </w:trPr>
        <w:tc>
          <w:tcPr>
            <w:tcW w:w="1024"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14:paraId="699CB8A2" w14:textId="77777777" w:rsidR="00CB360A" w:rsidRPr="00CB360A" w:rsidRDefault="00CB360A" w:rsidP="006C23F8">
            <w:pPr>
              <w:spacing w:before="100" w:beforeAutospacing="1" w:after="100" w:afterAutospacing="1" w:line="276" w:lineRule="auto"/>
            </w:pPr>
            <w:r w:rsidRPr="00CB360A">
              <w:t>1. Budžeta ieņēmumi:</w:t>
            </w:r>
          </w:p>
        </w:tc>
        <w:tc>
          <w:tcPr>
            <w:tcW w:w="484" w:type="pct"/>
            <w:tcBorders>
              <w:top w:val="nil"/>
              <w:left w:val="nil"/>
              <w:bottom w:val="single" w:sz="8" w:space="0" w:color="auto"/>
              <w:right w:val="outset" w:sz="8" w:space="0" w:color="000000"/>
            </w:tcBorders>
            <w:tcMar>
              <w:top w:w="30" w:type="dxa"/>
              <w:left w:w="30" w:type="dxa"/>
              <w:bottom w:w="30" w:type="dxa"/>
              <w:right w:w="30" w:type="dxa"/>
            </w:tcMar>
            <w:vAlign w:val="center"/>
            <w:hideMark/>
          </w:tcPr>
          <w:p w14:paraId="699CB8A3" w14:textId="77777777" w:rsidR="00CB360A" w:rsidRPr="00CB360A" w:rsidRDefault="00CB360A" w:rsidP="006C23F8">
            <w:pPr>
              <w:spacing w:line="276" w:lineRule="auto"/>
              <w:jc w:val="center"/>
            </w:pPr>
            <w:r w:rsidRPr="00CB360A">
              <w:t>0</w:t>
            </w:r>
          </w:p>
        </w:tc>
        <w:tc>
          <w:tcPr>
            <w:tcW w:w="535" w:type="pct"/>
            <w:tcBorders>
              <w:top w:val="nil"/>
              <w:left w:val="nil"/>
              <w:bottom w:val="single" w:sz="8" w:space="0" w:color="auto"/>
              <w:right w:val="outset" w:sz="8" w:space="0" w:color="000000"/>
            </w:tcBorders>
            <w:tcMar>
              <w:top w:w="30" w:type="dxa"/>
              <w:left w:w="30" w:type="dxa"/>
              <w:bottom w:w="30" w:type="dxa"/>
              <w:right w:w="30" w:type="dxa"/>
            </w:tcMar>
            <w:vAlign w:val="center"/>
            <w:hideMark/>
          </w:tcPr>
          <w:p w14:paraId="699CB8A4" w14:textId="77777777" w:rsidR="00CB360A" w:rsidRPr="00CB360A" w:rsidRDefault="00CB360A" w:rsidP="006C23F8">
            <w:pPr>
              <w:spacing w:line="276" w:lineRule="auto"/>
              <w:jc w:val="center"/>
            </w:pPr>
            <w:r w:rsidRPr="00CB360A">
              <w:t>0</w:t>
            </w:r>
          </w:p>
        </w:tc>
        <w:tc>
          <w:tcPr>
            <w:tcW w:w="923" w:type="pct"/>
            <w:tcBorders>
              <w:top w:val="nil"/>
              <w:left w:val="nil"/>
              <w:bottom w:val="single" w:sz="8" w:space="0" w:color="auto"/>
              <w:right w:val="outset" w:sz="8" w:space="0" w:color="000000"/>
            </w:tcBorders>
            <w:tcMar>
              <w:top w:w="30" w:type="dxa"/>
              <w:left w:w="30" w:type="dxa"/>
              <w:bottom w:w="30" w:type="dxa"/>
              <w:right w:w="30" w:type="dxa"/>
            </w:tcMar>
            <w:vAlign w:val="center"/>
            <w:hideMark/>
          </w:tcPr>
          <w:p w14:paraId="699CB8A5" w14:textId="77777777" w:rsidR="00CB360A" w:rsidRPr="00CB360A" w:rsidRDefault="00CB360A" w:rsidP="006C23F8">
            <w:pPr>
              <w:spacing w:line="276" w:lineRule="auto"/>
              <w:jc w:val="center"/>
            </w:pPr>
            <w:r w:rsidRPr="00CB360A">
              <w:t>0</w:t>
            </w:r>
          </w:p>
        </w:tc>
        <w:tc>
          <w:tcPr>
            <w:tcW w:w="914" w:type="pct"/>
            <w:tcBorders>
              <w:top w:val="nil"/>
              <w:left w:val="nil"/>
              <w:bottom w:val="single" w:sz="8" w:space="0" w:color="auto"/>
              <w:right w:val="outset" w:sz="8" w:space="0" w:color="000000"/>
            </w:tcBorders>
            <w:tcMar>
              <w:top w:w="30" w:type="dxa"/>
              <w:left w:w="30" w:type="dxa"/>
              <w:bottom w:w="30" w:type="dxa"/>
              <w:right w:w="30" w:type="dxa"/>
            </w:tcMar>
            <w:vAlign w:val="center"/>
            <w:hideMark/>
          </w:tcPr>
          <w:p w14:paraId="699CB8A6" w14:textId="77777777" w:rsidR="00CB360A" w:rsidRPr="00CB360A" w:rsidRDefault="00CB360A" w:rsidP="006C23F8">
            <w:pPr>
              <w:spacing w:line="276" w:lineRule="auto"/>
              <w:jc w:val="center"/>
            </w:pPr>
            <w:r w:rsidRPr="00CB360A">
              <w:t>0</w:t>
            </w:r>
          </w:p>
        </w:tc>
        <w:tc>
          <w:tcPr>
            <w:tcW w:w="984" w:type="pct"/>
            <w:tcBorders>
              <w:top w:val="nil"/>
              <w:left w:val="nil"/>
              <w:bottom w:val="single" w:sz="8" w:space="0" w:color="auto"/>
              <w:right w:val="outset" w:sz="8" w:space="0" w:color="000000"/>
            </w:tcBorders>
            <w:tcMar>
              <w:top w:w="30" w:type="dxa"/>
              <w:left w:w="30" w:type="dxa"/>
              <w:bottom w:w="30" w:type="dxa"/>
              <w:right w:w="30" w:type="dxa"/>
            </w:tcMar>
            <w:vAlign w:val="center"/>
            <w:hideMark/>
          </w:tcPr>
          <w:p w14:paraId="699CB8A7" w14:textId="77777777" w:rsidR="00CB360A" w:rsidRPr="00CB360A" w:rsidRDefault="00CB360A" w:rsidP="006C23F8">
            <w:pPr>
              <w:spacing w:line="276" w:lineRule="auto"/>
              <w:jc w:val="center"/>
            </w:pPr>
            <w:r w:rsidRPr="00CB360A">
              <w:t>0</w:t>
            </w:r>
          </w:p>
        </w:tc>
      </w:tr>
      <w:tr w:rsidR="00CB360A" w:rsidRPr="00CB360A" w14:paraId="699CB8AF" w14:textId="77777777" w:rsidTr="00CB360A">
        <w:trPr>
          <w:gridAfter w:val="1"/>
          <w:wAfter w:w="136" w:type="pct"/>
        </w:trPr>
        <w:tc>
          <w:tcPr>
            <w:tcW w:w="1024"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14:paraId="699CB8A9" w14:textId="77777777" w:rsidR="00CB360A" w:rsidRPr="00CB360A" w:rsidRDefault="00CB360A" w:rsidP="006C23F8">
            <w:pPr>
              <w:spacing w:before="100" w:beforeAutospacing="1" w:after="100" w:afterAutospacing="1" w:line="276" w:lineRule="auto"/>
            </w:pPr>
            <w:r w:rsidRPr="00CB360A">
              <w:t>1.1. valsts pamatbudžets, tai skaitā ieņēmumi no maksas pakalpojumiem un citi pašu ieņēmumi</w:t>
            </w:r>
          </w:p>
        </w:tc>
        <w:tc>
          <w:tcPr>
            <w:tcW w:w="484" w:type="pct"/>
            <w:tcBorders>
              <w:top w:val="nil"/>
              <w:left w:val="nil"/>
              <w:bottom w:val="single" w:sz="8" w:space="0" w:color="auto"/>
              <w:right w:val="outset" w:sz="8" w:space="0" w:color="000000"/>
            </w:tcBorders>
            <w:vAlign w:val="center"/>
            <w:hideMark/>
          </w:tcPr>
          <w:p w14:paraId="699CB8AA"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535" w:type="pct"/>
            <w:tcBorders>
              <w:top w:val="nil"/>
              <w:left w:val="nil"/>
              <w:bottom w:val="single" w:sz="8" w:space="0" w:color="auto"/>
              <w:right w:val="outset" w:sz="8" w:space="0" w:color="000000"/>
            </w:tcBorders>
            <w:vAlign w:val="center"/>
            <w:hideMark/>
          </w:tcPr>
          <w:p w14:paraId="699CB8AB"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923" w:type="pct"/>
            <w:tcBorders>
              <w:top w:val="nil"/>
              <w:left w:val="nil"/>
              <w:bottom w:val="single" w:sz="8" w:space="0" w:color="auto"/>
              <w:right w:val="outset" w:sz="8" w:space="0" w:color="000000"/>
            </w:tcBorders>
            <w:vAlign w:val="center"/>
            <w:hideMark/>
          </w:tcPr>
          <w:p w14:paraId="699CB8AC"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914" w:type="pct"/>
            <w:tcBorders>
              <w:top w:val="nil"/>
              <w:left w:val="nil"/>
              <w:bottom w:val="single" w:sz="8" w:space="0" w:color="auto"/>
              <w:right w:val="outset" w:sz="8" w:space="0" w:color="000000"/>
            </w:tcBorders>
            <w:vAlign w:val="center"/>
            <w:hideMark/>
          </w:tcPr>
          <w:p w14:paraId="699CB8AD"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984" w:type="pct"/>
            <w:tcBorders>
              <w:top w:val="nil"/>
              <w:left w:val="nil"/>
              <w:bottom w:val="single" w:sz="8" w:space="0" w:color="auto"/>
              <w:right w:val="outset" w:sz="8" w:space="0" w:color="000000"/>
            </w:tcBorders>
            <w:vAlign w:val="center"/>
            <w:hideMark/>
          </w:tcPr>
          <w:p w14:paraId="699CB8AE" w14:textId="77777777" w:rsidR="00CB360A" w:rsidRPr="00CB360A" w:rsidRDefault="00CB360A" w:rsidP="00554580">
            <w:pPr>
              <w:jc w:val="center"/>
              <w:rPr>
                <w:rFonts w:eastAsiaTheme="minorHAnsi"/>
                <w:lang w:eastAsia="en-US"/>
              </w:rPr>
            </w:pPr>
            <w:r w:rsidRPr="00CB360A">
              <w:rPr>
                <w:rFonts w:eastAsiaTheme="minorHAnsi"/>
                <w:lang w:eastAsia="en-US"/>
              </w:rPr>
              <w:t>0</w:t>
            </w:r>
          </w:p>
        </w:tc>
      </w:tr>
      <w:tr w:rsidR="00CB360A" w:rsidRPr="00CB360A" w14:paraId="699CB8B6" w14:textId="77777777" w:rsidTr="00CB360A">
        <w:trPr>
          <w:gridAfter w:val="1"/>
          <w:wAfter w:w="136" w:type="pct"/>
        </w:trPr>
        <w:tc>
          <w:tcPr>
            <w:tcW w:w="1024"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14:paraId="699CB8B0" w14:textId="77777777" w:rsidR="00CB360A" w:rsidRPr="00CB360A" w:rsidRDefault="00CB360A" w:rsidP="00554580">
            <w:pPr>
              <w:spacing w:before="100" w:beforeAutospacing="1" w:after="100" w:afterAutospacing="1" w:line="276" w:lineRule="auto"/>
            </w:pPr>
            <w:r w:rsidRPr="00CB360A">
              <w:t>1.2. valsts speciālais budžets</w:t>
            </w:r>
          </w:p>
        </w:tc>
        <w:tc>
          <w:tcPr>
            <w:tcW w:w="484" w:type="pct"/>
            <w:tcBorders>
              <w:top w:val="nil"/>
              <w:left w:val="nil"/>
              <w:bottom w:val="single" w:sz="8" w:space="0" w:color="auto"/>
              <w:right w:val="outset" w:sz="8" w:space="0" w:color="000000"/>
            </w:tcBorders>
            <w:vAlign w:val="center"/>
            <w:hideMark/>
          </w:tcPr>
          <w:p w14:paraId="699CB8B1"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535" w:type="pct"/>
            <w:tcBorders>
              <w:top w:val="nil"/>
              <w:left w:val="nil"/>
              <w:bottom w:val="single" w:sz="8" w:space="0" w:color="auto"/>
              <w:right w:val="outset" w:sz="8" w:space="0" w:color="000000"/>
            </w:tcBorders>
            <w:vAlign w:val="center"/>
            <w:hideMark/>
          </w:tcPr>
          <w:p w14:paraId="699CB8B2"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923" w:type="pct"/>
            <w:tcBorders>
              <w:top w:val="nil"/>
              <w:left w:val="nil"/>
              <w:bottom w:val="single" w:sz="8" w:space="0" w:color="auto"/>
              <w:right w:val="outset" w:sz="8" w:space="0" w:color="000000"/>
            </w:tcBorders>
            <w:vAlign w:val="center"/>
            <w:hideMark/>
          </w:tcPr>
          <w:p w14:paraId="699CB8B3"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914" w:type="pct"/>
            <w:tcBorders>
              <w:top w:val="nil"/>
              <w:left w:val="nil"/>
              <w:bottom w:val="single" w:sz="8" w:space="0" w:color="auto"/>
              <w:right w:val="outset" w:sz="8" w:space="0" w:color="000000"/>
            </w:tcBorders>
            <w:vAlign w:val="center"/>
            <w:hideMark/>
          </w:tcPr>
          <w:p w14:paraId="699CB8B4"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984" w:type="pct"/>
            <w:tcBorders>
              <w:top w:val="nil"/>
              <w:left w:val="nil"/>
              <w:bottom w:val="single" w:sz="8" w:space="0" w:color="auto"/>
              <w:right w:val="outset" w:sz="8" w:space="0" w:color="000000"/>
            </w:tcBorders>
            <w:vAlign w:val="center"/>
            <w:hideMark/>
          </w:tcPr>
          <w:p w14:paraId="699CB8B5" w14:textId="77777777" w:rsidR="00CB360A" w:rsidRPr="00CB360A" w:rsidRDefault="00CB360A" w:rsidP="00554580">
            <w:pPr>
              <w:jc w:val="center"/>
              <w:rPr>
                <w:rFonts w:eastAsiaTheme="minorHAnsi"/>
                <w:lang w:eastAsia="en-US"/>
              </w:rPr>
            </w:pPr>
            <w:r w:rsidRPr="00CB360A">
              <w:rPr>
                <w:rFonts w:eastAsiaTheme="minorHAnsi"/>
                <w:lang w:eastAsia="en-US"/>
              </w:rPr>
              <w:t>0</w:t>
            </w:r>
          </w:p>
        </w:tc>
      </w:tr>
      <w:tr w:rsidR="00CB360A" w:rsidRPr="00CB360A" w14:paraId="699CB8BD" w14:textId="77777777" w:rsidTr="00CB360A">
        <w:trPr>
          <w:gridAfter w:val="1"/>
          <w:wAfter w:w="136" w:type="pct"/>
        </w:trPr>
        <w:tc>
          <w:tcPr>
            <w:tcW w:w="1024" w:type="pct"/>
            <w:tcBorders>
              <w:top w:val="nil"/>
              <w:left w:val="outset" w:sz="8" w:space="0" w:color="000000"/>
              <w:bottom w:val="single" w:sz="8" w:space="0" w:color="auto"/>
              <w:right w:val="outset" w:sz="8" w:space="0" w:color="000000"/>
            </w:tcBorders>
            <w:tcMar>
              <w:top w:w="30" w:type="dxa"/>
              <w:left w:w="30" w:type="dxa"/>
              <w:bottom w:w="30" w:type="dxa"/>
              <w:right w:w="30" w:type="dxa"/>
            </w:tcMar>
            <w:hideMark/>
          </w:tcPr>
          <w:p w14:paraId="699CB8B7" w14:textId="77777777" w:rsidR="00CB360A" w:rsidRPr="00CB360A" w:rsidRDefault="00CB360A" w:rsidP="00554580">
            <w:pPr>
              <w:spacing w:before="100" w:beforeAutospacing="1" w:after="100" w:afterAutospacing="1" w:line="276" w:lineRule="auto"/>
            </w:pPr>
            <w:r w:rsidRPr="00CB360A">
              <w:t>1.3. pašvaldību budžets</w:t>
            </w:r>
          </w:p>
        </w:tc>
        <w:tc>
          <w:tcPr>
            <w:tcW w:w="484" w:type="pct"/>
            <w:tcBorders>
              <w:top w:val="nil"/>
              <w:left w:val="nil"/>
              <w:bottom w:val="single" w:sz="8" w:space="0" w:color="auto"/>
              <w:right w:val="outset" w:sz="8" w:space="0" w:color="000000"/>
            </w:tcBorders>
            <w:vAlign w:val="center"/>
            <w:hideMark/>
          </w:tcPr>
          <w:p w14:paraId="699CB8B8"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535" w:type="pct"/>
            <w:tcBorders>
              <w:top w:val="nil"/>
              <w:left w:val="nil"/>
              <w:bottom w:val="single" w:sz="8" w:space="0" w:color="auto"/>
              <w:right w:val="outset" w:sz="8" w:space="0" w:color="000000"/>
            </w:tcBorders>
            <w:vAlign w:val="center"/>
            <w:hideMark/>
          </w:tcPr>
          <w:p w14:paraId="699CB8B9"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923" w:type="pct"/>
            <w:tcBorders>
              <w:top w:val="nil"/>
              <w:left w:val="nil"/>
              <w:bottom w:val="single" w:sz="8" w:space="0" w:color="auto"/>
              <w:right w:val="outset" w:sz="8" w:space="0" w:color="000000"/>
            </w:tcBorders>
            <w:vAlign w:val="center"/>
            <w:hideMark/>
          </w:tcPr>
          <w:p w14:paraId="699CB8BA"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914" w:type="pct"/>
            <w:tcBorders>
              <w:top w:val="nil"/>
              <w:left w:val="nil"/>
              <w:bottom w:val="single" w:sz="8" w:space="0" w:color="auto"/>
              <w:right w:val="outset" w:sz="8" w:space="0" w:color="000000"/>
            </w:tcBorders>
            <w:vAlign w:val="center"/>
            <w:hideMark/>
          </w:tcPr>
          <w:p w14:paraId="699CB8BB"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984" w:type="pct"/>
            <w:tcBorders>
              <w:top w:val="nil"/>
              <w:left w:val="nil"/>
              <w:bottom w:val="single" w:sz="8" w:space="0" w:color="auto"/>
              <w:right w:val="outset" w:sz="8" w:space="0" w:color="000000"/>
            </w:tcBorders>
            <w:vAlign w:val="center"/>
            <w:hideMark/>
          </w:tcPr>
          <w:p w14:paraId="699CB8BC" w14:textId="77777777" w:rsidR="00CB360A" w:rsidRPr="00CB360A" w:rsidRDefault="00CB360A" w:rsidP="00554580">
            <w:pPr>
              <w:jc w:val="center"/>
              <w:rPr>
                <w:rFonts w:eastAsiaTheme="minorHAnsi"/>
                <w:lang w:eastAsia="en-US"/>
              </w:rPr>
            </w:pPr>
            <w:r w:rsidRPr="00CB360A">
              <w:rPr>
                <w:rFonts w:eastAsiaTheme="minorHAnsi"/>
                <w:lang w:eastAsia="en-US"/>
              </w:rPr>
              <w:t>0</w:t>
            </w:r>
          </w:p>
        </w:tc>
      </w:tr>
      <w:tr w:rsidR="00CB360A" w:rsidRPr="00CB360A" w14:paraId="699CB8C4" w14:textId="77777777" w:rsidTr="00CB360A">
        <w:trPr>
          <w:gridAfter w:val="1"/>
          <w:wAfter w:w="136" w:type="pct"/>
        </w:trPr>
        <w:tc>
          <w:tcPr>
            <w:tcW w:w="1024" w:type="pct"/>
            <w:tcBorders>
              <w:top w:val="nil"/>
              <w:left w:val="single" w:sz="8" w:space="0" w:color="auto"/>
              <w:bottom w:val="single" w:sz="8" w:space="0" w:color="auto"/>
              <w:right w:val="single" w:sz="8" w:space="0" w:color="auto"/>
            </w:tcBorders>
            <w:tcMar>
              <w:top w:w="30" w:type="dxa"/>
              <w:left w:w="30" w:type="dxa"/>
              <w:bottom w:w="30" w:type="dxa"/>
              <w:right w:w="30" w:type="dxa"/>
            </w:tcMar>
            <w:hideMark/>
          </w:tcPr>
          <w:p w14:paraId="699CB8BE" w14:textId="77777777" w:rsidR="00CB360A" w:rsidRPr="00CB360A" w:rsidRDefault="00CB360A" w:rsidP="006C23F8">
            <w:pPr>
              <w:spacing w:before="100" w:beforeAutospacing="1" w:after="100" w:afterAutospacing="1" w:line="276" w:lineRule="auto"/>
            </w:pPr>
            <w:r w:rsidRPr="00CB360A">
              <w:t>2. Budžeta izdevumi:</w:t>
            </w:r>
          </w:p>
        </w:tc>
        <w:tc>
          <w:tcPr>
            <w:tcW w:w="484" w:type="pct"/>
            <w:tcBorders>
              <w:top w:val="nil"/>
              <w:left w:val="nil"/>
              <w:bottom w:val="single" w:sz="8" w:space="0" w:color="auto"/>
              <w:right w:val="single" w:sz="8" w:space="0" w:color="auto"/>
            </w:tcBorders>
            <w:tcMar>
              <w:top w:w="30" w:type="dxa"/>
              <w:left w:w="30" w:type="dxa"/>
              <w:bottom w:w="30" w:type="dxa"/>
              <w:right w:w="30" w:type="dxa"/>
            </w:tcMar>
            <w:vAlign w:val="center"/>
            <w:hideMark/>
          </w:tcPr>
          <w:p w14:paraId="699CB8BF" w14:textId="77777777" w:rsidR="00CB360A" w:rsidRPr="00CB360A" w:rsidRDefault="00CB360A" w:rsidP="006C23F8">
            <w:pPr>
              <w:spacing w:line="276" w:lineRule="auto"/>
              <w:jc w:val="center"/>
            </w:pPr>
            <w:r w:rsidRPr="00CB360A">
              <w:t>0</w:t>
            </w:r>
          </w:p>
        </w:tc>
        <w:tc>
          <w:tcPr>
            <w:tcW w:w="535" w:type="pct"/>
            <w:tcBorders>
              <w:top w:val="nil"/>
              <w:left w:val="nil"/>
              <w:bottom w:val="single" w:sz="8" w:space="0" w:color="auto"/>
              <w:right w:val="single" w:sz="8" w:space="0" w:color="auto"/>
            </w:tcBorders>
            <w:tcMar>
              <w:top w:w="30" w:type="dxa"/>
              <w:left w:w="30" w:type="dxa"/>
              <w:bottom w:w="30" w:type="dxa"/>
              <w:right w:w="30" w:type="dxa"/>
            </w:tcMar>
            <w:vAlign w:val="center"/>
            <w:hideMark/>
          </w:tcPr>
          <w:p w14:paraId="699CB8C0" w14:textId="77777777" w:rsidR="00CB360A" w:rsidRPr="00CB360A" w:rsidRDefault="00CB360A" w:rsidP="006C23F8">
            <w:pPr>
              <w:spacing w:line="276" w:lineRule="auto"/>
              <w:jc w:val="center"/>
            </w:pPr>
            <w:r w:rsidRPr="00CB360A">
              <w:t>0</w:t>
            </w:r>
          </w:p>
        </w:tc>
        <w:tc>
          <w:tcPr>
            <w:tcW w:w="923" w:type="pct"/>
            <w:tcBorders>
              <w:top w:val="nil"/>
              <w:left w:val="nil"/>
              <w:bottom w:val="single" w:sz="8" w:space="0" w:color="auto"/>
              <w:right w:val="single" w:sz="8" w:space="0" w:color="auto"/>
            </w:tcBorders>
            <w:tcMar>
              <w:top w:w="30" w:type="dxa"/>
              <w:left w:w="30" w:type="dxa"/>
              <w:bottom w:w="30" w:type="dxa"/>
              <w:right w:w="30" w:type="dxa"/>
            </w:tcMar>
            <w:vAlign w:val="center"/>
            <w:hideMark/>
          </w:tcPr>
          <w:p w14:paraId="699CB8C1" w14:textId="77777777" w:rsidR="00CB360A" w:rsidRPr="00CB360A" w:rsidRDefault="00CB360A" w:rsidP="00B15DAF">
            <w:pPr>
              <w:spacing w:line="276" w:lineRule="auto"/>
              <w:jc w:val="center"/>
            </w:pPr>
            <w:r w:rsidRPr="00CB360A">
              <w:t xml:space="preserve">148 601  </w:t>
            </w:r>
          </w:p>
        </w:tc>
        <w:tc>
          <w:tcPr>
            <w:tcW w:w="914" w:type="pct"/>
            <w:tcBorders>
              <w:top w:val="nil"/>
              <w:left w:val="nil"/>
              <w:bottom w:val="single" w:sz="8" w:space="0" w:color="auto"/>
              <w:right w:val="single" w:sz="8" w:space="0" w:color="auto"/>
            </w:tcBorders>
            <w:tcMar>
              <w:top w:w="30" w:type="dxa"/>
              <w:left w:w="30" w:type="dxa"/>
              <w:bottom w:w="30" w:type="dxa"/>
              <w:right w:w="30" w:type="dxa"/>
            </w:tcMar>
            <w:vAlign w:val="center"/>
            <w:hideMark/>
          </w:tcPr>
          <w:p w14:paraId="699CB8C2" w14:textId="77777777" w:rsidR="00CB360A" w:rsidRPr="00CB360A" w:rsidRDefault="00CB360A" w:rsidP="00B15DAF">
            <w:pPr>
              <w:spacing w:line="276" w:lineRule="auto"/>
              <w:jc w:val="center"/>
            </w:pPr>
            <w:r w:rsidRPr="00CB360A">
              <w:t xml:space="preserve">146 716 </w:t>
            </w:r>
          </w:p>
        </w:tc>
        <w:tc>
          <w:tcPr>
            <w:tcW w:w="984" w:type="pct"/>
            <w:tcBorders>
              <w:top w:val="nil"/>
              <w:left w:val="nil"/>
              <w:bottom w:val="single" w:sz="8" w:space="0" w:color="auto"/>
              <w:right w:val="single" w:sz="8" w:space="0" w:color="auto"/>
            </w:tcBorders>
            <w:tcMar>
              <w:top w:w="30" w:type="dxa"/>
              <w:left w:w="30" w:type="dxa"/>
              <w:bottom w:w="30" w:type="dxa"/>
              <w:right w:w="30" w:type="dxa"/>
            </w:tcMar>
            <w:vAlign w:val="center"/>
            <w:hideMark/>
          </w:tcPr>
          <w:p w14:paraId="699CB8C3" w14:textId="77777777" w:rsidR="00CB360A" w:rsidRPr="00CB360A" w:rsidRDefault="00CB360A" w:rsidP="00100765">
            <w:pPr>
              <w:spacing w:line="276" w:lineRule="auto"/>
              <w:jc w:val="center"/>
            </w:pPr>
            <w:r w:rsidRPr="00CB360A">
              <w:t xml:space="preserve">129 664 </w:t>
            </w:r>
          </w:p>
        </w:tc>
      </w:tr>
      <w:tr w:rsidR="00CB360A" w:rsidRPr="00CB360A" w14:paraId="699CB8CB" w14:textId="77777777" w:rsidTr="00CB360A">
        <w:trPr>
          <w:gridAfter w:val="1"/>
          <w:wAfter w:w="136" w:type="pct"/>
        </w:trPr>
        <w:tc>
          <w:tcPr>
            <w:tcW w:w="1024" w:type="pct"/>
            <w:tcBorders>
              <w:top w:val="nil"/>
              <w:left w:val="single" w:sz="8" w:space="0" w:color="auto"/>
              <w:bottom w:val="single" w:sz="8" w:space="0" w:color="auto"/>
              <w:right w:val="single" w:sz="8" w:space="0" w:color="auto"/>
            </w:tcBorders>
            <w:tcMar>
              <w:top w:w="30" w:type="dxa"/>
              <w:left w:w="30" w:type="dxa"/>
              <w:bottom w:w="30" w:type="dxa"/>
              <w:right w:w="30" w:type="dxa"/>
            </w:tcMar>
            <w:hideMark/>
          </w:tcPr>
          <w:p w14:paraId="699CB8C5" w14:textId="77777777" w:rsidR="00CB360A" w:rsidRPr="00CB360A" w:rsidRDefault="00CB360A" w:rsidP="006C23F8">
            <w:pPr>
              <w:spacing w:before="100" w:beforeAutospacing="1" w:after="100" w:afterAutospacing="1" w:line="276" w:lineRule="auto"/>
              <w:rPr>
                <w:color w:val="000000"/>
              </w:rPr>
            </w:pPr>
            <w:r w:rsidRPr="00CB360A">
              <w:t>2.1. valsts pamatbudžets</w:t>
            </w:r>
          </w:p>
        </w:tc>
        <w:tc>
          <w:tcPr>
            <w:tcW w:w="484" w:type="pct"/>
            <w:tcBorders>
              <w:top w:val="nil"/>
              <w:left w:val="nil"/>
              <w:bottom w:val="single" w:sz="8" w:space="0" w:color="auto"/>
              <w:right w:val="single" w:sz="8" w:space="0" w:color="auto"/>
            </w:tcBorders>
            <w:vAlign w:val="center"/>
            <w:hideMark/>
          </w:tcPr>
          <w:p w14:paraId="699CB8C6" w14:textId="77777777" w:rsidR="00CB360A" w:rsidRPr="00CB360A" w:rsidRDefault="00CB360A" w:rsidP="00414FCA">
            <w:pPr>
              <w:jc w:val="center"/>
              <w:rPr>
                <w:rFonts w:eastAsiaTheme="minorHAnsi"/>
                <w:lang w:eastAsia="en-US"/>
              </w:rPr>
            </w:pPr>
            <w:r w:rsidRPr="00CB360A">
              <w:rPr>
                <w:rFonts w:eastAsiaTheme="minorHAnsi"/>
                <w:lang w:eastAsia="en-US"/>
              </w:rPr>
              <w:t>0</w:t>
            </w:r>
          </w:p>
        </w:tc>
        <w:tc>
          <w:tcPr>
            <w:tcW w:w="535" w:type="pct"/>
            <w:tcBorders>
              <w:top w:val="nil"/>
              <w:left w:val="nil"/>
              <w:bottom w:val="single" w:sz="8" w:space="0" w:color="auto"/>
              <w:right w:val="single" w:sz="8" w:space="0" w:color="auto"/>
            </w:tcBorders>
            <w:vAlign w:val="center"/>
            <w:hideMark/>
          </w:tcPr>
          <w:p w14:paraId="699CB8C7" w14:textId="77777777" w:rsidR="00CB360A" w:rsidRPr="00CB360A" w:rsidRDefault="00CB360A" w:rsidP="00414FCA">
            <w:pPr>
              <w:jc w:val="center"/>
              <w:rPr>
                <w:rFonts w:eastAsiaTheme="minorHAnsi"/>
                <w:lang w:eastAsia="en-US"/>
              </w:rPr>
            </w:pPr>
            <w:r w:rsidRPr="00CB360A">
              <w:rPr>
                <w:rFonts w:eastAsiaTheme="minorHAnsi"/>
                <w:lang w:eastAsia="en-US"/>
              </w:rPr>
              <w:t>0</w:t>
            </w:r>
          </w:p>
        </w:tc>
        <w:tc>
          <w:tcPr>
            <w:tcW w:w="923" w:type="pct"/>
            <w:tcBorders>
              <w:top w:val="nil"/>
              <w:left w:val="nil"/>
              <w:bottom w:val="single" w:sz="8" w:space="0" w:color="auto"/>
              <w:right w:val="single" w:sz="8" w:space="0" w:color="auto"/>
            </w:tcBorders>
            <w:vAlign w:val="center"/>
            <w:hideMark/>
          </w:tcPr>
          <w:p w14:paraId="699CB8C8" w14:textId="77777777" w:rsidR="00CB360A" w:rsidRPr="00CB360A" w:rsidRDefault="00CB360A" w:rsidP="00414FCA">
            <w:pPr>
              <w:jc w:val="center"/>
              <w:rPr>
                <w:rFonts w:eastAsiaTheme="minorHAnsi"/>
                <w:lang w:eastAsia="en-US"/>
              </w:rPr>
            </w:pPr>
            <w:r w:rsidRPr="00CB360A">
              <w:t>148 601</w:t>
            </w:r>
          </w:p>
        </w:tc>
        <w:tc>
          <w:tcPr>
            <w:tcW w:w="914" w:type="pct"/>
            <w:tcBorders>
              <w:top w:val="nil"/>
              <w:left w:val="nil"/>
              <w:bottom w:val="single" w:sz="8" w:space="0" w:color="auto"/>
              <w:right w:val="single" w:sz="8" w:space="0" w:color="auto"/>
            </w:tcBorders>
            <w:vAlign w:val="center"/>
            <w:hideMark/>
          </w:tcPr>
          <w:p w14:paraId="699CB8C9" w14:textId="77777777" w:rsidR="00CB360A" w:rsidRPr="00CB360A" w:rsidRDefault="00CB360A" w:rsidP="00414FCA">
            <w:pPr>
              <w:jc w:val="center"/>
              <w:rPr>
                <w:rFonts w:eastAsiaTheme="minorHAnsi"/>
                <w:lang w:eastAsia="en-US"/>
              </w:rPr>
            </w:pPr>
            <w:r w:rsidRPr="00CB360A">
              <w:t>146 716</w:t>
            </w:r>
          </w:p>
        </w:tc>
        <w:tc>
          <w:tcPr>
            <w:tcW w:w="984" w:type="pct"/>
            <w:tcBorders>
              <w:top w:val="nil"/>
              <w:left w:val="nil"/>
              <w:bottom w:val="single" w:sz="8" w:space="0" w:color="auto"/>
              <w:right w:val="single" w:sz="8" w:space="0" w:color="auto"/>
            </w:tcBorders>
            <w:vAlign w:val="center"/>
            <w:hideMark/>
          </w:tcPr>
          <w:p w14:paraId="699CB8CA" w14:textId="77777777" w:rsidR="00CB360A" w:rsidRPr="00CB360A" w:rsidRDefault="00CB360A" w:rsidP="00414FCA">
            <w:pPr>
              <w:jc w:val="center"/>
              <w:rPr>
                <w:rFonts w:eastAsiaTheme="minorHAnsi"/>
                <w:lang w:eastAsia="en-US"/>
              </w:rPr>
            </w:pPr>
            <w:r w:rsidRPr="00CB360A">
              <w:t>129 664</w:t>
            </w:r>
          </w:p>
        </w:tc>
      </w:tr>
      <w:tr w:rsidR="00CB360A" w:rsidRPr="00CB360A" w14:paraId="699CB8D2" w14:textId="77777777" w:rsidTr="00CB360A">
        <w:trPr>
          <w:gridAfter w:val="1"/>
          <w:wAfter w:w="136" w:type="pct"/>
        </w:trPr>
        <w:tc>
          <w:tcPr>
            <w:tcW w:w="1024" w:type="pct"/>
            <w:tcBorders>
              <w:top w:val="nil"/>
              <w:left w:val="single" w:sz="8" w:space="0" w:color="auto"/>
              <w:bottom w:val="single" w:sz="8" w:space="0" w:color="auto"/>
              <w:right w:val="single" w:sz="8" w:space="0" w:color="auto"/>
            </w:tcBorders>
            <w:tcMar>
              <w:top w:w="30" w:type="dxa"/>
              <w:left w:w="30" w:type="dxa"/>
              <w:bottom w:w="30" w:type="dxa"/>
              <w:right w:w="30" w:type="dxa"/>
            </w:tcMar>
            <w:hideMark/>
          </w:tcPr>
          <w:p w14:paraId="699CB8CC" w14:textId="77777777" w:rsidR="00CB360A" w:rsidRPr="00CB360A" w:rsidRDefault="00CB360A" w:rsidP="00554580">
            <w:pPr>
              <w:spacing w:before="100" w:beforeAutospacing="1" w:after="100" w:afterAutospacing="1" w:line="276" w:lineRule="auto"/>
            </w:pPr>
            <w:r w:rsidRPr="00CB360A">
              <w:t>2.2. valsts speciālais budžets</w:t>
            </w:r>
          </w:p>
        </w:tc>
        <w:tc>
          <w:tcPr>
            <w:tcW w:w="484" w:type="pct"/>
            <w:tcBorders>
              <w:top w:val="nil"/>
              <w:left w:val="nil"/>
              <w:bottom w:val="single" w:sz="8" w:space="0" w:color="auto"/>
              <w:right w:val="single" w:sz="8" w:space="0" w:color="auto"/>
            </w:tcBorders>
            <w:vAlign w:val="center"/>
            <w:hideMark/>
          </w:tcPr>
          <w:p w14:paraId="699CB8CD"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535" w:type="pct"/>
            <w:tcBorders>
              <w:top w:val="nil"/>
              <w:left w:val="nil"/>
              <w:bottom w:val="single" w:sz="8" w:space="0" w:color="auto"/>
              <w:right w:val="single" w:sz="8" w:space="0" w:color="auto"/>
            </w:tcBorders>
            <w:vAlign w:val="center"/>
            <w:hideMark/>
          </w:tcPr>
          <w:p w14:paraId="699CB8CE"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923" w:type="pct"/>
            <w:tcBorders>
              <w:top w:val="nil"/>
              <w:left w:val="nil"/>
              <w:bottom w:val="single" w:sz="8" w:space="0" w:color="auto"/>
              <w:right w:val="single" w:sz="8" w:space="0" w:color="auto"/>
            </w:tcBorders>
            <w:vAlign w:val="center"/>
            <w:hideMark/>
          </w:tcPr>
          <w:p w14:paraId="699CB8CF"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914" w:type="pct"/>
            <w:tcBorders>
              <w:top w:val="nil"/>
              <w:left w:val="nil"/>
              <w:bottom w:val="single" w:sz="8" w:space="0" w:color="auto"/>
              <w:right w:val="single" w:sz="8" w:space="0" w:color="auto"/>
            </w:tcBorders>
            <w:vAlign w:val="center"/>
            <w:hideMark/>
          </w:tcPr>
          <w:p w14:paraId="699CB8D0"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984" w:type="pct"/>
            <w:tcBorders>
              <w:top w:val="nil"/>
              <w:left w:val="nil"/>
              <w:bottom w:val="single" w:sz="8" w:space="0" w:color="auto"/>
              <w:right w:val="single" w:sz="8" w:space="0" w:color="auto"/>
            </w:tcBorders>
            <w:vAlign w:val="center"/>
            <w:hideMark/>
          </w:tcPr>
          <w:p w14:paraId="699CB8D1" w14:textId="77777777" w:rsidR="00CB360A" w:rsidRPr="00CB360A" w:rsidRDefault="00CB360A" w:rsidP="00554580">
            <w:pPr>
              <w:jc w:val="center"/>
              <w:rPr>
                <w:rFonts w:eastAsiaTheme="minorHAnsi"/>
                <w:lang w:eastAsia="en-US"/>
              </w:rPr>
            </w:pPr>
            <w:r w:rsidRPr="00CB360A">
              <w:rPr>
                <w:rFonts w:eastAsiaTheme="minorHAnsi"/>
                <w:lang w:eastAsia="en-US"/>
              </w:rPr>
              <w:t>0</w:t>
            </w:r>
          </w:p>
        </w:tc>
      </w:tr>
      <w:tr w:rsidR="00CB360A" w:rsidRPr="00CB360A" w14:paraId="699CB8D9" w14:textId="77777777" w:rsidTr="00CB360A">
        <w:trPr>
          <w:gridAfter w:val="1"/>
          <w:wAfter w:w="136" w:type="pct"/>
        </w:trPr>
        <w:tc>
          <w:tcPr>
            <w:tcW w:w="1024" w:type="pct"/>
            <w:tcBorders>
              <w:top w:val="nil"/>
              <w:left w:val="single" w:sz="8" w:space="0" w:color="auto"/>
              <w:bottom w:val="single" w:sz="8" w:space="0" w:color="auto"/>
              <w:right w:val="single" w:sz="8" w:space="0" w:color="auto"/>
            </w:tcBorders>
            <w:tcMar>
              <w:top w:w="30" w:type="dxa"/>
              <w:left w:w="30" w:type="dxa"/>
              <w:bottom w:w="30" w:type="dxa"/>
              <w:right w:w="30" w:type="dxa"/>
            </w:tcMar>
            <w:hideMark/>
          </w:tcPr>
          <w:p w14:paraId="699CB8D3" w14:textId="77777777" w:rsidR="00CB360A" w:rsidRPr="00CB360A" w:rsidRDefault="00CB360A" w:rsidP="00554580">
            <w:pPr>
              <w:spacing w:before="100" w:beforeAutospacing="1" w:after="100" w:afterAutospacing="1" w:line="276" w:lineRule="auto"/>
            </w:pPr>
            <w:r w:rsidRPr="00CB360A">
              <w:t>2.3. pašvaldību budžets</w:t>
            </w:r>
          </w:p>
        </w:tc>
        <w:tc>
          <w:tcPr>
            <w:tcW w:w="484" w:type="pct"/>
            <w:tcBorders>
              <w:top w:val="nil"/>
              <w:left w:val="nil"/>
              <w:bottom w:val="single" w:sz="8" w:space="0" w:color="auto"/>
              <w:right w:val="single" w:sz="8" w:space="0" w:color="auto"/>
            </w:tcBorders>
            <w:vAlign w:val="center"/>
            <w:hideMark/>
          </w:tcPr>
          <w:p w14:paraId="699CB8D4"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535" w:type="pct"/>
            <w:tcBorders>
              <w:top w:val="nil"/>
              <w:left w:val="nil"/>
              <w:bottom w:val="single" w:sz="8" w:space="0" w:color="auto"/>
              <w:right w:val="single" w:sz="8" w:space="0" w:color="auto"/>
            </w:tcBorders>
            <w:vAlign w:val="center"/>
            <w:hideMark/>
          </w:tcPr>
          <w:p w14:paraId="699CB8D5"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923" w:type="pct"/>
            <w:tcBorders>
              <w:top w:val="nil"/>
              <w:left w:val="nil"/>
              <w:bottom w:val="single" w:sz="8" w:space="0" w:color="auto"/>
              <w:right w:val="single" w:sz="8" w:space="0" w:color="auto"/>
            </w:tcBorders>
            <w:vAlign w:val="center"/>
            <w:hideMark/>
          </w:tcPr>
          <w:p w14:paraId="699CB8D6"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914" w:type="pct"/>
            <w:tcBorders>
              <w:top w:val="nil"/>
              <w:left w:val="nil"/>
              <w:bottom w:val="single" w:sz="8" w:space="0" w:color="auto"/>
              <w:right w:val="single" w:sz="8" w:space="0" w:color="auto"/>
            </w:tcBorders>
            <w:vAlign w:val="center"/>
            <w:hideMark/>
          </w:tcPr>
          <w:p w14:paraId="699CB8D7"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984" w:type="pct"/>
            <w:tcBorders>
              <w:top w:val="nil"/>
              <w:left w:val="nil"/>
              <w:bottom w:val="single" w:sz="8" w:space="0" w:color="auto"/>
              <w:right w:val="single" w:sz="8" w:space="0" w:color="auto"/>
            </w:tcBorders>
            <w:vAlign w:val="center"/>
            <w:hideMark/>
          </w:tcPr>
          <w:p w14:paraId="699CB8D8" w14:textId="77777777" w:rsidR="00CB360A" w:rsidRPr="00CB360A" w:rsidRDefault="00CB360A" w:rsidP="00554580">
            <w:pPr>
              <w:jc w:val="center"/>
              <w:rPr>
                <w:rFonts w:eastAsiaTheme="minorHAnsi"/>
                <w:lang w:eastAsia="en-US"/>
              </w:rPr>
            </w:pPr>
            <w:r w:rsidRPr="00CB360A">
              <w:rPr>
                <w:rFonts w:eastAsiaTheme="minorHAnsi"/>
                <w:lang w:eastAsia="en-US"/>
              </w:rPr>
              <w:t>0</w:t>
            </w:r>
          </w:p>
        </w:tc>
      </w:tr>
      <w:tr w:rsidR="00CB360A" w:rsidRPr="00CB360A" w14:paraId="699CB8E0" w14:textId="77777777" w:rsidTr="00CB360A">
        <w:trPr>
          <w:gridAfter w:val="1"/>
          <w:wAfter w:w="136" w:type="pct"/>
        </w:trPr>
        <w:tc>
          <w:tcPr>
            <w:tcW w:w="1024"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14:paraId="699CB8DA" w14:textId="77777777" w:rsidR="00CB360A" w:rsidRPr="00CB360A" w:rsidRDefault="00CB360A" w:rsidP="00554580">
            <w:pPr>
              <w:spacing w:before="100" w:beforeAutospacing="1" w:after="100" w:afterAutospacing="1" w:line="276" w:lineRule="auto"/>
            </w:pPr>
            <w:r w:rsidRPr="00CB360A">
              <w:t>3. Finansiālā ietekme:</w:t>
            </w:r>
          </w:p>
        </w:tc>
        <w:tc>
          <w:tcPr>
            <w:tcW w:w="484"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14:paraId="699CB8DB" w14:textId="77777777" w:rsidR="00CB360A" w:rsidRPr="00CB360A" w:rsidRDefault="00CB360A" w:rsidP="00554580">
            <w:pPr>
              <w:spacing w:line="276" w:lineRule="auto"/>
              <w:jc w:val="center"/>
            </w:pPr>
            <w:r w:rsidRPr="00CB360A">
              <w:t>0</w:t>
            </w:r>
          </w:p>
        </w:tc>
        <w:tc>
          <w:tcPr>
            <w:tcW w:w="535"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14:paraId="699CB8DC" w14:textId="77777777" w:rsidR="00CB360A" w:rsidRPr="00CB360A" w:rsidRDefault="00CB360A" w:rsidP="00554580">
            <w:pPr>
              <w:spacing w:line="276" w:lineRule="auto"/>
              <w:jc w:val="center"/>
            </w:pPr>
            <w:r w:rsidRPr="00CB360A">
              <w:t>0</w:t>
            </w:r>
          </w:p>
        </w:tc>
        <w:tc>
          <w:tcPr>
            <w:tcW w:w="923"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14:paraId="699CB8DD" w14:textId="77777777" w:rsidR="00CB360A" w:rsidRPr="00CB360A" w:rsidRDefault="00CB360A" w:rsidP="00554580">
            <w:pPr>
              <w:spacing w:line="276" w:lineRule="auto"/>
              <w:jc w:val="center"/>
            </w:pPr>
            <w:r w:rsidRPr="00CB360A">
              <w:t>- 148 601 </w:t>
            </w:r>
          </w:p>
        </w:tc>
        <w:tc>
          <w:tcPr>
            <w:tcW w:w="914"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14:paraId="699CB8DE" w14:textId="77777777" w:rsidR="00CB360A" w:rsidRPr="00CB360A" w:rsidRDefault="00CB360A" w:rsidP="00554580">
            <w:pPr>
              <w:spacing w:line="276" w:lineRule="auto"/>
              <w:jc w:val="center"/>
            </w:pPr>
            <w:r w:rsidRPr="00CB360A">
              <w:t>- 146 716</w:t>
            </w:r>
          </w:p>
        </w:tc>
        <w:tc>
          <w:tcPr>
            <w:tcW w:w="984" w:type="pct"/>
            <w:tcBorders>
              <w:top w:val="nil"/>
              <w:left w:val="nil"/>
              <w:bottom w:val="outset" w:sz="8" w:space="0" w:color="000000"/>
              <w:right w:val="outset" w:sz="8" w:space="0" w:color="000000"/>
            </w:tcBorders>
            <w:tcMar>
              <w:top w:w="30" w:type="dxa"/>
              <w:left w:w="30" w:type="dxa"/>
              <w:bottom w:w="30" w:type="dxa"/>
              <w:right w:w="30" w:type="dxa"/>
            </w:tcMar>
            <w:vAlign w:val="center"/>
            <w:hideMark/>
          </w:tcPr>
          <w:p w14:paraId="699CB8DF" w14:textId="77777777" w:rsidR="00CB360A" w:rsidRPr="00CB360A" w:rsidRDefault="00CB360A" w:rsidP="00554580">
            <w:pPr>
              <w:spacing w:line="276" w:lineRule="auto"/>
              <w:jc w:val="center"/>
            </w:pPr>
            <w:r w:rsidRPr="00CB360A">
              <w:t>- 129 664</w:t>
            </w:r>
          </w:p>
        </w:tc>
      </w:tr>
      <w:tr w:rsidR="00CB360A" w:rsidRPr="00CB360A" w14:paraId="699CB8E7" w14:textId="77777777" w:rsidTr="00CB360A">
        <w:trPr>
          <w:gridAfter w:val="1"/>
          <w:wAfter w:w="136" w:type="pct"/>
        </w:trPr>
        <w:tc>
          <w:tcPr>
            <w:tcW w:w="1024"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14:paraId="699CB8E1" w14:textId="77777777" w:rsidR="00CB360A" w:rsidRPr="00CB360A" w:rsidRDefault="00CB360A" w:rsidP="00554580">
            <w:pPr>
              <w:spacing w:before="100" w:beforeAutospacing="1" w:after="100" w:afterAutospacing="1" w:line="276" w:lineRule="auto"/>
              <w:rPr>
                <w:color w:val="000000"/>
              </w:rPr>
            </w:pPr>
            <w:r w:rsidRPr="00CB360A">
              <w:t>3.1. valsts pamatbudžets</w:t>
            </w:r>
          </w:p>
        </w:tc>
        <w:tc>
          <w:tcPr>
            <w:tcW w:w="484" w:type="pct"/>
            <w:tcBorders>
              <w:top w:val="nil"/>
              <w:left w:val="nil"/>
              <w:bottom w:val="outset" w:sz="8" w:space="0" w:color="000000"/>
              <w:right w:val="outset" w:sz="8" w:space="0" w:color="000000"/>
            </w:tcBorders>
            <w:vAlign w:val="center"/>
            <w:hideMark/>
          </w:tcPr>
          <w:p w14:paraId="699CB8E2"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535" w:type="pct"/>
            <w:tcBorders>
              <w:top w:val="nil"/>
              <w:left w:val="nil"/>
              <w:bottom w:val="outset" w:sz="8" w:space="0" w:color="000000"/>
              <w:right w:val="outset" w:sz="8" w:space="0" w:color="000000"/>
            </w:tcBorders>
            <w:vAlign w:val="center"/>
            <w:hideMark/>
          </w:tcPr>
          <w:p w14:paraId="699CB8E3"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923" w:type="pct"/>
            <w:tcBorders>
              <w:top w:val="nil"/>
              <w:left w:val="nil"/>
              <w:bottom w:val="outset" w:sz="8" w:space="0" w:color="000000"/>
              <w:right w:val="outset" w:sz="8" w:space="0" w:color="000000"/>
            </w:tcBorders>
            <w:vAlign w:val="center"/>
            <w:hideMark/>
          </w:tcPr>
          <w:p w14:paraId="699CB8E4" w14:textId="77777777" w:rsidR="00CB360A" w:rsidRPr="00CB360A" w:rsidRDefault="00CB360A" w:rsidP="00554580">
            <w:pPr>
              <w:jc w:val="center"/>
              <w:rPr>
                <w:rFonts w:eastAsiaTheme="minorHAnsi"/>
                <w:lang w:eastAsia="en-US"/>
              </w:rPr>
            </w:pPr>
            <w:r w:rsidRPr="00CB360A">
              <w:t>- 148 601</w:t>
            </w:r>
          </w:p>
        </w:tc>
        <w:tc>
          <w:tcPr>
            <w:tcW w:w="914" w:type="pct"/>
            <w:tcBorders>
              <w:top w:val="nil"/>
              <w:left w:val="nil"/>
              <w:bottom w:val="outset" w:sz="8" w:space="0" w:color="000000"/>
              <w:right w:val="outset" w:sz="8" w:space="0" w:color="000000"/>
            </w:tcBorders>
            <w:vAlign w:val="center"/>
            <w:hideMark/>
          </w:tcPr>
          <w:p w14:paraId="699CB8E5" w14:textId="77777777" w:rsidR="00CB360A" w:rsidRPr="00CB360A" w:rsidRDefault="00CB360A" w:rsidP="00554580">
            <w:pPr>
              <w:jc w:val="center"/>
              <w:rPr>
                <w:rFonts w:eastAsiaTheme="minorHAnsi"/>
                <w:lang w:eastAsia="en-US"/>
              </w:rPr>
            </w:pPr>
            <w:r w:rsidRPr="00CB360A">
              <w:t>- 146 716</w:t>
            </w:r>
          </w:p>
        </w:tc>
        <w:tc>
          <w:tcPr>
            <w:tcW w:w="984" w:type="pct"/>
            <w:tcBorders>
              <w:top w:val="nil"/>
              <w:left w:val="nil"/>
              <w:bottom w:val="outset" w:sz="8" w:space="0" w:color="000000"/>
              <w:right w:val="outset" w:sz="8" w:space="0" w:color="000000"/>
            </w:tcBorders>
            <w:vAlign w:val="center"/>
            <w:hideMark/>
          </w:tcPr>
          <w:p w14:paraId="699CB8E6" w14:textId="77777777" w:rsidR="00CB360A" w:rsidRPr="00CB360A" w:rsidRDefault="00CB360A" w:rsidP="00554580">
            <w:pPr>
              <w:jc w:val="center"/>
              <w:rPr>
                <w:rFonts w:eastAsiaTheme="minorHAnsi"/>
                <w:lang w:eastAsia="en-US"/>
              </w:rPr>
            </w:pPr>
            <w:r w:rsidRPr="00CB360A">
              <w:t>- 129 664</w:t>
            </w:r>
          </w:p>
        </w:tc>
      </w:tr>
      <w:tr w:rsidR="00CB360A" w:rsidRPr="00CB360A" w14:paraId="699CB8EE" w14:textId="77777777" w:rsidTr="00CB360A">
        <w:trPr>
          <w:gridAfter w:val="1"/>
          <w:wAfter w:w="136" w:type="pct"/>
        </w:trPr>
        <w:tc>
          <w:tcPr>
            <w:tcW w:w="1024"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14:paraId="699CB8E8" w14:textId="77777777" w:rsidR="00CB360A" w:rsidRPr="00CB360A" w:rsidRDefault="00CB360A" w:rsidP="00554580">
            <w:pPr>
              <w:spacing w:before="100" w:beforeAutospacing="1" w:after="100" w:afterAutospacing="1" w:line="276" w:lineRule="auto"/>
            </w:pPr>
            <w:r w:rsidRPr="00CB360A">
              <w:t>3.2. speciālais budžets</w:t>
            </w:r>
          </w:p>
        </w:tc>
        <w:tc>
          <w:tcPr>
            <w:tcW w:w="484" w:type="pct"/>
            <w:tcBorders>
              <w:top w:val="nil"/>
              <w:left w:val="nil"/>
              <w:bottom w:val="outset" w:sz="8" w:space="0" w:color="000000"/>
              <w:right w:val="outset" w:sz="8" w:space="0" w:color="000000"/>
            </w:tcBorders>
            <w:vAlign w:val="center"/>
            <w:hideMark/>
          </w:tcPr>
          <w:p w14:paraId="699CB8E9"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535" w:type="pct"/>
            <w:tcBorders>
              <w:top w:val="nil"/>
              <w:left w:val="nil"/>
              <w:bottom w:val="outset" w:sz="8" w:space="0" w:color="000000"/>
              <w:right w:val="outset" w:sz="8" w:space="0" w:color="000000"/>
            </w:tcBorders>
            <w:vAlign w:val="center"/>
            <w:hideMark/>
          </w:tcPr>
          <w:p w14:paraId="699CB8EA"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923" w:type="pct"/>
            <w:tcBorders>
              <w:top w:val="nil"/>
              <w:left w:val="nil"/>
              <w:bottom w:val="outset" w:sz="8" w:space="0" w:color="000000"/>
              <w:right w:val="outset" w:sz="8" w:space="0" w:color="000000"/>
            </w:tcBorders>
            <w:vAlign w:val="center"/>
            <w:hideMark/>
          </w:tcPr>
          <w:p w14:paraId="699CB8EB"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914" w:type="pct"/>
            <w:tcBorders>
              <w:top w:val="nil"/>
              <w:left w:val="nil"/>
              <w:bottom w:val="outset" w:sz="8" w:space="0" w:color="000000"/>
              <w:right w:val="outset" w:sz="8" w:space="0" w:color="000000"/>
            </w:tcBorders>
            <w:vAlign w:val="center"/>
            <w:hideMark/>
          </w:tcPr>
          <w:p w14:paraId="699CB8EC"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984" w:type="pct"/>
            <w:tcBorders>
              <w:top w:val="nil"/>
              <w:left w:val="nil"/>
              <w:bottom w:val="outset" w:sz="8" w:space="0" w:color="000000"/>
              <w:right w:val="outset" w:sz="8" w:space="0" w:color="000000"/>
            </w:tcBorders>
            <w:vAlign w:val="center"/>
            <w:hideMark/>
          </w:tcPr>
          <w:p w14:paraId="699CB8ED" w14:textId="77777777" w:rsidR="00CB360A" w:rsidRPr="00CB360A" w:rsidRDefault="00CB360A" w:rsidP="00554580">
            <w:pPr>
              <w:jc w:val="center"/>
              <w:rPr>
                <w:rFonts w:eastAsiaTheme="minorHAnsi"/>
                <w:lang w:eastAsia="en-US"/>
              </w:rPr>
            </w:pPr>
            <w:r w:rsidRPr="00CB360A">
              <w:rPr>
                <w:rFonts w:eastAsiaTheme="minorHAnsi"/>
                <w:lang w:eastAsia="en-US"/>
              </w:rPr>
              <w:t>0</w:t>
            </w:r>
          </w:p>
        </w:tc>
      </w:tr>
      <w:tr w:rsidR="00CB360A" w:rsidRPr="00CB360A" w14:paraId="699CB8F5" w14:textId="77777777" w:rsidTr="00CB360A">
        <w:trPr>
          <w:gridAfter w:val="1"/>
          <w:wAfter w:w="136" w:type="pct"/>
        </w:trPr>
        <w:tc>
          <w:tcPr>
            <w:tcW w:w="1024"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14:paraId="699CB8EF" w14:textId="77777777" w:rsidR="00CB360A" w:rsidRPr="00CB360A" w:rsidRDefault="00CB360A" w:rsidP="00554580">
            <w:pPr>
              <w:spacing w:before="100" w:beforeAutospacing="1" w:after="100" w:afterAutospacing="1" w:line="276" w:lineRule="auto"/>
            </w:pPr>
            <w:r w:rsidRPr="00CB360A">
              <w:t>3.3. pašvaldību budžets</w:t>
            </w:r>
          </w:p>
        </w:tc>
        <w:tc>
          <w:tcPr>
            <w:tcW w:w="484" w:type="pct"/>
            <w:tcBorders>
              <w:top w:val="nil"/>
              <w:left w:val="nil"/>
              <w:bottom w:val="outset" w:sz="8" w:space="0" w:color="000000"/>
              <w:right w:val="outset" w:sz="8" w:space="0" w:color="000000"/>
            </w:tcBorders>
            <w:vAlign w:val="center"/>
            <w:hideMark/>
          </w:tcPr>
          <w:p w14:paraId="699CB8F0"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535" w:type="pct"/>
            <w:tcBorders>
              <w:top w:val="nil"/>
              <w:left w:val="nil"/>
              <w:bottom w:val="single" w:sz="4" w:space="0" w:color="auto"/>
              <w:right w:val="outset" w:sz="8" w:space="0" w:color="000000"/>
            </w:tcBorders>
            <w:vAlign w:val="center"/>
            <w:hideMark/>
          </w:tcPr>
          <w:p w14:paraId="699CB8F1"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923" w:type="pct"/>
            <w:tcBorders>
              <w:top w:val="nil"/>
              <w:left w:val="nil"/>
              <w:bottom w:val="single" w:sz="4" w:space="0" w:color="auto"/>
              <w:right w:val="outset" w:sz="8" w:space="0" w:color="000000"/>
            </w:tcBorders>
            <w:vAlign w:val="center"/>
            <w:hideMark/>
          </w:tcPr>
          <w:p w14:paraId="699CB8F2"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914" w:type="pct"/>
            <w:tcBorders>
              <w:top w:val="nil"/>
              <w:left w:val="nil"/>
              <w:bottom w:val="single" w:sz="4" w:space="0" w:color="auto"/>
              <w:right w:val="outset" w:sz="8" w:space="0" w:color="000000"/>
            </w:tcBorders>
            <w:vAlign w:val="center"/>
            <w:hideMark/>
          </w:tcPr>
          <w:p w14:paraId="699CB8F3"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984" w:type="pct"/>
            <w:tcBorders>
              <w:top w:val="nil"/>
              <w:left w:val="nil"/>
              <w:bottom w:val="single" w:sz="4" w:space="0" w:color="auto"/>
              <w:right w:val="outset" w:sz="8" w:space="0" w:color="000000"/>
            </w:tcBorders>
            <w:vAlign w:val="center"/>
            <w:hideMark/>
          </w:tcPr>
          <w:p w14:paraId="699CB8F4" w14:textId="77777777" w:rsidR="00CB360A" w:rsidRPr="00CB360A" w:rsidRDefault="00CB360A" w:rsidP="00554580">
            <w:pPr>
              <w:jc w:val="center"/>
              <w:rPr>
                <w:rFonts w:eastAsiaTheme="minorHAnsi"/>
                <w:lang w:eastAsia="en-US"/>
              </w:rPr>
            </w:pPr>
            <w:r w:rsidRPr="00CB360A">
              <w:rPr>
                <w:rFonts w:eastAsiaTheme="minorHAnsi"/>
                <w:lang w:eastAsia="en-US"/>
              </w:rPr>
              <w:t>0</w:t>
            </w:r>
          </w:p>
        </w:tc>
      </w:tr>
      <w:tr w:rsidR="00CB360A" w:rsidRPr="00CB360A" w14:paraId="699CB8FC" w14:textId="77777777" w:rsidTr="00CB360A">
        <w:trPr>
          <w:gridAfter w:val="1"/>
          <w:wAfter w:w="136" w:type="pct"/>
          <w:trHeight w:val="636"/>
        </w:trPr>
        <w:tc>
          <w:tcPr>
            <w:tcW w:w="1024" w:type="pct"/>
            <w:vMerge w:val="restart"/>
            <w:tcBorders>
              <w:top w:val="nil"/>
              <w:left w:val="outset" w:sz="8" w:space="0" w:color="000000"/>
              <w:right w:val="outset" w:sz="8" w:space="0" w:color="000000"/>
            </w:tcBorders>
            <w:tcMar>
              <w:top w:w="30" w:type="dxa"/>
              <w:left w:w="30" w:type="dxa"/>
              <w:bottom w:w="30" w:type="dxa"/>
              <w:right w:w="30" w:type="dxa"/>
            </w:tcMar>
            <w:hideMark/>
          </w:tcPr>
          <w:p w14:paraId="699CB8F6" w14:textId="77777777" w:rsidR="00CB360A" w:rsidRPr="00CB360A" w:rsidRDefault="00CB360A" w:rsidP="00554580">
            <w:pPr>
              <w:spacing w:before="100" w:beforeAutospacing="1" w:after="100" w:afterAutospacing="1" w:line="276" w:lineRule="auto"/>
            </w:pPr>
            <w:r w:rsidRPr="00CB360A">
              <w:t>4. Finanšu līdzekļi papildu izde</w:t>
            </w:r>
            <w:r w:rsidRPr="00CB360A">
              <w:softHyphen/>
              <w:t>vumu finansēšanai (kompensējošu izdevumu samazinājumu norāda ar "+" zīmi)</w:t>
            </w:r>
          </w:p>
        </w:tc>
        <w:tc>
          <w:tcPr>
            <w:tcW w:w="484" w:type="pct"/>
            <w:vMerge w:val="restart"/>
            <w:tcBorders>
              <w:top w:val="nil"/>
              <w:left w:val="nil"/>
              <w:right w:val="single" w:sz="4" w:space="0" w:color="auto"/>
            </w:tcBorders>
            <w:tcMar>
              <w:top w:w="30" w:type="dxa"/>
              <w:left w:w="30" w:type="dxa"/>
              <w:bottom w:w="30" w:type="dxa"/>
              <w:right w:w="30" w:type="dxa"/>
            </w:tcMar>
            <w:vAlign w:val="center"/>
            <w:hideMark/>
          </w:tcPr>
          <w:p w14:paraId="699CB8F7" w14:textId="77777777" w:rsidR="00CB360A" w:rsidRPr="00CB360A" w:rsidRDefault="00CB360A" w:rsidP="00554580">
            <w:pPr>
              <w:spacing w:before="100" w:beforeAutospacing="1" w:after="100" w:afterAutospacing="1" w:line="276" w:lineRule="auto"/>
              <w:jc w:val="center"/>
            </w:pPr>
            <w:r w:rsidRPr="00CB360A">
              <w:t>X</w:t>
            </w:r>
          </w:p>
        </w:tc>
        <w:tc>
          <w:tcPr>
            <w:tcW w:w="53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699CB8F8" w14:textId="77777777" w:rsidR="00CB360A" w:rsidRPr="00CB360A" w:rsidRDefault="00CB360A" w:rsidP="00554580">
            <w:pPr>
              <w:spacing w:line="276" w:lineRule="auto"/>
              <w:jc w:val="center"/>
            </w:pPr>
            <w:r w:rsidRPr="00CB360A">
              <w:t>0</w:t>
            </w:r>
          </w:p>
        </w:tc>
        <w:tc>
          <w:tcPr>
            <w:tcW w:w="923"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699CB8F9" w14:textId="77777777" w:rsidR="00CB360A" w:rsidRPr="00CB360A" w:rsidRDefault="00CB360A" w:rsidP="00554580">
            <w:pPr>
              <w:spacing w:line="276" w:lineRule="auto"/>
              <w:jc w:val="center"/>
            </w:pPr>
            <w:r w:rsidRPr="00CB360A">
              <w:t>0</w:t>
            </w:r>
          </w:p>
        </w:tc>
        <w:tc>
          <w:tcPr>
            <w:tcW w:w="914"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699CB8FA" w14:textId="77777777" w:rsidR="00CB360A" w:rsidRPr="00CB360A" w:rsidRDefault="00CB360A" w:rsidP="00554580">
            <w:pPr>
              <w:spacing w:line="276" w:lineRule="auto"/>
              <w:jc w:val="center"/>
            </w:pPr>
            <w:r w:rsidRPr="00CB360A">
              <w:t>0</w:t>
            </w:r>
          </w:p>
        </w:tc>
        <w:tc>
          <w:tcPr>
            <w:tcW w:w="984"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699CB8FB" w14:textId="77777777" w:rsidR="00CB360A" w:rsidRPr="00CB360A" w:rsidRDefault="00CB360A" w:rsidP="00554580">
            <w:pPr>
              <w:spacing w:line="276" w:lineRule="auto"/>
              <w:jc w:val="center"/>
            </w:pPr>
            <w:r w:rsidRPr="00CB360A">
              <w:t>0</w:t>
            </w:r>
          </w:p>
        </w:tc>
      </w:tr>
      <w:tr w:rsidR="00CB360A" w:rsidRPr="00CB360A" w14:paraId="699CB903" w14:textId="77777777" w:rsidTr="00CB360A">
        <w:trPr>
          <w:gridAfter w:val="1"/>
          <w:wAfter w:w="136" w:type="pct"/>
          <w:trHeight w:val="633"/>
        </w:trPr>
        <w:tc>
          <w:tcPr>
            <w:tcW w:w="1024" w:type="pct"/>
            <w:vMerge/>
            <w:tcBorders>
              <w:left w:val="outset" w:sz="8" w:space="0" w:color="000000"/>
              <w:right w:val="outset" w:sz="8" w:space="0" w:color="000000"/>
            </w:tcBorders>
            <w:tcMar>
              <w:top w:w="30" w:type="dxa"/>
              <w:left w:w="30" w:type="dxa"/>
              <w:bottom w:w="30" w:type="dxa"/>
              <w:right w:w="30" w:type="dxa"/>
            </w:tcMar>
          </w:tcPr>
          <w:p w14:paraId="699CB8FD" w14:textId="77777777" w:rsidR="00CB360A" w:rsidRPr="00CB360A" w:rsidRDefault="00CB360A" w:rsidP="00554580">
            <w:pPr>
              <w:spacing w:before="100" w:beforeAutospacing="1" w:after="100" w:afterAutospacing="1" w:line="276" w:lineRule="auto"/>
            </w:pPr>
          </w:p>
        </w:tc>
        <w:tc>
          <w:tcPr>
            <w:tcW w:w="484" w:type="pct"/>
            <w:vMerge/>
            <w:tcBorders>
              <w:left w:val="nil"/>
              <w:right w:val="single" w:sz="4" w:space="0" w:color="auto"/>
            </w:tcBorders>
            <w:tcMar>
              <w:top w:w="30" w:type="dxa"/>
              <w:left w:w="30" w:type="dxa"/>
              <w:bottom w:w="30" w:type="dxa"/>
              <w:right w:w="30" w:type="dxa"/>
            </w:tcMar>
            <w:vAlign w:val="center"/>
          </w:tcPr>
          <w:p w14:paraId="699CB8FE" w14:textId="77777777" w:rsidR="00CB360A" w:rsidRPr="00CB360A" w:rsidRDefault="00CB360A" w:rsidP="00554580">
            <w:pPr>
              <w:spacing w:before="100" w:beforeAutospacing="1" w:after="100" w:afterAutospacing="1" w:line="276" w:lineRule="auto"/>
              <w:jc w:val="center"/>
            </w:pPr>
          </w:p>
        </w:tc>
        <w:tc>
          <w:tcPr>
            <w:tcW w:w="53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14:paraId="699CB8FF" w14:textId="77777777" w:rsidR="00CB360A" w:rsidRPr="00CB360A" w:rsidRDefault="00CB360A" w:rsidP="00554580">
            <w:pPr>
              <w:spacing w:line="276" w:lineRule="auto"/>
              <w:jc w:val="center"/>
            </w:pPr>
            <w:r w:rsidRPr="00CB360A">
              <w:rPr>
                <w:rFonts w:eastAsiaTheme="minorHAnsi"/>
                <w:lang w:eastAsia="en-US"/>
              </w:rPr>
              <w:t>0</w:t>
            </w:r>
          </w:p>
        </w:tc>
        <w:tc>
          <w:tcPr>
            <w:tcW w:w="923"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14:paraId="699CB900" w14:textId="77777777" w:rsidR="00CB360A" w:rsidRPr="00CB360A" w:rsidRDefault="00CB360A" w:rsidP="00554580">
            <w:pPr>
              <w:spacing w:line="276" w:lineRule="auto"/>
              <w:jc w:val="center"/>
            </w:pPr>
            <w:r w:rsidRPr="00CB360A">
              <w:rPr>
                <w:rFonts w:eastAsiaTheme="minorHAnsi"/>
                <w:lang w:eastAsia="en-US"/>
              </w:rPr>
              <w:t>0</w:t>
            </w:r>
          </w:p>
        </w:tc>
        <w:tc>
          <w:tcPr>
            <w:tcW w:w="914"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14:paraId="699CB901" w14:textId="77777777" w:rsidR="00CB360A" w:rsidRPr="00CB360A" w:rsidRDefault="00CB360A" w:rsidP="00554580">
            <w:pPr>
              <w:spacing w:line="276" w:lineRule="auto"/>
              <w:jc w:val="center"/>
            </w:pPr>
            <w:r w:rsidRPr="00CB360A">
              <w:rPr>
                <w:rFonts w:eastAsiaTheme="minorHAnsi"/>
                <w:lang w:eastAsia="en-US"/>
              </w:rPr>
              <w:t>0</w:t>
            </w:r>
          </w:p>
        </w:tc>
        <w:tc>
          <w:tcPr>
            <w:tcW w:w="984"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14:paraId="699CB902" w14:textId="77777777" w:rsidR="00CB360A" w:rsidRPr="00CB360A" w:rsidRDefault="00CB360A" w:rsidP="00554580">
            <w:pPr>
              <w:spacing w:line="276" w:lineRule="auto"/>
              <w:jc w:val="center"/>
            </w:pPr>
            <w:r w:rsidRPr="00CB360A">
              <w:rPr>
                <w:rFonts w:eastAsiaTheme="minorHAnsi"/>
                <w:lang w:eastAsia="en-US"/>
              </w:rPr>
              <w:t>0</w:t>
            </w:r>
          </w:p>
        </w:tc>
      </w:tr>
      <w:tr w:rsidR="00CB360A" w:rsidRPr="00CB360A" w14:paraId="699CB90A" w14:textId="77777777" w:rsidTr="00CB360A">
        <w:trPr>
          <w:gridAfter w:val="1"/>
          <w:wAfter w:w="136" w:type="pct"/>
          <w:trHeight w:val="633"/>
        </w:trPr>
        <w:tc>
          <w:tcPr>
            <w:tcW w:w="1024" w:type="pct"/>
            <w:vMerge/>
            <w:tcBorders>
              <w:left w:val="outset" w:sz="8" w:space="0" w:color="000000"/>
              <w:right w:val="outset" w:sz="8" w:space="0" w:color="000000"/>
            </w:tcBorders>
            <w:tcMar>
              <w:top w:w="30" w:type="dxa"/>
              <w:left w:w="30" w:type="dxa"/>
              <w:bottom w:w="30" w:type="dxa"/>
              <w:right w:w="30" w:type="dxa"/>
            </w:tcMar>
          </w:tcPr>
          <w:p w14:paraId="699CB904" w14:textId="77777777" w:rsidR="00CB360A" w:rsidRPr="00CB360A" w:rsidRDefault="00CB360A" w:rsidP="00554580">
            <w:pPr>
              <w:spacing w:before="100" w:beforeAutospacing="1" w:after="100" w:afterAutospacing="1" w:line="276" w:lineRule="auto"/>
            </w:pPr>
          </w:p>
        </w:tc>
        <w:tc>
          <w:tcPr>
            <w:tcW w:w="484" w:type="pct"/>
            <w:vMerge/>
            <w:tcBorders>
              <w:left w:val="nil"/>
              <w:right w:val="single" w:sz="4" w:space="0" w:color="auto"/>
            </w:tcBorders>
            <w:tcMar>
              <w:top w:w="30" w:type="dxa"/>
              <w:left w:w="30" w:type="dxa"/>
              <w:bottom w:w="30" w:type="dxa"/>
              <w:right w:w="30" w:type="dxa"/>
            </w:tcMar>
            <w:vAlign w:val="center"/>
          </w:tcPr>
          <w:p w14:paraId="699CB905" w14:textId="77777777" w:rsidR="00CB360A" w:rsidRPr="00CB360A" w:rsidRDefault="00CB360A" w:rsidP="00554580">
            <w:pPr>
              <w:spacing w:before="100" w:beforeAutospacing="1" w:after="100" w:afterAutospacing="1" w:line="276" w:lineRule="auto"/>
              <w:jc w:val="center"/>
            </w:pPr>
          </w:p>
        </w:tc>
        <w:tc>
          <w:tcPr>
            <w:tcW w:w="53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14:paraId="699CB906" w14:textId="77777777" w:rsidR="00CB360A" w:rsidRPr="00CB360A" w:rsidRDefault="00CB360A" w:rsidP="00554580">
            <w:pPr>
              <w:spacing w:line="276" w:lineRule="auto"/>
              <w:jc w:val="center"/>
            </w:pPr>
            <w:r w:rsidRPr="00CB360A">
              <w:rPr>
                <w:rFonts w:eastAsiaTheme="minorHAnsi"/>
                <w:lang w:eastAsia="en-US"/>
              </w:rPr>
              <w:t>0</w:t>
            </w:r>
          </w:p>
        </w:tc>
        <w:tc>
          <w:tcPr>
            <w:tcW w:w="923"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14:paraId="699CB907" w14:textId="77777777" w:rsidR="00CB360A" w:rsidRPr="00CB360A" w:rsidRDefault="00CB360A" w:rsidP="00554580">
            <w:pPr>
              <w:spacing w:line="276" w:lineRule="auto"/>
              <w:jc w:val="center"/>
            </w:pPr>
            <w:r w:rsidRPr="00CB360A">
              <w:rPr>
                <w:rFonts w:eastAsiaTheme="minorHAnsi"/>
                <w:lang w:eastAsia="en-US"/>
              </w:rPr>
              <w:t>0</w:t>
            </w:r>
          </w:p>
        </w:tc>
        <w:tc>
          <w:tcPr>
            <w:tcW w:w="914"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14:paraId="699CB908" w14:textId="77777777" w:rsidR="00CB360A" w:rsidRPr="00CB360A" w:rsidRDefault="00CB360A" w:rsidP="00554580">
            <w:pPr>
              <w:spacing w:line="276" w:lineRule="auto"/>
              <w:jc w:val="center"/>
            </w:pPr>
            <w:r w:rsidRPr="00CB360A">
              <w:rPr>
                <w:rFonts w:eastAsiaTheme="minorHAnsi"/>
                <w:lang w:eastAsia="en-US"/>
              </w:rPr>
              <w:t>0</w:t>
            </w:r>
          </w:p>
        </w:tc>
        <w:tc>
          <w:tcPr>
            <w:tcW w:w="984"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14:paraId="699CB909" w14:textId="77777777" w:rsidR="00CB360A" w:rsidRPr="00CB360A" w:rsidRDefault="00CB360A" w:rsidP="00554580">
            <w:pPr>
              <w:spacing w:line="276" w:lineRule="auto"/>
              <w:jc w:val="center"/>
            </w:pPr>
            <w:r w:rsidRPr="00CB360A">
              <w:rPr>
                <w:rFonts w:eastAsiaTheme="minorHAnsi"/>
                <w:lang w:eastAsia="en-US"/>
              </w:rPr>
              <w:t>0</w:t>
            </w:r>
          </w:p>
        </w:tc>
      </w:tr>
      <w:tr w:rsidR="00CB360A" w:rsidRPr="00CB360A" w14:paraId="699CB911" w14:textId="77777777" w:rsidTr="00CB360A">
        <w:trPr>
          <w:gridAfter w:val="1"/>
          <w:wAfter w:w="136" w:type="pct"/>
          <w:trHeight w:val="633"/>
        </w:trPr>
        <w:tc>
          <w:tcPr>
            <w:tcW w:w="1024" w:type="pct"/>
            <w:vMerge/>
            <w:tcBorders>
              <w:left w:val="outset" w:sz="8" w:space="0" w:color="000000"/>
              <w:bottom w:val="outset" w:sz="8" w:space="0" w:color="000000"/>
              <w:right w:val="outset" w:sz="8" w:space="0" w:color="000000"/>
            </w:tcBorders>
            <w:tcMar>
              <w:top w:w="30" w:type="dxa"/>
              <w:left w:w="30" w:type="dxa"/>
              <w:bottom w:w="30" w:type="dxa"/>
              <w:right w:w="30" w:type="dxa"/>
            </w:tcMar>
          </w:tcPr>
          <w:p w14:paraId="699CB90B" w14:textId="77777777" w:rsidR="00CB360A" w:rsidRPr="00CB360A" w:rsidRDefault="00CB360A" w:rsidP="00554580">
            <w:pPr>
              <w:spacing w:before="100" w:beforeAutospacing="1" w:after="100" w:afterAutospacing="1" w:line="276" w:lineRule="auto"/>
            </w:pPr>
          </w:p>
        </w:tc>
        <w:tc>
          <w:tcPr>
            <w:tcW w:w="484" w:type="pct"/>
            <w:vMerge/>
            <w:tcBorders>
              <w:left w:val="nil"/>
              <w:bottom w:val="outset" w:sz="8" w:space="0" w:color="000000"/>
              <w:right w:val="single" w:sz="4" w:space="0" w:color="auto"/>
            </w:tcBorders>
            <w:tcMar>
              <w:top w:w="30" w:type="dxa"/>
              <w:left w:w="30" w:type="dxa"/>
              <w:bottom w:w="30" w:type="dxa"/>
              <w:right w:w="30" w:type="dxa"/>
            </w:tcMar>
            <w:vAlign w:val="center"/>
          </w:tcPr>
          <w:p w14:paraId="699CB90C" w14:textId="77777777" w:rsidR="00CB360A" w:rsidRPr="00CB360A" w:rsidRDefault="00CB360A" w:rsidP="00554580">
            <w:pPr>
              <w:spacing w:before="100" w:beforeAutospacing="1" w:after="100" w:afterAutospacing="1" w:line="276" w:lineRule="auto"/>
              <w:jc w:val="center"/>
            </w:pPr>
          </w:p>
        </w:tc>
        <w:tc>
          <w:tcPr>
            <w:tcW w:w="535"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14:paraId="699CB90D" w14:textId="77777777" w:rsidR="00CB360A" w:rsidRPr="00CB360A" w:rsidRDefault="00CB360A" w:rsidP="00554580">
            <w:pPr>
              <w:spacing w:line="276" w:lineRule="auto"/>
              <w:jc w:val="center"/>
            </w:pPr>
            <w:r w:rsidRPr="00CB360A">
              <w:rPr>
                <w:rFonts w:eastAsiaTheme="minorHAnsi"/>
                <w:lang w:eastAsia="en-US"/>
              </w:rPr>
              <w:t>0</w:t>
            </w:r>
          </w:p>
        </w:tc>
        <w:tc>
          <w:tcPr>
            <w:tcW w:w="923"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14:paraId="699CB90E" w14:textId="77777777" w:rsidR="00CB360A" w:rsidRPr="00CB360A" w:rsidRDefault="00CB360A" w:rsidP="00554580">
            <w:pPr>
              <w:spacing w:line="276" w:lineRule="auto"/>
              <w:jc w:val="center"/>
            </w:pPr>
            <w:r w:rsidRPr="00CB360A">
              <w:rPr>
                <w:rFonts w:eastAsiaTheme="minorHAnsi"/>
                <w:lang w:eastAsia="en-US"/>
              </w:rPr>
              <w:t>0</w:t>
            </w:r>
          </w:p>
        </w:tc>
        <w:tc>
          <w:tcPr>
            <w:tcW w:w="914"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14:paraId="699CB90F" w14:textId="77777777" w:rsidR="00CB360A" w:rsidRPr="00CB360A" w:rsidRDefault="00CB360A" w:rsidP="00554580">
            <w:pPr>
              <w:spacing w:line="276" w:lineRule="auto"/>
              <w:jc w:val="center"/>
            </w:pPr>
            <w:r w:rsidRPr="00CB360A">
              <w:rPr>
                <w:rFonts w:eastAsiaTheme="minorHAnsi"/>
                <w:lang w:eastAsia="en-US"/>
              </w:rPr>
              <w:t>0</w:t>
            </w:r>
          </w:p>
        </w:tc>
        <w:tc>
          <w:tcPr>
            <w:tcW w:w="984"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14:paraId="699CB910" w14:textId="77777777" w:rsidR="00CB360A" w:rsidRPr="00CB360A" w:rsidRDefault="00CB360A" w:rsidP="00554580">
            <w:pPr>
              <w:spacing w:line="276" w:lineRule="auto"/>
              <w:jc w:val="center"/>
            </w:pPr>
            <w:r w:rsidRPr="00CB360A">
              <w:rPr>
                <w:rFonts w:eastAsiaTheme="minorHAnsi"/>
                <w:lang w:eastAsia="en-US"/>
              </w:rPr>
              <w:t>0</w:t>
            </w:r>
          </w:p>
        </w:tc>
      </w:tr>
      <w:tr w:rsidR="00CB360A" w:rsidRPr="00CB360A" w14:paraId="699CB918" w14:textId="77777777" w:rsidTr="00CB360A">
        <w:trPr>
          <w:gridAfter w:val="1"/>
          <w:wAfter w:w="136" w:type="pct"/>
        </w:trPr>
        <w:tc>
          <w:tcPr>
            <w:tcW w:w="1024"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14:paraId="699CB912" w14:textId="77777777" w:rsidR="00CB360A" w:rsidRPr="00CB360A" w:rsidRDefault="00CB360A" w:rsidP="00554580">
            <w:pPr>
              <w:spacing w:before="100" w:beforeAutospacing="1" w:after="100" w:afterAutospacing="1" w:line="276" w:lineRule="auto"/>
            </w:pPr>
            <w:r w:rsidRPr="00CB360A">
              <w:t>5. Precizēta finansiālā ietekme:</w:t>
            </w:r>
          </w:p>
        </w:tc>
        <w:tc>
          <w:tcPr>
            <w:tcW w:w="484" w:type="pct"/>
            <w:vMerge w:val="restart"/>
            <w:tcBorders>
              <w:top w:val="nil"/>
              <w:left w:val="nil"/>
              <w:bottom w:val="outset" w:sz="8" w:space="0" w:color="000000"/>
              <w:right w:val="outset" w:sz="8" w:space="0" w:color="000000"/>
            </w:tcBorders>
            <w:tcMar>
              <w:top w:w="30" w:type="dxa"/>
              <w:left w:w="30" w:type="dxa"/>
              <w:bottom w:w="30" w:type="dxa"/>
              <w:right w:w="30" w:type="dxa"/>
            </w:tcMar>
            <w:vAlign w:val="center"/>
            <w:hideMark/>
          </w:tcPr>
          <w:p w14:paraId="699CB913" w14:textId="77777777" w:rsidR="00CB360A" w:rsidRPr="00CB360A" w:rsidRDefault="00CB360A" w:rsidP="00554580">
            <w:pPr>
              <w:spacing w:before="100" w:beforeAutospacing="1" w:after="100" w:afterAutospacing="1" w:line="276" w:lineRule="auto"/>
              <w:jc w:val="center"/>
            </w:pPr>
            <w:r w:rsidRPr="00CB360A">
              <w:t>X</w:t>
            </w:r>
          </w:p>
        </w:tc>
        <w:tc>
          <w:tcPr>
            <w:tcW w:w="535" w:type="pct"/>
            <w:tcBorders>
              <w:top w:val="single" w:sz="4" w:space="0" w:color="auto"/>
              <w:left w:val="nil"/>
              <w:bottom w:val="outset" w:sz="8" w:space="0" w:color="000000"/>
              <w:right w:val="outset" w:sz="8" w:space="0" w:color="000000"/>
            </w:tcBorders>
            <w:tcMar>
              <w:top w:w="30" w:type="dxa"/>
              <w:left w:w="30" w:type="dxa"/>
              <w:bottom w:w="30" w:type="dxa"/>
              <w:right w:w="30" w:type="dxa"/>
            </w:tcMar>
            <w:vAlign w:val="center"/>
            <w:hideMark/>
          </w:tcPr>
          <w:p w14:paraId="699CB914" w14:textId="77777777" w:rsidR="00CB360A" w:rsidRPr="00CB360A" w:rsidRDefault="00CB360A" w:rsidP="00554580">
            <w:pPr>
              <w:spacing w:line="276" w:lineRule="auto"/>
              <w:jc w:val="center"/>
            </w:pPr>
            <w:r w:rsidRPr="00CB360A">
              <w:t>0</w:t>
            </w:r>
          </w:p>
        </w:tc>
        <w:tc>
          <w:tcPr>
            <w:tcW w:w="923" w:type="pct"/>
            <w:tcBorders>
              <w:top w:val="single" w:sz="4" w:space="0" w:color="auto"/>
              <w:left w:val="nil"/>
              <w:bottom w:val="outset" w:sz="8" w:space="0" w:color="000000"/>
              <w:right w:val="outset" w:sz="8" w:space="0" w:color="000000"/>
            </w:tcBorders>
            <w:tcMar>
              <w:top w:w="30" w:type="dxa"/>
              <w:left w:w="30" w:type="dxa"/>
              <w:bottom w:w="30" w:type="dxa"/>
              <w:right w:w="30" w:type="dxa"/>
            </w:tcMar>
            <w:vAlign w:val="center"/>
            <w:hideMark/>
          </w:tcPr>
          <w:p w14:paraId="699CB915" w14:textId="77777777" w:rsidR="00CB360A" w:rsidRPr="00CB360A" w:rsidRDefault="00CB360A" w:rsidP="00554580">
            <w:pPr>
              <w:spacing w:line="276" w:lineRule="auto"/>
              <w:jc w:val="center"/>
            </w:pPr>
            <w:r w:rsidRPr="00CB360A">
              <w:t>0</w:t>
            </w:r>
          </w:p>
        </w:tc>
        <w:tc>
          <w:tcPr>
            <w:tcW w:w="914" w:type="pct"/>
            <w:tcBorders>
              <w:top w:val="single" w:sz="4" w:space="0" w:color="auto"/>
              <w:left w:val="nil"/>
              <w:bottom w:val="outset" w:sz="8" w:space="0" w:color="000000"/>
              <w:right w:val="outset" w:sz="8" w:space="0" w:color="000000"/>
            </w:tcBorders>
            <w:tcMar>
              <w:top w:w="30" w:type="dxa"/>
              <w:left w:w="30" w:type="dxa"/>
              <w:bottom w:w="30" w:type="dxa"/>
              <w:right w:w="30" w:type="dxa"/>
            </w:tcMar>
            <w:vAlign w:val="center"/>
            <w:hideMark/>
          </w:tcPr>
          <w:p w14:paraId="699CB916" w14:textId="77777777" w:rsidR="00CB360A" w:rsidRPr="00CB360A" w:rsidRDefault="00CB360A" w:rsidP="00554580">
            <w:pPr>
              <w:spacing w:line="276" w:lineRule="auto"/>
              <w:jc w:val="center"/>
            </w:pPr>
            <w:r w:rsidRPr="00CB360A">
              <w:t>0</w:t>
            </w:r>
          </w:p>
        </w:tc>
        <w:tc>
          <w:tcPr>
            <w:tcW w:w="984" w:type="pct"/>
            <w:tcBorders>
              <w:top w:val="single" w:sz="4" w:space="0" w:color="auto"/>
              <w:left w:val="nil"/>
              <w:bottom w:val="outset" w:sz="8" w:space="0" w:color="000000"/>
              <w:right w:val="outset" w:sz="8" w:space="0" w:color="000000"/>
            </w:tcBorders>
            <w:tcMar>
              <w:top w:w="30" w:type="dxa"/>
              <w:left w:w="30" w:type="dxa"/>
              <w:bottom w:w="30" w:type="dxa"/>
              <w:right w:w="30" w:type="dxa"/>
            </w:tcMar>
            <w:vAlign w:val="center"/>
            <w:hideMark/>
          </w:tcPr>
          <w:p w14:paraId="699CB917" w14:textId="77777777" w:rsidR="00CB360A" w:rsidRPr="00CB360A" w:rsidRDefault="00CB360A" w:rsidP="00554580">
            <w:pPr>
              <w:spacing w:line="276" w:lineRule="auto"/>
              <w:jc w:val="center"/>
            </w:pPr>
            <w:r w:rsidRPr="00CB360A">
              <w:t>0</w:t>
            </w:r>
          </w:p>
        </w:tc>
      </w:tr>
      <w:tr w:rsidR="00CB360A" w:rsidRPr="00CB360A" w14:paraId="699CB91F" w14:textId="77777777" w:rsidTr="00CB360A">
        <w:trPr>
          <w:gridAfter w:val="1"/>
          <w:wAfter w:w="136" w:type="pct"/>
        </w:trPr>
        <w:tc>
          <w:tcPr>
            <w:tcW w:w="1024"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14:paraId="699CB919" w14:textId="77777777" w:rsidR="00CB360A" w:rsidRPr="00CB360A" w:rsidRDefault="00CB360A" w:rsidP="00554580">
            <w:pPr>
              <w:spacing w:before="100" w:beforeAutospacing="1" w:after="100" w:afterAutospacing="1" w:line="276" w:lineRule="auto"/>
            </w:pPr>
            <w:r w:rsidRPr="00CB360A">
              <w:t>5.1. valsts pamatbudžets</w:t>
            </w:r>
          </w:p>
        </w:tc>
        <w:tc>
          <w:tcPr>
            <w:tcW w:w="484" w:type="pct"/>
            <w:vMerge/>
            <w:tcBorders>
              <w:top w:val="nil"/>
              <w:left w:val="nil"/>
              <w:bottom w:val="outset" w:sz="8" w:space="0" w:color="000000"/>
              <w:right w:val="outset" w:sz="8" w:space="0" w:color="000000"/>
            </w:tcBorders>
            <w:vAlign w:val="center"/>
            <w:hideMark/>
          </w:tcPr>
          <w:p w14:paraId="699CB91A" w14:textId="77777777" w:rsidR="00CB360A" w:rsidRPr="00CB360A" w:rsidRDefault="00CB360A" w:rsidP="00554580">
            <w:pPr>
              <w:rPr>
                <w:rFonts w:eastAsiaTheme="minorHAnsi"/>
                <w:lang w:eastAsia="en-US"/>
              </w:rPr>
            </w:pPr>
          </w:p>
        </w:tc>
        <w:tc>
          <w:tcPr>
            <w:tcW w:w="535" w:type="pct"/>
            <w:tcBorders>
              <w:top w:val="outset" w:sz="8" w:space="0" w:color="000000"/>
              <w:left w:val="nil"/>
              <w:bottom w:val="outset" w:sz="8" w:space="0" w:color="000000"/>
              <w:right w:val="outset" w:sz="8" w:space="0" w:color="000000"/>
            </w:tcBorders>
            <w:vAlign w:val="center"/>
            <w:hideMark/>
          </w:tcPr>
          <w:p w14:paraId="699CB91B"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923" w:type="pct"/>
            <w:tcBorders>
              <w:top w:val="outset" w:sz="8" w:space="0" w:color="000000"/>
              <w:left w:val="nil"/>
              <w:bottom w:val="outset" w:sz="8" w:space="0" w:color="000000"/>
              <w:right w:val="outset" w:sz="8" w:space="0" w:color="000000"/>
            </w:tcBorders>
            <w:vAlign w:val="center"/>
            <w:hideMark/>
          </w:tcPr>
          <w:p w14:paraId="699CB91C"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914" w:type="pct"/>
            <w:tcBorders>
              <w:top w:val="outset" w:sz="8" w:space="0" w:color="000000"/>
              <w:left w:val="nil"/>
              <w:bottom w:val="outset" w:sz="8" w:space="0" w:color="000000"/>
              <w:right w:val="outset" w:sz="8" w:space="0" w:color="000000"/>
            </w:tcBorders>
            <w:vAlign w:val="center"/>
            <w:hideMark/>
          </w:tcPr>
          <w:p w14:paraId="699CB91D"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984" w:type="pct"/>
            <w:tcBorders>
              <w:top w:val="outset" w:sz="8" w:space="0" w:color="000000"/>
              <w:left w:val="nil"/>
              <w:bottom w:val="outset" w:sz="8" w:space="0" w:color="000000"/>
              <w:right w:val="outset" w:sz="8" w:space="0" w:color="000000"/>
            </w:tcBorders>
            <w:vAlign w:val="center"/>
            <w:hideMark/>
          </w:tcPr>
          <w:p w14:paraId="699CB91E" w14:textId="77777777" w:rsidR="00CB360A" w:rsidRPr="00CB360A" w:rsidRDefault="00CB360A" w:rsidP="00554580">
            <w:pPr>
              <w:jc w:val="center"/>
              <w:rPr>
                <w:rFonts w:eastAsiaTheme="minorHAnsi"/>
                <w:lang w:eastAsia="en-US"/>
              </w:rPr>
            </w:pPr>
            <w:r w:rsidRPr="00CB360A">
              <w:rPr>
                <w:rFonts w:eastAsiaTheme="minorHAnsi"/>
                <w:lang w:eastAsia="en-US"/>
              </w:rPr>
              <w:t>0</w:t>
            </w:r>
          </w:p>
        </w:tc>
      </w:tr>
      <w:tr w:rsidR="00CB360A" w:rsidRPr="00CB360A" w14:paraId="699CB927" w14:textId="77777777" w:rsidTr="00CB360A">
        <w:tc>
          <w:tcPr>
            <w:tcW w:w="1024"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14:paraId="699CB920" w14:textId="77777777" w:rsidR="00CB360A" w:rsidRPr="00CB360A" w:rsidRDefault="00CB360A" w:rsidP="00554580">
            <w:pPr>
              <w:spacing w:before="100" w:beforeAutospacing="1" w:after="100" w:afterAutospacing="1" w:line="276" w:lineRule="auto"/>
            </w:pPr>
            <w:r w:rsidRPr="00CB360A">
              <w:t>5.2. speciālais budžets</w:t>
            </w:r>
          </w:p>
        </w:tc>
        <w:tc>
          <w:tcPr>
            <w:tcW w:w="484" w:type="pct"/>
            <w:vMerge/>
            <w:tcBorders>
              <w:top w:val="nil"/>
              <w:left w:val="nil"/>
              <w:bottom w:val="outset" w:sz="8" w:space="0" w:color="000000"/>
              <w:right w:val="outset" w:sz="8" w:space="0" w:color="000000"/>
            </w:tcBorders>
            <w:vAlign w:val="center"/>
            <w:hideMark/>
          </w:tcPr>
          <w:p w14:paraId="699CB921" w14:textId="77777777" w:rsidR="00CB360A" w:rsidRPr="00CB360A" w:rsidRDefault="00CB360A" w:rsidP="00554580">
            <w:pPr>
              <w:rPr>
                <w:rFonts w:eastAsiaTheme="minorHAnsi"/>
                <w:lang w:eastAsia="en-US"/>
              </w:rPr>
            </w:pPr>
          </w:p>
        </w:tc>
        <w:tc>
          <w:tcPr>
            <w:tcW w:w="535" w:type="pct"/>
            <w:tcBorders>
              <w:top w:val="outset" w:sz="8" w:space="0" w:color="000000"/>
              <w:left w:val="nil"/>
              <w:bottom w:val="outset" w:sz="8" w:space="0" w:color="000000"/>
              <w:right w:val="outset" w:sz="8" w:space="0" w:color="000000"/>
            </w:tcBorders>
            <w:vAlign w:val="center"/>
            <w:hideMark/>
          </w:tcPr>
          <w:p w14:paraId="699CB922"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923" w:type="pct"/>
            <w:tcBorders>
              <w:top w:val="outset" w:sz="8" w:space="0" w:color="000000"/>
              <w:left w:val="nil"/>
              <w:bottom w:val="outset" w:sz="8" w:space="0" w:color="000000"/>
              <w:right w:val="outset" w:sz="8" w:space="0" w:color="000000"/>
            </w:tcBorders>
            <w:vAlign w:val="center"/>
            <w:hideMark/>
          </w:tcPr>
          <w:p w14:paraId="699CB923"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914" w:type="pct"/>
            <w:tcBorders>
              <w:top w:val="outset" w:sz="8" w:space="0" w:color="000000"/>
              <w:left w:val="nil"/>
              <w:bottom w:val="outset" w:sz="8" w:space="0" w:color="000000"/>
              <w:right w:val="outset" w:sz="8" w:space="0" w:color="000000"/>
            </w:tcBorders>
            <w:vAlign w:val="center"/>
            <w:hideMark/>
          </w:tcPr>
          <w:p w14:paraId="699CB924"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984" w:type="pct"/>
            <w:tcBorders>
              <w:top w:val="outset" w:sz="8" w:space="0" w:color="000000"/>
              <w:left w:val="nil"/>
              <w:bottom w:val="outset" w:sz="8" w:space="0" w:color="000000"/>
              <w:right w:val="outset" w:sz="8" w:space="0" w:color="000000"/>
            </w:tcBorders>
            <w:vAlign w:val="center"/>
            <w:hideMark/>
          </w:tcPr>
          <w:p w14:paraId="699CB925"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136" w:type="pct"/>
            <w:vAlign w:val="center"/>
          </w:tcPr>
          <w:p w14:paraId="699CB926" w14:textId="77777777" w:rsidR="00CB360A" w:rsidRPr="00CB360A" w:rsidRDefault="00CB360A" w:rsidP="00554580">
            <w:pPr>
              <w:spacing w:after="200" w:line="276" w:lineRule="auto"/>
            </w:pPr>
          </w:p>
        </w:tc>
      </w:tr>
      <w:tr w:rsidR="00CB360A" w:rsidRPr="00CB360A" w14:paraId="699CB92F" w14:textId="77777777" w:rsidTr="00CB360A">
        <w:tc>
          <w:tcPr>
            <w:tcW w:w="1024"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14:paraId="699CB928" w14:textId="77777777" w:rsidR="00CB360A" w:rsidRPr="00CB360A" w:rsidRDefault="00CB360A" w:rsidP="00554580">
            <w:pPr>
              <w:spacing w:before="100" w:beforeAutospacing="1" w:after="100" w:afterAutospacing="1" w:line="276" w:lineRule="auto"/>
            </w:pPr>
            <w:r w:rsidRPr="00CB360A">
              <w:t>5.3. pašvaldību budžets</w:t>
            </w:r>
          </w:p>
        </w:tc>
        <w:tc>
          <w:tcPr>
            <w:tcW w:w="484" w:type="pct"/>
            <w:vMerge/>
            <w:tcBorders>
              <w:top w:val="nil"/>
              <w:left w:val="nil"/>
              <w:bottom w:val="outset" w:sz="8" w:space="0" w:color="000000"/>
              <w:right w:val="outset" w:sz="8" w:space="0" w:color="000000"/>
            </w:tcBorders>
            <w:vAlign w:val="center"/>
            <w:hideMark/>
          </w:tcPr>
          <w:p w14:paraId="699CB929" w14:textId="77777777" w:rsidR="00CB360A" w:rsidRPr="00CB360A" w:rsidRDefault="00CB360A" w:rsidP="00554580">
            <w:pPr>
              <w:rPr>
                <w:rFonts w:eastAsiaTheme="minorHAnsi"/>
                <w:lang w:eastAsia="en-US"/>
              </w:rPr>
            </w:pPr>
          </w:p>
        </w:tc>
        <w:tc>
          <w:tcPr>
            <w:tcW w:w="535" w:type="pct"/>
            <w:tcBorders>
              <w:top w:val="outset" w:sz="8" w:space="0" w:color="000000"/>
              <w:left w:val="nil"/>
              <w:bottom w:val="outset" w:sz="8" w:space="0" w:color="000000"/>
              <w:right w:val="outset" w:sz="8" w:space="0" w:color="000000"/>
            </w:tcBorders>
            <w:vAlign w:val="center"/>
            <w:hideMark/>
          </w:tcPr>
          <w:p w14:paraId="699CB92A"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923" w:type="pct"/>
            <w:tcBorders>
              <w:top w:val="outset" w:sz="8" w:space="0" w:color="000000"/>
              <w:left w:val="nil"/>
              <w:bottom w:val="outset" w:sz="8" w:space="0" w:color="000000"/>
              <w:right w:val="outset" w:sz="8" w:space="0" w:color="000000"/>
            </w:tcBorders>
            <w:vAlign w:val="center"/>
            <w:hideMark/>
          </w:tcPr>
          <w:p w14:paraId="699CB92B"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914" w:type="pct"/>
            <w:tcBorders>
              <w:top w:val="outset" w:sz="8" w:space="0" w:color="000000"/>
              <w:left w:val="nil"/>
              <w:bottom w:val="outset" w:sz="8" w:space="0" w:color="000000"/>
              <w:right w:val="outset" w:sz="8" w:space="0" w:color="000000"/>
            </w:tcBorders>
            <w:vAlign w:val="center"/>
            <w:hideMark/>
          </w:tcPr>
          <w:p w14:paraId="699CB92C"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984" w:type="pct"/>
            <w:tcBorders>
              <w:top w:val="outset" w:sz="8" w:space="0" w:color="000000"/>
              <w:left w:val="nil"/>
              <w:bottom w:val="outset" w:sz="8" w:space="0" w:color="000000"/>
              <w:right w:val="outset" w:sz="8" w:space="0" w:color="000000"/>
            </w:tcBorders>
            <w:vAlign w:val="center"/>
            <w:hideMark/>
          </w:tcPr>
          <w:p w14:paraId="699CB92D" w14:textId="77777777" w:rsidR="00CB360A" w:rsidRPr="00CB360A" w:rsidRDefault="00CB360A" w:rsidP="00554580">
            <w:pPr>
              <w:jc w:val="center"/>
              <w:rPr>
                <w:rFonts w:eastAsiaTheme="minorHAnsi"/>
                <w:lang w:eastAsia="en-US"/>
              </w:rPr>
            </w:pPr>
            <w:r w:rsidRPr="00CB360A">
              <w:rPr>
                <w:rFonts w:eastAsiaTheme="minorHAnsi"/>
                <w:lang w:eastAsia="en-US"/>
              </w:rPr>
              <w:t>0</w:t>
            </w:r>
          </w:p>
        </w:tc>
        <w:tc>
          <w:tcPr>
            <w:tcW w:w="136" w:type="pct"/>
            <w:vAlign w:val="center"/>
          </w:tcPr>
          <w:p w14:paraId="699CB92E" w14:textId="77777777" w:rsidR="00CB360A" w:rsidRPr="00CB360A" w:rsidRDefault="00CB360A" w:rsidP="00554580">
            <w:pPr>
              <w:spacing w:after="200" w:line="276" w:lineRule="auto"/>
            </w:pPr>
          </w:p>
        </w:tc>
      </w:tr>
      <w:tr w:rsidR="00554580" w:rsidRPr="00CB360A" w14:paraId="699CB96A" w14:textId="77777777" w:rsidTr="00CB360A">
        <w:trPr>
          <w:gridAfter w:val="1"/>
          <w:wAfter w:w="136" w:type="pct"/>
        </w:trPr>
        <w:tc>
          <w:tcPr>
            <w:tcW w:w="1024"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14:paraId="699CB930" w14:textId="77777777" w:rsidR="00554580" w:rsidRPr="00B719EB" w:rsidRDefault="00554580" w:rsidP="00554580">
            <w:pPr>
              <w:spacing w:before="100" w:beforeAutospacing="1" w:after="100" w:afterAutospacing="1" w:line="276" w:lineRule="auto"/>
            </w:pPr>
            <w:r w:rsidRPr="00B719EB">
              <w:t>6. Detalizēts ieņēmumu un izdevu</w:t>
            </w:r>
            <w:r w:rsidRPr="00B719EB">
              <w:softHyphen/>
              <w:t>mu aprēķins (ja nepieciešams, detalizētu ieņēmumu un izdevumu aprēķinu var pievienot anotācijas pielikumā):</w:t>
            </w:r>
          </w:p>
        </w:tc>
        <w:tc>
          <w:tcPr>
            <w:tcW w:w="3840" w:type="pct"/>
            <w:gridSpan w:val="5"/>
            <w:vMerge w:val="restart"/>
            <w:tcBorders>
              <w:top w:val="nil"/>
              <w:left w:val="nil"/>
              <w:bottom w:val="outset" w:sz="8" w:space="0" w:color="000000"/>
              <w:right w:val="outset" w:sz="8" w:space="0" w:color="000000"/>
            </w:tcBorders>
            <w:tcMar>
              <w:top w:w="30" w:type="dxa"/>
              <w:left w:w="30" w:type="dxa"/>
              <w:bottom w:w="30" w:type="dxa"/>
              <w:right w:w="30" w:type="dxa"/>
            </w:tcMar>
            <w:vAlign w:val="center"/>
          </w:tcPr>
          <w:p w14:paraId="699CB931" w14:textId="77777777" w:rsidR="00487823" w:rsidRPr="00CB360A" w:rsidRDefault="00554580" w:rsidP="00554580">
            <w:pPr>
              <w:jc w:val="both"/>
              <w:rPr>
                <w:b/>
              </w:rPr>
            </w:pPr>
            <w:r w:rsidRPr="00CB360A">
              <w:rPr>
                <w:b/>
              </w:rPr>
              <w:t>Detalizēts izdevumu apraksts:</w:t>
            </w:r>
          </w:p>
          <w:p w14:paraId="699CB932" w14:textId="77777777" w:rsidR="00A57E69" w:rsidRPr="00CB360A" w:rsidRDefault="00554580" w:rsidP="00554580">
            <w:pPr>
              <w:jc w:val="both"/>
              <w:rPr>
                <w:b/>
              </w:rPr>
            </w:pPr>
            <w:r w:rsidRPr="00CB360A">
              <w:rPr>
                <w:b/>
              </w:rPr>
              <w:t>1. </w:t>
            </w:r>
            <w:r w:rsidR="008F0150" w:rsidRPr="00CB360A">
              <w:rPr>
                <w:b/>
              </w:rPr>
              <w:t>Jauno gaisa kvalitātes monitoringa staciju uzturēšanas izmaksas:</w:t>
            </w:r>
          </w:p>
          <w:p w14:paraId="699CB933" w14:textId="77777777" w:rsidR="00554580" w:rsidRPr="00CB360A" w:rsidRDefault="00554580" w:rsidP="00554580">
            <w:pPr>
              <w:jc w:val="both"/>
            </w:pPr>
            <w:r w:rsidRPr="00CB360A">
              <w:t>No Eiropas Reģionālās attīstības fonda līdzekļiem (</w:t>
            </w:r>
            <w:r w:rsidR="00EC447E">
              <w:t>saistīt</w:t>
            </w:r>
            <w:r w:rsidR="006C578B" w:rsidRPr="00CB360A">
              <w:t>s</w:t>
            </w:r>
            <w:r w:rsidR="00EC447E">
              <w:t xml:space="preserve"> ar</w:t>
            </w:r>
            <w:r w:rsidR="006C578B" w:rsidRPr="00CB360A">
              <w:t xml:space="preserve"> </w:t>
            </w:r>
            <w:r w:rsidR="00EC447E">
              <w:rPr>
                <w:lang w:eastAsia="en-US"/>
              </w:rPr>
              <w:t>2016.gada 20.decembra MK noteikumiem Nr.859 “</w:t>
            </w:r>
            <w:r w:rsidR="00EC447E">
              <w:rPr>
                <w:shd w:val="clear" w:color="auto" w:fill="FFFFFF"/>
              </w:rPr>
              <w:t>Darbības programmas "Izaugsme un nodarbinātība" 5.4.2. specifiskā atbalsta mērķa "Nodrošināt vides monitoringa un kontroles sistēmas attīstību un savlaicīgu vides risku novēršanu, kā arī sabiedrības līdzdalību vides pārvaldībā" 5.4.2.2. pasākuma "Vides monitoringa un kontroles sistēmas attīstība un sabiedrības līdzdalības vides pārvaldībā veicināšana" īstenošanas noteikumi</w:t>
            </w:r>
            <w:r w:rsidR="00EC447E">
              <w:rPr>
                <w:lang w:eastAsia="en-US"/>
              </w:rPr>
              <w:t>” (turpmāk – MK noteikumi Nr.859</w:t>
            </w:r>
            <w:r w:rsidRPr="00CB360A">
              <w:t xml:space="preserve">) </w:t>
            </w:r>
            <w:r w:rsidRPr="00CB360A">
              <w:rPr>
                <w:u w:val="single"/>
              </w:rPr>
              <w:t>plānots uzstādīt trīs jaunas monitoringa stacijas</w:t>
            </w:r>
            <w:r w:rsidRPr="00CB360A">
              <w:t>, lai varētu nodrošināt atbilstību gaisa kvalitātes jomas direktīvu prasībām. Viena autotransporta novērojumu stacija nepieciešama Rīgā, jo šobrīd nedarbojas Kr.Valdemāra ielā esošā stacija, kas ir Rīgas domes pārziņā. Savukārt, lai nodrošinātu pārējās Latvijas teritorijā direktīvā noteikto minimālo nepieciešamo staciju skaitu, plānots uzstādīt 2 jaunas fona monitoringa stacijas Rēzeknē un Liepājā. Šobrīd Liepājā un Rēzeknē ir 2 transporta ietekmes stacijas, taču nepieciešams veikt arī mērījumus pilsētas fona līmenī, lai varētu izpildīt direktīvā noteiktos kritērijus un nodrošināt minimā</w:t>
            </w:r>
            <w:r w:rsidR="002136B9" w:rsidRPr="00CB360A">
              <w:t>lo nepieciešamo staciju skaitu.</w:t>
            </w:r>
          </w:p>
          <w:p w14:paraId="699CB934" w14:textId="77777777" w:rsidR="00554580" w:rsidRPr="00CB360A" w:rsidRDefault="00554580" w:rsidP="00554580">
            <w:pPr>
              <w:jc w:val="both"/>
            </w:pPr>
          </w:p>
          <w:p w14:paraId="699CB935" w14:textId="77777777" w:rsidR="00554580" w:rsidRPr="00CB360A" w:rsidRDefault="00554580" w:rsidP="00554580">
            <w:pPr>
              <w:jc w:val="both"/>
            </w:pPr>
            <w:r w:rsidRPr="00CB360A">
              <w:t xml:space="preserve">Papildus finansējums </w:t>
            </w:r>
            <w:r w:rsidRPr="00CB360A">
              <w:rPr>
                <w:b/>
                <w:u w:val="single"/>
              </w:rPr>
              <w:t>26 000 </w:t>
            </w:r>
            <w:r w:rsidRPr="00CB360A">
              <w:rPr>
                <w:b/>
                <w:i/>
                <w:u w:val="single"/>
              </w:rPr>
              <w:t>euro</w:t>
            </w:r>
            <w:r w:rsidRPr="00CB360A">
              <w:rPr>
                <w:b/>
                <w:u w:val="single"/>
              </w:rPr>
              <w:t xml:space="preserve"> katru gadu sākot no 2018. gada</w:t>
            </w:r>
            <w:r w:rsidRPr="00CB360A">
              <w:t xml:space="preserve"> nepieciešams, lai varētu turpināt uzturēt šīs trīs jaunās gaisa monitoringa stacijas. Papildus finansējums ietver izdevumus par:</w:t>
            </w:r>
          </w:p>
          <w:p w14:paraId="699CB936" w14:textId="77777777" w:rsidR="00554580" w:rsidRPr="00CB360A" w:rsidRDefault="00554580" w:rsidP="00554580">
            <w:pPr>
              <w:jc w:val="both"/>
            </w:pPr>
            <w:r w:rsidRPr="00CB360A">
              <w:t xml:space="preserve">- elektrību - 4500 </w:t>
            </w:r>
            <w:r w:rsidRPr="00CB360A">
              <w:rPr>
                <w:i/>
              </w:rPr>
              <w:t>euro</w:t>
            </w:r>
            <w:r w:rsidRPr="00CB360A">
              <w:t>/gadā;</w:t>
            </w:r>
          </w:p>
          <w:p w14:paraId="699CB937" w14:textId="77777777" w:rsidR="00554580" w:rsidRPr="00CB360A" w:rsidRDefault="00554580" w:rsidP="00554580">
            <w:pPr>
              <w:jc w:val="both"/>
            </w:pPr>
            <w:r w:rsidRPr="00CB360A">
              <w:t xml:space="preserve">- sakariem: 2400 </w:t>
            </w:r>
            <w:r w:rsidRPr="00CB360A">
              <w:rPr>
                <w:i/>
              </w:rPr>
              <w:t>euro</w:t>
            </w:r>
            <w:r w:rsidRPr="00CB360A">
              <w:t>/gadā.</w:t>
            </w:r>
          </w:p>
          <w:p w14:paraId="699CB938" w14:textId="77777777" w:rsidR="00554580" w:rsidRPr="00CB360A" w:rsidRDefault="00554580" w:rsidP="00554580">
            <w:pPr>
              <w:jc w:val="both"/>
            </w:pPr>
            <w:r w:rsidRPr="00CB360A">
              <w:t xml:space="preserve">- gaisa analizatoru pārbaudi kalibrācijas centrā līdz Latvijas references laboratorijas akreditācijas pabeigšanai 15 gab. x 1273 </w:t>
            </w:r>
            <w:r w:rsidRPr="00CB360A">
              <w:rPr>
                <w:i/>
              </w:rPr>
              <w:t>euro</w:t>
            </w:r>
            <w:r w:rsidRPr="00CB360A">
              <w:t xml:space="preserve"> =19 100 </w:t>
            </w:r>
            <w:r w:rsidRPr="00CB360A">
              <w:rPr>
                <w:i/>
              </w:rPr>
              <w:t>euro</w:t>
            </w:r>
            <w:r w:rsidRPr="00CB360A">
              <w:t>/ gadā.</w:t>
            </w:r>
          </w:p>
          <w:p w14:paraId="699CB939" w14:textId="77777777" w:rsidR="00554580" w:rsidRPr="00CB360A" w:rsidRDefault="00554580" w:rsidP="00554580">
            <w:pPr>
              <w:jc w:val="both"/>
            </w:pPr>
          </w:p>
          <w:p w14:paraId="699CB93A" w14:textId="77777777" w:rsidR="00554580" w:rsidRPr="00CB360A" w:rsidRDefault="00554580" w:rsidP="00554580">
            <w:pPr>
              <w:jc w:val="both"/>
            </w:pPr>
            <w:r w:rsidRPr="00CB360A">
              <w:t>Trīs jauno gaisa kvalitātes monitoringa staciju uzturēšanai nepieciešamo finansējumu 2018. un 2019.gadā plānots pieprasīt Ministru kabinetā, sagatavojot likumprojektu par valsts budžetu 2018. gadam un likumprojektu par vidēja termiņa budžeta ietvaru 2018., 2019. un 2020. gadam, kopā ar visu ministriju un citu centrālo valsts iestāžu priekšlikumiem jaunajām politikas iniciatīvām, ievērojot valsts budžeta finansiālās iespējas. Savukārt sākot no 2020.gada šīs papildus izmaksas tiks plānotas kā uzturēšanas izmaksas pabeigtam Eiropas Savienības politiku instrumentu un pārējās ārvalstu finanšu palīdzības līdzfinansētam projektam, ierosinot pārdalīt finansējumu no attiecīgā gada valsts budžeta  likumā  noteiktās apropriācijas budžeta resora “74. Gadskārtējā valsts budžeta izpildes procesā pārdalāmais finansējums” programmā 01.00.00 “Apropriācijas rezerve” uz attiecīgu VARAM budžeta programmu/</w:t>
            </w:r>
            <w:r w:rsidR="006C578B" w:rsidRPr="00CB360A">
              <w:t>apakšprogrammu</w:t>
            </w:r>
            <w:r w:rsidRPr="00CB360A">
              <w:t xml:space="preserve">. Esošo valsts jeb LVĢMC piederošo monitoringa staciju uzturēšanai papildus līdzekļi no valsts budžeta netiks prasīti (informācija par esošajām valsts jeb LVĢMC pārziņā esošajām stacijām pieejama: </w:t>
            </w:r>
            <w:hyperlink r:id="rId9" w:history="1">
              <w:r w:rsidRPr="00CB360A">
                <w:rPr>
                  <w:rStyle w:val="Hyperlink"/>
                </w:rPr>
                <w:t>http://www.meteo.lv/gaisa-kvalitates-staciju-karte/?nid=470</w:t>
              </w:r>
            </w:hyperlink>
            <w:r w:rsidRPr="00CB360A">
              <w:t>).</w:t>
            </w:r>
          </w:p>
          <w:p w14:paraId="699CB93B" w14:textId="77777777" w:rsidR="00554580" w:rsidRPr="00CB360A" w:rsidRDefault="00554580" w:rsidP="00554580">
            <w:pPr>
              <w:jc w:val="both"/>
            </w:pPr>
          </w:p>
          <w:p w14:paraId="699CB93C" w14:textId="77777777" w:rsidR="00554580" w:rsidRPr="00CB360A" w:rsidRDefault="009F4C7B" w:rsidP="00554580">
            <w:pPr>
              <w:jc w:val="both"/>
            </w:pPr>
            <w:r w:rsidRPr="00CB360A">
              <w:rPr>
                <w:b/>
              </w:rPr>
              <w:t>Lai izpildītu direktīvā 2015/1480 un noteikumu projektā iekļautās jaunās prasības nepieciešams papildus finansējums arī šādu pasākumu veikšanai</w:t>
            </w:r>
            <w:r w:rsidRPr="00CB360A">
              <w:t>:</w:t>
            </w:r>
          </w:p>
          <w:p w14:paraId="699CB93D" w14:textId="77777777" w:rsidR="00554580" w:rsidRPr="00CB360A" w:rsidRDefault="00554580" w:rsidP="00554580">
            <w:pPr>
              <w:jc w:val="both"/>
              <w:rPr>
                <w:b/>
              </w:rPr>
            </w:pPr>
          </w:p>
          <w:p w14:paraId="699CB93E" w14:textId="77777777" w:rsidR="008F0150" w:rsidRPr="00CB360A" w:rsidRDefault="00554580" w:rsidP="00554580">
            <w:pPr>
              <w:jc w:val="both"/>
            </w:pPr>
            <w:r w:rsidRPr="00CB360A">
              <w:t xml:space="preserve">2.  </w:t>
            </w:r>
            <w:r w:rsidR="008F0150" w:rsidRPr="00CB360A">
              <w:rPr>
                <w:b/>
              </w:rPr>
              <w:t>Nacionālās references laboratorijas izveide</w:t>
            </w:r>
            <w:r w:rsidR="00C76340" w:rsidRPr="00CB360A">
              <w:rPr>
                <w:b/>
              </w:rPr>
              <w:t xml:space="preserve"> un tai noteikto funkciju izpilde</w:t>
            </w:r>
            <w:r w:rsidR="008F0150" w:rsidRPr="00CB360A">
              <w:rPr>
                <w:b/>
              </w:rPr>
              <w:t>:</w:t>
            </w:r>
          </w:p>
          <w:p w14:paraId="699CB93F" w14:textId="77777777" w:rsidR="00554580" w:rsidRPr="00CB360A" w:rsidRDefault="00554580" w:rsidP="00554580">
            <w:pPr>
              <w:jc w:val="both"/>
            </w:pPr>
            <w:r w:rsidRPr="00CB360A">
              <w:t xml:space="preserve">Lai varētu izpildīt </w:t>
            </w:r>
            <w:r w:rsidR="00FA3CE5" w:rsidRPr="00CB360A">
              <w:t>16</w:t>
            </w:r>
            <w:r w:rsidRPr="00CB360A">
              <w:t>.punktā izteiktajā 8.</w:t>
            </w:r>
            <w:r w:rsidRPr="00CB360A">
              <w:rPr>
                <w:vertAlign w:val="superscript"/>
              </w:rPr>
              <w:t xml:space="preserve">2 </w:t>
            </w:r>
            <w:r w:rsidRPr="00CB360A">
              <w:t xml:space="preserve">punktā noteikto prasību par laboratorijas akreditāciju atbilstoši noteikumu projektā iekļautajiem jaunajiem standartiem, </w:t>
            </w:r>
            <w:r w:rsidRPr="00CB360A">
              <w:rPr>
                <w:b/>
                <w:bCs/>
                <w:u w:val="single"/>
              </w:rPr>
              <w:t>2018.gadā</w:t>
            </w:r>
            <w:r w:rsidRPr="00CB360A">
              <w:t xml:space="preserve">  nepieciešams papildus finansējums </w:t>
            </w:r>
            <w:r w:rsidRPr="00CB360A">
              <w:rPr>
                <w:b/>
                <w:u w:val="single"/>
              </w:rPr>
              <w:t xml:space="preserve">122 601 </w:t>
            </w:r>
            <w:r w:rsidRPr="00CB360A">
              <w:rPr>
                <w:b/>
                <w:i/>
                <w:u w:val="single"/>
              </w:rPr>
              <w:t>euro</w:t>
            </w:r>
            <w:r w:rsidRPr="00CB360A">
              <w:rPr>
                <w:b/>
                <w:i/>
              </w:rPr>
              <w:t xml:space="preserve"> </w:t>
            </w:r>
            <w:r w:rsidRPr="00CB360A">
              <w:t>apmērā, kas ietver</w:t>
            </w:r>
            <w:r w:rsidR="00252D78" w:rsidRPr="00CB360A">
              <w:t xml:space="preserve"> šādas izmaksu pozīcijas</w:t>
            </w:r>
            <w:r w:rsidRPr="00CB360A">
              <w:t>:</w:t>
            </w:r>
          </w:p>
          <w:p w14:paraId="699CB940" w14:textId="77777777" w:rsidR="00554580" w:rsidRPr="00CB360A" w:rsidRDefault="00554580" w:rsidP="000C2740">
            <w:pPr>
              <w:pStyle w:val="ListParagraph"/>
              <w:numPr>
                <w:ilvl w:val="0"/>
                <w:numId w:val="24"/>
              </w:numPr>
              <w:spacing w:after="0" w:line="240" w:lineRule="auto"/>
              <w:jc w:val="both"/>
              <w:rPr>
                <w:rFonts w:ascii="Times New Roman" w:hAnsi="Times New Roman"/>
                <w:sz w:val="24"/>
                <w:szCs w:val="24"/>
              </w:rPr>
            </w:pPr>
            <w:r w:rsidRPr="00CB360A">
              <w:rPr>
                <w:rFonts w:ascii="Times New Roman" w:hAnsi="Times New Roman"/>
                <w:sz w:val="24"/>
                <w:szCs w:val="24"/>
              </w:rPr>
              <w:t xml:space="preserve">Latvijas Nacionālais akreditācijas biroja vizīte un metožu akreditācija: 4000 </w:t>
            </w:r>
            <w:r w:rsidRPr="00CB360A">
              <w:rPr>
                <w:rFonts w:ascii="Times New Roman" w:hAnsi="Times New Roman"/>
                <w:i/>
                <w:sz w:val="24"/>
                <w:szCs w:val="24"/>
              </w:rPr>
              <w:t>euro</w:t>
            </w:r>
            <w:r w:rsidRPr="00CB360A">
              <w:rPr>
                <w:rFonts w:ascii="Times New Roman" w:hAnsi="Times New Roman"/>
                <w:sz w:val="24"/>
                <w:szCs w:val="24"/>
              </w:rPr>
              <w:t>;</w:t>
            </w:r>
          </w:p>
          <w:p w14:paraId="699CB941" w14:textId="77777777" w:rsidR="00554580" w:rsidRPr="00CB360A" w:rsidRDefault="00120962" w:rsidP="000C2740">
            <w:pPr>
              <w:pStyle w:val="ListParagraph"/>
              <w:numPr>
                <w:ilvl w:val="0"/>
                <w:numId w:val="24"/>
              </w:numPr>
              <w:spacing w:after="0" w:line="240" w:lineRule="auto"/>
              <w:jc w:val="both"/>
              <w:rPr>
                <w:rFonts w:ascii="Times New Roman" w:hAnsi="Times New Roman"/>
                <w:sz w:val="24"/>
                <w:szCs w:val="24"/>
              </w:rPr>
            </w:pPr>
            <w:r w:rsidRPr="00CB360A">
              <w:rPr>
                <w:rFonts w:ascii="Times New Roman" w:hAnsi="Times New Roman"/>
                <w:sz w:val="24"/>
                <w:szCs w:val="24"/>
              </w:rPr>
              <w:t>d</w:t>
            </w:r>
            <w:r w:rsidR="00554580" w:rsidRPr="00CB360A">
              <w:rPr>
                <w:rFonts w:ascii="Times New Roman" w:hAnsi="Times New Roman"/>
                <w:sz w:val="24"/>
                <w:szCs w:val="24"/>
              </w:rPr>
              <w:t xml:space="preserve">ivu  ārvalstu ekspertu piesaiste: 6400 </w:t>
            </w:r>
            <w:r w:rsidR="00554580" w:rsidRPr="00CB360A">
              <w:rPr>
                <w:rFonts w:ascii="Times New Roman" w:hAnsi="Times New Roman"/>
                <w:i/>
                <w:sz w:val="24"/>
                <w:szCs w:val="24"/>
              </w:rPr>
              <w:t>euro</w:t>
            </w:r>
            <w:r w:rsidR="00554580" w:rsidRPr="00CB360A">
              <w:rPr>
                <w:rFonts w:ascii="Times New Roman" w:hAnsi="Times New Roman"/>
                <w:sz w:val="24"/>
                <w:szCs w:val="24"/>
              </w:rPr>
              <w:t xml:space="preserve"> (1 eksperta izmaksas 3200 </w:t>
            </w:r>
            <w:r w:rsidR="00554580" w:rsidRPr="00CB360A">
              <w:rPr>
                <w:rFonts w:ascii="Times New Roman" w:hAnsi="Times New Roman"/>
                <w:i/>
                <w:sz w:val="24"/>
                <w:szCs w:val="24"/>
              </w:rPr>
              <w:t>euro</w:t>
            </w:r>
            <w:r w:rsidR="00554580" w:rsidRPr="00CB360A">
              <w:rPr>
                <w:rFonts w:ascii="Times New Roman" w:hAnsi="Times New Roman"/>
                <w:sz w:val="24"/>
                <w:szCs w:val="24"/>
              </w:rPr>
              <w:t xml:space="preserve"> x 2 eksperti = 6400 </w:t>
            </w:r>
            <w:r w:rsidR="00554580" w:rsidRPr="00CB360A">
              <w:rPr>
                <w:rFonts w:ascii="Times New Roman" w:hAnsi="Times New Roman"/>
                <w:i/>
                <w:sz w:val="24"/>
                <w:szCs w:val="24"/>
              </w:rPr>
              <w:t>euro</w:t>
            </w:r>
            <w:r w:rsidR="00554580" w:rsidRPr="00CB360A">
              <w:rPr>
                <w:rFonts w:ascii="Times New Roman" w:hAnsi="Times New Roman"/>
                <w:sz w:val="24"/>
                <w:szCs w:val="24"/>
              </w:rPr>
              <w:t xml:space="preserve">); </w:t>
            </w:r>
          </w:p>
          <w:p w14:paraId="699CB942" w14:textId="77777777" w:rsidR="00554580" w:rsidRPr="00CB360A" w:rsidRDefault="00554580" w:rsidP="000C2740">
            <w:pPr>
              <w:pStyle w:val="ListParagraph"/>
              <w:numPr>
                <w:ilvl w:val="0"/>
                <w:numId w:val="24"/>
              </w:numPr>
              <w:spacing w:after="0" w:line="240" w:lineRule="auto"/>
              <w:jc w:val="both"/>
              <w:rPr>
                <w:rFonts w:ascii="Times New Roman" w:hAnsi="Times New Roman"/>
                <w:sz w:val="24"/>
                <w:szCs w:val="24"/>
              </w:rPr>
            </w:pPr>
            <w:r w:rsidRPr="00CB360A">
              <w:rPr>
                <w:rFonts w:ascii="Times New Roman" w:hAnsi="Times New Roman"/>
                <w:sz w:val="24"/>
                <w:szCs w:val="24"/>
              </w:rPr>
              <w:t xml:space="preserve">prasmes pārbaužu pierādīšana, piedaloties starplaboratoriju salīdzinošajos mērījumos: ārpakalpojums 3000 </w:t>
            </w:r>
            <w:r w:rsidRPr="00CB360A">
              <w:rPr>
                <w:rFonts w:ascii="Times New Roman" w:hAnsi="Times New Roman"/>
                <w:i/>
                <w:sz w:val="24"/>
                <w:szCs w:val="24"/>
              </w:rPr>
              <w:t>euro</w:t>
            </w:r>
            <w:r w:rsidRPr="00CB360A">
              <w:rPr>
                <w:rFonts w:ascii="Times New Roman" w:hAnsi="Times New Roman"/>
                <w:sz w:val="24"/>
                <w:szCs w:val="24"/>
              </w:rPr>
              <w:t xml:space="preserve"> (231 cilvēkstundas gadā x stundas likme 13 </w:t>
            </w:r>
            <w:r w:rsidRPr="00CB360A">
              <w:rPr>
                <w:rFonts w:ascii="Times New Roman" w:hAnsi="Times New Roman"/>
                <w:i/>
                <w:sz w:val="24"/>
                <w:szCs w:val="24"/>
              </w:rPr>
              <w:t>euro</w:t>
            </w:r>
            <w:r w:rsidRPr="00CB360A">
              <w:rPr>
                <w:rFonts w:ascii="Times New Roman" w:hAnsi="Times New Roman"/>
                <w:sz w:val="24"/>
                <w:szCs w:val="24"/>
              </w:rPr>
              <w:t>)</w:t>
            </w:r>
            <w:r w:rsidRPr="00CB360A">
              <w:rPr>
                <w:rFonts w:ascii="Times New Roman" w:hAnsi="Times New Roman"/>
                <w:i/>
                <w:sz w:val="24"/>
                <w:szCs w:val="24"/>
              </w:rPr>
              <w:t xml:space="preserve"> = </w:t>
            </w:r>
            <w:r w:rsidRPr="00CB360A">
              <w:rPr>
                <w:rFonts w:ascii="Times New Roman" w:hAnsi="Times New Roman"/>
                <w:sz w:val="24"/>
                <w:szCs w:val="24"/>
              </w:rPr>
              <w:t xml:space="preserve">3000 </w:t>
            </w:r>
            <w:r w:rsidRPr="00CB360A">
              <w:rPr>
                <w:rFonts w:ascii="Times New Roman" w:hAnsi="Times New Roman"/>
                <w:i/>
                <w:sz w:val="24"/>
                <w:szCs w:val="24"/>
              </w:rPr>
              <w:t>euro</w:t>
            </w:r>
            <w:r w:rsidRPr="00CB360A">
              <w:rPr>
                <w:rFonts w:ascii="Times New Roman" w:hAnsi="Times New Roman"/>
                <w:sz w:val="24"/>
                <w:szCs w:val="24"/>
              </w:rPr>
              <w:t xml:space="preserve">. Iespējams veikt tikai kā ārpakalpojumu, jo nepieciešams, lai cita neatkarīga akreditēta laboratorija novērtē LVĢMC atbilstību noteiktajām prasībām. </w:t>
            </w:r>
          </w:p>
          <w:p w14:paraId="699CB943" w14:textId="77777777" w:rsidR="00554580" w:rsidRPr="00CB360A" w:rsidRDefault="00554580" w:rsidP="000C2740">
            <w:pPr>
              <w:pStyle w:val="ListParagraph"/>
              <w:numPr>
                <w:ilvl w:val="0"/>
                <w:numId w:val="24"/>
              </w:numPr>
              <w:spacing w:after="0" w:line="240" w:lineRule="auto"/>
              <w:jc w:val="both"/>
              <w:rPr>
                <w:rFonts w:ascii="Times New Roman" w:hAnsi="Times New Roman"/>
                <w:sz w:val="24"/>
                <w:szCs w:val="24"/>
              </w:rPr>
            </w:pPr>
            <w:r w:rsidRPr="00CB360A">
              <w:rPr>
                <w:rFonts w:ascii="Times New Roman" w:hAnsi="Times New Roman"/>
                <w:sz w:val="24"/>
                <w:szCs w:val="24"/>
              </w:rPr>
              <w:t xml:space="preserve">izdevumi par references materiāliem: 3000 </w:t>
            </w:r>
            <w:r w:rsidRPr="00CB360A">
              <w:rPr>
                <w:rFonts w:ascii="Times New Roman" w:hAnsi="Times New Roman"/>
                <w:i/>
                <w:sz w:val="24"/>
                <w:szCs w:val="24"/>
              </w:rPr>
              <w:t>euro</w:t>
            </w:r>
            <w:r w:rsidRPr="00CB360A">
              <w:rPr>
                <w:rFonts w:ascii="Times New Roman" w:hAnsi="Times New Roman"/>
                <w:sz w:val="24"/>
                <w:szCs w:val="24"/>
              </w:rPr>
              <w:t xml:space="preserve"> (5 gāzes baloni x vidēja balonu cena 600 </w:t>
            </w:r>
            <w:r w:rsidRPr="00CB360A">
              <w:rPr>
                <w:rFonts w:ascii="Times New Roman" w:hAnsi="Times New Roman"/>
                <w:i/>
                <w:sz w:val="24"/>
                <w:szCs w:val="24"/>
              </w:rPr>
              <w:t>euro</w:t>
            </w:r>
            <w:r w:rsidRPr="00CB360A">
              <w:rPr>
                <w:rFonts w:ascii="Times New Roman" w:hAnsi="Times New Roman"/>
                <w:sz w:val="24"/>
                <w:szCs w:val="24"/>
              </w:rPr>
              <w:t>) = 3000 </w:t>
            </w:r>
            <w:r w:rsidRPr="00CB360A">
              <w:rPr>
                <w:rFonts w:ascii="Times New Roman" w:hAnsi="Times New Roman"/>
                <w:i/>
                <w:sz w:val="24"/>
                <w:szCs w:val="24"/>
              </w:rPr>
              <w:t>euro</w:t>
            </w:r>
            <w:r w:rsidRPr="00CB360A">
              <w:rPr>
                <w:rFonts w:ascii="Times New Roman" w:hAnsi="Times New Roman"/>
                <w:sz w:val="24"/>
                <w:szCs w:val="24"/>
              </w:rPr>
              <w:t>;</w:t>
            </w:r>
          </w:p>
          <w:p w14:paraId="699CB944" w14:textId="77777777" w:rsidR="00554580" w:rsidRPr="00CB360A" w:rsidRDefault="00554580" w:rsidP="000C2740">
            <w:pPr>
              <w:pStyle w:val="ListParagraph"/>
              <w:numPr>
                <w:ilvl w:val="0"/>
                <w:numId w:val="24"/>
              </w:numPr>
              <w:spacing w:after="0" w:line="240" w:lineRule="auto"/>
              <w:jc w:val="both"/>
              <w:rPr>
                <w:rFonts w:ascii="Times New Roman" w:hAnsi="Times New Roman"/>
                <w:sz w:val="24"/>
                <w:szCs w:val="24"/>
              </w:rPr>
            </w:pPr>
            <w:r w:rsidRPr="00CB360A">
              <w:rPr>
                <w:rFonts w:ascii="Times New Roman" w:hAnsi="Times New Roman"/>
                <w:sz w:val="24"/>
                <w:szCs w:val="24"/>
              </w:rPr>
              <w:t xml:space="preserve">transportēšanas izdevumi iekārtām, kuras piedalīsies starptautiskos starplaboratoriju salīdzinošajos mērījumos, kas tiek organizēti Itālijā: 1000 </w:t>
            </w:r>
            <w:r w:rsidRPr="00CB360A">
              <w:rPr>
                <w:rFonts w:ascii="Times New Roman" w:hAnsi="Times New Roman"/>
                <w:i/>
                <w:sz w:val="24"/>
                <w:szCs w:val="24"/>
              </w:rPr>
              <w:t>euro</w:t>
            </w:r>
            <w:r w:rsidRPr="00CB360A">
              <w:rPr>
                <w:rFonts w:ascii="Times New Roman" w:hAnsi="Times New Roman"/>
                <w:sz w:val="24"/>
                <w:szCs w:val="24"/>
              </w:rPr>
              <w:t xml:space="preserve">; </w:t>
            </w:r>
            <w:r w:rsidRPr="00CB360A">
              <w:rPr>
                <w:rFonts w:ascii="Times New Roman" w:hAnsi="Times New Roman"/>
                <w:i/>
                <w:sz w:val="24"/>
                <w:szCs w:val="24"/>
              </w:rPr>
              <w:t xml:space="preserve"> </w:t>
            </w:r>
          </w:p>
          <w:p w14:paraId="699CB945" w14:textId="77777777" w:rsidR="006F44E7" w:rsidRPr="00CB360A" w:rsidRDefault="000C45E7" w:rsidP="000C2740">
            <w:pPr>
              <w:pStyle w:val="ListParagraph"/>
              <w:numPr>
                <w:ilvl w:val="0"/>
                <w:numId w:val="24"/>
              </w:numPr>
              <w:spacing w:after="0" w:line="240" w:lineRule="auto"/>
              <w:jc w:val="both"/>
              <w:rPr>
                <w:rFonts w:ascii="Times New Roman" w:hAnsi="Times New Roman"/>
                <w:sz w:val="24"/>
                <w:szCs w:val="24"/>
              </w:rPr>
            </w:pPr>
            <w:r w:rsidRPr="00CB360A">
              <w:rPr>
                <w:rFonts w:ascii="Times New Roman" w:hAnsi="Times New Roman"/>
                <w:sz w:val="24"/>
                <w:szCs w:val="24"/>
              </w:rPr>
              <w:t>dažādu references laboratorijai noteikto funkciju izpilde</w:t>
            </w:r>
            <w:r w:rsidR="00DE19E2" w:rsidRPr="00CB360A">
              <w:rPr>
                <w:rFonts w:ascii="Times New Roman" w:hAnsi="Times New Roman"/>
                <w:sz w:val="24"/>
                <w:szCs w:val="24"/>
              </w:rPr>
              <w:t xml:space="preserve">, tai skaitā, </w:t>
            </w:r>
            <w:r w:rsidR="000C2740" w:rsidRPr="00CB360A">
              <w:rPr>
                <w:rFonts w:ascii="Times New Roman" w:hAnsi="Times New Roman"/>
                <w:sz w:val="24"/>
                <w:szCs w:val="24"/>
              </w:rPr>
              <w:t xml:space="preserve">koordinēt </w:t>
            </w:r>
            <w:r w:rsidRPr="00CB360A">
              <w:rPr>
                <w:rFonts w:ascii="Times New Roman" w:hAnsi="Times New Roman"/>
                <w:sz w:val="24"/>
                <w:szCs w:val="24"/>
              </w:rPr>
              <w:t xml:space="preserve">un nodrošināt </w:t>
            </w:r>
            <w:r w:rsidR="000C2740" w:rsidRPr="00CB360A">
              <w:rPr>
                <w:rFonts w:ascii="Times New Roman" w:hAnsi="Times New Roman"/>
                <w:sz w:val="24"/>
                <w:szCs w:val="24"/>
              </w:rPr>
              <w:t>nacionālās references laboratorijas akreditācijas procesu, piedalīties jaunu metodiku izstrādē, veikt esošo metodiku optimizāciju un ieviešanu, piedalīties starptautisko standartu tulkošanā un adaptācijā Latvijas valsts standarta statusā, nepieciešamības gadījumā piedalīties citu metodiku līdzvērtīguma pierādīšanā, koordinēt laboratorijas sadarbību ar EK izveidoto nacionālo references laboratoriju Eiropas tīklu un Kopīgo Pētniecības centru, tai skaitā – koordinēt dalību šo iestāžu organizētajās prasmes pārbaudēs, kā arī organizēt laboratorijas kā references iestādes rīkotas prasmes pārbaudes</w:t>
            </w:r>
            <w:r w:rsidR="00DE19E2" w:rsidRPr="00CB360A">
              <w:rPr>
                <w:rFonts w:ascii="Times New Roman" w:hAnsi="Times New Roman"/>
                <w:sz w:val="24"/>
                <w:szCs w:val="24"/>
              </w:rPr>
              <w:t xml:space="preserve">, </w:t>
            </w:r>
            <w:r w:rsidRPr="00CB360A">
              <w:rPr>
                <w:rFonts w:ascii="Times New Roman" w:hAnsi="Times New Roman"/>
                <w:sz w:val="24"/>
                <w:szCs w:val="24"/>
              </w:rPr>
              <w:t>nodrošināt jaunizveidotā monitoringa</w:t>
            </w:r>
            <w:r w:rsidR="00DE19E2" w:rsidRPr="00CB360A">
              <w:rPr>
                <w:rFonts w:ascii="Times New Roman" w:hAnsi="Times New Roman"/>
                <w:sz w:val="24"/>
                <w:szCs w:val="24"/>
              </w:rPr>
              <w:t xml:space="preserve"> tīkla analizatoru</w:t>
            </w:r>
            <w:r w:rsidRPr="00CB360A">
              <w:rPr>
                <w:rFonts w:ascii="Times New Roman" w:hAnsi="Times New Roman"/>
                <w:sz w:val="24"/>
                <w:szCs w:val="24"/>
              </w:rPr>
              <w:t xml:space="preserve"> kvalitatīvu darbību saskaņā ar nacionālo references laboratorijām noteikto procedūru un metodiku prasībām</w:t>
            </w:r>
            <w:r w:rsidR="00DE19E2" w:rsidRPr="00CB360A">
              <w:rPr>
                <w:rFonts w:ascii="Times New Roman" w:hAnsi="Times New Roman"/>
                <w:sz w:val="24"/>
                <w:szCs w:val="24"/>
              </w:rPr>
              <w:t xml:space="preserve"> (</w:t>
            </w:r>
            <w:r w:rsidRPr="00CB360A">
              <w:rPr>
                <w:rFonts w:ascii="Times New Roman" w:hAnsi="Times New Roman"/>
                <w:sz w:val="24"/>
                <w:szCs w:val="24"/>
              </w:rPr>
              <w:t>ietver: ikgadēju analizatoru kalibrēšanu, kalibrēšanu pēc būtisku remontdarbu izpildes, regulārās tehniskās apkopes, daļiņu PM</w:t>
            </w:r>
            <w:r w:rsidRPr="00CB360A">
              <w:rPr>
                <w:rFonts w:ascii="Times New Roman" w:hAnsi="Times New Roman"/>
                <w:sz w:val="24"/>
                <w:szCs w:val="24"/>
                <w:vertAlign w:val="subscript"/>
              </w:rPr>
              <w:t>10</w:t>
            </w:r>
            <w:r w:rsidRPr="00CB360A">
              <w:rPr>
                <w:rFonts w:ascii="Times New Roman" w:hAnsi="Times New Roman"/>
                <w:sz w:val="24"/>
                <w:szCs w:val="24"/>
              </w:rPr>
              <w:t xml:space="preserve"> un PM</w:t>
            </w:r>
            <w:r w:rsidRPr="00CB360A">
              <w:rPr>
                <w:rFonts w:ascii="Times New Roman" w:hAnsi="Times New Roman"/>
                <w:sz w:val="24"/>
                <w:szCs w:val="24"/>
                <w:vertAlign w:val="subscript"/>
              </w:rPr>
              <w:t xml:space="preserve">2,5 </w:t>
            </w:r>
            <w:r w:rsidRPr="00CB360A">
              <w:rPr>
                <w:rFonts w:ascii="Times New Roman" w:hAnsi="Times New Roman"/>
                <w:sz w:val="24"/>
                <w:szCs w:val="24"/>
              </w:rPr>
              <w:t>frakcijas masas mērījumu metodes testēšana lauku apstākļos, lai demonstrētu līdzvērtīgumu references metodei ar izr</w:t>
            </w:r>
            <w:r w:rsidR="00DE19E2" w:rsidRPr="00CB360A">
              <w:rPr>
                <w:rFonts w:ascii="Times New Roman" w:hAnsi="Times New Roman"/>
                <w:sz w:val="24"/>
                <w:szCs w:val="24"/>
              </w:rPr>
              <w:t xml:space="preserve">ietošā koeficienta aprēķināšanu, </w:t>
            </w:r>
            <w:r w:rsidRPr="00CB360A">
              <w:rPr>
                <w:rFonts w:ascii="Times New Roman" w:hAnsi="Times New Roman"/>
                <w:sz w:val="24"/>
                <w:szCs w:val="24"/>
              </w:rPr>
              <w:t xml:space="preserve">nodrošināt novērojumu datu plūsmu uzraudzību saskaņā ar nacionālajai references laboratorijai noteikto </w:t>
            </w:r>
            <w:r w:rsidR="00DE19E2" w:rsidRPr="00CB360A">
              <w:rPr>
                <w:rFonts w:ascii="Times New Roman" w:hAnsi="Times New Roman"/>
                <w:sz w:val="24"/>
                <w:szCs w:val="24"/>
              </w:rPr>
              <w:t xml:space="preserve">procedūru un metodiku prasībām), </w:t>
            </w:r>
            <w:r w:rsidRPr="00CB360A">
              <w:rPr>
                <w:rFonts w:ascii="Times New Roman" w:hAnsi="Times New Roman"/>
                <w:sz w:val="24"/>
                <w:szCs w:val="24"/>
              </w:rPr>
              <w:t>sekot līdzi tehnoloģiskajai attīstībai un a</w:t>
            </w:r>
            <w:r w:rsidR="00DE19E2" w:rsidRPr="00CB360A">
              <w:rPr>
                <w:rFonts w:ascii="Times New Roman" w:hAnsi="Times New Roman"/>
                <w:sz w:val="24"/>
                <w:szCs w:val="24"/>
              </w:rPr>
              <w:t>pgūt jaunas testēšanas iekārtas</w:t>
            </w:r>
            <w:r w:rsidR="000C2740" w:rsidRPr="00CB360A">
              <w:rPr>
                <w:rFonts w:ascii="Times New Roman" w:hAnsi="Times New Roman"/>
                <w:sz w:val="24"/>
                <w:szCs w:val="24"/>
              </w:rPr>
              <w:t xml:space="preserve">: 87 504 </w:t>
            </w:r>
            <w:r w:rsidR="000C2740" w:rsidRPr="00CB360A">
              <w:rPr>
                <w:rFonts w:ascii="Times New Roman" w:hAnsi="Times New Roman"/>
                <w:i/>
                <w:sz w:val="24"/>
                <w:szCs w:val="24"/>
              </w:rPr>
              <w:t xml:space="preserve">euro </w:t>
            </w:r>
            <w:r w:rsidR="000C2740" w:rsidRPr="00CB360A">
              <w:rPr>
                <w:rFonts w:ascii="Times New Roman" w:hAnsi="Times New Roman"/>
                <w:sz w:val="24"/>
                <w:szCs w:val="24"/>
              </w:rPr>
              <w:t xml:space="preserve">(6731 cilvēkstundas gadā x stundas likme 13 </w:t>
            </w:r>
            <w:r w:rsidR="000C2740" w:rsidRPr="00CB360A">
              <w:rPr>
                <w:rFonts w:ascii="Times New Roman" w:hAnsi="Times New Roman"/>
                <w:i/>
                <w:sz w:val="24"/>
                <w:szCs w:val="24"/>
              </w:rPr>
              <w:t>euro</w:t>
            </w:r>
            <w:r w:rsidR="000C2740" w:rsidRPr="00CB360A">
              <w:rPr>
                <w:rFonts w:ascii="Times New Roman" w:hAnsi="Times New Roman"/>
                <w:sz w:val="24"/>
                <w:szCs w:val="24"/>
              </w:rPr>
              <w:t xml:space="preserve">). </w:t>
            </w:r>
          </w:p>
          <w:p w14:paraId="699CB946" w14:textId="77777777" w:rsidR="00554580" w:rsidRPr="00CB360A" w:rsidRDefault="00554580" w:rsidP="000C2740">
            <w:pPr>
              <w:pStyle w:val="ListParagraph"/>
              <w:numPr>
                <w:ilvl w:val="0"/>
                <w:numId w:val="24"/>
              </w:numPr>
              <w:spacing w:after="0" w:line="240" w:lineRule="auto"/>
              <w:jc w:val="both"/>
              <w:rPr>
                <w:rFonts w:ascii="Times New Roman" w:hAnsi="Times New Roman"/>
                <w:sz w:val="24"/>
                <w:szCs w:val="24"/>
              </w:rPr>
            </w:pPr>
            <w:r w:rsidRPr="00CB360A">
              <w:rPr>
                <w:rFonts w:ascii="Times New Roman" w:hAnsi="Times New Roman"/>
                <w:sz w:val="24"/>
                <w:szCs w:val="24"/>
              </w:rPr>
              <w:t xml:space="preserve">trīs darbinieku apmācība: 6000 </w:t>
            </w:r>
            <w:r w:rsidRPr="00CB360A">
              <w:rPr>
                <w:rFonts w:ascii="Times New Roman" w:hAnsi="Times New Roman"/>
                <w:i/>
                <w:sz w:val="24"/>
                <w:szCs w:val="24"/>
              </w:rPr>
              <w:t>euro</w:t>
            </w:r>
            <w:r w:rsidRPr="00CB360A">
              <w:rPr>
                <w:rFonts w:ascii="Times New Roman" w:hAnsi="Times New Roman"/>
                <w:sz w:val="24"/>
                <w:szCs w:val="24"/>
              </w:rPr>
              <w:t xml:space="preserve"> (viena darbinieka apmācība 2000 </w:t>
            </w:r>
            <w:r w:rsidRPr="00CB360A">
              <w:rPr>
                <w:rFonts w:ascii="Times New Roman" w:hAnsi="Times New Roman"/>
                <w:i/>
                <w:sz w:val="24"/>
                <w:szCs w:val="24"/>
              </w:rPr>
              <w:t xml:space="preserve">euro </w:t>
            </w:r>
            <w:r w:rsidRPr="00CB360A">
              <w:rPr>
                <w:rFonts w:ascii="Times New Roman" w:hAnsi="Times New Roman"/>
                <w:sz w:val="24"/>
                <w:szCs w:val="24"/>
              </w:rPr>
              <w:t>x 3);</w:t>
            </w:r>
          </w:p>
          <w:p w14:paraId="699CB947" w14:textId="77777777" w:rsidR="00554580" w:rsidRPr="00CB360A" w:rsidRDefault="00554580" w:rsidP="000C2740">
            <w:pPr>
              <w:pStyle w:val="ListParagraph"/>
              <w:numPr>
                <w:ilvl w:val="0"/>
                <w:numId w:val="24"/>
              </w:numPr>
              <w:spacing w:after="0" w:line="240" w:lineRule="auto"/>
              <w:jc w:val="both"/>
              <w:rPr>
                <w:rFonts w:ascii="Times New Roman" w:hAnsi="Times New Roman"/>
                <w:sz w:val="24"/>
                <w:szCs w:val="24"/>
              </w:rPr>
            </w:pPr>
            <w:r w:rsidRPr="00CB360A">
              <w:rPr>
                <w:rFonts w:ascii="Times New Roman" w:eastAsia="Times New Roman" w:hAnsi="Times New Roman"/>
                <w:sz w:val="24"/>
                <w:szCs w:val="24"/>
              </w:rPr>
              <w:t xml:space="preserve">komandējumu izdevumi, ja apmācības iespējamas vienīgi ārvalstīs: 5691 </w:t>
            </w:r>
            <w:r w:rsidRPr="00CB360A">
              <w:rPr>
                <w:rFonts w:ascii="Times New Roman" w:eastAsia="Times New Roman" w:hAnsi="Times New Roman"/>
                <w:i/>
                <w:sz w:val="24"/>
                <w:szCs w:val="24"/>
              </w:rPr>
              <w:t>euro</w:t>
            </w:r>
            <w:r w:rsidRPr="00CB360A">
              <w:rPr>
                <w:rFonts w:ascii="Times New Roman" w:eastAsia="Times New Roman" w:hAnsi="Times New Roman"/>
                <w:sz w:val="24"/>
                <w:szCs w:val="24"/>
              </w:rPr>
              <w:t xml:space="preserve"> (komandējuma izdevumi vienam cilvēkam uz 7 dienām 1897 </w:t>
            </w:r>
            <w:r w:rsidRPr="00CB360A">
              <w:rPr>
                <w:rFonts w:ascii="Times New Roman" w:eastAsia="Times New Roman" w:hAnsi="Times New Roman"/>
                <w:i/>
                <w:sz w:val="24"/>
                <w:szCs w:val="24"/>
              </w:rPr>
              <w:t xml:space="preserve">euro </w:t>
            </w:r>
            <w:r w:rsidRPr="00CB360A">
              <w:rPr>
                <w:rFonts w:ascii="Times New Roman" w:eastAsia="Times New Roman" w:hAnsi="Times New Roman"/>
                <w:sz w:val="24"/>
                <w:szCs w:val="24"/>
              </w:rPr>
              <w:t xml:space="preserve">(dienas nauda vidēji 287 </w:t>
            </w:r>
            <w:r w:rsidRPr="00CB360A">
              <w:rPr>
                <w:rFonts w:ascii="Times New Roman" w:eastAsia="Times New Roman" w:hAnsi="Times New Roman"/>
                <w:i/>
                <w:sz w:val="24"/>
                <w:szCs w:val="24"/>
              </w:rPr>
              <w:t>euro</w:t>
            </w:r>
            <w:r w:rsidRPr="00CB360A">
              <w:rPr>
                <w:rFonts w:ascii="Times New Roman" w:eastAsia="Times New Roman" w:hAnsi="Times New Roman"/>
                <w:sz w:val="24"/>
                <w:szCs w:val="24"/>
              </w:rPr>
              <w:t xml:space="preserve"> + viesnīca vidēji 1260 </w:t>
            </w:r>
            <w:r w:rsidRPr="00CB360A">
              <w:rPr>
                <w:rFonts w:ascii="Times New Roman" w:eastAsia="Times New Roman" w:hAnsi="Times New Roman"/>
                <w:i/>
                <w:sz w:val="24"/>
                <w:szCs w:val="24"/>
              </w:rPr>
              <w:t xml:space="preserve">euro + </w:t>
            </w:r>
            <w:r w:rsidRPr="00CB360A">
              <w:rPr>
                <w:rFonts w:ascii="Times New Roman" w:eastAsia="Times New Roman" w:hAnsi="Times New Roman"/>
                <w:sz w:val="24"/>
                <w:szCs w:val="24"/>
              </w:rPr>
              <w:t xml:space="preserve">transporta izdevumi 350 </w:t>
            </w:r>
            <w:r w:rsidRPr="00CB360A">
              <w:rPr>
                <w:rFonts w:ascii="Times New Roman" w:eastAsia="Times New Roman" w:hAnsi="Times New Roman"/>
                <w:i/>
                <w:sz w:val="24"/>
                <w:szCs w:val="24"/>
              </w:rPr>
              <w:t>euro</w:t>
            </w:r>
            <w:r w:rsidRPr="00CB360A">
              <w:rPr>
                <w:rFonts w:ascii="Times New Roman" w:eastAsia="Times New Roman" w:hAnsi="Times New Roman"/>
                <w:sz w:val="24"/>
                <w:szCs w:val="24"/>
              </w:rPr>
              <w:t xml:space="preserve">) x 3 darbinieki = 5691 </w:t>
            </w:r>
            <w:r w:rsidRPr="00CB360A">
              <w:rPr>
                <w:rFonts w:ascii="Times New Roman" w:eastAsia="Times New Roman" w:hAnsi="Times New Roman"/>
                <w:i/>
                <w:sz w:val="24"/>
                <w:szCs w:val="24"/>
              </w:rPr>
              <w:t>euro</w:t>
            </w:r>
            <w:r w:rsidR="00AF0501" w:rsidRPr="00CB360A">
              <w:rPr>
                <w:rFonts w:ascii="Times New Roman" w:eastAsia="Times New Roman" w:hAnsi="Times New Roman"/>
                <w:sz w:val="24"/>
                <w:szCs w:val="24"/>
              </w:rPr>
              <w:t xml:space="preserve">). </w:t>
            </w:r>
            <w:r w:rsidR="00AF0501" w:rsidRPr="00CB360A">
              <w:rPr>
                <w:rFonts w:ascii="Times New Roman" w:hAnsi="Times New Roman"/>
                <w:sz w:val="24"/>
                <w:szCs w:val="24"/>
                <w:lang w:eastAsia="en-US"/>
              </w:rPr>
              <w:t>Aprēķinātā summa ir aptuvena, jo uz doto brīdi nav iespējams precīzi noteikt cik daudz dienas aizņems apmācības, ja tās būs nepieciešams veikt kādā citā valstī.</w:t>
            </w:r>
          </w:p>
          <w:p w14:paraId="699CB948" w14:textId="77777777" w:rsidR="00554580" w:rsidRPr="00CB360A" w:rsidRDefault="00554580" w:rsidP="000C2740">
            <w:pPr>
              <w:pStyle w:val="ListParagraph"/>
              <w:numPr>
                <w:ilvl w:val="0"/>
                <w:numId w:val="24"/>
              </w:numPr>
              <w:spacing w:after="0" w:line="240" w:lineRule="auto"/>
              <w:jc w:val="both"/>
              <w:rPr>
                <w:rFonts w:ascii="Times New Roman" w:hAnsi="Times New Roman"/>
                <w:sz w:val="24"/>
                <w:szCs w:val="24"/>
              </w:rPr>
            </w:pPr>
            <w:r w:rsidRPr="00CB360A">
              <w:rPr>
                <w:rFonts w:ascii="Times New Roman" w:hAnsi="Times New Roman"/>
                <w:sz w:val="24"/>
                <w:szCs w:val="24"/>
              </w:rPr>
              <w:t xml:space="preserve">izdevumi par akreditācijas dokumentu sagatavošanu, dokumentu tulkošanu angļu valodā:  6006 </w:t>
            </w:r>
            <w:r w:rsidRPr="00CB360A">
              <w:rPr>
                <w:rFonts w:ascii="Times New Roman" w:hAnsi="Times New Roman"/>
                <w:i/>
                <w:sz w:val="24"/>
                <w:szCs w:val="24"/>
              </w:rPr>
              <w:t>euro</w:t>
            </w:r>
            <w:r w:rsidR="0022338D" w:rsidRPr="00CB360A">
              <w:rPr>
                <w:rFonts w:ascii="Times New Roman" w:hAnsi="Times New Roman"/>
                <w:i/>
                <w:sz w:val="24"/>
                <w:szCs w:val="24"/>
              </w:rPr>
              <w:t xml:space="preserve"> </w:t>
            </w:r>
            <w:r w:rsidR="0022338D" w:rsidRPr="00CB360A">
              <w:rPr>
                <w:rFonts w:ascii="Times New Roman" w:hAnsi="Times New Roman"/>
                <w:sz w:val="24"/>
                <w:szCs w:val="24"/>
              </w:rPr>
              <w:t>(~ 231 lp</w:t>
            </w:r>
            <w:r w:rsidR="00971004" w:rsidRPr="00CB360A">
              <w:rPr>
                <w:rFonts w:ascii="Times New Roman" w:hAnsi="Times New Roman"/>
                <w:sz w:val="24"/>
                <w:szCs w:val="24"/>
              </w:rPr>
              <w:t>p</w:t>
            </w:r>
            <w:r w:rsidR="0022338D" w:rsidRPr="00CB360A">
              <w:rPr>
                <w:rFonts w:ascii="Times New Roman" w:hAnsi="Times New Roman"/>
                <w:sz w:val="24"/>
                <w:szCs w:val="24"/>
              </w:rPr>
              <w:t>. x 26 EUR (vienas lapas tulkošanas izmaksas</w:t>
            </w:r>
            <w:r w:rsidR="00971004" w:rsidRPr="00CB360A">
              <w:rPr>
                <w:rFonts w:ascii="Times New Roman" w:hAnsi="Times New Roman"/>
                <w:sz w:val="24"/>
                <w:szCs w:val="24"/>
              </w:rPr>
              <w:t>, pieņemot, ka vienā lapā ir ap 500 vārdiem)</w:t>
            </w:r>
            <w:r w:rsidRPr="00CB360A">
              <w:rPr>
                <w:rFonts w:ascii="Times New Roman" w:hAnsi="Times New Roman"/>
                <w:i/>
                <w:sz w:val="24"/>
                <w:szCs w:val="24"/>
              </w:rPr>
              <w:t>.</w:t>
            </w:r>
            <w:r w:rsidRPr="00CB360A">
              <w:rPr>
                <w:rFonts w:ascii="Times New Roman" w:hAnsi="Times New Roman"/>
                <w:sz w:val="24"/>
                <w:szCs w:val="24"/>
              </w:rPr>
              <w:t xml:space="preserve"> </w:t>
            </w:r>
          </w:p>
          <w:p w14:paraId="699CB949" w14:textId="77777777" w:rsidR="001A62E7" w:rsidRPr="00CB360A" w:rsidRDefault="001A62E7" w:rsidP="000D0BAC">
            <w:pPr>
              <w:pStyle w:val="ListParagraph"/>
              <w:spacing w:after="0" w:line="240" w:lineRule="auto"/>
              <w:ind w:left="357"/>
              <w:jc w:val="both"/>
              <w:rPr>
                <w:rFonts w:ascii="Times New Roman" w:hAnsi="Times New Roman"/>
                <w:sz w:val="24"/>
                <w:szCs w:val="24"/>
              </w:rPr>
            </w:pPr>
          </w:p>
          <w:p w14:paraId="699CB94A" w14:textId="77777777" w:rsidR="001A62E7" w:rsidRPr="00CB360A" w:rsidRDefault="001A62E7" w:rsidP="001A62E7">
            <w:pPr>
              <w:jc w:val="both"/>
            </w:pPr>
            <w:r w:rsidRPr="00CB360A">
              <w:t xml:space="preserve">Lai izpildītu gaisa kvalitātes direktīvas prasības pastāv arī alternatīva iespēja neveidot LVĢMC kā Latvijas nacionālo references laboratoriju, bet no direktīvas izrietošos pienākumus uzticēt veikt kādai citai akreditētai laboratorijai citā ES dalībvalstī, taču šādā gadījumā izmaksas ir ievērojami lielākas, jo darbus attiecībā uz tīkla mērījumu aparatūras kvalitatīvas darbības nodrošināšanu būs jāizpilda uz ārpakalpojuma pamata. Kopumā šī varianta realizēšanas gadījumā sākot no 2018.gada un nākamo deviņu gadu periodā būtu nepieciešami ~ 1 312 362 EUR un būtu nepieciešami arī papildus izdevumi par esošā tehniskā personāla atalgojumu, kuru pienākumos būtu valsts monitoringa tīklā iekļautajām monitoringa stacijām kvalitātes nodrošināšanas un kvalitātes kontroles sistēmas izveidošana, kas paredz veikt regulāru iekārtu apkopi, kas ir nepieciešama mēriekārtu precizitātes garantēšanai, kā arī nodrošina datu vākšanas un paziņošanas kvalitātes kontroles procedūras izstrādi un mērījumu datu izsekojamību. Būtu nepieciešami arī izdevumi valsts monitoringa tīklā iekļauto staciju mērījumu metožu akreditēšanai laboratorijā. Turklāt šādā gadījumā Latvijai šajā jomā nebūtu neviena eksperta un nebūtu iespējams arī pilnvērtīgi aizstāvēt Latvijas intereses gadījumos, ja EK nāks klajā ar dažādiem ierosinājumiem attiecībā uz gaisa kvalitātes monitoringa veikšanu. </w:t>
            </w:r>
          </w:p>
          <w:p w14:paraId="699CB94B" w14:textId="77777777" w:rsidR="00422B51" w:rsidRPr="00CB360A" w:rsidRDefault="008A3B00" w:rsidP="001A62E7">
            <w:pPr>
              <w:jc w:val="both"/>
            </w:pPr>
            <w:r w:rsidRPr="00CB360A">
              <w:t>J</w:t>
            </w:r>
            <w:r w:rsidR="00422B51" w:rsidRPr="00CB360A">
              <w:t xml:space="preserve">ānorāda, ka uz doto brīdi </w:t>
            </w:r>
            <w:r w:rsidR="007768E6" w:rsidRPr="00CB360A">
              <w:t>pārējās ES</w:t>
            </w:r>
            <w:r w:rsidR="00422B51" w:rsidRPr="00CB360A">
              <w:t xml:space="preserve"> dalībvalstis šo pienākumu uztic savā valstī esošajām organizācijām (informācija pieejama: </w:t>
            </w:r>
            <w:hyperlink r:id="rId10" w:history="1">
              <w:r w:rsidR="00422B51" w:rsidRPr="00CB360A">
                <w:rPr>
                  <w:rStyle w:val="Hyperlink"/>
                </w:rPr>
                <w:t>https://ec.europa.eu/jrc/en/aquila/members</w:t>
              </w:r>
            </w:hyperlink>
            <w:r w:rsidR="00422B51" w:rsidRPr="00CB360A">
              <w:t>)</w:t>
            </w:r>
            <w:r w:rsidR="00763039" w:rsidRPr="00CB360A">
              <w:t>, kuras</w:t>
            </w:r>
            <w:r w:rsidR="00F03B18" w:rsidRPr="00CB360A">
              <w:t>,</w:t>
            </w:r>
            <w:r w:rsidR="00763039" w:rsidRPr="00CB360A">
              <w:t xml:space="preserve"> atšķirībā no Latvijas, regulāri piedalās nacionālo references laboratoriju organizētajos pasākumos. T</w:t>
            </w:r>
            <w:r w:rsidR="00422B51" w:rsidRPr="00CB360A">
              <w:t xml:space="preserve">ai pat laikā, </w:t>
            </w:r>
            <w:r w:rsidR="00057874" w:rsidRPr="00CB360A">
              <w:t>arī pārējām izveidotajām laboratorijām līdzīgi kā LVĢMC</w:t>
            </w:r>
            <w:r w:rsidR="00422B51" w:rsidRPr="00CB360A">
              <w:t xml:space="preserve"> būs jāveic papildus pasākumi, lai izpildītu jaunajā direktīvā noteiktās prasības.  </w:t>
            </w:r>
          </w:p>
          <w:p w14:paraId="699CB94C" w14:textId="77777777" w:rsidR="001A62E7" w:rsidRPr="00CB360A" w:rsidRDefault="001A62E7" w:rsidP="001A62E7">
            <w:pPr>
              <w:jc w:val="both"/>
            </w:pPr>
          </w:p>
          <w:p w14:paraId="699CB94D" w14:textId="77777777" w:rsidR="00554580" w:rsidRPr="00CB360A" w:rsidRDefault="001A62E7" w:rsidP="001A62E7">
            <w:pPr>
              <w:pStyle w:val="naisf"/>
              <w:spacing w:before="0" w:after="0"/>
              <w:ind w:firstLine="0"/>
            </w:pPr>
            <w:r w:rsidRPr="00CB360A">
              <w:rPr>
                <w:b/>
              </w:rPr>
              <w:t>Līdz ar to noteikumu projektā kā izmaksu efektīvākais un saprātīgākais risinājums izvēlēts veidot LVĢMC kā nacionālo references laboratoriju</w:t>
            </w:r>
            <w:r w:rsidRPr="00CB360A">
              <w:t>. Noteikumu projektā piedāvātā risinājuma īstenošanai deviņu gadu periodā nepieciešami aptuveni 1 010 733 EUR ar PVN. Šī paša finansējuma ietvaros tiks nodrošināta pilnībā visas ES direktīvā noteiktās prasības.</w:t>
            </w:r>
          </w:p>
          <w:p w14:paraId="699CB94E" w14:textId="77777777" w:rsidR="001A62E7" w:rsidRPr="00CB360A" w:rsidRDefault="001A62E7" w:rsidP="001A62E7">
            <w:pPr>
              <w:pStyle w:val="naisf"/>
              <w:spacing w:before="0" w:after="0"/>
              <w:ind w:firstLine="0"/>
              <w:rPr>
                <w:b/>
                <w:bCs/>
                <w:lang w:eastAsia="en-US"/>
              </w:rPr>
            </w:pPr>
          </w:p>
          <w:p w14:paraId="699CB94F" w14:textId="77777777" w:rsidR="00487823" w:rsidRPr="00CB360A" w:rsidRDefault="00554580" w:rsidP="00554580">
            <w:pPr>
              <w:pStyle w:val="naisf"/>
              <w:spacing w:before="0" w:after="0"/>
              <w:ind w:firstLine="0"/>
              <w:rPr>
                <w:lang w:eastAsia="en-US"/>
              </w:rPr>
            </w:pPr>
            <w:r w:rsidRPr="00CB360A">
              <w:rPr>
                <w:lang w:eastAsia="en-US"/>
              </w:rPr>
              <w:t xml:space="preserve">3. </w:t>
            </w:r>
            <w:r w:rsidR="00487823" w:rsidRPr="00CB360A">
              <w:rPr>
                <w:b/>
                <w:lang w:eastAsia="en-US"/>
              </w:rPr>
              <w:t>Nacionālās references laboratorijas statusa uzturēšana un tai noteikto pienākumu veikšana:</w:t>
            </w:r>
          </w:p>
          <w:p w14:paraId="699CB950" w14:textId="77777777" w:rsidR="00554580" w:rsidRPr="00CB360A" w:rsidRDefault="00554580" w:rsidP="00554580">
            <w:pPr>
              <w:pStyle w:val="naisf"/>
              <w:spacing w:before="0" w:after="0"/>
              <w:ind w:firstLine="0"/>
              <w:rPr>
                <w:bCs/>
                <w:lang w:eastAsia="en-US"/>
              </w:rPr>
            </w:pPr>
            <w:r w:rsidRPr="00CB360A">
              <w:rPr>
                <w:lang w:eastAsia="en-US"/>
              </w:rPr>
              <w:t xml:space="preserve">Turpmāk </w:t>
            </w:r>
            <w:r w:rsidRPr="00CB360A">
              <w:rPr>
                <w:b/>
                <w:bCs/>
                <w:u w:val="single"/>
                <w:lang w:eastAsia="en-US"/>
              </w:rPr>
              <w:t>katru gadu, sākot ar 2019. gada</w:t>
            </w:r>
            <w:r w:rsidRPr="00CB360A">
              <w:rPr>
                <w:lang w:eastAsia="en-US"/>
              </w:rPr>
              <w:t xml:space="preserve"> akreditētas laboratorijas statusa nodrošināšanai nepieciešami papildus </w:t>
            </w:r>
            <w:r w:rsidRPr="00CB360A">
              <w:rPr>
                <w:b/>
                <w:bCs/>
                <w:u w:val="single"/>
                <w:lang w:eastAsia="en-US"/>
              </w:rPr>
              <w:t xml:space="preserve">95 164 </w:t>
            </w:r>
            <w:r w:rsidRPr="00CB360A">
              <w:rPr>
                <w:b/>
                <w:bCs/>
                <w:i/>
                <w:u w:val="single"/>
                <w:lang w:eastAsia="en-US"/>
              </w:rPr>
              <w:t>euro</w:t>
            </w:r>
            <w:r w:rsidRPr="00CB360A">
              <w:rPr>
                <w:b/>
                <w:lang w:eastAsia="en-US"/>
              </w:rPr>
              <w:t>:</w:t>
            </w:r>
          </w:p>
          <w:p w14:paraId="699CB951" w14:textId="77777777" w:rsidR="00554580" w:rsidRPr="00CB360A" w:rsidRDefault="008B1E93" w:rsidP="008B1E93">
            <w:pPr>
              <w:pStyle w:val="ListParagraph"/>
              <w:numPr>
                <w:ilvl w:val="0"/>
                <w:numId w:val="24"/>
              </w:numPr>
              <w:spacing w:after="0" w:line="240" w:lineRule="auto"/>
              <w:jc w:val="both"/>
              <w:rPr>
                <w:rFonts w:ascii="Times New Roman" w:hAnsi="Times New Roman"/>
                <w:sz w:val="24"/>
                <w:szCs w:val="24"/>
              </w:rPr>
            </w:pPr>
            <w:r w:rsidRPr="00CB360A">
              <w:rPr>
                <w:rFonts w:ascii="Times New Roman" w:hAnsi="Times New Roman"/>
                <w:sz w:val="24"/>
                <w:szCs w:val="24"/>
              </w:rPr>
              <w:t>dažādu references laboratorijai noteikto funkciju izpilde, tai skaitā, koordinēt un nodrošināt nacionālās references laboratorijas akreditācijas procesu, piedalīties jaunu metodiku izstrādē, veikt esošo metodiku optimizāciju un ieviešanu, piedalīties starptautisko standartu tulkošanā un adaptācijā Latvijas valsts standarta statusā, nepieciešamības gadījumā piedalīties citu metodiku līdzvērtīguma pierādīšanā, koordinēt laboratorijas sadarbību ar EK izveidoto nacionālo references laboratoriju Eiropas tīklu un Kopīgo Pētniecības centru, tai skaitā – koordinēt dalību šo iestāžu organizētajās prasmes pārbaudēs, kā arī organizēt laboratorijas kā references iestādes rīkotas prasmes pārbaudes, nodrošināt jaunizveidotā monitoringa tīkla analizatoru kvalitatīvu darbību saskaņā ar nacionālo references laboratorijām noteikto procedūru un metodiku prasībām (ietver: ikgadēju analizatoru kalibrēšanu, kalibrēšanu pēc būtisku remontdarbu izpildes, regulārās tehniskās apkopes, daļiņu PM</w:t>
            </w:r>
            <w:r w:rsidRPr="00CB360A">
              <w:rPr>
                <w:rFonts w:ascii="Times New Roman" w:hAnsi="Times New Roman"/>
                <w:sz w:val="24"/>
                <w:szCs w:val="24"/>
                <w:vertAlign w:val="subscript"/>
              </w:rPr>
              <w:t>10</w:t>
            </w:r>
            <w:r w:rsidRPr="00CB360A">
              <w:rPr>
                <w:rFonts w:ascii="Times New Roman" w:hAnsi="Times New Roman"/>
                <w:sz w:val="24"/>
                <w:szCs w:val="24"/>
              </w:rPr>
              <w:t xml:space="preserve"> un PM</w:t>
            </w:r>
            <w:r w:rsidRPr="00CB360A">
              <w:rPr>
                <w:rFonts w:ascii="Times New Roman" w:hAnsi="Times New Roman"/>
                <w:sz w:val="24"/>
                <w:szCs w:val="24"/>
                <w:vertAlign w:val="subscript"/>
              </w:rPr>
              <w:t xml:space="preserve">2,5 </w:t>
            </w:r>
            <w:r w:rsidRPr="00CB360A">
              <w:rPr>
                <w:rFonts w:ascii="Times New Roman" w:hAnsi="Times New Roman"/>
                <w:sz w:val="24"/>
                <w:szCs w:val="24"/>
              </w:rPr>
              <w:t xml:space="preserve">frakcijas masas mērījumu metodes testēšana lauku apstākļos, lai demonstrētu līdzvērtīgumu references metodei ar izrietošā koeficienta aprēķināšanu, nodrošināt novērojumu datu plūsmu uzraudzību saskaņā ar nacionālajai references laboratorijai noteikto procedūru un metodiku prasībām), sekot līdzi tehnoloģiskajai attīstībai un apgūt jaunas testēšanas iekārtas: 87 504 </w:t>
            </w:r>
            <w:r w:rsidRPr="00CB360A">
              <w:rPr>
                <w:rFonts w:ascii="Times New Roman" w:hAnsi="Times New Roman"/>
                <w:i/>
                <w:sz w:val="24"/>
                <w:szCs w:val="24"/>
              </w:rPr>
              <w:t xml:space="preserve">euro </w:t>
            </w:r>
            <w:r w:rsidRPr="00CB360A">
              <w:rPr>
                <w:rFonts w:ascii="Times New Roman" w:hAnsi="Times New Roman"/>
                <w:sz w:val="24"/>
                <w:szCs w:val="24"/>
              </w:rPr>
              <w:t xml:space="preserve">(6731 cilvēkstundas gadā x stundas likme 13 </w:t>
            </w:r>
            <w:r w:rsidRPr="00CB360A">
              <w:rPr>
                <w:rFonts w:ascii="Times New Roman" w:hAnsi="Times New Roman"/>
                <w:i/>
                <w:sz w:val="24"/>
                <w:szCs w:val="24"/>
              </w:rPr>
              <w:t>euro</w:t>
            </w:r>
            <w:r w:rsidRPr="00CB360A">
              <w:rPr>
                <w:rFonts w:ascii="Times New Roman" w:hAnsi="Times New Roman"/>
                <w:sz w:val="24"/>
                <w:szCs w:val="24"/>
              </w:rPr>
              <w:t>):</w:t>
            </w:r>
            <w:r w:rsidR="00554580" w:rsidRPr="00CB360A">
              <w:rPr>
                <w:rFonts w:ascii="Times New Roman" w:hAnsi="Times New Roman"/>
                <w:sz w:val="24"/>
                <w:szCs w:val="24"/>
              </w:rPr>
              <w:t xml:space="preserve">87 504 </w:t>
            </w:r>
            <w:r w:rsidR="00554580" w:rsidRPr="00CB360A">
              <w:rPr>
                <w:rFonts w:ascii="Times New Roman" w:hAnsi="Times New Roman"/>
                <w:i/>
                <w:sz w:val="24"/>
                <w:szCs w:val="24"/>
              </w:rPr>
              <w:t>euro.</w:t>
            </w:r>
            <w:r w:rsidR="00554580" w:rsidRPr="00CB360A">
              <w:rPr>
                <w:rFonts w:ascii="Times New Roman" w:hAnsi="Times New Roman"/>
                <w:sz w:val="24"/>
                <w:szCs w:val="24"/>
              </w:rPr>
              <w:t xml:space="preserve"> </w:t>
            </w:r>
          </w:p>
          <w:p w14:paraId="699CB952" w14:textId="77777777" w:rsidR="00554580" w:rsidRPr="00CB360A" w:rsidRDefault="00554580" w:rsidP="000C2740">
            <w:pPr>
              <w:pStyle w:val="ListParagraph"/>
              <w:numPr>
                <w:ilvl w:val="0"/>
                <w:numId w:val="24"/>
              </w:numPr>
              <w:spacing w:after="0" w:line="240" w:lineRule="auto"/>
              <w:jc w:val="both"/>
              <w:rPr>
                <w:rFonts w:ascii="Times New Roman" w:hAnsi="Times New Roman"/>
                <w:sz w:val="24"/>
                <w:szCs w:val="24"/>
              </w:rPr>
            </w:pPr>
            <w:r w:rsidRPr="00CB360A">
              <w:rPr>
                <w:rFonts w:ascii="Times New Roman" w:hAnsi="Times New Roman"/>
                <w:sz w:val="24"/>
                <w:szCs w:val="24"/>
              </w:rPr>
              <w:t xml:space="preserve">izdevumi par references materiāliem: 3000 </w:t>
            </w:r>
            <w:r w:rsidRPr="00CB360A">
              <w:rPr>
                <w:rFonts w:ascii="Times New Roman" w:hAnsi="Times New Roman"/>
                <w:i/>
                <w:sz w:val="24"/>
                <w:szCs w:val="24"/>
              </w:rPr>
              <w:t>euro</w:t>
            </w:r>
            <w:r w:rsidRPr="00CB360A">
              <w:rPr>
                <w:rFonts w:ascii="Times New Roman" w:hAnsi="Times New Roman"/>
                <w:sz w:val="24"/>
                <w:szCs w:val="24"/>
              </w:rPr>
              <w:t>;</w:t>
            </w:r>
          </w:p>
          <w:p w14:paraId="699CB953" w14:textId="77777777" w:rsidR="00554580" w:rsidRPr="00CB360A" w:rsidRDefault="00554580" w:rsidP="000C2740">
            <w:pPr>
              <w:pStyle w:val="ListParagraph"/>
              <w:numPr>
                <w:ilvl w:val="0"/>
                <w:numId w:val="24"/>
              </w:numPr>
              <w:spacing w:after="0" w:line="240" w:lineRule="auto"/>
              <w:jc w:val="both"/>
              <w:rPr>
                <w:rFonts w:ascii="Times New Roman" w:hAnsi="Times New Roman"/>
                <w:sz w:val="24"/>
                <w:szCs w:val="24"/>
              </w:rPr>
            </w:pPr>
            <w:r w:rsidRPr="00CB360A">
              <w:rPr>
                <w:rFonts w:ascii="Times New Roman" w:hAnsi="Times New Roman"/>
                <w:sz w:val="24"/>
                <w:szCs w:val="24"/>
              </w:rPr>
              <w:t xml:space="preserve">ikgadējā </w:t>
            </w:r>
            <w:r w:rsidRPr="00CB360A">
              <w:rPr>
                <w:rFonts w:ascii="Times New Roman" w:eastAsia="Times New Roman" w:hAnsi="Times New Roman"/>
                <w:sz w:val="24"/>
                <w:szCs w:val="24"/>
              </w:rPr>
              <w:t>Latvijas Nacionālais akreditācijas biroja</w:t>
            </w:r>
            <w:r w:rsidRPr="00CB360A">
              <w:rPr>
                <w:rFonts w:ascii="Times New Roman" w:hAnsi="Times New Roman"/>
                <w:sz w:val="24"/>
                <w:szCs w:val="24"/>
              </w:rPr>
              <w:t xml:space="preserve"> vizīte: 1500 </w:t>
            </w:r>
            <w:r w:rsidRPr="00CB360A">
              <w:rPr>
                <w:rFonts w:ascii="Times New Roman" w:hAnsi="Times New Roman"/>
                <w:i/>
                <w:sz w:val="24"/>
                <w:szCs w:val="24"/>
              </w:rPr>
              <w:t>euro;</w:t>
            </w:r>
          </w:p>
          <w:p w14:paraId="699CB954" w14:textId="77777777" w:rsidR="00554580" w:rsidRPr="00CB360A" w:rsidRDefault="00554580" w:rsidP="000C2740">
            <w:pPr>
              <w:pStyle w:val="ListParagraph"/>
              <w:numPr>
                <w:ilvl w:val="0"/>
                <w:numId w:val="24"/>
              </w:numPr>
              <w:spacing w:after="0" w:line="240" w:lineRule="auto"/>
              <w:jc w:val="both"/>
              <w:rPr>
                <w:rFonts w:ascii="Times New Roman" w:hAnsi="Times New Roman"/>
                <w:sz w:val="24"/>
                <w:szCs w:val="24"/>
              </w:rPr>
            </w:pPr>
            <w:r w:rsidRPr="00CB360A">
              <w:rPr>
                <w:rFonts w:ascii="Times New Roman" w:hAnsi="Times New Roman"/>
                <w:sz w:val="24"/>
                <w:szCs w:val="24"/>
              </w:rPr>
              <w:t xml:space="preserve">viena ārvalstu eksperta izmaksas - 1600 </w:t>
            </w:r>
            <w:r w:rsidRPr="00CB360A">
              <w:rPr>
                <w:rFonts w:ascii="Times New Roman" w:hAnsi="Times New Roman"/>
                <w:i/>
                <w:sz w:val="24"/>
                <w:szCs w:val="24"/>
              </w:rPr>
              <w:t>euro;</w:t>
            </w:r>
          </w:p>
          <w:p w14:paraId="699CB955" w14:textId="77777777" w:rsidR="00554580" w:rsidRPr="00CB360A" w:rsidRDefault="00554580" w:rsidP="000C2740">
            <w:pPr>
              <w:pStyle w:val="ListParagraph"/>
              <w:numPr>
                <w:ilvl w:val="0"/>
                <w:numId w:val="24"/>
              </w:numPr>
              <w:spacing w:after="0" w:line="240" w:lineRule="auto"/>
              <w:jc w:val="both"/>
              <w:rPr>
                <w:rFonts w:ascii="Times New Roman" w:hAnsi="Times New Roman"/>
                <w:sz w:val="24"/>
                <w:szCs w:val="24"/>
              </w:rPr>
            </w:pPr>
            <w:r w:rsidRPr="00CB360A">
              <w:rPr>
                <w:rFonts w:ascii="Times New Roman" w:hAnsi="Times New Roman"/>
                <w:sz w:val="24"/>
                <w:szCs w:val="24"/>
              </w:rPr>
              <w:t xml:space="preserve">izdevumi par akreditācijas dokumentu sagatavošanu, dokumentu tulkošanu angļu valodā:  1560 </w:t>
            </w:r>
            <w:r w:rsidRPr="00CB360A">
              <w:rPr>
                <w:rFonts w:ascii="Times New Roman" w:hAnsi="Times New Roman"/>
                <w:i/>
                <w:sz w:val="24"/>
                <w:szCs w:val="24"/>
              </w:rPr>
              <w:t>euro</w:t>
            </w:r>
            <w:r w:rsidR="0022338D" w:rsidRPr="00CB360A">
              <w:rPr>
                <w:rFonts w:ascii="Times New Roman" w:hAnsi="Times New Roman"/>
                <w:i/>
                <w:sz w:val="24"/>
                <w:szCs w:val="24"/>
              </w:rPr>
              <w:t xml:space="preserve"> </w:t>
            </w:r>
            <w:r w:rsidR="00361A01" w:rsidRPr="00CB360A">
              <w:rPr>
                <w:rFonts w:ascii="Times New Roman" w:hAnsi="Times New Roman"/>
                <w:sz w:val="24"/>
                <w:szCs w:val="24"/>
              </w:rPr>
              <w:t>(</w:t>
            </w:r>
            <w:r w:rsidR="0022338D" w:rsidRPr="00CB360A">
              <w:rPr>
                <w:rFonts w:ascii="Times New Roman" w:hAnsi="Times New Roman"/>
                <w:sz w:val="24"/>
                <w:szCs w:val="24"/>
              </w:rPr>
              <w:t>~ 60 lp</w:t>
            </w:r>
            <w:r w:rsidR="00971004" w:rsidRPr="00CB360A">
              <w:rPr>
                <w:rFonts w:ascii="Times New Roman" w:hAnsi="Times New Roman"/>
                <w:sz w:val="24"/>
                <w:szCs w:val="24"/>
              </w:rPr>
              <w:t>p</w:t>
            </w:r>
            <w:r w:rsidR="0022338D" w:rsidRPr="00CB360A">
              <w:rPr>
                <w:rFonts w:ascii="Times New Roman" w:hAnsi="Times New Roman"/>
                <w:sz w:val="24"/>
                <w:szCs w:val="24"/>
              </w:rPr>
              <w:t>. x 26 EUR (vienas lapas tulkošanas izmaksas</w:t>
            </w:r>
            <w:r w:rsidR="00971004" w:rsidRPr="00CB360A">
              <w:rPr>
                <w:rFonts w:ascii="Times New Roman" w:hAnsi="Times New Roman"/>
                <w:sz w:val="24"/>
                <w:szCs w:val="24"/>
              </w:rPr>
              <w:t>, pieņemot, ka vienā lapā ir ap 500 vārdiem</w:t>
            </w:r>
            <w:r w:rsidR="0022338D" w:rsidRPr="00CB360A">
              <w:rPr>
                <w:rFonts w:ascii="Times New Roman" w:hAnsi="Times New Roman"/>
                <w:sz w:val="24"/>
                <w:szCs w:val="24"/>
              </w:rPr>
              <w:t>)</w:t>
            </w:r>
            <w:r w:rsidRPr="00CB360A">
              <w:rPr>
                <w:rFonts w:ascii="Times New Roman" w:hAnsi="Times New Roman"/>
                <w:sz w:val="24"/>
                <w:szCs w:val="24"/>
              </w:rPr>
              <w:t xml:space="preserve">. </w:t>
            </w:r>
          </w:p>
          <w:p w14:paraId="699CB956" w14:textId="77777777" w:rsidR="00554580" w:rsidRPr="00CB360A" w:rsidRDefault="00554580" w:rsidP="00554580">
            <w:pPr>
              <w:jc w:val="both"/>
            </w:pPr>
          </w:p>
          <w:p w14:paraId="699CB957" w14:textId="77777777" w:rsidR="00487823" w:rsidRPr="00CB360A" w:rsidRDefault="00554580" w:rsidP="00554580">
            <w:pPr>
              <w:pStyle w:val="naisf"/>
              <w:spacing w:before="0" w:after="0"/>
              <w:ind w:firstLine="0"/>
              <w:rPr>
                <w:lang w:eastAsia="en-US"/>
              </w:rPr>
            </w:pPr>
            <w:r w:rsidRPr="00CB360A">
              <w:rPr>
                <w:lang w:eastAsia="en-US"/>
              </w:rPr>
              <w:t xml:space="preserve">4. </w:t>
            </w:r>
            <w:r w:rsidR="00487823" w:rsidRPr="00CB360A">
              <w:rPr>
                <w:b/>
                <w:lang w:eastAsia="en-US"/>
              </w:rPr>
              <w:t>Valsts monitoringa tīklā iekļauto iekārtu savstarpējās salīdzināšana ar citās ES dalībvalstīs esošajām iekārtām:</w:t>
            </w:r>
          </w:p>
          <w:p w14:paraId="699CB958" w14:textId="77777777" w:rsidR="00554580" w:rsidRPr="00CB360A" w:rsidRDefault="00554580" w:rsidP="00554580">
            <w:pPr>
              <w:pStyle w:val="naisf"/>
              <w:spacing w:before="0" w:after="0"/>
              <w:ind w:firstLine="0"/>
              <w:rPr>
                <w:lang w:eastAsia="en-US"/>
              </w:rPr>
            </w:pPr>
            <w:r w:rsidRPr="00CB360A">
              <w:rPr>
                <w:b/>
                <w:bCs/>
                <w:u w:val="single"/>
                <w:lang w:eastAsia="en-US"/>
              </w:rPr>
              <w:t>2019.gadā un pēc tam reizi 3 gados</w:t>
            </w:r>
            <w:r w:rsidRPr="00CB360A">
              <w:rPr>
                <w:lang w:eastAsia="en-US"/>
              </w:rPr>
              <w:t xml:space="preserve"> </w:t>
            </w:r>
            <w:r w:rsidR="00FA3CE5" w:rsidRPr="00CB360A">
              <w:rPr>
                <w:lang w:eastAsia="en-US"/>
              </w:rPr>
              <w:t>16</w:t>
            </w:r>
            <w:r w:rsidRPr="00CB360A">
              <w:rPr>
                <w:lang w:eastAsia="en-US"/>
              </w:rPr>
              <w:t>. punktā izteiktais 8.</w:t>
            </w:r>
            <w:r w:rsidRPr="00CB360A">
              <w:rPr>
                <w:vertAlign w:val="superscript"/>
                <w:lang w:eastAsia="en-US"/>
              </w:rPr>
              <w:t>4</w:t>
            </w:r>
            <w:r w:rsidR="00FA3CE5" w:rsidRPr="00CB360A">
              <w:rPr>
                <w:vertAlign w:val="superscript"/>
                <w:lang w:eastAsia="en-US"/>
              </w:rPr>
              <w:t xml:space="preserve"> </w:t>
            </w:r>
            <w:r w:rsidRPr="00CB360A">
              <w:rPr>
                <w:lang w:eastAsia="en-US"/>
              </w:rPr>
              <w:t xml:space="preserve">punkts, kas paredz, ka ir jāveic valsts monitoringa tīklā iekļauto iekārtu savstarpējās salīdzināšana ar citās ES dalībvalstīs esošajām iekārtām, izpildei nepieciešami papildus līdzekļi </w:t>
            </w:r>
            <w:r w:rsidRPr="00CB360A">
              <w:rPr>
                <w:b/>
                <w:u w:val="single"/>
                <w:lang w:eastAsia="en-US"/>
              </w:rPr>
              <w:t xml:space="preserve">10 552 </w:t>
            </w:r>
            <w:r w:rsidRPr="00CB360A">
              <w:rPr>
                <w:i/>
                <w:u w:val="single"/>
                <w:lang w:eastAsia="en-US"/>
              </w:rPr>
              <w:t>euro</w:t>
            </w:r>
            <w:r w:rsidRPr="00CB360A">
              <w:rPr>
                <w:lang w:eastAsia="en-US"/>
              </w:rPr>
              <w:t xml:space="preserve"> apmērā, kas ietver: </w:t>
            </w:r>
          </w:p>
          <w:p w14:paraId="699CB959" w14:textId="77777777" w:rsidR="00554580" w:rsidRPr="00CB360A" w:rsidRDefault="00554580" w:rsidP="00554580">
            <w:pPr>
              <w:pStyle w:val="naisf"/>
              <w:spacing w:before="0" w:after="0"/>
              <w:ind w:firstLine="0"/>
              <w:rPr>
                <w:lang w:eastAsia="en-US"/>
              </w:rPr>
            </w:pPr>
            <w:r w:rsidRPr="00CB360A">
              <w:rPr>
                <w:lang w:eastAsia="en-US"/>
              </w:rPr>
              <w:t>- transportēšanas izdevumi iekārtām, kuras prasmes pārbaužu veikšanai nāksies transportēt uz prasmes pārbaudes organizēšanas vietu ~ 1000 </w:t>
            </w:r>
            <w:r w:rsidRPr="00CB360A">
              <w:rPr>
                <w:i/>
                <w:lang w:eastAsia="en-US"/>
              </w:rPr>
              <w:t>euro</w:t>
            </w:r>
            <w:r w:rsidRPr="00CB360A">
              <w:rPr>
                <w:lang w:eastAsia="en-US"/>
              </w:rPr>
              <w:t>;</w:t>
            </w:r>
          </w:p>
          <w:p w14:paraId="699CB95A" w14:textId="77777777" w:rsidR="00554580" w:rsidRPr="00CB360A" w:rsidRDefault="00554580" w:rsidP="00554580">
            <w:pPr>
              <w:pStyle w:val="CommentText"/>
              <w:jc w:val="both"/>
              <w:rPr>
                <w:sz w:val="24"/>
                <w:szCs w:val="24"/>
                <w:lang w:eastAsia="en-US"/>
              </w:rPr>
            </w:pPr>
            <w:r w:rsidRPr="00CB360A">
              <w:rPr>
                <w:bCs/>
                <w:sz w:val="24"/>
                <w:szCs w:val="24"/>
                <w:lang w:eastAsia="en-US"/>
              </w:rPr>
              <w:t xml:space="preserve">- </w:t>
            </w:r>
            <w:r w:rsidRPr="00CB360A">
              <w:rPr>
                <w:sz w:val="24"/>
                <w:szCs w:val="24"/>
              </w:rPr>
              <w:t xml:space="preserve">prasmes pārbaužu pierādīšana, piedaloties starplaboratoriju salīdzinošajos mērījumos: ārpakalpojums </w:t>
            </w:r>
            <w:r w:rsidRPr="00CB360A">
              <w:rPr>
                <w:sz w:val="24"/>
                <w:szCs w:val="24"/>
                <w:lang w:eastAsia="en-US"/>
              </w:rPr>
              <w:t xml:space="preserve">3000 </w:t>
            </w:r>
            <w:r w:rsidRPr="00CB360A">
              <w:rPr>
                <w:i/>
                <w:sz w:val="24"/>
                <w:szCs w:val="24"/>
                <w:lang w:eastAsia="en-US"/>
              </w:rPr>
              <w:t>euro</w:t>
            </w:r>
            <w:r w:rsidRPr="00CB360A">
              <w:rPr>
                <w:sz w:val="24"/>
                <w:szCs w:val="24"/>
                <w:lang w:eastAsia="en-US"/>
              </w:rPr>
              <w:t xml:space="preserve"> (231 cilvēkstundas gadā x stundas likme 13 EUR). </w:t>
            </w:r>
            <w:r w:rsidRPr="00CB360A">
              <w:rPr>
                <w:sz w:val="24"/>
                <w:szCs w:val="24"/>
              </w:rPr>
              <w:t>Iespējams veikt tikai kā ārpakalpojumu, jo nepieciešams, lai cita neatkarīga akreditēta laboratorija novērtē LVĢMC atbilstību noteiktajām prasībām.</w:t>
            </w:r>
          </w:p>
          <w:p w14:paraId="699CB95B" w14:textId="77777777" w:rsidR="00554580" w:rsidRPr="00CB360A" w:rsidRDefault="00554580" w:rsidP="00554580">
            <w:pPr>
              <w:pStyle w:val="CommentText"/>
              <w:jc w:val="both"/>
              <w:rPr>
                <w:sz w:val="24"/>
                <w:szCs w:val="24"/>
              </w:rPr>
            </w:pPr>
            <w:r w:rsidRPr="00CB360A">
              <w:rPr>
                <w:sz w:val="24"/>
                <w:szCs w:val="24"/>
                <w:lang w:eastAsia="en-US"/>
              </w:rPr>
              <w:t xml:space="preserve">- </w:t>
            </w:r>
            <w:r w:rsidRPr="00CB360A">
              <w:rPr>
                <w:sz w:val="24"/>
                <w:szCs w:val="24"/>
              </w:rPr>
              <w:t xml:space="preserve">trīs darbinieku apmācība: 3000 </w:t>
            </w:r>
            <w:r w:rsidRPr="00CB360A">
              <w:rPr>
                <w:i/>
                <w:sz w:val="24"/>
                <w:szCs w:val="24"/>
              </w:rPr>
              <w:t>euro</w:t>
            </w:r>
            <w:r w:rsidRPr="00CB360A">
              <w:rPr>
                <w:sz w:val="24"/>
                <w:szCs w:val="24"/>
              </w:rPr>
              <w:t xml:space="preserve"> (viena darbinieka apmācība 1000 </w:t>
            </w:r>
            <w:r w:rsidRPr="00CB360A">
              <w:rPr>
                <w:i/>
                <w:sz w:val="24"/>
                <w:szCs w:val="24"/>
              </w:rPr>
              <w:t xml:space="preserve">euro </w:t>
            </w:r>
            <w:r w:rsidRPr="00CB360A">
              <w:rPr>
                <w:sz w:val="24"/>
                <w:szCs w:val="24"/>
              </w:rPr>
              <w:t>x 3);</w:t>
            </w:r>
          </w:p>
          <w:p w14:paraId="699CB95C" w14:textId="77777777" w:rsidR="00554580" w:rsidRPr="00CB360A" w:rsidRDefault="00554580" w:rsidP="00554580">
            <w:pPr>
              <w:pStyle w:val="CommentText"/>
              <w:jc w:val="both"/>
              <w:rPr>
                <w:sz w:val="24"/>
                <w:szCs w:val="24"/>
                <w:lang w:eastAsia="en-US"/>
              </w:rPr>
            </w:pPr>
            <w:r w:rsidRPr="00CB360A">
              <w:rPr>
                <w:sz w:val="24"/>
                <w:szCs w:val="24"/>
              </w:rPr>
              <w:t>- komandējumu izdevumi, ja apmācības iespējamas vienīgi ārvalstīs:</w:t>
            </w:r>
            <w:r w:rsidRPr="00CB360A">
              <w:rPr>
                <w:b/>
                <w:sz w:val="24"/>
                <w:szCs w:val="24"/>
              </w:rPr>
              <w:t xml:space="preserve"> 3552 </w:t>
            </w:r>
            <w:r w:rsidRPr="00CB360A">
              <w:rPr>
                <w:i/>
                <w:sz w:val="24"/>
                <w:szCs w:val="24"/>
              </w:rPr>
              <w:t>euro</w:t>
            </w:r>
            <w:r w:rsidRPr="00CB360A">
              <w:rPr>
                <w:sz w:val="24"/>
                <w:szCs w:val="24"/>
              </w:rPr>
              <w:t xml:space="preserve"> (komandējuma izdevumi vienam cilvēkam uz 4 dienām 884 </w:t>
            </w:r>
            <w:r w:rsidRPr="00CB360A">
              <w:rPr>
                <w:i/>
                <w:sz w:val="24"/>
                <w:szCs w:val="24"/>
              </w:rPr>
              <w:t xml:space="preserve">euro </w:t>
            </w:r>
            <w:r w:rsidRPr="00CB360A">
              <w:rPr>
                <w:sz w:val="24"/>
                <w:szCs w:val="24"/>
              </w:rPr>
              <w:t xml:space="preserve">(dienas nauda vidēji 164 </w:t>
            </w:r>
            <w:r w:rsidRPr="00CB360A">
              <w:rPr>
                <w:i/>
                <w:sz w:val="24"/>
                <w:szCs w:val="24"/>
              </w:rPr>
              <w:t>euro</w:t>
            </w:r>
            <w:r w:rsidRPr="00CB360A">
              <w:rPr>
                <w:sz w:val="24"/>
                <w:szCs w:val="24"/>
              </w:rPr>
              <w:t xml:space="preserve"> + viesnīca vidēji 720 </w:t>
            </w:r>
            <w:r w:rsidRPr="00CB360A">
              <w:rPr>
                <w:i/>
                <w:sz w:val="24"/>
                <w:szCs w:val="24"/>
              </w:rPr>
              <w:t xml:space="preserve">euro + </w:t>
            </w:r>
            <w:r w:rsidRPr="00CB360A">
              <w:rPr>
                <w:sz w:val="24"/>
                <w:szCs w:val="24"/>
              </w:rPr>
              <w:t xml:space="preserve">transporta izdevumi 300 </w:t>
            </w:r>
            <w:r w:rsidRPr="00CB360A">
              <w:rPr>
                <w:i/>
                <w:sz w:val="24"/>
                <w:szCs w:val="24"/>
              </w:rPr>
              <w:t>euro</w:t>
            </w:r>
            <w:r w:rsidRPr="00CB360A">
              <w:rPr>
                <w:sz w:val="24"/>
                <w:szCs w:val="24"/>
              </w:rPr>
              <w:t xml:space="preserve">) x 3 = 3552 </w:t>
            </w:r>
            <w:r w:rsidRPr="00CB360A">
              <w:rPr>
                <w:i/>
                <w:sz w:val="24"/>
                <w:szCs w:val="24"/>
              </w:rPr>
              <w:t>euro</w:t>
            </w:r>
            <w:r w:rsidRPr="00CB360A">
              <w:rPr>
                <w:sz w:val="24"/>
                <w:szCs w:val="24"/>
              </w:rPr>
              <w:t xml:space="preserve">). </w:t>
            </w:r>
            <w:r w:rsidR="00AF0501" w:rsidRPr="00CB360A">
              <w:rPr>
                <w:sz w:val="24"/>
                <w:szCs w:val="24"/>
                <w:lang w:eastAsia="en-US"/>
              </w:rPr>
              <w:t>Aprēķinātā summa ir aptuvena, jo uz doto brīdi nav iespējams precīzi noteikt cik daudz dienas aizņems apmācības, ja tās būs nepieciešams veikt kādā citā valstī.</w:t>
            </w:r>
          </w:p>
          <w:p w14:paraId="699CB95D" w14:textId="77777777" w:rsidR="00554580" w:rsidRPr="00CB360A" w:rsidRDefault="00554580" w:rsidP="00554580">
            <w:pPr>
              <w:pStyle w:val="CommentText"/>
              <w:jc w:val="both"/>
              <w:rPr>
                <w:b/>
                <w:bCs/>
                <w:sz w:val="24"/>
                <w:szCs w:val="24"/>
                <w:lang w:eastAsia="en-US"/>
              </w:rPr>
            </w:pPr>
          </w:p>
          <w:p w14:paraId="699CB95E" w14:textId="77777777" w:rsidR="00487823" w:rsidRPr="00CB360A" w:rsidRDefault="00554580" w:rsidP="00554580">
            <w:pPr>
              <w:pStyle w:val="CommentText"/>
              <w:jc w:val="both"/>
              <w:rPr>
                <w:b/>
                <w:bCs/>
                <w:sz w:val="24"/>
                <w:szCs w:val="24"/>
                <w:lang w:eastAsia="en-US"/>
              </w:rPr>
            </w:pPr>
            <w:r w:rsidRPr="00CB360A">
              <w:rPr>
                <w:bCs/>
                <w:sz w:val="24"/>
                <w:szCs w:val="24"/>
                <w:lang w:eastAsia="en-US"/>
              </w:rPr>
              <w:t>5</w:t>
            </w:r>
            <w:r w:rsidRPr="00CB360A">
              <w:rPr>
                <w:b/>
                <w:bCs/>
                <w:sz w:val="24"/>
                <w:szCs w:val="24"/>
                <w:lang w:eastAsia="en-US"/>
              </w:rPr>
              <w:t>. </w:t>
            </w:r>
            <w:r w:rsidR="00487823" w:rsidRPr="00CB360A">
              <w:rPr>
                <w:b/>
                <w:bCs/>
                <w:sz w:val="24"/>
                <w:szCs w:val="24"/>
                <w:lang w:eastAsia="en-US"/>
              </w:rPr>
              <w:t xml:space="preserve">Izvērtējums </w:t>
            </w:r>
            <w:r w:rsidR="00487823" w:rsidRPr="00CB360A">
              <w:rPr>
                <w:b/>
                <w:sz w:val="24"/>
                <w:szCs w:val="24"/>
              </w:rPr>
              <w:t>par valsts monitoringa tīkla stacijās izveidoto kvalitātes nodrošināšanas sistēmu:</w:t>
            </w:r>
          </w:p>
          <w:p w14:paraId="699CB95F" w14:textId="77777777" w:rsidR="00554580" w:rsidRPr="00CB360A" w:rsidRDefault="00554580" w:rsidP="00554580">
            <w:pPr>
              <w:pStyle w:val="CommentText"/>
              <w:jc w:val="both"/>
              <w:rPr>
                <w:b/>
                <w:sz w:val="24"/>
                <w:szCs w:val="24"/>
              </w:rPr>
            </w:pPr>
            <w:r w:rsidRPr="00CB360A">
              <w:rPr>
                <w:b/>
                <w:bCs/>
                <w:sz w:val="24"/>
                <w:szCs w:val="24"/>
                <w:u w:val="single"/>
                <w:lang w:eastAsia="en-US"/>
              </w:rPr>
              <w:t>2019.gadā un pēc tam reizi 5 gados</w:t>
            </w:r>
            <w:r w:rsidRPr="00CB360A">
              <w:rPr>
                <w:b/>
                <w:bCs/>
                <w:sz w:val="24"/>
                <w:szCs w:val="24"/>
                <w:lang w:eastAsia="en-US"/>
              </w:rPr>
              <w:t xml:space="preserve"> </w:t>
            </w:r>
            <w:r w:rsidR="00FA3CE5" w:rsidRPr="00CB360A">
              <w:rPr>
                <w:bCs/>
                <w:sz w:val="24"/>
                <w:szCs w:val="24"/>
                <w:lang w:eastAsia="en-US"/>
              </w:rPr>
              <w:t>18</w:t>
            </w:r>
            <w:r w:rsidRPr="00CB360A">
              <w:rPr>
                <w:bCs/>
                <w:sz w:val="24"/>
                <w:szCs w:val="24"/>
                <w:lang w:eastAsia="en-US"/>
              </w:rPr>
              <w:t>. punktā ierosinātā grozījuma (8.</w:t>
            </w:r>
            <w:r w:rsidRPr="00CB360A">
              <w:rPr>
                <w:bCs/>
                <w:sz w:val="24"/>
                <w:szCs w:val="24"/>
                <w:vertAlign w:val="superscript"/>
                <w:lang w:eastAsia="en-US"/>
              </w:rPr>
              <w:t>3</w:t>
            </w:r>
            <w:r w:rsidRPr="00CB360A">
              <w:rPr>
                <w:bCs/>
                <w:sz w:val="24"/>
                <w:szCs w:val="24"/>
                <w:lang w:eastAsia="en-US"/>
              </w:rPr>
              <w:t xml:space="preserve"> punkts), kas nosaka nepieciešamību sagatavot izvērtējumu</w:t>
            </w:r>
            <w:r w:rsidRPr="00CB360A">
              <w:rPr>
                <w:sz w:val="24"/>
                <w:szCs w:val="24"/>
              </w:rPr>
              <w:t xml:space="preserve"> par izveidoto kvalitātes nodrošināšanas sistēmu, </w:t>
            </w:r>
            <w:r w:rsidRPr="00CB360A">
              <w:rPr>
                <w:bCs/>
                <w:sz w:val="24"/>
                <w:szCs w:val="24"/>
                <w:lang w:eastAsia="en-US"/>
              </w:rPr>
              <w:t xml:space="preserve">izpildei </w:t>
            </w:r>
            <w:r w:rsidRPr="00CB360A">
              <w:rPr>
                <w:sz w:val="24"/>
                <w:szCs w:val="24"/>
              </w:rPr>
              <w:t xml:space="preserve">papildus nepieciešami </w:t>
            </w:r>
            <w:r w:rsidRPr="00CB360A">
              <w:rPr>
                <w:b/>
                <w:sz w:val="24"/>
                <w:szCs w:val="24"/>
              </w:rPr>
              <w:t>15 000 </w:t>
            </w:r>
            <w:r w:rsidRPr="00CB360A">
              <w:rPr>
                <w:i/>
                <w:sz w:val="24"/>
                <w:szCs w:val="24"/>
              </w:rPr>
              <w:t>euro</w:t>
            </w:r>
            <w:r w:rsidRPr="00CB360A">
              <w:rPr>
                <w:sz w:val="24"/>
                <w:szCs w:val="24"/>
              </w:rPr>
              <w:t xml:space="preserve"> (</w:t>
            </w:r>
            <w:r w:rsidRPr="00CB360A">
              <w:rPr>
                <w:rFonts w:eastAsia="Calibri"/>
                <w:sz w:val="24"/>
                <w:szCs w:val="24"/>
              </w:rPr>
              <w:t xml:space="preserve">1154 cilvēkstundas gadā x  13 </w:t>
            </w:r>
            <w:r w:rsidRPr="00CB360A">
              <w:rPr>
                <w:rFonts w:eastAsia="Calibri"/>
                <w:i/>
                <w:sz w:val="24"/>
                <w:szCs w:val="24"/>
              </w:rPr>
              <w:t>euro</w:t>
            </w:r>
            <w:r w:rsidRPr="00CB360A">
              <w:rPr>
                <w:rFonts w:eastAsia="Calibri"/>
                <w:sz w:val="24"/>
                <w:szCs w:val="24"/>
              </w:rPr>
              <w:t xml:space="preserve"> (stundas likme)). Ņemot vērā, ka uzdevums jāveic tikai reizi 5 gados, tad tas kā papildus pienākums tiks uzticēts esošajiem LVĢMC darbiniekiem. Tai pat laikā nepieciešams piešķirt papildus finansējumu, lai VARAM var deleģēšanas līguma ietvaros apmaksāt šāda uzdevuma veikšanu, jo iepriekš šāds uzdevums nav veikts un finansējums tā veikšanai iepriekš netika piešķirts.</w:t>
            </w:r>
            <w:r w:rsidRPr="00CB360A">
              <w:rPr>
                <w:rFonts w:eastAsia="Calibri"/>
                <w:b/>
                <w:sz w:val="24"/>
                <w:szCs w:val="24"/>
              </w:rPr>
              <w:t xml:space="preserve"> </w:t>
            </w:r>
          </w:p>
          <w:p w14:paraId="699CB960" w14:textId="77777777" w:rsidR="00554580" w:rsidRPr="00CB360A" w:rsidRDefault="00554580" w:rsidP="00554580">
            <w:pPr>
              <w:pStyle w:val="CommentText"/>
              <w:jc w:val="both"/>
              <w:rPr>
                <w:b/>
                <w:bCs/>
                <w:sz w:val="24"/>
                <w:szCs w:val="24"/>
                <w:lang w:eastAsia="en-US"/>
              </w:rPr>
            </w:pPr>
          </w:p>
          <w:p w14:paraId="699CB961" w14:textId="77777777" w:rsidR="00A57E69" w:rsidRPr="00CB360A" w:rsidRDefault="00554580" w:rsidP="00554580">
            <w:pPr>
              <w:pStyle w:val="CommentText"/>
              <w:jc w:val="both"/>
              <w:rPr>
                <w:sz w:val="24"/>
                <w:szCs w:val="24"/>
                <w:lang w:eastAsia="en-US"/>
              </w:rPr>
            </w:pPr>
            <w:r w:rsidRPr="00CB360A">
              <w:rPr>
                <w:sz w:val="24"/>
                <w:szCs w:val="24"/>
                <w:lang w:eastAsia="en-US"/>
              </w:rPr>
              <w:t>6. </w:t>
            </w:r>
            <w:r w:rsidR="00A57E69" w:rsidRPr="00CB360A">
              <w:rPr>
                <w:b/>
                <w:sz w:val="24"/>
                <w:szCs w:val="24"/>
                <w:lang w:eastAsia="en-US"/>
              </w:rPr>
              <w:t>Gaisa kvalitātes monitoringa tīkla pārskatīšana:</w:t>
            </w:r>
          </w:p>
          <w:p w14:paraId="699CB962" w14:textId="77777777" w:rsidR="00554580" w:rsidRPr="00CB360A" w:rsidRDefault="00554580" w:rsidP="00554580">
            <w:pPr>
              <w:pStyle w:val="CommentText"/>
              <w:jc w:val="both"/>
              <w:rPr>
                <w:sz w:val="24"/>
                <w:szCs w:val="24"/>
                <w:lang w:eastAsia="en-US"/>
              </w:rPr>
            </w:pPr>
            <w:r w:rsidRPr="00CB360A">
              <w:rPr>
                <w:b/>
                <w:bCs/>
                <w:sz w:val="24"/>
                <w:szCs w:val="24"/>
                <w:u w:val="single"/>
                <w:lang w:eastAsia="en-US"/>
              </w:rPr>
              <w:t>2020.gadā un pēc tam reizi piecos gados</w:t>
            </w:r>
            <w:r w:rsidRPr="00CB360A">
              <w:rPr>
                <w:sz w:val="24"/>
                <w:szCs w:val="24"/>
                <w:lang w:eastAsia="en-US"/>
              </w:rPr>
              <w:t xml:space="preserve"> būs nepieciešami papildus ~ </w:t>
            </w:r>
            <w:r w:rsidRPr="00CB360A">
              <w:rPr>
                <w:b/>
                <w:bCs/>
                <w:sz w:val="24"/>
                <w:szCs w:val="24"/>
                <w:lang w:eastAsia="en-US"/>
              </w:rPr>
              <w:t>8500 </w:t>
            </w:r>
            <w:r w:rsidRPr="00CB360A">
              <w:rPr>
                <w:b/>
                <w:bCs/>
                <w:i/>
                <w:sz w:val="24"/>
                <w:szCs w:val="24"/>
                <w:lang w:eastAsia="en-US"/>
              </w:rPr>
              <w:t>euro</w:t>
            </w:r>
            <w:r w:rsidRPr="00CB360A">
              <w:rPr>
                <w:b/>
                <w:bCs/>
                <w:sz w:val="24"/>
                <w:szCs w:val="24"/>
                <w:lang w:eastAsia="en-US"/>
              </w:rPr>
              <w:t xml:space="preserve"> </w:t>
            </w:r>
            <w:r w:rsidRPr="00CB360A">
              <w:rPr>
                <w:sz w:val="24"/>
                <w:szCs w:val="24"/>
                <w:lang w:eastAsia="en-US"/>
              </w:rPr>
              <w:t xml:space="preserve">noteikumu projekta </w:t>
            </w:r>
            <w:r w:rsidR="00FA3CE5" w:rsidRPr="00CB360A">
              <w:rPr>
                <w:sz w:val="24"/>
                <w:szCs w:val="24"/>
                <w:lang w:eastAsia="en-US"/>
              </w:rPr>
              <w:t>20</w:t>
            </w:r>
            <w:r w:rsidRPr="00CB360A">
              <w:rPr>
                <w:sz w:val="24"/>
                <w:szCs w:val="24"/>
                <w:lang w:eastAsia="en-US"/>
              </w:rPr>
              <w:t>. punktā izteiktajā 14.</w:t>
            </w:r>
            <w:r w:rsidRPr="00CB360A">
              <w:rPr>
                <w:sz w:val="24"/>
                <w:szCs w:val="24"/>
                <w:vertAlign w:val="superscript"/>
                <w:lang w:eastAsia="en-US"/>
              </w:rPr>
              <w:t>1</w:t>
            </w:r>
            <w:r w:rsidRPr="00CB360A">
              <w:rPr>
                <w:sz w:val="24"/>
                <w:szCs w:val="24"/>
                <w:lang w:eastAsia="en-US"/>
              </w:rPr>
              <w:t xml:space="preserve"> punktā noteikto prasību pilnvērtīgai izpildei, kas ietver: </w:t>
            </w:r>
          </w:p>
          <w:p w14:paraId="699CB963" w14:textId="77777777" w:rsidR="00554580" w:rsidRPr="00CB360A" w:rsidRDefault="00554580" w:rsidP="00554580">
            <w:pPr>
              <w:pStyle w:val="CommentText"/>
              <w:jc w:val="both"/>
              <w:rPr>
                <w:sz w:val="24"/>
                <w:szCs w:val="24"/>
                <w:lang w:eastAsia="en-US"/>
              </w:rPr>
            </w:pPr>
            <w:r w:rsidRPr="00CB360A">
              <w:rPr>
                <w:sz w:val="24"/>
                <w:szCs w:val="24"/>
                <w:lang w:eastAsia="en-US"/>
              </w:rPr>
              <w:t xml:space="preserve">- 5950 </w:t>
            </w:r>
            <w:r w:rsidRPr="00CB360A">
              <w:rPr>
                <w:i/>
                <w:sz w:val="24"/>
                <w:szCs w:val="24"/>
                <w:lang w:eastAsia="en-US"/>
              </w:rPr>
              <w:t>euro</w:t>
            </w:r>
            <w:r w:rsidR="00344150">
              <w:rPr>
                <w:sz w:val="24"/>
                <w:szCs w:val="24"/>
                <w:lang w:eastAsia="en-US"/>
              </w:rPr>
              <w:t xml:space="preserve"> = </w:t>
            </w:r>
            <w:r w:rsidR="00571D66">
              <w:rPr>
                <w:sz w:val="24"/>
                <w:szCs w:val="24"/>
                <w:lang w:eastAsia="en-US"/>
              </w:rPr>
              <w:t>458</w:t>
            </w:r>
            <w:r w:rsidRPr="00CB360A">
              <w:rPr>
                <w:sz w:val="24"/>
                <w:szCs w:val="24"/>
                <w:lang w:eastAsia="en-US"/>
              </w:rPr>
              <w:t xml:space="preserve"> cilvēkstundas gadā x  </w:t>
            </w:r>
            <w:r w:rsidR="00344150">
              <w:rPr>
                <w:sz w:val="24"/>
                <w:szCs w:val="24"/>
                <w:lang w:eastAsia="en-US"/>
              </w:rPr>
              <w:t>13</w:t>
            </w:r>
            <w:r w:rsidRPr="00CB360A">
              <w:rPr>
                <w:sz w:val="24"/>
                <w:szCs w:val="24"/>
                <w:lang w:eastAsia="en-US"/>
              </w:rPr>
              <w:t xml:space="preserve"> </w:t>
            </w:r>
            <w:r w:rsidRPr="00344150">
              <w:rPr>
                <w:i/>
                <w:sz w:val="24"/>
                <w:szCs w:val="24"/>
                <w:lang w:eastAsia="en-US"/>
              </w:rPr>
              <w:t>euro</w:t>
            </w:r>
            <w:r w:rsidR="00571D66" w:rsidRPr="00CB360A">
              <w:rPr>
                <w:sz w:val="24"/>
                <w:szCs w:val="24"/>
                <w:lang w:eastAsia="en-US"/>
              </w:rPr>
              <w:t xml:space="preserve"> </w:t>
            </w:r>
            <w:r w:rsidR="00571D66">
              <w:rPr>
                <w:sz w:val="24"/>
                <w:szCs w:val="24"/>
                <w:lang w:eastAsia="en-US"/>
              </w:rPr>
              <w:t>(</w:t>
            </w:r>
            <w:r w:rsidR="00571D66" w:rsidRPr="00CB360A">
              <w:rPr>
                <w:sz w:val="24"/>
                <w:szCs w:val="24"/>
                <w:lang w:eastAsia="en-US"/>
              </w:rPr>
              <w:t>stundas likme</w:t>
            </w:r>
            <w:r w:rsidR="00571D66">
              <w:rPr>
                <w:sz w:val="24"/>
                <w:szCs w:val="24"/>
                <w:lang w:eastAsia="en-US"/>
              </w:rPr>
              <w:t>)</w:t>
            </w:r>
            <w:r w:rsidRPr="00CB360A">
              <w:rPr>
                <w:sz w:val="24"/>
                <w:szCs w:val="24"/>
                <w:lang w:eastAsia="en-US"/>
              </w:rPr>
              <w:t xml:space="preserve">. Uzdevumu veiks </w:t>
            </w:r>
            <w:r w:rsidR="002F6ACE">
              <w:rPr>
                <w:sz w:val="24"/>
                <w:szCs w:val="24"/>
                <w:lang w:eastAsia="en-US"/>
              </w:rPr>
              <w:t xml:space="preserve">trīs </w:t>
            </w:r>
            <w:r w:rsidRPr="00CB360A">
              <w:rPr>
                <w:sz w:val="24"/>
                <w:szCs w:val="24"/>
                <w:lang w:eastAsia="en-US"/>
              </w:rPr>
              <w:t>esošie LVĢMC darbinieki.</w:t>
            </w:r>
          </w:p>
          <w:p w14:paraId="699CB964" w14:textId="77777777" w:rsidR="00554580" w:rsidRPr="00CB360A" w:rsidRDefault="00554580" w:rsidP="00554580">
            <w:pPr>
              <w:pStyle w:val="CommentText"/>
              <w:jc w:val="both"/>
              <w:rPr>
                <w:sz w:val="24"/>
                <w:szCs w:val="24"/>
                <w:lang w:eastAsia="en-US"/>
              </w:rPr>
            </w:pPr>
            <w:r w:rsidRPr="00CB360A">
              <w:rPr>
                <w:sz w:val="24"/>
                <w:szCs w:val="24"/>
                <w:lang w:eastAsia="en-US"/>
              </w:rPr>
              <w:t>- modelēšanai nepieciešamo ievaddatu iegāde  - 2550</w:t>
            </w:r>
            <w:r w:rsidRPr="00CB360A">
              <w:rPr>
                <w:i/>
                <w:sz w:val="24"/>
                <w:szCs w:val="24"/>
                <w:lang w:eastAsia="en-US"/>
              </w:rPr>
              <w:t xml:space="preserve"> euro</w:t>
            </w:r>
            <w:r w:rsidRPr="00CB360A">
              <w:rPr>
                <w:sz w:val="24"/>
                <w:szCs w:val="24"/>
                <w:lang w:eastAsia="en-US"/>
              </w:rPr>
              <w:t>.</w:t>
            </w:r>
          </w:p>
          <w:p w14:paraId="699CB965" w14:textId="77777777" w:rsidR="00554580" w:rsidRPr="00CB360A" w:rsidRDefault="00554580" w:rsidP="00554580">
            <w:pPr>
              <w:pStyle w:val="CommentText"/>
              <w:jc w:val="both"/>
              <w:rPr>
                <w:sz w:val="24"/>
                <w:szCs w:val="24"/>
                <w:lang w:eastAsia="en-US"/>
              </w:rPr>
            </w:pPr>
          </w:p>
          <w:p w14:paraId="699CB966" w14:textId="77777777" w:rsidR="00554580" w:rsidRPr="00CB360A" w:rsidRDefault="00554580" w:rsidP="00554580">
            <w:pPr>
              <w:pStyle w:val="CommentText"/>
              <w:jc w:val="both"/>
              <w:rPr>
                <w:sz w:val="24"/>
                <w:szCs w:val="24"/>
                <w:lang w:eastAsia="en-US"/>
              </w:rPr>
            </w:pPr>
            <w:r w:rsidRPr="00CB360A">
              <w:rPr>
                <w:sz w:val="24"/>
                <w:szCs w:val="24"/>
                <w:lang w:eastAsia="en-US"/>
              </w:rPr>
              <w:t>Minētais grozījums paredz, ka reizi piecos gados nepieciešams veikt valsts monitoringa tīkla izvērtējumu. Iepriekš šāds uzdevums tika veikts 2014. gadā, un tam tika izlietoti 6500 </w:t>
            </w:r>
            <w:r w:rsidRPr="00CB360A">
              <w:rPr>
                <w:i/>
                <w:sz w:val="24"/>
                <w:szCs w:val="24"/>
                <w:lang w:eastAsia="en-US"/>
              </w:rPr>
              <w:t>euro</w:t>
            </w:r>
            <w:r w:rsidRPr="00CB360A">
              <w:rPr>
                <w:sz w:val="24"/>
                <w:szCs w:val="24"/>
                <w:lang w:eastAsia="en-US"/>
              </w:rPr>
              <w:t xml:space="preserve">, taču lai izpildītu direktīvā </w:t>
            </w:r>
            <w:r w:rsidRPr="00CB360A">
              <w:rPr>
                <w:sz w:val="24"/>
                <w:szCs w:val="24"/>
              </w:rPr>
              <w:t xml:space="preserve">2015/1480 </w:t>
            </w:r>
            <w:r w:rsidRPr="00CB360A">
              <w:rPr>
                <w:sz w:val="24"/>
                <w:szCs w:val="24"/>
                <w:lang w:eastAsia="en-US"/>
              </w:rPr>
              <w:t xml:space="preserve"> noteiktās prasības, nepieciešams ne tikai apkopot informāciju par esošajām stacijām un izvērtēt, vai tās atbilst direktīvā </w:t>
            </w:r>
            <w:r w:rsidRPr="00CB360A">
              <w:rPr>
                <w:sz w:val="24"/>
                <w:szCs w:val="24"/>
              </w:rPr>
              <w:t xml:space="preserve">2015/1480 </w:t>
            </w:r>
            <w:r w:rsidRPr="00CB360A">
              <w:rPr>
                <w:sz w:val="24"/>
                <w:szCs w:val="24"/>
                <w:lang w:eastAsia="en-US"/>
              </w:rPr>
              <w:t>noteiktajiem kritērijiem, kā tas tika darīts 2014. gadā, bet papildus veikt arī gaisa piesārņojuma izkliedes modelēšanu, lai varētu noteikt, kurās vēl vietās Rīgā pastāv gaisa kvalitātes problēmas, un būtu nepieciešams veikt gaisa kvalitātes nepārtrauktos mērījumus.</w:t>
            </w:r>
          </w:p>
          <w:p w14:paraId="699CB967" w14:textId="77777777" w:rsidR="009F4C7B" w:rsidRPr="00CB360A" w:rsidRDefault="009F4C7B" w:rsidP="00554580">
            <w:pPr>
              <w:pStyle w:val="CommentText"/>
              <w:jc w:val="both"/>
              <w:rPr>
                <w:sz w:val="24"/>
                <w:szCs w:val="24"/>
                <w:lang w:eastAsia="en-US"/>
              </w:rPr>
            </w:pPr>
          </w:p>
          <w:p w14:paraId="699CB968" w14:textId="77777777" w:rsidR="009F4C7B" w:rsidRPr="00CB360A" w:rsidRDefault="009F4C7B" w:rsidP="00554580">
            <w:pPr>
              <w:pStyle w:val="CommentText"/>
              <w:jc w:val="both"/>
              <w:rPr>
                <w:sz w:val="24"/>
                <w:szCs w:val="24"/>
                <w:lang w:eastAsia="en-US"/>
              </w:rPr>
            </w:pPr>
            <w:r w:rsidRPr="00CB360A">
              <w:rPr>
                <w:sz w:val="24"/>
                <w:szCs w:val="24"/>
              </w:rPr>
              <w:t>Finansējumu šīs anotācijas III sadaļas 6.apakšpunkta 2. - 6.apakšpunktā minēto pasākumu veikšanai plānots pieprasīt Ministru kabinetā, sagatavojot likumprojektu par valsts budžetu 2018. gadam un likumprojektu par vidēja termiņa budžeta ietvaru 2018., 2019. un 2020. gadam, kopā ar visu ministriju un citu centrālo valsts iestāžu priekšlikumiem jaunajām politikas iniciatīvām, ievērojot valsts budžeta finansiālās iespējas. Pēc nepieciešamā finansējuma piešķiršanas tas tiks nodots LVĢMC šajā noteikumu projektā valsts deleģēto funkciju izpildei, slēdzot atsevišķu pārvaldes uzdevumu deleģēšanas līgumu starp LVĢMC un VARAM.</w:t>
            </w:r>
          </w:p>
          <w:p w14:paraId="699CB969" w14:textId="77777777" w:rsidR="00554580" w:rsidRPr="00CB360A" w:rsidRDefault="00554580" w:rsidP="00554580">
            <w:pPr>
              <w:pStyle w:val="CommentText"/>
              <w:jc w:val="both"/>
              <w:rPr>
                <w:sz w:val="24"/>
                <w:szCs w:val="24"/>
                <w:lang w:eastAsia="en-US"/>
              </w:rPr>
            </w:pPr>
          </w:p>
        </w:tc>
      </w:tr>
      <w:tr w:rsidR="00554580" w:rsidRPr="00CB360A" w14:paraId="699CB96D" w14:textId="77777777" w:rsidTr="00CB360A">
        <w:trPr>
          <w:gridAfter w:val="1"/>
          <w:wAfter w:w="136" w:type="pct"/>
        </w:trPr>
        <w:tc>
          <w:tcPr>
            <w:tcW w:w="1024"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14:paraId="699CB96B" w14:textId="77777777" w:rsidR="00554580" w:rsidRPr="00B719EB" w:rsidRDefault="00554580" w:rsidP="00554580">
            <w:pPr>
              <w:spacing w:before="100" w:beforeAutospacing="1" w:after="100" w:afterAutospacing="1" w:line="276" w:lineRule="auto"/>
            </w:pPr>
            <w:r w:rsidRPr="00B719EB">
              <w:t>6.1. detalizēts ieņēmumu aprēķins</w:t>
            </w:r>
          </w:p>
        </w:tc>
        <w:tc>
          <w:tcPr>
            <w:tcW w:w="3840" w:type="pct"/>
            <w:gridSpan w:val="5"/>
            <w:vMerge/>
            <w:tcBorders>
              <w:top w:val="nil"/>
              <w:left w:val="outset" w:sz="8" w:space="0" w:color="000000"/>
              <w:bottom w:val="outset" w:sz="8" w:space="0" w:color="000000"/>
              <w:right w:val="outset" w:sz="8" w:space="0" w:color="000000"/>
            </w:tcBorders>
            <w:vAlign w:val="center"/>
            <w:hideMark/>
          </w:tcPr>
          <w:p w14:paraId="699CB96C" w14:textId="77777777" w:rsidR="00554580" w:rsidRPr="00CB360A" w:rsidRDefault="00554580" w:rsidP="00554580">
            <w:pPr>
              <w:rPr>
                <w:rFonts w:eastAsiaTheme="minorHAnsi"/>
                <w:color w:val="000000"/>
                <w:sz w:val="16"/>
                <w:szCs w:val="16"/>
                <w:lang w:eastAsia="en-US"/>
              </w:rPr>
            </w:pPr>
          </w:p>
        </w:tc>
      </w:tr>
      <w:tr w:rsidR="00554580" w:rsidRPr="00CB360A" w14:paraId="699CB970" w14:textId="77777777" w:rsidTr="00CB360A">
        <w:trPr>
          <w:gridAfter w:val="1"/>
          <w:wAfter w:w="136" w:type="pct"/>
        </w:trPr>
        <w:tc>
          <w:tcPr>
            <w:tcW w:w="1024"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14:paraId="699CB96E" w14:textId="77777777" w:rsidR="00554580" w:rsidRPr="00B719EB" w:rsidRDefault="00554580" w:rsidP="00554580">
            <w:pPr>
              <w:spacing w:before="100" w:beforeAutospacing="1" w:after="100" w:afterAutospacing="1" w:line="276" w:lineRule="auto"/>
            </w:pPr>
            <w:r w:rsidRPr="00B719EB">
              <w:t>6.2. detalizēts izdevumu aprēķins</w:t>
            </w:r>
          </w:p>
        </w:tc>
        <w:tc>
          <w:tcPr>
            <w:tcW w:w="3840" w:type="pct"/>
            <w:gridSpan w:val="5"/>
            <w:vMerge/>
            <w:tcBorders>
              <w:top w:val="nil"/>
              <w:left w:val="outset" w:sz="8" w:space="0" w:color="000000"/>
              <w:bottom w:val="outset" w:sz="8" w:space="0" w:color="000000"/>
              <w:right w:val="outset" w:sz="8" w:space="0" w:color="000000"/>
            </w:tcBorders>
            <w:vAlign w:val="center"/>
            <w:hideMark/>
          </w:tcPr>
          <w:p w14:paraId="699CB96F" w14:textId="77777777" w:rsidR="00554580" w:rsidRPr="00CB360A" w:rsidRDefault="00554580" w:rsidP="00554580">
            <w:pPr>
              <w:rPr>
                <w:rFonts w:eastAsiaTheme="minorHAnsi"/>
                <w:color w:val="000000"/>
                <w:sz w:val="16"/>
                <w:szCs w:val="16"/>
                <w:lang w:eastAsia="en-US"/>
              </w:rPr>
            </w:pPr>
          </w:p>
        </w:tc>
      </w:tr>
      <w:tr w:rsidR="00554580" w:rsidRPr="00CB360A" w14:paraId="699CB975" w14:textId="77777777" w:rsidTr="00CB360A">
        <w:trPr>
          <w:gridAfter w:val="1"/>
          <w:wAfter w:w="136" w:type="pct"/>
          <w:trHeight w:val="35"/>
        </w:trPr>
        <w:tc>
          <w:tcPr>
            <w:tcW w:w="1024" w:type="pct"/>
            <w:tcBorders>
              <w:top w:val="nil"/>
              <w:left w:val="outset" w:sz="8" w:space="0" w:color="000000"/>
              <w:bottom w:val="outset" w:sz="8" w:space="0" w:color="000000"/>
              <w:right w:val="outset" w:sz="8" w:space="0" w:color="000000"/>
            </w:tcBorders>
            <w:tcMar>
              <w:top w:w="30" w:type="dxa"/>
              <w:left w:w="30" w:type="dxa"/>
              <w:bottom w:w="30" w:type="dxa"/>
              <w:right w:w="30" w:type="dxa"/>
            </w:tcMar>
            <w:hideMark/>
          </w:tcPr>
          <w:p w14:paraId="699CB971" w14:textId="77777777" w:rsidR="00554580" w:rsidRPr="00B719EB" w:rsidRDefault="00554580" w:rsidP="00554580">
            <w:pPr>
              <w:spacing w:before="100" w:beforeAutospacing="1" w:after="100" w:afterAutospacing="1" w:line="276" w:lineRule="auto"/>
            </w:pPr>
            <w:r w:rsidRPr="00B719EB">
              <w:t>7. Cita informācija</w:t>
            </w:r>
          </w:p>
        </w:tc>
        <w:tc>
          <w:tcPr>
            <w:tcW w:w="3840" w:type="pct"/>
            <w:gridSpan w:val="5"/>
            <w:tcBorders>
              <w:top w:val="nil"/>
              <w:left w:val="nil"/>
              <w:bottom w:val="outset" w:sz="8" w:space="0" w:color="000000"/>
              <w:right w:val="outset" w:sz="8" w:space="0" w:color="000000"/>
            </w:tcBorders>
            <w:tcMar>
              <w:top w:w="30" w:type="dxa"/>
              <w:left w:w="30" w:type="dxa"/>
              <w:bottom w:w="30" w:type="dxa"/>
              <w:right w:w="30" w:type="dxa"/>
            </w:tcMar>
            <w:hideMark/>
          </w:tcPr>
          <w:p w14:paraId="699CB972" w14:textId="77777777" w:rsidR="00554580" w:rsidRPr="00B719EB" w:rsidRDefault="00554580" w:rsidP="00554580">
            <w:pPr>
              <w:jc w:val="both"/>
            </w:pPr>
            <w:r w:rsidRPr="00B719EB">
              <w:t>Šāds finansējums no valsts budžeta nepieciešams pie nosacījuma, ka tiks piešķirti Eiropas Savienības fondu līdzekļi (</w:t>
            </w:r>
            <w:r w:rsidRPr="00EC447E">
              <w:t>saistīts</w:t>
            </w:r>
            <w:r w:rsidR="00EC447E" w:rsidRPr="00EC447E">
              <w:t xml:space="preserve"> ar MK noteikumiem Nr. 859)</w:t>
            </w:r>
            <w:r w:rsidRPr="00EC447E">
              <w:t>. Kopumā paredzēts modernizēt esošās</w:t>
            </w:r>
            <w:r w:rsidRPr="00B719EB">
              <w:t xml:space="preserve"> gaisa kvalitātes monitoringa stacijas, kas šobrīd atrodas Rīgā, Liepājā, Rēzeknē, Ventspilī un reģionālās novērojumu stacijas - Rucavā, Alūksnē, Skrīveros un Dobelē. Papildus plānots arī uzstādīt 3 jaunas monitoringa stacijas Rīgā, Liepājā un Rēzeknē. Ja iepriekš ieplānotie līdzekļi valsts gaisa kvalitātes tīkla modernizēšanai un jaunu staciju uzstādīšanai no Eiropas Savienības fondiem netiek piešķirti, tad nepieciešams daudz lielāks papildus finansējums no valsts budžeta, lai nodrošinātu Eiropas Savienības tiesību aktos noteikto prasību pilnvērtīgu izpildi.</w:t>
            </w:r>
          </w:p>
          <w:p w14:paraId="699CB973" w14:textId="77777777" w:rsidR="00554580" w:rsidRPr="00B719EB" w:rsidRDefault="00554580" w:rsidP="00554580">
            <w:pPr>
              <w:jc w:val="both"/>
            </w:pPr>
          </w:p>
          <w:p w14:paraId="699CB974" w14:textId="77777777" w:rsidR="00554580" w:rsidRPr="00B719EB" w:rsidRDefault="00554580" w:rsidP="00554580">
            <w:pPr>
              <w:jc w:val="both"/>
            </w:pPr>
            <w:r w:rsidRPr="00B719EB">
              <w:t>Esošais finansējums, kas no Vides aizsardzības un reģionālās attīstības ministrijas budžeta programmas 28.00.00 „Meteoroloģija un bīstamo atkritumu pārvaldība” tiek ik gadu piešķirts LVĢMC gaisa kvalitātes monitoringa veikšanai un esošo staciju darbības uzturēšanai ir ~ 125 318 euro/gadā (informācija par esošajām valsts jeb LVĢMC pārz</w:t>
            </w:r>
            <w:r w:rsidR="006C578B" w:rsidRPr="00B719EB">
              <w:t xml:space="preserve">iņā esošajām stacijām pieejama: </w:t>
            </w:r>
            <w:hyperlink r:id="rId11" w:history="1">
              <w:r w:rsidRPr="00B719EB">
                <w:rPr>
                  <w:rStyle w:val="Hyperlink"/>
                </w:rPr>
                <w:t>http://www.meteo.lv/gaisa-kvalitates-staciju-karte/?nid=470</w:t>
              </w:r>
            </w:hyperlink>
            <w:r w:rsidRPr="00B719EB">
              <w:t xml:space="preserve">). Šīs izmaksas ietver tehniskā personāla atalgojumu (14 840 euro), ceļa izdevumus (3748 euro), izmaksas par zemes nomu, zemes un telpu/būvju uzturēšanu, elektroenerģijas un sakaru rēķiniem, iekārtu un inventāra iegādi/nomu, rezerves daļu iegādi, aparatūras regulāru tehnisko apkopi un mēriekārtu kalibrēšanu (106 730 euro). </w:t>
            </w:r>
          </w:p>
        </w:tc>
      </w:tr>
    </w:tbl>
    <w:p w14:paraId="699CB976" w14:textId="77777777" w:rsidR="006C23F8" w:rsidRPr="001B669C" w:rsidRDefault="006C23F8" w:rsidP="00CA5631">
      <w:pPr>
        <w:spacing w:line="360" w:lineRule="auto"/>
        <w:rPr>
          <w:rFonts w:ascii="Arial" w:hAnsi="Arial" w:cs="Arial"/>
          <w:color w:val="414142"/>
          <w:sz w:val="20"/>
          <w:szCs w:val="20"/>
        </w:rPr>
      </w:pPr>
    </w:p>
    <w:tbl>
      <w:tblPr>
        <w:tblStyle w:val="TableGrid"/>
        <w:tblW w:w="5000" w:type="pct"/>
        <w:tblLook w:val="04A0" w:firstRow="1" w:lastRow="0" w:firstColumn="1" w:lastColumn="0" w:noHBand="0" w:noVBand="1"/>
      </w:tblPr>
      <w:tblGrid>
        <w:gridCol w:w="405"/>
        <w:gridCol w:w="3286"/>
        <w:gridCol w:w="5370"/>
      </w:tblGrid>
      <w:tr w:rsidR="00F527E5" w:rsidRPr="001B669C" w14:paraId="699CB978" w14:textId="77777777" w:rsidTr="00F527E5">
        <w:trPr>
          <w:trHeight w:val="350"/>
        </w:trPr>
        <w:tc>
          <w:tcPr>
            <w:tcW w:w="5000" w:type="pct"/>
            <w:gridSpan w:val="3"/>
            <w:tcBorders>
              <w:top w:val="single" w:sz="4" w:space="0" w:color="auto"/>
              <w:left w:val="single" w:sz="4" w:space="0" w:color="auto"/>
              <w:bottom w:val="single" w:sz="4" w:space="0" w:color="auto"/>
              <w:right w:val="single" w:sz="4" w:space="0" w:color="auto"/>
            </w:tcBorders>
            <w:hideMark/>
          </w:tcPr>
          <w:p w14:paraId="699CB977" w14:textId="77777777" w:rsidR="00F527E5" w:rsidRPr="001B669C" w:rsidRDefault="00F527E5" w:rsidP="00CA5631">
            <w:pPr>
              <w:jc w:val="center"/>
            </w:pPr>
            <w:r w:rsidRPr="001B669C">
              <w:rPr>
                <w:b/>
                <w:bCs/>
              </w:rPr>
              <w:t>V.</w:t>
            </w:r>
            <w:r w:rsidR="001E6B10" w:rsidRPr="001B669C">
              <w:rPr>
                <w:b/>
                <w:bCs/>
              </w:rPr>
              <w:t> </w:t>
            </w:r>
            <w:r w:rsidRPr="001B669C">
              <w:rPr>
                <w:b/>
                <w:bCs/>
              </w:rPr>
              <w:t>Tiesību akta projekta atbilstība Latvijas Republikas starptautiskajām saistībām</w:t>
            </w:r>
          </w:p>
        </w:tc>
      </w:tr>
      <w:tr w:rsidR="00F527E5" w14:paraId="699CB97E" w14:textId="77777777" w:rsidTr="00F527E5">
        <w:tc>
          <w:tcPr>
            <w:tcW w:w="224" w:type="pct"/>
            <w:tcBorders>
              <w:top w:val="single" w:sz="4" w:space="0" w:color="auto"/>
              <w:left w:val="single" w:sz="4" w:space="0" w:color="auto"/>
              <w:bottom w:val="single" w:sz="4" w:space="0" w:color="auto"/>
              <w:right w:val="single" w:sz="4" w:space="0" w:color="auto"/>
            </w:tcBorders>
            <w:hideMark/>
          </w:tcPr>
          <w:p w14:paraId="699CB979" w14:textId="77777777" w:rsidR="00F527E5" w:rsidRPr="001B669C" w:rsidRDefault="00F527E5" w:rsidP="00467C2A">
            <w:r w:rsidRPr="001B669C">
              <w:t>1.</w:t>
            </w:r>
          </w:p>
        </w:tc>
        <w:tc>
          <w:tcPr>
            <w:tcW w:w="1813" w:type="pct"/>
            <w:tcBorders>
              <w:top w:val="single" w:sz="4" w:space="0" w:color="auto"/>
              <w:left w:val="single" w:sz="4" w:space="0" w:color="auto"/>
              <w:bottom w:val="single" w:sz="4" w:space="0" w:color="auto"/>
              <w:right w:val="single" w:sz="4" w:space="0" w:color="auto"/>
            </w:tcBorders>
            <w:hideMark/>
          </w:tcPr>
          <w:p w14:paraId="699CB97A" w14:textId="77777777" w:rsidR="00F527E5" w:rsidRPr="001B669C" w:rsidRDefault="00F527E5" w:rsidP="00467C2A">
            <w:r w:rsidRPr="001B669C">
              <w:t>Saistības pret Eiropas Savienību</w:t>
            </w:r>
          </w:p>
        </w:tc>
        <w:tc>
          <w:tcPr>
            <w:tcW w:w="2963" w:type="pct"/>
            <w:tcBorders>
              <w:top w:val="single" w:sz="4" w:space="0" w:color="auto"/>
              <w:left w:val="single" w:sz="4" w:space="0" w:color="auto"/>
              <w:bottom w:val="single" w:sz="4" w:space="0" w:color="auto"/>
              <w:right w:val="single" w:sz="4" w:space="0" w:color="auto"/>
            </w:tcBorders>
            <w:hideMark/>
          </w:tcPr>
          <w:p w14:paraId="699CB97B" w14:textId="77777777" w:rsidR="008A1B8F" w:rsidRPr="001B669C" w:rsidRDefault="008A1B8F" w:rsidP="008A1B8F">
            <w:pPr>
              <w:jc w:val="both"/>
            </w:pPr>
            <w:r w:rsidRPr="001B669C">
              <w:t>1</w:t>
            </w:r>
            <w:r w:rsidR="001E6B10" w:rsidRPr="001B669C">
              <w:t>. </w:t>
            </w:r>
            <w:r w:rsidRPr="001B669C">
              <w:t>Komisijas 2015.</w:t>
            </w:r>
            <w:r w:rsidR="001E6B10" w:rsidRPr="001B669C">
              <w:t> </w:t>
            </w:r>
            <w:r w:rsidRPr="001B669C">
              <w:t>gada 28.</w:t>
            </w:r>
            <w:r w:rsidR="001E6B10" w:rsidRPr="001B669C">
              <w:t> </w:t>
            </w:r>
            <w:r w:rsidRPr="001B669C">
              <w:t xml:space="preserve">augusta </w:t>
            </w:r>
            <w:r w:rsidR="001E6B10" w:rsidRPr="001B669C">
              <w:t>D</w:t>
            </w:r>
            <w:r w:rsidRPr="001B669C">
              <w:t>irektīva</w:t>
            </w:r>
            <w:r w:rsidR="001E6B10" w:rsidRPr="001B669C">
              <w:t xml:space="preserve"> (ES)</w:t>
            </w:r>
            <w:r w:rsidRPr="001B669C">
              <w:t xml:space="preserve"> 2015/1480, ar kuru groza dažus pielikumus Eiropas Parlamenta un Padomes Direktīvās 2004/107/EK un 2008/50/EK, ar ko paredz noteikumus attiecībā uz standartmetodēm, datu validēšanu un paraugu ņemšanas vietu izvietojumu gaisa kvalitātes novērtēšanai;</w:t>
            </w:r>
          </w:p>
          <w:p w14:paraId="699CB97C" w14:textId="77777777" w:rsidR="00F527E5" w:rsidRPr="001B669C" w:rsidRDefault="008A1B8F" w:rsidP="00177A96">
            <w:pPr>
              <w:jc w:val="both"/>
            </w:pPr>
            <w:r w:rsidRPr="001B669C">
              <w:t>2</w:t>
            </w:r>
            <w:r w:rsidR="001E6B10" w:rsidRPr="001B669C">
              <w:t>. </w:t>
            </w:r>
            <w:r w:rsidRPr="001B669C">
              <w:t>Eiropas Parlamenta un Padomes 2008.</w:t>
            </w:r>
            <w:r w:rsidR="001E6B10" w:rsidRPr="001B669C">
              <w:t> </w:t>
            </w:r>
            <w:r w:rsidRPr="001B669C">
              <w:t>gada 21.</w:t>
            </w:r>
            <w:r w:rsidR="001E6B10" w:rsidRPr="001B669C">
              <w:t> </w:t>
            </w:r>
            <w:r w:rsidRPr="001B669C">
              <w:t xml:space="preserve">maija </w:t>
            </w:r>
            <w:r w:rsidR="001E6B10" w:rsidRPr="001B669C">
              <w:t>D</w:t>
            </w:r>
            <w:r w:rsidRPr="001B669C">
              <w:t>irektīva 2008/50/EK par gaisa kvalitāti un tīrāku gaisu Eiropai</w:t>
            </w:r>
            <w:r w:rsidR="001E6B10" w:rsidRPr="001B669C">
              <w:t>;</w:t>
            </w:r>
          </w:p>
          <w:p w14:paraId="699CB97D" w14:textId="77777777" w:rsidR="00177A96" w:rsidRPr="00177A96" w:rsidRDefault="00177A96" w:rsidP="00177A96">
            <w:pPr>
              <w:pStyle w:val="Title"/>
              <w:jc w:val="both"/>
              <w:rPr>
                <w:b w:val="0"/>
              </w:rPr>
            </w:pPr>
            <w:r w:rsidRPr="001B669C">
              <w:rPr>
                <w:b w:val="0"/>
              </w:rPr>
              <w:t>3</w:t>
            </w:r>
            <w:r w:rsidR="001E6B10" w:rsidRPr="001B669C">
              <w:rPr>
                <w:b w:val="0"/>
              </w:rPr>
              <w:t>. </w:t>
            </w:r>
            <w:r w:rsidRPr="001B669C">
              <w:rPr>
                <w:b w:val="0"/>
              </w:rPr>
              <w:t>Eiropas Parlamenta un Padomes 2015.</w:t>
            </w:r>
            <w:r w:rsidR="001E6B10" w:rsidRPr="001B669C">
              <w:rPr>
                <w:b w:val="0"/>
              </w:rPr>
              <w:t> </w:t>
            </w:r>
            <w:r w:rsidRPr="001B669C">
              <w:rPr>
                <w:b w:val="0"/>
              </w:rPr>
              <w:t>gada 25.</w:t>
            </w:r>
            <w:r w:rsidR="001E6B10" w:rsidRPr="001B669C">
              <w:rPr>
                <w:b w:val="0"/>
              </w:rPr>
              <w:t> </w:t>
            </w:r>
            <w:r w:rsidRPr="001B669C">
              <w:rPr>
                <w:b w:val="0"/>
              </w:rPr>
              <w:t>novembra</w:t>
            </w:r>
            <w:r w:rsidRPr="001B669C">
              <w:t xml:space="preserve"> </w:t>
            </w:r>
            <w:r w:rsidRPr="001B669C">
              <w:rPr>
                <w:b w:val="0"/>
              </w:rPr>
              <w:t>Direktīva 2015/2193 par ierobežojumiem attiecībā uz dažu piesārņojošu vielu emisiju gaisā no vidējas jaudas sadedzināšanas iekārtām</w:t>
            </w:r>
            <w:r w:rsidR="001E6B10" w:rsidRPr="001B669C">
              <w:rPr>
                <w:b w:val="0"/>
              </w:rPr>
              <w:t>.</w:t>
            </w:r>
          </w:p>
        </w:tc>
      </w:tr>
      <w:tr w:rsidR="00F527E5" w14:paraId="699CB982" w14:textId="77777777" w:rsidTr="00F527E5">
        <w:tc>
          <w:tcPr>
            <w:tcW w:w="224" w:type="pct"/>
            <w:tcBorders>
              <w:top w:val="single" w:sz="4" w:space="0" w:color="auto"/>
              <w:left w:val="single" w:sz="4" w:space="0" w:color="auto"/>
              <w:bottom w:val="single" w:sz="4" w:space="0" w:color="auto"/>
              <w:right w:val="single" w:sz="4" w:space="0" w:color="auto"/>
            </w:tcBorders>
            <w:hideMark/>
          </w:tcPr>
          <w:p w14:paraId="699CB97F" w14:textId="77777777" w:rsidR="00F527E5" w:rsidRDefault="00F527E5" w:rsidP="00467C2A">
            <w:r>
              <w:t>2.</w:t>
            </w:r>
          </w:p>
        </w:tc>
        <w:tc>
          <w:tcPr>
            <w:tcW w:w="1813" w:type="pct"/>
            <w:tcBorders>
              <w:top w:val="single" w:sz="4" w:space="0" w:color="auto"/>
              <w:left w:val="single" w:sz="4" w:space="0" w:color="auto"/>
              <w:bottom w:val="single" w:sz="4" w:space="0" w:color="auto"/>
              <w:right w:val="single" w:sz="4" w:space="0" w:color="auto"/>
            </w:tcBorders>
            <w:hideMark/>
          </w:tcPr>
          <w:p w14:paraId="699CB980" w14:textId="77777777" w:rsidR="00F527E5" w:rsidRDefault="00F527E5" w:rsidP="00467C2A">
            <w:r>
              <w:t>Citas starptautiskās saistības</w:t>
            </w:r>
          </w:p>
        </w:tc>
        <w:tc>
          <w:tcPr>
            <w:tcW w:w="2963" w:type="pct"/>
            <w:tcBorders>
              <w:top w:val="single" w:sz="4" w:space="0" w:color="auto"/>
              <w:left w:val="single" w:sz="4" w:space="0" w:color="auto"/>
              <w:bottom w:val="single" w:sz="4" w:space="0" w:color="auto"/>
              <w:right w:val="single" w:sz="4" w:space="0" w:color="auto"/>
            </w:tcBorders>
            <w:hideMark/>
          </w:tcPr>
          <w:p w14:paraId="699CB981" w14:textId="77777777" w:rsidR="00F527E5" w:rsidRDefault="00F527E5" w:rsidP="00467C2A">
            <w:r>
              <w:t>Projekts šo jomu neskar.</w:t>
            </w:r>
          </w:p>
        </w:tc>
      </w:tr>
      <w:tr w:rsidR="00F527E5" w14:paraId="699CB986" w14:textId="77777777" w:rsidTr="00F527E5">
        <w:tc>
          <w:tcPr>
            <w:tcW w:w="224" w:type="pct"/>
            <w:tcBorders>
              <w:top w:val="single" w:sz="4" w:space="0" w:color="auto"/>
              <w:left w:val="single" w:sz="4" w:space="0" w:color="auto"/>
              <w:bottom w:val="single" w:sz="4" w:space="0" w:color="auto"/>
              <w:right w:val="single" w:sz="4" w:space="0" w:color="auto"/>
            </w:tcBorders>
            <w:hideMark/>
          </w:tcPr>
          <w:p w14:paraId="699CB983" w14:textId="77777777" w:rsidR="00F527E5" w:rsidRDefault="00F527E5" w:rsidP="00241D1B">
            <w:r>
              <w:t>3.</w:t>
            </w:r>
          </w:p>
        </w:tc>
        <w:tc>
          <w:tcPr>
            <w:tcW w:w="1813" w:type="pct"/>
            <w:tcBorders>
              <w:top w:val="single" w:sz="4" w:space="0" w:color="auto"/>
              <w:left w:val="single" w:sz="4" w:space="0" w:color="auto"/>
              <w:bottom w:val="single" w:sz="4" w:space="0" w:color="auto"/>
              <w:right w:val="single" w:sz="4" w:space="0" w:color="auto"/>
            </w:tcBorders>
            <w:hideMark/>
          </w:tcPr>
          <w:p w14:paraId="699CB984" w14:textId="77777777" w:rsidR="00F527E5" w:rsidRDefault="00F527E5" w:rsidP="00241D1B">
            <w:r>
              <w:t>Cita informācija</w:t>
            </w:r>
          </w:p>
        </w:tc>
        <w:tc>
          <w:tcPr>
            <w:tcW w:w="2963" w:type="pct"/>
            <w:tcBorders>
              <w:top w:val="single" w:sz="4" w:space="0" w:color="auto"/>
              <w:left w:val="single" w:sz="4" w:space="0" w:color="auto"/>
              <w:bottom w:val="single" w:sz="4" w:space="0" w:color="auto"/>
              <w:right w:val="single" w:sz="4" w:space="0" w:color="auto"/>
            </w:tcBorders>
            <w:hideMark/>
          </w:tcPr>
          <w:p w14:paraId="699CB985" w14:textId="77777777" w:rsidR="00F527E5" w:rsidRDefault="00F527E5" w:rsidP="00241D1B">
            <w:r>
              <w:t>Nav</w:t>
            </w:r>
          </w:p>
        </w:tc>
      </w:tr>
    </w:tbl>
    <w:p w14:paraId="699CB987" w14:textId="77777777" w:rsidR="00F527E5" w:rsidRDefault="00F527E5" w:rsidP="00241D1B">
      <w:pPr>
        <w:tabs>
          <w:tab w:val="left" w:pos="2475"/>
        </w:tabs>
        <w:spacing w:line="360" w:lineRule="auto"/>
        <w:rPr>
          <w:rFonts w:ascii="Arial" w:hAnsi="Arial" w:cs="Arial"/>
          <w:color w:val="414142"/>
          <w:sz w:val="20"/>
          <w:szCs w:val="20"/>
        </w:rPr>
      </w:pPr>
    </w:p>
    <w:p w14:paraId="699CB988" w14:textId="77777777" w:rsidR="00F527E5" w:rsidRDefault="00F527E5" w:rsidP="00241D1B">
      <w:pPr>
        <w:jc w:val="center"/>
        <w:rPr>
          <w:vanish/>
        </w:rPr>
      </w:pPr>
    </w:p>
    <w:tbl>
      <w:tblPr>
        <w:tblStyle w:val="TableGrid"/>
        <w:tblW w:w="5000" w:type="pct"/>
        <w:tblLook w:val="04A0" w:firstRow="1" w:lastRow="0" w:firstColumn="1" w:lastColumn="0" w:noHBand="0" w:noVBand="1"/>
      </w:tblPr>
      <w:tblGrid>
        <w:gridCol w:w="2680"/>
        <w:gridCol w:w="1850"/>
        <w:gridCol w:w="285"/>
        <w:gridCol w:w="1560"/>
        <w:gridCol w:w="433"/>
        <w:gridCol w:w="2253"/>
      </w:tblGrid>
      <w:tr w:rsidR="00F527E5" w14:paraId="699CB98A" w14:textId="77777777" w:rsidTr="00F527E5">
        <w:tc>
          <w:tcPr>
            <w:tcW w:w="5000" w:type="pct"/>
            <w:gridSpan w:val="6"/>
            <w:tcBorders>
              <w:top w:val="single" w:sz="4" w:space="0" w:color="auto"/>
              <w:left w:val="single" w:sz="4" w:space="0" w:color="auto"/>
              <w:bottom w:val="single" w:sz="4" w:space="0" w:color="auto"/>
              <w:right w:val="single" w:sz="4" w:space="0" w:color="auto"/>
            </w:tcBorders>
            <w:hideMark/>
          </w:tcPr>
          <w:p w14:paraId="699CB989" w14:textId="77777777" w:rsidR="00F527E5" w:rsidRDefault="00F527E5" w:rsidP="00241D1B">
            <w:pPr>
              <w:jc w:val="center"/>
            </w:pPr>
            <w:r>
              <w:rPr>
                <w:b/>
                <w:bCs/>
              </w:rPr>
              <w:t>1.</w:t>
            </w:r>
            <w:r w:rsidR="001E6B10">
              <w:rPr>
                <w:b/>
                <w:bCs/>
              </w:rPr>
              <w:t> </w:t>
            </w:r>
            <w:r>
              <w:rPr>
                <w:b/>
                <w:bCs/>
              </w:rPr>
              <w:t>tabula</w:t>
            </w:r>
            <w:r>
              <w:rPr>
                <w:b/>
                <w:bCs/>
              </w:rPr>
              <w:br/>
              <w:t xml:space="preserve"> Tiesību akta projekta atbilstība ES tiesību aktiem</w:t>
            </w:r>
          </w:p>
        </w:tc>
      </w:tr>
      <w:tr w:rsidR="00F527E5" w14:paraId="699CB98F" w14:textId="77777777" w:rsidTr="00CB5E35">
        <w:tc>
          <w:tcPr>
            <w:tcW w:w="1479" w:type="pct"/>
            <w:tcBorders>
              <w:top w:val="single" w:sz="4" w:space="0" w:color="auto"/>
              <w:left w:val="single" w:sz="4" w:space="0" w:color="auto"/>
              <w:bottom w:val="single" w:sz="4" w:space="0" w:color="auto"/>
              <w:right w:val="single" w:sz="4" w:space="0" w:color="auto"/>
            </w:tcBorders>
            <w:hideMark/>
          </w:tcPr>
          <w:p w14:paraId="699CB98B" w14:textId="77777777" w:rsidR="00F527E5" w:rsidRPr="00B74E69" w:rsidRDefault="00F527E5">
            <w:r w:rsidRPr="00B74E69">
              <w:t>Attiecīgā ES tiesību akta datums, numurs un nosaukums</w:t>
            </w:r>
          </w:p>
        </w:tc>
        <w:tc>
          <w:tcPr>
            <w:tcW w:w="3521" w:type="pct"/>
            <w:gridSpan w:val="5"/>
            <w:tcBorders>
              <w:top w:val="single" w:sz="4" w:space="0" w:color="auto"/>
              <w:left w:val="single" w:sz="4" w:space="0" w:color="auto"/>
              <w:bottom w:val="single" w:sz="4" w:space="0" w:color="auto"/>
              <w:right w:val="single" w:sz="4" w:space="0" w:color="auto"/>
            </w:tcBorders>
            <w:hideMark/>
          </w:tcPr>
          <w:p w14:paraId="699CB98C" w14:textId="77777777" w:rsidR="00F527E5" w:rsidRPr="00B74E69" w:rsidRDefault="00592A39">
            <w:pPr>
              <w:jc w:val="both"/>
            </w:pPr>
            <w:r w:rsidRPr="00B74E69">
              <w:t>1</w:t>
            </w:r>
            <w:r w:rsidR="001E6B10">
              <w:t>. </w:t>
            </w:r>
            <w:r w:rsidRPr="00B74E69">
              <w:t>Komisijas 2015.</w:t>
            </w:r>
            <w:r w:rsidR="00B7342E">
              <w:t> </w:t>
            </w:r>
            <w:r w:rsidRPr="00B74E69">
              <w:t>gada 28.</w:t>
            </w:r>
            <w:r w:rsidR="00B7342E">
              <w:t> </w:t>
            </w:r>
            <w:r w:rsidRPr="00B74E69">
              <w:t xml:space="preserve">augusta </w:t>
            </w:r>
            <w:r w:rsidR="001E6B10">
              <w:t>D</w:t>
            </w:r>
            <w:r w:rsidRPr="00B74E69">
              <w:t xml:space="preserve">irektīva </w:t>
            </w:r>
            <w:r w:rsidR="001E6B10">
              <w:t xml:space="preserve">(ES) </w:t>
            </w:r>
            <w:r w:rsidRPr="00B74E69">
              <w:t>2015/1480, ar kuru groza dažus pielikumus Eiropas Parlamenta un Padomes Direktīvās 2004/107/EK un 2008/50/EK, ar ko paredz noteikumus attiecībā uz standartmetodēm, datu validēšanu un paraugu ņemšanas vietu izvietojumu gaisa kvalitātes novērtēšanai;</w:t>
            </w:r>
          </w:p>
          <w:p w14:paraId="699CB98D" w14:textId="77777777" w:rsidR="00592A39" w:rsidRPr="00B74E69" w:rsidRDefault="00592A39" w:rsidP="00177A96">
            <w:pPr>
              <w:jc w:val="both"/>
            </w:pPr>
            <w:r w:rsidRPr="00B74E69">
              <w:t>2</w:t>
            </w:r>
            <w:r w:rsidR="001E6B10">
              <w:t>. </w:t>
            </w:r>
            <w:r w:rsidRPr="00B74E69">
              <w:t>Eiropas Parlamenta un Padomes 2008.</w:t>
            </w:r>
            <w:r w:rsidR="001E6B10">
              <w:t> </w:t>
            </w:r>
            <w:r w:rsidRPr="00B74E69">
              <w:t>gada 21.</w:t>
            </w:r>
            <w:r w:rsidR="001E6B10">
              <w:t> </w:t>
            </w:r>
            <w:r w:rsidRPr="00B74E69">
              <w:t xml:space="preserve">maija </w:t>
            </w:r>
            <w:r w:rsidR="001E6B10">
              <w:t>D</w:t>
            </w:r>
            <w:r w:rsidR="0051438E" w:rsidRPr="00B74E69">
              <w:t>irektīva</w:t>
            </w:r>
            <w:r w:rsidRPr="00B74E69">
              <w:t xml:space="preserve"> 2008/50/EK par gaisa kvalitāti un tīrāku gaisu Eiropai</w:t>
            </w:r>
            <w:r w:rsidR="001E6B10">
              <w:t>;</w:t>
            </w:r>
          </w:p>
          <w:p w14:paraId="699CB98E" w14:textId="77777777" w:rsidR="00177A96" w:rsidRPr="00B74E69" w:rsidRDefault="00177A96" w:rsidP="00177A96">
            <w:pPr>
              <w:pStyle w:val="Title"/>
              <w:jc w:val="both"/>
              <w:rPr>
                <w:b w:val="0"/>
              </w:rPr>
            </w:pPr>
            <w:r w:rsidRPr="00B74E69">
              <w:rPr>
                <w:b w:val="0"/>
              </w:rPr>
              <w:t>3</w:t>
            </w:r>
            <w:r w:rsidR="001E6B10">
              <w:rPr>
                <w:b w:val="0"/>
              </w:rPr>
              <w:t>. </w:t>
            </w:r>
            <w:r w:rsidRPr="00B74E69">
              <w:rPr>
                <w:b w:val="0"/>
              </w:rPr>
              <w:t>Eiropas Parlamenta un Padomes 2015.</w:t>
            </w:r>
            <w:r w:rsidR="001E6B10">
              <w:rPr>
                <w:b w:val="0"/>
              </w:rPr>
              <w:t> </w:t>
            </w:r>
            <w:r w:rsidRPr="00B74E69">
              <w:rPr>
                <w:b w:val="0"/>
              </w:rPr>
              <w:t>gada 25.</w:t>
            </w:r>
            <w:r w:rsidR="001E6B10">
              <w:rPr>
                <w:b w:val="0"/>
              </w:rPr>
              <w:t> </w:t>
            </w:r>
            <w:r w:rsidRPr="00B74E69">
              <w:rPr>
                <w:b w:val="0"/>
              </w:rPr>
              <w:t>novembra</w:t>
            </w:r>
            <w:r w:rsidRPr="00B74E69">
              <w:t xml:space="preserve"> </w:t>
            </w:r>
            <w:r w:rsidRPr="00B74E69">
              <w:rPr>
                <w:b w:val="0"/>
              </w:rPr>
              <w:t>Direktīva 2015/2193 par ierobežojumiem attiecībā uz dažu piesārņojošu vielu emisiju gaisā no vidējas jaudas sadedzināšanas iekārtām</w:t>
            </w:r>
            <w:r w:rsidR="001E6B10">
              <w:rPr>
                <w:b w:val="0"/>
              </w:rPr>
              <w:t>.</w:t>
            </w:r>
          </w:p>
        </w:tc>
      </w:tr>
      <w:tr w:rsidR="00592A39" w14:paraId="699CB994" w14:textId="77777777" w:rsidTr="00CB5E35">
        <w:tc>
          <w:tcPr>
            <w:tcW w:w="1479" w:type="pct"/>
            <w:tcBorders>
              <w:top w:val="single" w:sz="4" w:space="0" w:color="auto"/>
              <w:left w:val="single" w:sz="4" w:space="0" w:color="auto"/>
              <w:bottom w:val="single" w:sz="4" w:space="0" w:color="auto"/>
              <w:right w:val="single" w:sz="4" w:space="0" w:color="auto"/>
            </w:tcBorders>
            <w:hideMark/>
          </w:tcPr>
          <w:p w14:paraId="699CB990" w14:textId="77777777" w:rsidR="00F527E5" w:rsidRPr="00B74E69" w:rsidRDefault="00F527E5">
            <w:pPr>
              <w:spacing w:before="100" w:beforeAutospacing="1" w:after="100" w:afterAutospacing="1"/>
            </w:pPr>
            <w:r w:rsidRPr="00B74E69">
              <w:t>A</w:t>
            </w:r>
          </w:p>
        </w:tc>
        <w:tc>
          <w:tcPr>
            <w:tcW w:w="1178" w:type="pct"/>
            <w:gridSpan w:val="2"/>
            <w:tcBorders>
              <w:top w:val="single" w:sz="4" w:space="0" w:color="auto"/>
              <w:left w:val="single" w:sz="4" w:space="0" w:color="auto"/>
              <w:bottom w:val="single" w:sz="4" w:space="0" w:color="auto"/>
              <w:right w:val="single" w:sz="4" w:space="0" w:color="auto"/>
            </w:tcBorders>
            <w:hideMark/>
          </w:tcPr>
          <w:p w14:paraId="699CB991" w14:textId="77777777" w:rsidR="00F527E5" w:rsidRPr="00B74E69" w:rsidRDefault="00F527E5">
            <w:pPr>
              <w:spacing w:before="100" w:beforeAutospacing="1" w:after="100" w:afterAutospacing="1"/>
            </w:pPr>
            <w:r w:rsidRPr="00B74E69">
              <w:t>B</w:t>
            </w:r>
          </w:p>
        </w:tc>
        <w:tc>
          <w:tcPr>
            <w:tcW w:w="1100" w:type="pct"/>
            <w:gridSpan w:val="2"/>
            <w:tcBorders>
              <w:top w:val="single" w:sz="4" w:space="0" w:color="auto"/>
              <w:left w:val="single" w:sz="4" w:space="0" w:color="auto"/>
              <w:bottom w:val="single" w:sz="4" w:space="0" w:color="auto"/>
              <w:right w:val="single" w:sz="4" w:space="0" w:color="auto"/>
            </w:tcBorders>
            <w:hideMark/>
          </w:tcPr>
          <w:p w14:paraId="699CB992" w14:textId="77777777" w:rsidR="00F527E5" w:rsidRPr="00B74E69" w:rsidRDefault="00F527E5">
            <w:pPr>
              <w:spacing w:before="100" w:beforeAutospacing="1" w:after="100" w:afterAutospacing="1"/>
            </w:pPr>
            <w:r w:rsidRPr="00B74E69">
              <w:t>C</w:t>
            </w:r>
          </w:p>
        </w:tc>
        <w:tc>
          <w:tcPr>
            <w:tcW w:w="1243" w:type="pct"/>
            <w:tcBorders>
              <w:top w:val="single" w:sz="4" w:space="0" w:color="auto"/>
              <w:left w:val="single" w:sz="4" w:space="0" w:color="auto"/>
              <w:bottom w:val="single" w:sz="4" w:space="0" w:color="auto"/>
              <w:right w:val="single" w:sz="4" w:space="0" w:color="auto"/>
            </w:tcBorders>
            <w:hideMark/>
          </w:tcPr>
          <w:p w14:paraId="699CB993" w14:textId="77777777" w:rsidR="00F527E5" w:rsidRPr="00B74E69" w:rsidRDefault="00F527E5">
            <w:pPr>
              <w:spacing w:before="100" w:beforeAutospacing="1" w:after="100" w:afterAutospacing="1"/>
            </w:pPr>
            <w:r w:rsidRPr="00B74E69">
              <w:t>D</w:t>
            </w:r>
          </w:p>
        </w:tc>
      </w:tr>
      <w:tr w:rsidR="00246F8B" w14:paraId="699CB996" w14:textId="77777777" w:rsidTr="00246F8B">
        <w:tc>
          <w:tcPr>
            <w:tcW w:w="5000" w:type="pct"/>
            <w:gridSpan w:val="6"/>
            <w:tcBorders>
              <w:top w:val="single" w:sz="4" w:space="0" w:color="auto"/>
              <w:left w:val="single" w:sz="4" w:space="0" w:color="auto"/>
              <w:bottom w:val="single" w:sz="4" w:space="0" w:color="auto"/>
              <w:right w:val="single" w:sz="4" w:space="0" w:color="auto"/>
            </w:tcBorders>
          </w:tcPr>
          <w:p w14:paraId="699CB995" w14:textId="77777777" w:rsidR="00246F8B" w:rsidRPr="00B74E69" w:rsidRDefault="00246F8B" w:rsidP="000B34EA">
            <w:pPr>
              <w:spacing w:before="120" w:after="120"/>
              <w:rPr>
                <w:b/>
              </w:rPr>
            </w:pPr>
            <w:r w:rsidRPr="00B74E69">
              <w:rPr>
                <w:b/>
              </w:rPr>
              <w:t>Direktīva</w:t>
            </w:r>
            <w:r w:rsidR="000B34EA" w:rsidRPr="00B74E69">
              <w:rPr>
                <w:b/>
              </w:rPr>
              <w:t>s</w:t>
            </w:r>
            <w:r w:rsidRPr="00B74E69">
              <w:rPr>
                <w:b/>
              </w:rPr>
              <w:t xml:space="preserve"> </w:t>
            </w:r>
            <w:r w:rsidR="001E6B10">
              <w:rPr>
                <w:b/>
              </w:rPr>
              <w:t xml:space="preserve">(ES) </w:t>
            </w:r>
            <w:r w:rsidRPr="00B74E69">
              <w:rPr>
                <w:b/>
              </w:rPr>
              <w:t>2015/1480</w:t>
            </w:r>
            <w:r w:rsidR="000B34EA" w:rsidRPr="00B74E69">
              <w:rPr>
                <w:b/>
              </w:rPr>
              <w:t>:</w:t>
            </w:r>
          </w:p>
        </w:tc>
      </w:tr>
      <w:tr w:rsidR="00592A39" w14:paraId="699CB99B" w14:textId="77777777" w:rsidTr="00CB5E35">
        <w:tc>
          <w:tcPr>
            <w:tcW w:w="1479" w:type="pct"/>
            <w:tcBorders>
              <w:top w:val="single" w:sz="4" w:space="0" w:color="auto"/>
              <w:left w:val="single" w:sz="4" w:space="0" w:color="auto"/>
              <w:bottom w:val="single" w:sz="4" w:space="0" w:color="auto"/>
              <w:right w:val="single" w:sz="4" w:space="0" w:color="auto"/>
            </w:tcBorders>
          </w:tcPr>
          <w:p w14:paraId="699CB997" w14:textId="77777777" w:rsidR="00246F8B" w:rsidRPr="00B74E69" w:rsidRDefault="00246F8B" w:rsidP="000B34EA">
            <w:pPr>
              <w:spacing w:before="120" w:after="120"/>
            </w:pPr>
            <w:r w:rsidRPr="00B74E69">
              <w:t>3.</w:t>
            </w:r>
            <w:r w:rsidR="001E6B10">
              <w:t> </w:t>
            </w:r>
            <w:r w:rsidRPr="00B74E69">
              <w:t>pants</w:t>
            </w:r>
          </w:p>
        </w:tc>
        <w:tc>
          <w:tcPr>
            <w:tcW w:w="1178" w:type="pct"/>
            <w:gridSpan w:val="2"/>
            <w:tcBorders>
              <w:top w:val="single" w:sz="4" w:space="0" w:color="auto"/>
              <w:left w:val="single" w:sz="4" w:space="0" w:color="auto"/>
              <w:bottom w:val="single" w:sz="4" w:space="0" w:color="auto"/>
              <w:right w:val="single" w:sz="4" w:space="0" w:color="auto"/>
            </w:tcBorders>
          </w:tcPr>
          <w:p w14:paraId="699CB998" w14:textId="77777777" w:rsidR="00246F8B" w:rsidRPr="00B74E69" w:rsidRDefault="00246F8B" w:rsidP="00246F8B">
            <w:r w:rsidRPr="00B74E69">
              <w:t>Nav jāpārņem</w:t>
            </w:r>
          </w:p>
        </w:tc>
        <w:tc>
          <w:tcPr>
            <w:tcW w:w="1100" w:type="pct"/>
            <w:gridSpan w:val="2"/>
            <w:tcBorders>
              <w:top w:val="single" w:sz="4" w:space="0" w:color="auto"/>
              <w:left w:val="single" w:sz="4" w:space="0" w:color="auto"/>
              <w:bottom w:val="single" w:sz="4" w:space="0" w:color="auto"/>
              <w:right w:val="single" w:sz="4" w:space="0" w:color="auto"/>
            </w:tcBorders>
          </w:tcPr>
          <w:p w14:paraId="699CB999" w14:textId="77777777" w:rsidR="00246F8B" w:rsidRPr="00B74E69" w:rsidRDefault="00246F8B" w:rsidP="00246F8B">
            <w:r w:rsidRPr="00B74E69">
              <w:t>-</w:t>
            </w:r>
          </w:p>
        </w:tc>
        <w:tc>
          <w:tcPr>
            <w:tcW w:w="1243" w:type="pct"/>
            <w:tcBorders>
              <w:top w:val="single" w:sz="4" w:space="0" w:color="auto"/>
              <w:left w:val="single" w:sz="4" w:space="0" w:color="auto"/>
              <w:bottom w:val="single" w:sz="4" w:space="0" w:color="auto"/>
              <w:right w:val="single" w:sz="4" w:space="0" w:color="auto"/>
            </w:tcBorders>
          </w:tcPr>
          <w:p w14:paraId="699CB99A" w14:textId="77777777" w:rsidR="00246F8B" w:rsidRPr="00B74E69" w:rsidRDefault="00246F8B" w:rsidP="00246F8B">
            <w:r w:rsidRPr="00B74E69">
              <w:t>-</w:t>
            </w:r>
          </w:p>
        </w:tc>
      </w:tr>
      <w:tr w:rsidR="00592A39" w14:paraId="699CB9A0" w14:textId="77777777" w:rsidTr="00CB5E35">
        <w:tc>
          <w:tcPr>
            <w:tcW w:w="1479" w:type="pct"/>
            <w:tcBorders>
              <w:top w:val="single" w:sz="4" w:space="0" w:color="auto"/>
              <w:left w:val="single" w:sz="4" w:space="0" w:color="auto"/>
              <w:bottom w:val="single" w:sz="4" w:space="0" w:color="auto"/>
              <w:right w:val="single" w:sz="4" w:space="0" w:color="auto"/>
            </w:tcBorders>
          </w:tcPr>
          <w:p w14:paraId="699CB99C" w14:textId="77777777" w:rsidR="00246F8B" w:rsidRPr="00B74E69" w:rsidRDefault="00246F8B" w:rsidP="000B34EA">
            <w:pPr>
              <w:spacing w:before="120" w:after="120"/>
            </w:pPr>
            <w:r w:rsidRPr="00B74E69">
              <w:t>4.</w:t>
            </w:r>
            <w:r w:rsidR="001E6B10">
              <w:t> </w:t>
            </w:r>
            <w:r w:rsidRPr="00B74E69">
              <w:t>pants</w:t>
            </w:r>
          </w:p>
        </w:tc>
        <w:tc>
          <w:tcPr>
            <w:tcW w:w="1178" w:type="pct"/>
            <w:gridSpan w:val="2"/>
            <w:tcBorders>
              <w:top w:val="single" w:sz="4" w:space="0" w:color="auto"/>
              <w:left w:val="single" w:sz="4" w:space="0" w:color="auto"/>
              <w:bottom w:val="single" w:sz="4" w:space="0" w:color="auto"/>
              <w:right w:val="single" w:sz="4" w:space="0" w:color="auto"/>
            </w:tcBorders>
          </w:tcPr>
          <w:p w14:paraId="699CB99D" w14:textId="77777777" w:rsidR="00246F8B" w:rsidRPr="00B74E69" w:rsidRDefault="00246F8B">
            <w:r w:rsidRPr="00B74E69">
              <w:t>Nav jāpārņem</w:t>
            </w:r>
          </w:p>
        </w:tc>
        <w:tc>
          <w:tcPr>
            <w:tcW w:w="1100" w:type="pct"/>
            <w:gridSpan w:val="2"/>
            <w:tcBorders>
              <w:top w:val="single" w:sz="4" w:space="0" w:color="auto"/>
              <w:left w:val="single" w:sz="4" w:space="0" w:color="auto"/>
              <w:bottom w:val="single" w:sz="4" w:space="0" w:color="auto"/>
              <w:right w:val="single" w:sz="4" w:space="0" w:color="auto"/>
            </w:tcBorders>
          </w:tcPr>
          <w:p w14:paraId="699CB99E" w14:textId="77777777" w:rsidR="00246F8B" w:rsidRPr="00B74E69" w:rsidRDefault="00246F8B">
            <w:r w:rsidRPr="00B74E69">
              <w:t>-</w:t>
            </w:r>
          </w:p>
        </w:tc>
        <w:tc>
          <w:tcPr>
            <w:tcW w:w="1243" w:type="pct"/>
            <w:tcBorders>
              <w:top w:val="single" w:sz="4" w:space="0" w:color="auto"/>
              <w:left w:val="single" w:sz="4" w:space="0" w:color="auto"/>
              <w:bottom w:val="single" w:sz="4" w:space="0" w:color="auto"/>
              <w:right w:val="single" w:sz="4" w:space="0" w:color="auto"/>
            </w:tcBorders>
          </w:tcPr>
          <w:p w14:paraId="699CB99F" w14:textId="77777777" w:rsidR="00246F8B" w:rsidRPr="00B74E69" w:rsidRDefault="00246F8B">
            <w:r w:rsidRPr="00B74E69">
              <w:t>-</w:t>
            </w:r>
          </w:p>
        </w:tc>
      </w:tr>
      <w:tr w:rsidR="00592A39" w14:paraId="699CB9A5" w14:textId="77777777" w:rsidTr="00CB5E35">
        <w:tc>
          <w:tcPr>
            <w:tcW w:w="1479" w:type="pct"/>
            <w:tcBorders>
              <w:top w:val="single" w:sz="4" w:space="0" w:color="auto"/>
              <w:left w:val="single" w:sz="4" w:space="0" w:color="auto"/>
              <w:bottom w:val="single" w:sz="4" w:space="0" w:color="auto"/>
              <w:right w:val="single" w:sz="4" w:space="0" w:color="auto"/>
            </w:tcBorders>
          </w:tcPr>
          <w:p w14:paraId="699CB9A1" w14:textId="77777777" w:rsidR="00246F8B" w:rsidRPr="00B74E69" w:rsidRDefault="00246F8B" w:rsidP="000B34EA">
            <w:pPr>
              <w:spacing w:before="120" w:after="120"/>
            </w:pPr>
            <w:r w:rsidRPr="00B74E69">
              <w:t>5.</w:t>
            </w:r>
            <w:r w:rsidR="001E6B10">
              <w:t> </w:t>
            </w:r>
            <w:r w:rsidRPr="00B74E69">
              <w:t>pants</w:t>
            </w:r>
          </w:p>
        </w:tc>
        <w:tc>
          <w:tcPr>
            <w:tcW w:w="1178" w:type="pct"/>
            <w:gridSpan w:val="2"/>
            <w:tcBorders>
              <w:top w:val="single" w:sz="4" w:space="0" w:color="auto"/>
              <w:left w:val="single" w:sz="4" w:space="0" w:color="auto"/>
              <w:bottom w:val="single" w:sz="4" w:space="0" w:color="auto"/>
              <w:right w:val="single" w:sz="4" w:space="0" w:color="auto"/>
            </w:tcBorders>
          </w:tcPr>
          <w:p w14:paraId="699CB9A2" w14:textId="77777777" w:rsidR="00246F8B" w:rsidRPr="00B74E69" w:rsidRDefault="00246F8B">
            <w:r w:rsidRPr="00B74E69">
              <w:t>Nav jāpārņem</w:t>
            </w:r>
          </w:p>
        </w:tc>
        <w:tc>
          <w:tcPr>
            <w:tcW w:w="1100" w:type="pct"/>
            <w:gridSpan w:val="2"/>
            <w:tcBorders>
              <w:top w:val="single" w:sz="4" w:space="0" w:color="auto"/>
              <w:left w:val="single" w:sz="4" w:space="0" w:color="auto"/>
              <w:bottom w:val="single" w:sz="4" w:space="0" w:color="auto"/>
              <w:right w:val="single" w:sz="4" w:space="0" w:color="auto"/>
            </w:tcBorders>
          </w:tcPr>
          <w:p w14:paraId="699CB9A3" w14:textId="77777777" w:rsidR="00246F8B" w:rsidRPr="00B74E69" w:rsidRDefault="00246F8B">
            <w:r w:rsidRPr="00B74E69">
              <w:t>-</w:t>
            </w:r>
          </w:p>
        </w:tc>
        <w:tc>
          <w:tcPr>
            <w:tcW w:w="1243" w:type="pct"/>
            <w:tcBorders>
              <w:top w:val="single" w:sz="4" w:space="0" w:color="auto"/>
              <w:left w:val="single" w:sz="4" w:space="0" w:color="auto"/>
              <w:bottom w:val="single" w:sz="4" w:space="0" w:color="auto"/>
              <w:right w:val="single" w:sz="4" w:space="0" w:color="auto"/>
            </w:tcBorders>
          </w:tcPr>
          <w:p w14:paraId="699CB9A4" w14:textId="77777777" w:rsidR="00246F8B" w:rsidRPr="00B74E69" w:rsidRDefault="00246F8B">
            <w:r w:rsidRPr="00B74E69">
              <w:t>-</w:t>
            </w:r>
          </w:p>
        </w:tc>
      </w:tr>
      <w:tr w:rsidR="00592A39" w14:paraId="699CB9AA" w14:textId="77777777" w:rsidTr="00CB5E35">
        <w:tc>
          <w:tcPr>
            <w:tcW w:w="1479" w:type="pct"/>
            <w:tcBorders>
              <w:top w:val="single" w:sz="4" w:space="0" w:color="auto"/>
              <w:left w:val="single" w:sz="4" w:space="0" w:color="auto"/>
              <w:bottom w:val="single" w:sz="4" w:space="0" w:color="auto"/>
              <w:right w:val="single" w:sz="4" w:space="0" w:color="auto"/>
            </w:tcBorders>
          </w:tcPr>
          <w:p w14:paraId="699CB9A6" w14:textId="77777777" w:rsidR="00246F8B" w:rsidRPr="00B74E69" w:rsidRDefault="00490AC1" w:rsidP="003734A9">
            <w:pPr>
              <w:spacing w:before="120" w:after="120"/>
            </w:pPr>
            <w:r w:rsidRPr="00B74E69">
              <w:t>1.</w:t>
            </w:r>
            <w:r w:rsidR="00223EB7">
              <w:t> </w:t>
            </w:r>
            <w:r w:rsidRPr="00B74E69">
              <w:t>p</w:t>
            </w:r>
            <w:r w:rsidR="003734A9" w:rsidRPr="00B74E69">
              <w:t>ants</w:t>
            </w:r>
            <w:r w:rsidRPr="00B74E69">
              <w:t xml:space="preserve"> un </w:t>
            </w:r>
            <w:r w:rsidR="00246F8B" w:rsidRPr="00B74E69">
              <w:t>I</w:t>
            </w:r>
            <w:r w:rsidR="00223EB7">
              <w:t> </w:t>
            </w:r>
            <w:r w:rsidR="00246F8B" w:rsidRPr="00B74E69">
              <w:t>pielikuma 1</w:t>
            </w:r>
            <w:r w:rsidR="00223EB7">
              <w:t>. </w:t>
            </w:r>
            <w:r w:rsidR="00246F8B" w:rsidRPr="00B74E69">
              <w:t xml:space="preserve">punkta </w:t>
            </w:r>
            <w:r w:rsidR="00223EB7">
              <w:t>„</w:t>
            </w:r>
            <w:r w:rsidR="00246F8B" w:rsidRPr="00B74E69">
              <w:t>a</w:t>
            </w:r>
            <w:r w:rsidR="00223EB7">
              <w:t>”</w:t>
            </w:r>
            <w:r w:rsidR="00246F8B" w:rsidRPr="00B74E69">
              <w:t xml:space="preserve"> apakšpunkts</w:t>
            </w:r>
          </w:p>
        </w:tc>
        <w:tc>
          <w:tcPr>
            <w:tcW w:w="1178" w:type="pct"/>
            <w:gridSpan w:val="2"/>
            <w:tcBorders>
              <w:top w:val="single" w:sz="4" w:space="0" w:color="auto"/>
              <w:left w:val="single" w:sz="4" w:space="0" w:color="auto"/>
              <w:bottom w:val="single" w:sz="4" w:space="0" w:color="auto"/>
              <w:right w:val="single" w:sz="4" w:space="0" w:color="auto"/>
            </w:tcBorders>
          </w:tcPr>
          <w:p w14:paraId="699CB9A7" w14:textId="77777777" w:rsidR="00246F8B" w:rsidRPr="00B74E69" w:rsidRDefault="00FA3CE5" w:rsidP="00FA3CE5">
            <w:r w:rsidRPr="00B74E69">
              <w:t>4</w:t>
            </w:r>
            <w:r>
              <w:t>7</w:t>
            </w:r>
            <w:r w:rsidR="004E1E40" w:rsidRPr="00B74E69">
              <w:t>.</w:t>
            </w:r>
            <w:r w:rsidR="00223EB7">
              <w:t>,</w:t>
            </w:r>
            <w:r w:rsidR="00DF5A9E">
              <w:t xml:space="preserve"> </w:t>
            </w:r>
            <w:r>
              <w:t>48</w:t>
            </w:r>
            <w:r w:rsidR="00223EB7">
              <w:t>. un</w:t>
            </w:r>
            <w:r w:rsidR="002A6534">
              <w:t xml:space="preserve"> </w:t>
            </w:r>
            <w:r w:rsidRPr="00B74E69">
              <w:t>4</w:t>
            </w:r>
            <w:r>
              <w:t>9</w:t>
            </w:r>
            <w:r w:rsidR="004E1E40" w:rsidRPr="00B74E69">
              <w:t>.</w:t>
            </w:r>
            <w:r w:rsidR="00223EB7">
              <w:t> </w:t>
            </w:r>
            <w:r w:rsidR="004E1E40" w:rsidRPr="00B74E69">
              <w:t>punkts</w:t>
            </w:r>
          </w:p>
        </w:tc>
        <w:tc>
          <w:tcPr>
            <w:tcW w:w="1100" w:type="pct"/>
            <w:gridSpan w:val="2"/>
            <w:tcBorders>
              <w:top w:val="single" w:sz="4" w:space="0" w:color="auto"/>
              <w:left w:val="single" w:sz="4" w:space="0" w:color="auto"/>
              <w:bottom w:val="single" w:sz="4" w:space="0" w:color="auto"/>
              <w:right w:val="single" w:sz="4" w:space="0" w:color="auto"/>
            </w:tcBorders>
          </w:tcPr>
          <w:p w14:paraId="699CB9A8" w14:textId="77777777" w:rsidR="00246F8B" w:rsidRPr="00B74E69" w:rsidRDefault="000B34EA">
            <w:r w:rsidRPr="00B74E69">
              <w:t>Ieviests pilnībā</w:t>
            </w:r>
          </w:p>
        </w:tc>
        <w:tc>
          <w:tcPr>
            <w:tcW w:w="1243" w:type="pct"/>
            <w:tcBorders>
              <w:top w:val="single" w:sz="4" w:space="0" w:color="auto"/>
              <w:left w:val="single" w:sz="4" w:space="0" w:color="auto"/>
              <w:bottom w:val="single" w:sz="4" w:space="0" w:color="auto"/>
              <w:right w:val="single" w:sz="4" w:space="0" w:color="auto"/>
            </w:tcBorders>
          </w:tcPr>
          <w:p w14:paraId="699CB9A9" w14:textId="77777777" w:rsidR="00246F8B" w:rsidRPr="00B74E69" w:rsidRDefault="008A23FE">
            <w:r>
              <w:t>Neparedz stingrākas prasības</w:t>
            </w:r>
          </w:p>
        </w:tc>
      </w:tr>
      <w:tr w:rsidR="008A23FE" w14:paraId="699CB9AF" w14:textId="77777777" w:rsidTr="00CB5E35">
        <w:tc>
          <w:tcPr>
            <w:tcW w:w="1479" w:type="pct"/>
            <w:tcBorders>
              <w:top w:val="single" w:sz="4" w:space="0" w:color="auto"/>
              <w:left w:val="single" w:sz="4" w:space="0" w:color="auto"/>
              <w:bottom w:val="single" w:sz="4" w:space="0" w:color="auto"/>
              <w:right w:val="single" w:sz="4" w:space="0" w:color="auto"/>
            </w:tcBorders>
          </w:tcPr>
          <w:p w14:paraId="699CB9AB" w14:textId="77777777" w:rsidR="008A23FE" w:rsidRPr="00B74E69" w:rsidRDefault="008A23FE" w:rsidP="008A23FE">
            <w:pPr>
              <w:spacing w:before="120" w:after="120"/>
            </w:pPr>
            <w:r w:rsidRPr="00B74E69">
              <w:t>1.</w:t>
            </w:r>
            <w:r w:rsidR="00223EB7">
              <w:t> </w:t>
            </w:r>
            <w:r w:rsidRPr="00B74E69">
              <w:t>pants un I</w:t>
            </w:r>
            <w:r w:rsidR="00A12960">
              <w:t> </w:t>
            </w:r>
            <w:r w:rsidRPr="00B74E69">
              <w:t>pielikuma 1</w:t>
            </w:r>
            <w:r w:rsidR="00223EB7">
              <w:t>. </w:t>
            </w:r>
            <w:r w:rsidRPr="00B74E69">
              <w:t xml:space="preserve">punkta </w:t>
            </w:r>
            <w:r w:rsidR="00223EB7">
              <w:t>„</w:t>
            </w:r>
            <w:r w:rsidRPr="00B74E69">
              <w:t>b</w:t>
            </w:r>
            <w:r w:rsidR="00223EB7">
              <w:t>” </w:t>
            </w:r>
            <w:r w:rsidRPr="00B74E69">
              <w:t>apakšpunkts</w:t>
            </w:r>
          </w:p>
        </w:tc>
        <w:tc>
          <w:tcPr>
            <w:tcW w:w="1178" w:type="pct"/>
            <w:gridSpan w:val="2"/>
            <w:tcBorders>
              <w:top w:val="single" w:sz="4" w:space="0" w:color="auto"/>
              <w:left w:val="single" w:sz="4" w:space="0" w:color="auto"/>
              <w:bottom w:val="single" w:sz="4" w:space="0" w:color="auto"/>
              <w:right w:val="single" w:sz="4" w:space="0" w:color="auto"/>
            </w:tcBorders>
          </w:tcPr>
          <w:p w14:paraId="699CB9AC" w14:textId="77777777" w:rsidR="008A23FE" w:rsidRPr="00B74E69" w:rsidRDefault="00FA3CE5" w:rsidP="008A23FE">
            <w:pPr>
              <w:rPr>
                <w:highlight w:val="yellow"/>
              </w:rPr>
            </w:pPr>
            <w:r>
              <w:t>50</w:t>
            </w:r>
            <w:r w:rsidR="008A23FE" w:rsidRPr="00B74E69">
              <w:t>.</w:t>
            </w:r>
            <w:r w:rsidR="00223EB7">
              <w:t> </w:t>
            </w:r>
            <w:r w:rsidR="008A23FE" w:rsidRPr="00B74E69">
              <w:t>punkts</w:t>
            </w:r>
          </w:p>
        </w:tc>
        <w:tc>
          <w:tcPr>
            <w:tcW w:w="1100" w:type="pct"/>
            <w:gridSpan w:val="2"/>
            <w:tcBorders>
              <w:top w:val="single" w:sz="4" w:space="0" w:color="auto"/>
              <w:left w:val="single" w:sz="4" w:space="0" w:color="auto"/>
              <w:bottom w:val="single" w:sz="4" w:space="0" w:color="auto"/>
              <w:right w:val="single" w:sz="4" w:space="0" w:color="auto"/>
            </w:tcBorders>
          </w:tcPr>
          <w:p w14:paraId="699CB9AD" w14:textId="77777777" w:rsidR="008A23FE" w:rsidRPr="00B74E69" w:rsidRDefault="008A23FE" w:rsidP="008A23FE">
            <w:r w:rsidRPr="00B74E69">
              <w:t>Ieviests pilnībā</w:t>
            </w:r>
          </w:p>
        </w:tc>
        <w:tc>
          <w:tcPr>
            <w:tcW w:w="1243" w:type="pct"/>
            <w:tcBorders>
              <w:top w:val="single" w:sz="4" w:space="0" w:color="auto"/>
              <w:left w:val="single" w:sz="4" w:space="0" w:color="auto"/>
              <w:bottom w:val="single" w:sz="4" w:space="0" w:color="auto"/>
              <w:right w:val="single" w:sz="4" w:space="0" w:color="auto"/>
            </w:tcBorders>
          </w:tcPr>
          <w:p w14:paraId="699CB9AE" w14:textId="77777777" w:rsidR="008A23FE" w:rsidRPr="00B74E69" w:rsidRDefault="008A23FE" w:rsidP="008A23FE">
            <w:r w:rsidRPr="006A5E29">
              <w:t>Neparedz stingrākas prasības</w:t>
            </w:r>
          </w:p>
        </w:tc>
      </w:tr>
      <w:tr w:rsidR="008A23FE" w14:paraId="699CB9B4" w14:textId="77777777" w:rsidTr="00CB5E35">
        <w:tc>
          <w:tcPr>
            <w:tcW w:w="1479" w:type="pct"/>
            <w:tcBorders>
              <w:top w:val="single" w:sz="4" w:space="0" w:color="auto"/>
              <w:left w:val="single" w:sz="4" w:space="0" w:color="auto"/>
              <w:bottom w:val="single" w:sz="4" w:space="0" w:color="auto"/>
              <w:right w:val="single" w:sz="4" w:space="0" w:color="auto"/>
            </w:tcBorders>
          </w:tcPr>
          <w:p w14:paraId="699CB9B0" w14:textId="77777777" w:rsidR="008A23FE" w:rsidRPr="00B74E69" w:rsidRDefault="008A23FE" w:rsidP="008A23FE">
            <w:pPr>
              <w:spacing w:before="120" w:after="120"/>
            </w:pPr>
            <w:r w:rsidRPr="00B74E69">
              <w:t>1.</w:t>
            </w:r>
            <w:r w:rsidR="00223EB7">
              <w:t> </w:t>
            </w:r>
            <w:r w:rsidRPr="00B74E69">
              <w:t>pants un I</w:t>
            </w:r>
            <w:r w:rsidR="00A12960">
              <w:t> </w:t>
            </w:r>
            <w:r w:rsidRPr="00B74E69">
              <w:t>pielikuma 1</w:t>
            </w:r>
            <w:r w:rsidR="00223EB7">
              <w:t>. </w:t>
            </w:r>
            <w:r w:rsidRPr="00B74E69">
              <w:t xml:space="preserve">punkta </w:t>
            </w:r>
            <w:r w:rsidR="00223EB7">
              <w:t>„</w:t>
            </w:r>
            <w:r w:rsidRPr="00B74E69">
              <w:t>c</w:t>
            </w:r>
            <w:r w:rsidR="00223EB7">
              <w:t>”</w:t>
            </w:r>
            <w:r w:rsidRPr="00B74E69">
              <w:t xml:space="preserve"> apakšpunkts</w:t>
            </w:r>
          </w:p>
        </w:tc>
        <w:tc>
          <w:tcPr>
            <w:tcW w:w="1178" w:type="pct"/>
            <w:gridSpan w:val="2"/>
            <w:tcBorders>
              <w:top w:val="single" w:sz="4" w:space="0" w:color="auto"/>
              <w:left w:val="single" w:sz="4" w:space="0" w:color="auto"/>
              <w:bottom w:val="single" w:sz="4" w:space="0" w:color="auto"/>
              <w:right w:val="single" w:sz="4" w:space="0" w:color="auto"/>
            </w:tcBorders>
          </w:tcPr>
          <w:p w14:paraId="699CB9B1" w14:textId="77777777" w:rsidR="008A23FE" w:rsidRPr="00B74E69" w:rsidRDefault="00FA3CE5" w:rsidP="00FA3CE5">
            <w:pPr>
              <w:rPr>
                <w:highlight w:val="yellow"/>
              </w:rPr>
            </w:pPr>
            <w:r>
              <w:t>50</w:t>
            </w:r>
            <w:r w:rsidR="008A23FE" w:rsidRPr="00B74E69">
              <w:t xml:space="preserve">. un </w:t>
            </w:r>
            <w:r w:rsidRPr="00B74E69">
              <w:t>5</w:t>
            </w:r>
            <w:r>
              <w:t>1</w:t>
            </w:r>
            <w:r w:rsidR="008A23FE" w:rsidRPr="00B74E69">
              <w:t>.</w:t>
            </w:r>
            <w:r w:rsidR="00223EB7">
              <w:t> </w:t>
            </w:r>
            <w:r w:rsidR="008A23FE" w:rsidRPr="00B74E69">
              <w:t>punkts</w:t>
            </w:r>
          </w:p>
        </w:tc>
        <w:tc>
          <w:tcPr>
            <w:tcW w:w="1100" w:type="pct"/>
            <w:gridSpan w:val="2"/>
            <w:tcBorders>
              <w:top w:val="single" w:sz="4" w:space="0" w:color="auto"/>
              <w:left w:val="single" w:sz="4" w:space="0" w:color="auto"/>
              <w:bottom w:val="single" w:sz="4" w:space="0" w:color="auto"/>
              <w:right w:val="single" w:sz="4" w:space="0" w:color="auto"/>
            </w:tcBorders>
          </w:tcPr>
          <w:p w14:paraId="699CB9B2" w14:textId="77777777" w:rsidR="008A23FE" w:rsidRPr="00B74E69" w:rsidRDefault="008A23FE" w:rsidP="008A23FE">
            <w:r w:rsidRPr="00B74E69">
              <w:t>Ieviests pilnībā</w:t>
            </w:r>
          </w:p>
        </w:tc>
        <w:tc>
          <w:tcPr>
            <w:tcW w:w="1243" w:type="pct"/>
            <w:tcBorders>
              <w:top w:val="single" w:sz="4" w:space="0" w:color="auto"/>
              <w:left w:val="single" w:sz="4" w:space="0" w:color="auto"/>
              <w:bottom w:val="single" w:sz="4" w:space="0" w:color="auto"/>
              <w:right w:val="single" w:sz="4" w:space="0" w:color="auto"/>
            </w:tcBorders>
          </w:tcPr>
          <w:p w14:paraId="699CB9B3" w14:textId="77777777" w:rsidR="008A23FE" w:rsidRPr="00B74E69" w:rsidRDefault="008A23FE" w:rsidP="008A23FE">
            <w:r w:rsidRPr="006A5E29">
              <w:t>Neparedz stingrākas prasības</w:t>
            </w:r>
          </w:p>
        </w:tc>
      </w:tr>
      <w:tr w:rsidR="008A23FE" w14:paraId="699CB9B9" w14:textId="77777777" w:rsidTr="00CB5E35">
        <w:tc>
          <w:tcPr>
            <w:tcW w:w="1479" w:type="pct"/>
            <w:tcBorders>
              <w:top w:val="single" w:sz="4" w:space="0" w:color="auto"/>
              <w:left w:val="single" w:sz="4" w:space="0" w:color="auto"/>
              <w:bottom w:val="single" w:sz="4" w:space="0" w:color="auto"/>
              <w:right w:val="single" w:sz="4" w:space="0" w:color="auto"/>
            </w:tcBorders>
          </w:tcPr>
          <w:p w14:paraId="699CB9B5" w14:textId="77777777" w:rsidR="008A23FE" w:rsidRPr="00B74E69" w:rsidRDefault="008A23FE" w:rsidP="008A23FE">
            <w:pPr>
              <w:spacing w:before="120" w:after="120"/>
            </w:pPr>
            <w:r w:rsidRPr="00B74E69">
              <w:t>1.</w:t>
            </w:r>
            <w:r w:rsidR="00223EB7">
              <w:t> </w:t>
            </w:r>
            <w:r w:rsidRPr="00B74E69">
              <w:t>pants un I</w:t>
            </w:r>
            <w:r w:rsidR="00223EB7">
              <w:t> </w:t>
            </w:r>
            <w:r w:rsidRPr="00B74E69">
              <w:t>pielikuma 2</w:t>
            </w:r>
            <w:r w:rsidR="00223EB7">
              <w:t>. </w:t>
            </w:r>
            <w:r w:rsidRPr="00B74E69">
              <w:t>punkts</w:t>
            </w:r>
          </w:p>
        </w:tc>
        <w:tc>
          <w:tcPr>
            <w:tcW w:w="1178" w:type="pct"/>
            <w:gridSpan w:val="2"/>
            <w:tcBorders>
              <w:top w:val="single" w:sz="4" w:space="0" w:color="auto"/>
              <w:left w:val="single" w:sz="4" w:space="0" w:color="auto"/>
              <w:bottom w:val="single" w:sz="4" w:space="0" w:color="auto"/>
              <w:right w:val="single" w:sz="4" w:space="0" w:color="auto"/>
            </w:tcBorders>
          </w:tcPr>
          <w:p w14:paraId="699CB9B6" w14:textId="77777777" w:rsidR="008A23FE" w:rsidRPr="006C578B" w:rsidRDefault="00FA3CE5" w:rsidP="00FA3CE5">
            <w:r>
              <w:t>4</w:t>
            </w:r>
            <w:r w:rsidR="008A23FE" w:rsidRPr="006C578B">
              <w:t xml:space="preserve">. un </w:t>
            </w:r>
            <w:r>
              <w:t>7</w:t>
            </w:r>
            <w:r w:rsidR="008A23FE" w:rsidRPr="006C578B">
              <w:t>.</w:t>
            </w:r>
            <w:r w:rsidR="00223EB7" w:rsidRPr="006C578B">
              <w:t>,</w:t>
            </w:r>
            <w:r w:rsidR="0057563F" w:rsidRPr="006C578B">
              <w:t xml:space="preserve"> </w:t>
            </w:r>
            <w:r>
              <w:t>8</w:t>
            </w:r>
            <w:r w:rsidR="00223EB7" w:rsidRPr="006C578B">
              <w:t>.,</w:t>
            </w:r>
            <w:r w:rsidR="0057563F" w:rsidRPr="006C578B">
              <w:t xml:space="preserve"> </w:t>
            </w:r>
            <w:r>
              <w:t>9</w:t>
            </w:r>
            <w:r w:rsidR="00223EB7" w:rsidRPr="006C578B">
              <w:t>.,</w:t>
            </w:r>
            <w:r w:rsidR="0057563F" w:rsidRPr="006C578B">
              <w:t xml:space="preserve"> </w:t>
            </w:r>
            <w:r>
              <w:t>10</w:t>
            </w:r>
            <w:r w:rsidR="00223EB7" w:rsidRPr="006C578B">
              <w:t>. un</w:t>
            </w:r>
            <w:r w:rsidR="002A6534" w:rsidRPr="006C578B">
              <w:t xml:space="preserve"> </w:t>
            </w:r>
            <w:r w:rsidRPr="006C578B">
              <w:t>1</w:t>
            </w:r>
            <w:r>
              <w:t>1</w:t>
            </w:r>
            <w:r w:rsidR="008A23FE" w:rsidRPr="006C578B">
              <w:t>.</w:t>
            </w:r>
            <w:r w:rsidR="00223EB7" w:rsidRPr="006C578B">
              <w:t> </w:t>
            </w:r>
            <w:r w:rsidR="008A23FE" w:rsidRPr="006C578B">
              <w:t>punkts</w:t>
            </w:r>
          </w:p>
        </w:tc>
        <w:tc>
          <w:tcPr>
            <w:tcW w:w="1100" w:type="pct"/>
            <w:gridSpan w:val="2"/>
            <w:tcBorders>
              <w:top w:val="single" w:sz="4" w:space="0" w:color="auto"/>
              <w:left w:val="single" w:sz="4" w:space="0" w:color="auto"/>
              <w:bottom w:val="single" w:sz="4" w:space="0" w:color="auto"/>
              <w:right w:val="single" w:sz="4" w:space="0" w:color="auto"/>
            </w:tcBorders>
          </w:tcPr>
          <w:p w14:paraId="699CB9B7" w14:textId="77777777" w:rsidR="008A23FE" w:rsidRPr="006C578B" w:rsidRDefault="008A23FE" w:rsidP="008A23FE">
            <w:r w:rsidRPr="006C578B">
              <w:t>Ieviests pilnībā</w:t>
            </w:r>
          </w:p>
        </w:tc>
        <w:tc>
          <w:tcPr>
            <w:tcW w:w="1243" w:type="pct"/>
            <w:tcBorders>
              <w:top w:val="single" w:sz="4" w:space="0" w:color="auto"/>
              <w:left w:val="single" w:sz="4" w:space="0" w:color="auto"/>
              <w:bottom w:val="single" w:sz="4" w:space="0" w:color="auto"/>
              <w:right w:val="single" w:sz="4" w:space="0" w:color="auto"/>
            </w:tcBorders>
          </w:tcPr>
          <w:p w14:paraId="699CB9B8" w14:textId="77777777" w:rsidR="008A23FE" w:rsidRPr="00B74E69" w:rsidRDefault="008A23FE" w:rsidP="008A23FE">
            <w:r w:rsidRPr="006A5E29">
              <w:t>Neparedz stingrākas prasības</w:t>
            </w:r>
          </w:p>
        </w:tc>
      </w:tr>
      <w:tr w:rsidR="008A23FE" w14:paraId="699CB9BE" w14:textId="77777777" w:rsidTr="00CB5E35">
        <w:tc>
          <w:tcPr>
            <w:tcW w:w="1479" w:type="pct"/>
            <w:tcBorders>
              <w:top w:val="single" w:sz="4" w:space="0" w:color="auto"/>
              <w:left w:val="single" w:sz="4" w:space="0" w:color="auto"/>
              <w:bottom w:val="single" w:sz="4" w:space="0" w:color="auto"/>
              <w:right w:val="single" w:sz="4" w:space="0" w:color="auto"/>
            </w:tcBorders>
          </w:tcPr>
          <w:p w14:paraId="699CB9BA" w14:textId="77777777" w:rsidR="008A23FE" w:rsidRPr="00B74E69" w:rsidRDefault="008A23FE" w:rsidP="008A23FE">
            <w:pPr>
              <w:spacing w:before="120" w:after="120"/>
            </w:pPr>
            <w:r w:rsidRPr="00B74E69">
              <w:t>2.</w:t>
            </w:r>
            <w:r w:rsidR="00223EB7">
              <w:t> </w:t>
            </w:r>
            <w:r w:rsidRPr="00B74E69">
              <w:t>pants un II</w:t>
            </w:r>
            <w:r w:rsidR="00223EB7">
              <w:t> </w:t>
            </w:r>
            <w:r w:rsidRPr="00B74E69">
              <w:t>pielikuma 1</w:t>
            </w:r>
            <w:r w:rsidR="00223EB7">
              <w:t>. </w:t>
            </w:r>
            <w:r w:rsidRPr="00B74E69">
              <w:t>punkts</w:t>
            </w:r>
          </w:p>
        </w:tc>
        <w:tc>
          <w:tcPr>
            <w:tcW w:w="1178" w:type="pct"/>
            <w:gridSpan w:val="2"/>
            <w:tcBorders>
              <w:top w:val="single" w:sz="4" w:space="0" w:color="auto"/>
              <w:left w:val="single" w:sz="4" w:space="0" w:color="auto"/>
              <w:bottom w:val="single" w:sz="4" w:space="0" w:color="auto"/>
              <w:right w:val="single" w:sz="4" w:space="0" w:color="auto"/>
            </w:tcBorders>
          </w:tcPr>
          <w:p w14:paraId="699CB9BB" w14:textId="77777777" w:rsidR="008A23FE" w:rsidRPr="006C578B" w:rsidRDefault="00FA3CE5" w:rsidP="00FA3CE5">
            <w:r w:rsidRPr="006C578B">
              <w:t>1</w:t>
            </w:r>
            <w:r>
              <w:t>6</w:t>
            </w:r>
            <w:r w:rsidR="008A23FE" w:rsidRPr="006C578B">
              <w:t xml:space="preserve">. un </w:t>
            </w:r>
            <w:r w:rsidRPr="006C578B">
              <w:t>3</w:t>
            </w:r>
            <w:r>
              <w:t>4</w:t>
            </w:r>
            <w:r w:rsidR="008A23FE" w:rsidRPr="006C578B">
              <w:t>.</w:t>
            </w:r>
            <w:r w:rsidR="00223EB7" w:rsidRPr="006C578B">
              <w:t> </w:t>
            </w:r>
            <w:r w:rsidR="008A23FE" w:rsidRPr="006C578B">
              <w:t>punkts</w:t>
            </w:r>
          </w:p>
        </w:tc>
        <w:tc>
          <w:tcPr>
            <w:tcW w:w="1100" w:type="pct"/>
            <w:gridSpan w:val="2"/>
            <w:tcBorders>
              <w:top w:val="single" w:sz="4" w:space="0" w:color="auto"/>
              <w:left w:val="single" w:sz="4" w:space="0" w:color="auto"/>
              <w:bottom w:val="single" w:sz="4" w:space="0" w:color="auto"/>
              <w:right w:val="single" w:sz="4" w:space="0" w:color="auto"/>
            </w:tcBorders>
          </w:tcPr>
          <w:p w14:paraId="699CB9BC" w14:textId="77777777" w:rsidR="008A23FE" w:rsidRPr="006C578B" w:rsidRDefault="008A23FE" w:rsidP="008A23FE">
            <w:r w:rsidRPr="006C578B">
              <w:t>Ieviests pilnībā</w:t>
            </w:r>
          </w:p>
        </w:tc>
        <w:tc>
          <w:tcPr>
            <w:tcW w:w="1243" w:type="pct"/>
            <w:tcBorders>
              <w:top w:val="single" w:sz="4" w:space="0" w:color="auto"/>
              <w:left w:val="single" w:sz="4" w:space="0" w:color="auto"/>
              <w:bottom w:val="single" w:sz="4" w:space="0" w:color="auto"/>
              <w:right w:val="single" w:sz="4" w:space="0" w:color="auto"/>
            </w:tcBorders>
          </w:tcPr>
          <w:p w14:paraId="699CB9BD" w14:textId="77777777" w:rsidR="008A23FE" w:rsidRPr="00B74E69" w:rsidRDefault="008A23FE" w:rsidP="008A23FE">
            <w:r w:rsidRPr="006A5E29">
              <w:t>Neparedz stingrākas prasības</w:t>
            </w:r>
          </w:p>
        </w:tc>
      </w:tr>
      <w:tr w:rsidR="008A23FE" w14:paraId="699CB9C3" w14:textId="77777777" w:rsidTr="00CB5E35">
        <w:tc>
          <w:tcPr>
            <w:tcW w:w="1479" w:type="pct"/>
            <w:tcBorders>
              <w:top w:val="single" w:sz="4" w:space="0" w:color="auto"/>
              <w:left w:val="single" w:sz="4" w:space="0" w:color="auto"/>
              <w:bottom w:val="single" w:sz="4" w:space="0" w:color="auto"/>
              <w:right w:val="single" w:sz="4" w:space="0" w:color="auto"/>
            </w:tcBorders>
          </w:tcPr>
          <w:p w14:paraId="699CB9BF" w14:textId="77777777" w:rsidR="008A23FE" w:rsidRPr="00B74E69" w:rsidRDefault="008A23FE" w:rsidP="008A23FE">
            <w:pPr>
              <w:spacing w:before="120" w:after="120"/>
            </w:pPr>
            <w:r w:rsidRPr="00B74E69">
              <w:t>2.</w:t>
            </w:r>
            <w:r w:rsidR="00223EB7">
              <w:t> </w:t>
            </w:r>
            <w:r w:rsidRPr="00B74E69">
              <w:t>pants un II</w:t>
            </w:r>
            <w:r w:rsidR="00223EB7">
              <w:t> </w:t>
            </w:r>
            <w:r w:rsidRPr="00B74E69">
              <w:t>pielikuma 2</w:t>
            </w:r>
            <w:r w:rsidR="00223EB7">
              <w:t>. </w:t>
            </w:r>
            <w:r w:rsidRPr="00B74E69">
              <w:t xml:space="preserve">punkta </w:t>
            </w:r>
            <w:r w:rsidR="00223EB7">
              <w:t>„</w:t>
            </w:r>
            <w:r w:rsidRPr="00B74E69">
              <w:t>a</w:t>
            </w:r>
            <w:r w:rsidR="00223EB7">
              <w:t>” </w:t>
            </w:r>
            <w:r w:rsidRPr="00B74E69">
              <w:t>apakšpunkts</w:t>
            </w:r>
          </w:p>
        </w:tc>
        <w:tc>
          <w:tcPr>
            <w:tcW w:w="1178" w:type="pct"/>
            <w:gridSpan w:val="2"/>
            <w:tcBorders>
              <w:top w:val="single" w:sz="4" w:space="0" w:color="auto"/>
              <w:left w:val="single" w:sz="4" w:space="0" w:color="auto"/>
              <w:bottom w:val="single" w:sz="4" w:space="0" w:color="auto"/>
              <w:right w:val="single" w:sz="4" w:space="0" w:color="auto"/>
            </w:tcBorders>
          </w:tcPr>
          <w:p w14:paraId="699CB9C0" w14:textId="77777777" w:rsidR="008A23FE" w:rsidRPr="006C578B" w:rsidRDefault="00FA3CE5" w:rsidP="00FA3CE5">
            <w:r w:rsidRPr="006C578B">
              <w:t>4</w:t>
            </w:r>
            <w:r>
              <w:t>3</w:t>
            </w:r>
            <w:r w:rsidR="008A23FE" w:rsidRPr="006C578B">
              <w:t>.</w:t>
            </w:r>
            <w:r w:rsidR="00223EB7" w:rsidRPr="006C578B">
              <w:t> </w:t>
            </w:r>
            <w:r w:rsidR="008A23FE" w:rsidRPr="006C578B">
              <w:t>punkts</w:t>
            </w:r>
          </w:p>
        </w:tc>
        <w:tc>
          <w:tcPr>
            <w:tcW w:w="1100" w:type="pct"/>
            <w:gridSpan w:val="2"/>
            <w:tcBorders>
              <w:top w:val="single" w:sz="4" w:space="0" w:color="auto"/>
              <w:left w:val="single" w:sz="4" w:space="0" w:color="auto"/>
              <w:bottom w:val="single" w:sz="4" w:space="0" w:color="auto"/>
              <w:right w:val="single" w:sz="4" w:space="0" w:color="auto"/>
            </w:tcBorders>
          </w:tcPr>
          <w:p w14:paraId="699CB9C1" w14:textId="77777777" w:rsidR="008A23FE" w:rsidRPr="006C578B" w:rsidRDefault="008A23FE" w:rsidP="008A23FE">
            <w:r w:rsidRPr="006C578B">
              <w:t>Ieviests pilnībā</w:t>
            </w:r>
          </w:p>
        </w:tc>
        <w:tc>
          <w:tcPr>
            <w:tcW w:w="1243" w:type="pct"/>
            <w:tcBorders>
              <w:top w:val="single" w:sz="4" w:space="0" w:color="auto"/>
              <w:left w:val="single" w:sz="4" w:space="0" w:color="auto"/>
              <w:bottom w:val="single" w:sz="4" w:space="0" w:color="auto"/>
              <w:right w:val="single" w:sz="4" w:space="0" w:color="auto"/>
            </w:tcBorders>
          </w:tcPr>
          <w:p w14:paraId="699CB9C2" w14:textId="77777777" w:rsidR="008A23FE" w:rsidRPr="00B74E69" w:rsidRDefault="008A23FE" w:rsidP="008A23FE">
            <w:r w:rsidRPr="006A5E29">
              <w:t>Neparedz stingrākas prasības</w:t>
            </w:r>
          </w:p>
        </w:tc>
      </w:tr>
      <w:tr w:rsidR="008A23FE" w14:paraId="699CB9C8" w14:textId="77777777" w:rsidTr="00CB5E35">
        <w:tc>
          <w:tcPr>
            <w:tcW w:w="1479" w:type="pct"/>
            <w:tcBorders>
              <w:top w:val="single" w:sz="4" w:space="0" w:color="auto"/>
              <w:left w:val="single" w:sz="4" w:space="0" w:color="auto"/>
              <w:bottom w:val="single" w:sz="4" w:space="0" w:color="auto"/>
              <w:right w:val="single" w:sz="4" w:space="0" w:color="auto"/>
            </w:tcBorders>
          </w:tcPr>
          <w:p w14:paraId="699CB9C4" w14:textId="77777777" w:rsidR="008A23FE" w:rsidRPr="00B74E69" w:rsidRDefault="008A23FE" w:rsidP="008A23FE">
            <w:pPr>
              <w:spacing w:before="120" w:after="120"/>
            </w:pPr>
            <w:r w:rsidRPr="00B74E69">
              <w:t>2.</w:t>
            </w:r>
            <w:r w:rsidR="00223EB7">
              <w:t> </w:t>
            </w:r>
            <w:r w:rsidRPr="00B74E69">
              <w:t>pants un II</w:t>
            </w:r>
            <w:r w:rsidR="00223EB7">
              <w:t> </w:t>
            </w:r>
            <w:r w:rsidRPr="00B74E69">
              <w:t>pielikuma 2</w:t>
            </w:r>
            <w:r w:rsidR="00223EB7">
              <w:t>. </w:t>
            </w:r>
            <w:r w:rsidRPr="00B74E69">
              <w:t xml:space="preserve">punkta </w:t>
            </w:r>
            <w:r w:rsidR="00223EB7">
              <w:t>„</w:t>
            </w:r>
            <w:r w:rsidRPr="00B74E69">
              <w:t>b</w:t>
            </w:r>
            <w:r w:rsidR="00A12960">
              <w:t>” </w:t>
            </w:r>
            <w:r w:rsidRPr="00B74E69">
              <w:t>apakšpunkts</w:t>
            </w:r>
          </w:p>
        </w:tc>
        <w:tc>
          <w:tcPr>
            <w:tcW w:w="1178" w:type="pct"/>
            <w:gridSpan w:val="2"/>
            <w:tcBorders>
              <w:top w:val="single" w:sz="4" w:space="0" w:color="auto"/>
              <w:left w:val="single" w:sz="4" w:space="0" w:color="auto"/>
              <w:bottom w:val="single" w:sz="4" w:space="0" w:color="auto"/>
              <w:right w:val="single" w:sz="4" w:space="0" w:color="auto"/>
            </w:tcBorders>
          </w:tcPr>
          <w:p w14:paraId="699CB9C5" w14:textId="77777777" w:rsidR="008A23FE" w:rsidRPr="006C578B" w:rsidRDefault="00FA3CE5" w:rsidP="00DD2180">
            <w:r>
              <w:t>20</w:t>
            </w:r>
            <w:r w:rsidR="008A23FE" w:rsidRPr="006C578B">
              <w:t>.</w:t>
            </w:r>
            <w:r w:rsidR="00223EB7" w:rsidRPr="006C578B">
              <w:t> </w:t>
            </w:r>
            <w:r w:rsidR="008A23FE" w:rsidRPr="006C578B">
              <w:t>punkts</w:t>
            </w:r>
          </w:p>
        </w:tc>
        <w:tc>
          <w:tcPr>
            <w:tcW w:w="1100" w:type="pct"/>
            <w:gridSpan w:val="2"/>
            <w:tcBorders>
              <w:top w:val="single" w:sz="4" w:space="0" w:color="auto"/>
              <w:left w:val="single" w:sz="4" w:space="0" w:color="auto"/>
              <w:bottom w:val="single" w:sz="4" w:space="0" w:color="auto"/>
              <w:right w:val="single" w:sz="4" w:space="0" w:color="auto"/>
            </w:tcBorders>
          </w:tcPr>
          <w:p w14:paraId="699CB9C6" w14:textId="77777777" w:rsidR="008A23FE" w:rsidRPr="006C578B" w:rsidRDefault="008A23FE" w:rsidP="008A23FE">
            <w:r w:rsidRPr="006C578B">
              <w:t>Ieviests pilnībā</w:t>
            </w:r>
          </w:p>
        </w:tc>
        <w:tc>
          <w:tcPr>
            <w:tcW w:w="1243" w:type="pct"/>
            <w:tcBorders>
              <w:top w:val="single" w:sz="4" w:space="0" w:color="auto"/>
              <w:left w:val="single" w:sz="4" w:space="0" w:color="auto"/>
              <w:bottom w:val="single" w:sz="4" w:space="0" w:color="auto"/>
              <w:right w:val="single" w:sz="4" w:space="0" w:color="auto"/>
            </w:tcBorders>
          </w:tcPr>
          <w:p w14:paraId="699CB9C7" w14:textId="77777777" w:rsidR="008A23FE" w:rsidRPr="00B74E69" w:rsidRDefault="008A23FE" w:rsidP="008A23FE">
            <w:r w:rsidRPr="006A5E29">
              <w:t>Neparedz stingrākas prasības</w:t>
            </w:r>
          </w:p>
        </w:tc>
      </w:tr>
      <w:tr w:rsidR="008A23FE" w14:paraId="699CB9CD" w14:textId="77777777" w:rsidTr="00CB5E35">
        <w:tc>
          <w:tcPr>
            <w:tcW w:w="1479" w:type="pct"/>
            <w:tcBorders>
              <w:top w:val="single" w:sz="4" w:space="0" w:color="auto"/>
              <w:left w:val="single" w:sz="4" w:space="0" w:color="auto"/>
              <w:bottom w:val="single" w:sz="4" w:space="0" w:color="auto"/>
              <w:right w:val="single" w:sz="4" w:space="0" w:color="auto"/>
            </w:tcBorders>
          </w:tcPr>
          <w:p w14:paraId="699CB9C9" w14:textId="77777777" w:rsidR="008A23FE" w:rsidRPr="00B74E69" w:rsidRDefault="008A23FE" w:rsidP="008A23FE">
            <w:pPr>
              <w:spacing w:before="120" w:after="120"/>
            </w:pPr>
            <w:r w:rsidRPr="00B74E69">
              <w:t>2.</w:t>
            </w:r>
            <w:r w:rsidR="00223EB7">
              <w:t> </w:t>
            </w:r>
            <w:r w:rsidRPr="00B74E69">
              <w:t>pants un II</w:t>
            </w:r>
            <w:r w:rsidR="00A12960">
              <w:t> </w:t>
            </w:r>
            <w:r w:rsidRPr="00B74E69">
              <w:t>pielikuma 3</w:t>
            </w:r>
            <w:r w:rsidR="00A12960">
              <w:t>. </w:t>
            </w:r>
            <w:r w:rsidRPr="00B74E69">
              <w:t xml:space="preserve">punkta </w:t>
            </w:r>
            <w:r w:rsidR="00A12960">
              <w:t>„</w:t>
            </w:r>
            <w:r w:rsidRPr="00B74E69">
              <w:t>a</w:t>
            </w:r>
            <w:r w:rsidR="00A12960">
              <w:t>” </w:t>
            </w:r>
            <w:r w:rsidRPr="00B74E69">
              <w:t>apakšpunkts</w:t>
            </w:r>
          </w:p>
        </w:tc>
        <w:tc>
          <w:tcPr>
            <w:tcW w:w="1178" w:type="pct"/>
            <w:gridSpan w:val="2"/>
            <w:tcBorders>
              <w:top w:val="single" w:sz="4" w:space="0" w:color="auto"/>
              <w:left w:val="single" w:sz="4" w:space="0" w:color="auto"/>
              <w:bottom w:val="single" w:sz="4" w:space="0" w:color="auto"/>
              <w:right w:val="single" w:sz="4" w:space="0" w:color="auto"/>
            </w:tcBorders>
          </w:tcPr>
          <w:p w14:paraId="699CB9CA" w14:textId="77777777" w:rsidR="008A23FE" w:rsidRPr="006C578B" w:rsidRDefault="00FA3CE5" w:rsidP="00FA3CE5">
            <w:r>
              <w:t>4</w:t>
            </w:r>
            <w:r w:rsidR="008A23FE" w:rsidRPr="006C578B">
              <w:t>.</w:t>
            </w:r>
            <w:r w:rsidR="00223EB7" w:rsidRPr="006C578B">
              <w:t>,</w:t>
            </w:r>
            <w:r w:rsidR="002A6534" w:rsidRPr="006C578B">
              <w:t xml:space="preserve"> </w:t>
            </w:r>
            <w:r>
              <w:t>5</w:t>
            </w:r>
            <w:r w:rsidR="00223EB7" w:rsidRPr="006C578B">
              <w:t>. un</w:t>
            </w:r>
            <w:r w:rsidR="00B7342E" w:rsidRPr="006C578B">
              <w:t xml:space="preserve"> </w:t>
            </w:r>
            <w:r>
              <w:t>6</w:t>
            </w:r>
            <w:r w:rsidR="008A23FE" w:rsidRPr="006C578B">
              <w:t>.</w:t>
            </w:r>
            <w:r w:rsidR="00223EB7" w:rsidRPr="006C578B">
              <w:t> </w:t>
            </w:r>
            <w:r w:rsidR="008A23FE" w:rsidRPr="006C578B">
              <w:t>punkts</w:t>
            </w:r>
          </w:p>
        </w:tc>
        <w:tc>
          <w:tcPr>
            <w:tcW w:w="1100" w:type="pct"/>
            <w:gridSpan w:val="2"/>
            <w:tcBorders>
              <w:top w:val="single" w:sz="4" w:space="0" w:color="auto"/>
              <w:left w:val="single" w:sz="4" w:space="0" w:color="auto"/>
              <w:bottom w:val="single" w:sz="4" w:space="0" w:color="auto"/>
              <w:right w:val="single" w:sz="4" w:space="0" w:color="auto"/>
            </w:tcBorders>
          </w:tcPr>
          <w:p w14:paraId="699CB9CB" w14:textId="77777777" w:rsidR="008A23FE" w:rsidRPr="006C578B" w:rsidRDefault="008A23FE" w:rsidP="008A23FE">
            <w:r w:rsidRPr="006C578B">
              <w:t>Ieviests pilnībā</w:t>
            </w:r>
          </w:p>
        </w:tc>
        <w:tc>
          <w:tcPr>
            <w:tcW w:w="1243" w:type="pct"/>
            <w:tcBorders>
              <w:top w:val="single" w:sz="4" w:space="0" w:color="auto"/>
              <w:left w:val="single" w:sz="4" w:space="0" w:color="auto"/>
              <w:bottom w:val="single" w:sz="4" w:space="0" w:color="auto"/>
              <w:right w:val="single" w:sz="4" w:space="0" w:color="auto"/>
            </w:tcBorders>
          </w:tcPr>
          <w:p w14:paraId="699CB9CC" w14:textId="77777777" w:rsidR="008A23FE" w:rsidRPr="00B74E69" w:rsidRDefault="008A23FE" w:rsidP="008A23FE">
            <w:r w:rsidRPr="006A5E29">
              <w:t>Neparedz stingrākas prasības</w:t>
            </w:r>
          </w:p>
        </w:tc>
      </w:tr>
      <w:tr w:rsidR="008A23FE" w14:paraId="699CB9D2" w14:textId="77777777" w:rsidTr="00CB5E35">
        <w:tc>
          <w:tcPr>
            <w:tcW w:w="1479" w:type="pct"/>
            <w:tcBorders>
              <w:top w:val="single" w:sz="4" w:space="0" w:color="auto"/>
              <w:left w:val="single" w:sz="4" w:space="0" w:color="auto"/>
              <w:bottom w:val="single" w:sz="4" w:space="0" w:color="auto"/>
              <w:right w:val="single" w:sz="4" w:space="0" w:color="auto"/>
            </w:tcBorders>
          </w:tcPr>
          <w:p w14:paraId="699CB9CE" w14:textId="77777777" w:rsidR="008A23FE" w:rsidRPr="00B74E69" w:rsidRDefault="008A23FE" w:rsidP="008A23FE">
            <w:pPr>
              <w:spacing w:before="120" w:after="120"/>
            </w:pPr>
            <w:r w:rsidRPr="00B74E69">
              <w:t>2.</w:t>
            </w:r>
            <w:r w:rsidR="00223EB7">
              <w:t> </w:t>
            </w:r>
            <w:r w:rsidRPr="00B74E69">
              <w:t>pants un II</w:t>
            </w:r>
            <w:r w:rsidR="00223EB7">
              <w:t> </w:t>
            </w:r>
            <w:r w:rsidRPr="00B74E69">
              <w:t>pielikuma 3</w:t>
            </w:r>
            <w:r w:rsidR="00223EB7">
              <w:t>. </w:t>
            </w:r>
            <w:r w:rsidRPr="00B74E69">
              <w:t xml:space="preserve">punkta </w:t>
            </w:r>
            <w:r w:rsidR="00223EB7">
              <w:t>„</w:t>
            </w:r>
            <w:r w:rsidRPr="00B74E69">
              <w:t>b</w:t>
            </w:r>
            <w:r w:rsidR="00223EB7">
              <w:t>”</w:t>
            </w:r>
            <w:r w:rsidRPr="00B74E69">
              <w:t xml:space="preserve"> apakšpunkts</w:t>
            </w:r>
          </w:p>
        </w:tc>
        <w:tc>
          <w:tcPr>
            <w:tcW w:w="1178" w:type="pct"/>
            <w:gridSpan w:val="2"/>
            <w:tcBorders>
              <w:top w:val="single" w:sz="4" w:space="0" w:color="auto"/>
              <w:left w:val="single" w:sz="4" w:space="0" w:color="auto"/>
              <w:bottom w:val="single" w:sz="4" w:space="0" w:color="auto"/>
              <w:right w:val="single" w:sz="4" w:space="0" w:color="auto"/>
            </w:tcBorders>
          </w:tcPr>
          <w:p w14:paraId="699CB9CF" w14:textId="77777777" w:rsidR="008A23FE" w:rsidRPr="006C578B" w:rsidRDefault="00FA3CE5" w:rsidP="00FA3CE5">
            <w:r w:rsidRPr="006C578B">
              <w:t>1</w:t>
            </w:r>
            <w:r>
              <w:t>3</w:t>
            </w:r>
            <w:r w:rsidR="008A23FE" w:rsidRPr="006C578B">
              <w:t>.</w:t>
            </w:r>
            <w:r w:rsidR="00223EB7" w:rsidRPr="006C578B">
              <w:t> </w:t>
            </w:r>
            <w:r w:rsidR="008A23FE" w:rsidRPr="006C578B">
              <w:t>punkts</w:t>
            </w:r>
          </w:p>
        </w:tc>
        <w:tc>
          <w:tcPr>
            <w:tcW w:w="1100" w:type="pct"/>
            <w:gridSpan w:val="2"/>
            <w:tcBorders>
              <w:top w:val="single" w:sz="4" w:space="0" w:color="auto"/>
              <w:left w:val="single" w:sz="4" w:space="0" w:color="auto"/>
              <w:bottom w:val="single" w:sz="4" w:space="0" w:color="auto"/>
              <w:right w:val="single" w:sz="4" w:space="0" w:color="auto"/>
            </w:tcBorders>
          </w:tcPr>
          <w:p w14:paraId="699CB9D0" w14:textId="77777777" w:rsidR="008A23FE" w:rsidRPr="006C578B" w:rsidRDefault="008A23FE" w:rsidP="008A23FE">
            <w:r w:rsidRPr="006C578B">
              <w:t>Ieviests pilnībā</w:t>
            </w:r>
          </w:p>
        </w:tc>
        <w:tc>
          <w:tcPr>
            <w:tcW w:w="1243" w:type="pct"/>
            <w:tcBorders>
              <w:top w:val="single" w:sz="4" w:space="0" w:color="auto"/>
              <w:left w:val="single" w:sz="4" w:space="0" w:color="auto"/>
              <w:bottom w:val="single" w:sz="4" w:space="0" w:color="auto"/>
              <w:right w:val="single" w:sz="4" w:space="0" w:color="auto"/>
            </w:tcBorders>
          </w:tcPr>
          <w:p w14:paraId="699CB9D1" w14:textId="77777777" w:rsidR="008A23FE" w:rsidRPr="00B74E69" w:rsidRDefault="008A23FE" w:rsidP="008A23FE">
            <w:pPr>
              <w:spacing w:after="100" w:afterAutospacing="1"/>
            </w:pPr>
            <w:r w:rsidRPr="006A5E29">
              <w:t>Neparedz stingrākas prasības</w:t>
            </w:r>
          </w:p>
        </w:tc>
      </w:tr>
      <w:tr w:rsidR="008A23FE" w14:paraId="699CB9D7" w14:textId="77777777" w:rsidTr="00CB5E35">
        <w:tc>
          <w:tcPr>
            <w:tcW w:w="1479" w:type="pct"/>
            <w:tcBorders>
              <w:top w:val="single" w:sz="4" w:space="0" w:color="auto"/>
              <w:left w:val="single" w:sz="4" w:space="0" w:color="auto"/>
              <w:bottom w:val="single" w:sz="4" w:space="0" w:color="auto"/>
              <w:right w:val="single" w:sz="4" w:space="0" w:color="auto"/>
            </w:tcBorders>
          </w:tcPr>
          <w:p w14:paraId="699CB9D3" w14:textId="77777777" w:rsidR="008A23FE" w:rsidRPr="00B74E69" w:rsidRDefault="008A23FE" w:rsidP="008A23FE">
            <w:pPr>
              <w:spacing w:before="120" w:after="120"/>
            </w:pPr>
            <w:r w:rsidRPr="00B74E69">
              <w:t>2.</w:t>
            </w:r>
            <w:r w:rsidR="00223EB7">
              <w:t> </w:t>
            </w:r>
            <w:r w:rsidRPr="00B74E69">
              <w:t>pants un II</w:t>
            </w:r>
            <w:r w:rsidR="00223EB7">
              <w:t> </w:t>
            </w:r>
            <w:r w:rsidRPr="00B74E69">
              <w:t>pielikuma 3</w:t>
            </w:r>
            <w:r w:rsidR="00223EB7">
              <w:t>. </w:t>
            </w:r>
            <w:r w:rsidRPr="00B74E69">
              <w:t xml:space="preserve">punkta </w:t>
            </w:r>
            <w:r w:rsidR="00223EB7">
              <w:t>„</w:t>
            </w:r>
            <w:r w:rsidRPr="00B74E69">
              <w:t>c</w:t>
            </w:r>
            <w:r w:rsidR="00223EB7">
              <w:t>”</w:t>
            </w:r>
            <w:r w:rsidRPr="00B74E69">
              <w:t xml:space="preserve"> apakšpunkts</w:t>
            </w:r>
          </w:p>
        </w:tc>
        <w:tc>
          <w:tcPr>
            <w:tcW w:w="1178" w:type="pct"/>
            <w:gridSpan w:val="2"/>
            <w:tcBorders>
              <w:top w:val="single" w:sz="4" w:space="0" w:color="auto"/>
              <w:left w:val="single" w:sz="4" w:space="0" w:color="auto"/>
              <w:bottom w:val="single" w:sz="4" w:space="0" w:color="auto"/>
              <w:right w:val="single" w:sz="4" w:space="0" w:color="auto"/>
            </w:tcBorders>
          </w:tcPr>
          <w:p w14:paraId="699CB9D4" w14:textId="77777777" w:rsidR="008A23FE" w:rsidRPr="006C578B" w:rsidRDefault="00FA3CE5" w:rsidP="00FA3CE5">
            <w:r w:rsidRPr="006C578B">
              <w:t>1</w:t>
            </w:r>
            <w:r>
              <w:t>4</w:t>
            </w:r>
            <w:r w:rsidR="008A23FE" w:rsidRPr="006C578B">
              <w:t>.</w:t>
            </w:r>
            <w:r w:rsidR="00223EB7" w:rsidRPr="006C578B">
              <w:t> </w:t>
            </w:r>
            <w:r w:rsidR="008A23FE" w:rsidRPr="006C578B">
              <w:t>punkts</w:t>
            </w:r>
          </w:p>
        </w:tc>
        <w:tc>
          <w:tcPr>
            <w:tcW w:w="1100" w:type="pct"/>
            <w:gridSpan w:val="2"/>
            <w:tcBorders>
              <w:top w:val="single" w:sz="4" w:space="0" w:color="auto"/>
              <w:left w:val="single" w:sz="4" w:space="0" w:color="auto"/>
              <w:bottom w:val="single" w:sz="4" w:space="0" w:color="auto"/>
              <w:right w:val="single" w:sz="4" w:space="0" w:color="auto"/>
            </w:tcBorders>
          </w:tcPr>
          <w:p w14:paraId="699CB9D5" w14:textId="77777777" w:rsidR="008A23FE" w:rsidRPr="006C578B" w:rsidRDefault="008A23FE" w:rsidP="008A23FE">
            <w:r w:rsidRPr="006C578B">
              <w:t>Ieviests pilnībā</w:t>
            </w:r>
          </w:p>
        </w:tc>
        <w:tc>
          <w:tcPr>
            <w:tcW w:w="1243" w:type="pct"/>
            <w:tcBorders>
              <w:top w:val="single" w:sz="4" w:space="0" w:color="auto"/>
              <w:left w:val="single" w:sz="4" w:space="0" w:color="auto"/>
              <w:bottom w:val="single" w:sz="4" w:space="0" w:color="auto"/>
              <w:right w:val="single" w:sz="4" w:space="0" w:color="auto"/>
            </w:tcBorders>
          </w:tcPr>
          <w:p w14:paraId="699CB9D6" w14:textId="77777777" w:rsidR="008A23FE" w:rsidRPr="00B74E69" w:rsidRDefault="008A23FE" w:rsidP="008A23FE">
            <w:pPr>
              <w:spacing w:after="100" w:afterAutospacing="1"/>
            </w:pPr>
            <w:r w:rsidRPr="006A5E29">
              <w:t>Neparedz stingrākas prasības</w:t>
            </w:r>
          </w:p>
        </w:tc>
      </w:tr>
      <w:tr w:rsidR="008A23FE" w14:paraId="699CB9DC" w14:textId="77777777" w:rsidTr="00CB5E35">
        <w:tc>
          <w:tcPr>
            <w:tcW w:w="1479" w:type="pct"/>
            <w:tcBorders>
              <w:top w:val="single" w:sz="4" w:space="0" w:color="auto"/>
              <w:left w:val="single" w:sz="4" w:space="0" w:color="auto"/>
              <w:bottom w:val="single" w:sz="4" w:space="0" w:color="auto"/>
              <w:right w:val="single" w:sz="4" w:space="0" w:color="auto"/>
            </w:tcBorders>
          </w:tcPr>
          <w:p w14:paraId="699CB9D8" w14:textId="77777777" w:rsidR="008A23FE" w:rsidRPr="00B74E69" w:rsidRDefault="008A23FE" w:rsidP="008A23FE">
            <w:pPr>
              <w:spacing w:before="120" w:after="120"/>
            </w:pPr>
            <w:r w:rsidRPr="00B74E69">
              <w:t>2.</w:t>
            </w:r>
            <w:r w:rsidR="00A12960">
              <w:t> </w:t>
            </w:r>
            <w:r w:rsidRPr="00B74E69">
              <w:t>pants un II</w:t>
            </w:r>
            <w:r w:rsidR="00A12960">
              <w:t> </w:t>
            </w:r>
            <w:r w:rsidRPr="00B74E69">
              <w:t>pielikuma 4</w:t>
            </w:r>
            <w:r w:rsidR="00A12960">
              <w:t>. </w:t>
            </w:r>
            <w:r w:rsidRPr="00B74E69">
              <w:t xml:space="preserve">punkts </w:t>
            </w:r>
          </w:p>
        </w:tc>
        <w:tc>
          <w:tcPr>
            <w:tcW w:w="1178" w:type="pct"/>
            <w:gridSpan w:val="2"/>
            <w:tcBorders>
              <w:top w:val="single" w:sz="4" w:space="0" w:color="auto"/>
              <w:left w:val="single" w:sz="4" w:space="0" w:color="auto"/>
              <w:bottom w:val="single" w:sz="4" w:space="0" w:color="auto"/>
              <w:right w:val="single" w:sz="4" w:space="0" w:color="auto"/>
            </w:tcBorders>
          </w:tcPr>
          <w:p w14:paraId="699CB9D9" w14:textId="77777777" w:rsidR="008A23FE" w:rsidRPr="006C578B" w:rsidRDefault="00FA3CE5" w:rsidP="00FA3CE5">
            <w:r w:rsidRPr="006C578B">
              <w:t>3</w:t>
            </w:r>
            <w:r>
              <w:t>9</w:t>
            </w:r>
            <w:r w:rsidR="008A23FE" w:rsidRPr="006C578B">
              <w:t>.</w:t>
            </w:r>
            <w:r w:rsidR="00A12960" w:rsidRPr="006C578B">
              <w:t xml:space="preserve">, </w:t>
            </w:r>
            <w:r>
              <w:t>40</w:t>
            </w:r>
            <w:r w:rsidR="00A12960" w:rsidRPr="006C578B">
              <w:t xml:space="preserve">. un </w:t>
            </w:r>
            <w:r w:rsidRPr="006C578B">
              <w:t>4</w:t>
            </w:r>
            <w:r>
              <w:t>1</w:t>
            </w:r>
            <w:r w:rsidR="008A23FE" w:rsidRPr="006C578B">
              <w:t>.</w:t>
            </w:r>
            <w:r w:rsidR="00A12960" w:rsidRPr="006C578B">
              <w:t> </w:t>
            </w:r>
            <w:r w:rsidR="008A23FE" w:rsidRPr="006C578B">
              <w:t>punkts</w:t>
            </w:r>
          </w:p>
        </w:tc>
        <w:tc>
          <w:tcPr>
            <w:tcW w:w="1100" w:type="pct"/>
            <w:gridSpan w:val="2"/>
            <w:tcBorders>
              <w:top w:val="single" w:sz="4" w:space="0" w:color="auto"/>
              <w:left w:val="single" w:sz="4" w:space="0" w:color="auto"/>
              <w:bottom w:val="single" w:sz="4" w:space="0" w:color="auto"/>
              <w:right w:val="single" w:sz="4" w:space="0" w:color="auto"/>
            </w:tcBorders>
          </w:tcPr>
          <w:p w14:paraId="699CB9DA" w14:textId="77777777" w:rsidR="008A23FE" w:rsidRPr="006C578B" w:rsidRDefault="008A23FE" w:rsidP="008A23FE">
            <w:r w:rsidRPr="006C578B">
              <w:t>Ieviests pilnībā</w:t>
            </w:r>
          </w:p>
        </w:tc>
        <w:tc>
          <w:tcPr>
            <w:tcW w:w="1243" w:type="pct"/>
            <w:tcBorders>
              <w:top w:val="single" w:sz="4" w:space="0" w:color="auto"/>
              <w:left w:val="single" w:sz="4" w:space="0" w:color="auto"/>
              <w:bottom w:val="single" w:sz="4" w:space="0" w:color="auto"/>
              <w:right w:val="single" w:sz="4" w:space="0" w:color="auto"/>
            </w:tcBorders>
          </w:tcPr>
          <w:p w14:paraId="699CB9DB" w14:textId="77777777" w:rsidR="008A23FE" w:rsidRPr="00B74E69" w:rsidRDefault="008A23FE" w:rsidP="008A23FE">
            <w:pPr>
              <w:spacing w:after="100" w:afterAutospacing="1"/>
            </w:pPr>
            <w:r w:rsidRPr="006A5E29">
              <w:t>Neparedz stingrākas prasības</w:t>
            </w:r>
          </w:p>
        </w:tc>
      </w:tr>
      <w:tr w:rsidR="00D009C9" w14:paraId="699CB9DE" w14:textId="77777777" w:rsidTr="000B34EA">
        <w:tc>
          <w:tcPr>
            <w:tcW w:w="5000" w:type="pct"/>
            <w:gridSpan w:val="6"/>
            <w:tcBorders>
              <w:top w:val="single" w:sz="4" w:space="0" w:color="auto"/>
              <w:left w:val="single" w:sz="4" w:space="0" w:color="auto"/>
              <w:bottom w:val="single" w:sz="4" w:space="0" w:color="auto"/>
              <w:right w:val="single" w:sz="4" w:space="0" w:color="auto"/>
            </w:tcBorders>
          </w:tcPr>
          <w:p w14:paraId="699CB9DD" w14:textId="77777777" w:rsidR="001D36C3" w:rsidRPr="006C578B" w:rsidRDefault="00D009C9" w:rsidP="001D36C3">
            <w:pPr>
              <w:spacing w:before="120" w:after="120"/>
            </w:pPr>
            <w:r w:rsidRPr="006C578B">
              <w:t>Direktīva 2008/50/EK:</w:t>
            </w:r>
          </w:p>
        </w:tc>
      </w:tr>
      <w:tr w:rsidR="008A23FE" w14:paraId="699CB9E3" w14:textId="77777777" w:rsidTr="00CB5E35">
        <w:tc>
          <w:tcPr>
            <w:tcW w:w="1479" w:type="pct"/>
            <w:tcBorders>
              <w:top w:val="single" w:sz="4" w:space="0" w:color="auto"/>
              <w:left w:val="single" w:sz="4" w:space="0" w:color="auto"/>
              <w:bottom w:val="single" w:sz="4" w:space="0" w:color="auto"/>
              <w:right w:val="single" w:sz="4" w:space="0" w:color="auto"/>
            </w:tcBorders>
            <w:shd w:val="clear" w:color="auto" w:fill="auto"/>
          </w:tcPr>
          <w:p w14:paraId="699CB9DF" w14:textId="77777777" w:rsidR="008A23FE" w:rsidRPr="00B74E69" w:rsidRDefault="008A23FE" w:rsidP="008A23FE">
            <w:pPr>
              <w:spacing w:before="120" w:after="120"/>
            </w:pPr>
            <w:r w:rsidRPr="00B74E69">
              <w:t>3.</w:t>
            </w:r>
            <w:r w:rsidR="00A12960">
              <w:t> </w:t>
            </w:r>
            <w:r w:rsidRPr="00B74E69">
              <w:t>pants</w:t>
            </w:r>
          </w:p>
        </w:tc>
        <w:tc>
          <w:tcPr>
            <w:tcW w:w="1178" w:type="pct"/>
            <w:gridSpan w:val="2"/>
            <w:tcBorders>
              <w:top w:val="single" w:sz="4" w:space="0" w:color="auto"/>
              <w:left w:val="single" w:sz="4" w:space="0" w:color="auto"/>
              <w:bottom w:val="single" w:sz="4" w:space="0" w:color="auto"/>
              <w:right w:val="single" w:sz="4" w:space="0" w:color="auto"/>
            </w:tcBorders>
          </w:tcPr>
          <w:p w14:paraId="699CB9E0" w14:textId="77777777" w:rsidR="008A23FE" w:rsidRPr="006C578B" w:rsidRDefault="00FA3CE5" w:rsidP="00FA3CE5">
            <w:pPr>
              <w:spacing w:before="120" w:after="120"/>
            </w:pPr>
            <w:r w:rsidRPr="006C578B">
              <w:t>1</w:t>
            </w:r>
            <w:r>
              <w:t>6</w:t>
            </w:r>
            <w:r w:rsidR="008A23FE" w:rsidRPr="006C578B">
              <w:t>.</w:t>
            </w:r>
            <w:r w:rsidR="00A12960" w:rsidRPr="006C578B">
              <w:t> </w:t>
            </w:r>
            <w:r w:rsidR="008A23FE" w:rsidRPr="006C578B">
              <w:t>punkts</w:t>
            </w:r>
          </w:p>
        </w:tc>
        <w:tc>
          <w:tcPr>
            <w:tcW w:w="1100" w:type="pct"/>
            <w:gridSpan w:val="2"/>
            <w:tcBorders>
              <w:top w:val="single" w:sz="4" w:space="0" w:color="auto"/>
              <w:left w:val="single" w:sz="4" w:space="0" w:color="auto"/>
              <w:bottom w:val="single" w:sz="4" w:space="0" w:color="auto"/>
              <w:right w:val="single" w:sz="4" w:space="0" w:color="auto"/>
            </w:tcBorders>
          </w:tcPr>
          <w:p w14:paraId="699CB9E1" w14:textId="77777777" w:rsidR="008A23FE" w:rsidRPr="006C578B" w:rsidRDefault="008A23FE" w:rsidP="008A23FE">
            <w:pPr>
              <w:spacing w:before="120" w:after="120"/>
            </w:pPr>
            <w:r w:rsidRPr="006C578B">
              <w:t>Ieviests pilnībā</w:t>
            </w:r>
          </w:p>
        </w:tc>
        <w:tc>
          <w:tcPr>
            <w:tcW w:w="1243" w:type="pct"/>
            <w:tcBorders>
              <w:top w:val="single" w:sz="4" w:space="0" w:color="auto"/>
              <w:left w:val="single" w:sz="4" w:space="0" w:color="auto"/>
              <w:bottom w:val="single" w:sz="4" w:space="0" w:color="auto"/>
              <w:right w:val="single" w:sz="4" w:space="0" w:color="auto"/>
            </w:tcBorders>
          </w:tcPr>
          <w:p w14:paraId="699CB9E2" w14:textId="77777777" w:rsidR="008A23FE" w:rsidRPr="00B74E69" w:rsidRDefault="008A23FE" w:rsidP="008A23FE">
            <w:pPr>
              <w:spacing w:before="120" w:after="120"/>
            </w:pPr>
            <w:r w:rsidRPr="00E900C4">
              <w:t>Neparedz stingrākas prasības</w:t>
            </w:r>
          </w:p>
        </w:tc>
      </w:tr>
      <w:tr w:rsidR="008A23FE" w14:paraId="699CB9E8" w14:textId="77777777" w:rsidTr="00CB5E35">
        <w:tc>
          <w:tcPr>
            <w:tcW w:w="1479" w:type="pct"/>
            <w:tcBorders>
              <w:top w:val="single" w:sz="4" w:space="0" w:color="auto"/>
              <w:left w:val="single" w:sz="4" w:space="0" w:color="auto"/>
              <w:bottom w:val="single" w:sz="4" w:space="0" w:color="auto"/>
              <w:right w:val="single" w:sz="4" w:space="0" w:color="auto"/>
            </w:tcBorders>
            <w:shd w:val="clear" w:color="auto" w:fill="auto"/>
          </w:tcPr>
          <w:p w14:paraId="699CB9E4" w14:textId="77777777" w:rsidR="008A23FE" w:rsidRPr="00B74E69" w:rsidRDefault="008A23FE" w:rsidP="008A23FE">
            <w:pPr>
              <w:spacing w:before="120" w:after="120"/>
              <w:rPr>
                <w:highlight w:val="yellow"/>
              </w:rPr>
            </w:pPr>
            <w:r w:rsidRPr="00B74E69">
              <w:t>6.</w:t>
            </w:r>
            <w:r w:rsidR="00A12960">
              <w:t> </w:t>
            </w:r>
            <w:r w:rsidRPr="00B74E69">
              <w:t>panta 5.</w:t>
            </w:r>
            <w:r w:rsidR="00A12960">
              <w:t> </w:t>
            </w:r>
            <w:r w:rsidRPr="00B74E69">
              <w:t>punkts</w:t>
            </w:r>
          </w:p>
        </w:tc>
        <w:tc>
          <w:tcPr>
            <w:tcW w:w="1178" w:type="pct"/>
            <w:gridSpan w:val="2"/>
            <w:tcBorders>
              <w:top w:val="single" w:sz="4" w:space="0" w:color="auto"/>
              <w:left w:val="single" w:sz="4" w:space="0" w:color="auto"/>
              <w:bottom w:val="single" w:sz="4" w:space="0" w:color="auto"/>
              <w:right w:val="single" w:sz="4" w:space="0" w:color="auto"/>
            </w:tcBorders>
          </w:tcPr>
          <w:p w14:paraId="699CB9E5" w14:textId="77777777" w:rsidR="008A23FE" w:rsidRPr="006C578B" w:rsidRDefault="00FA3CE5" w:rsidP="00FA3CE5">
            <w:pPr>
              <w:spacing w:before="120" w:after="120"/>
            </w:pPr>
            <w:r w:rsidRPr="006C578B">
              <w:t>2</w:t>
            </w:r>
            <w:r>
              <w:t>1</w:t>
            </w:r>
            <w:r w:rsidR="008A23FE" w:rsidRPr="006C578B">
              <w:t>.</w:t>
            </w:r>
            <w:r w:rsidR="00A12960" w:rsidRPr="006C578B">
              <w:t> </w:t>
            </w:r>
            <w:r w:rsidR="008A23FE" w:rsidRPr="006C578B">
              <w:t>punkts</w:t>
            </w:r>
          </w:p>
        </w:tc>
        <w:tc>
          <w:tcPr>
            <w:tcW w:w="1100" w:type="pct"/>
            <w:gridSpan w:val="2"/>
            <w:tcBorders>
              <w:top w:val="single" w:sz="4" w:space="0" w:color="auto"/>
              <w:left w:val="single" w:sz="4" w:space="0" w:color="auto"/>
              <w:bottom w:val="single" w:sz="4" w:space="0" w:color="auto"/>
              <w:right w:val="single" w:sz="4" w:space="0" w:color="auto"/>
            </w:tcBorders>
          </w:tcPr>
          <w:p w14:paraId="699CB9E6" w14:textId="77777777" w:rsidR="008A23FE" w:rsidRPr="006C578B" w:rsidRDefault="008A23FE" w:rsidP="008A23FE">
            <w:pPr>
              <w:spacing w:before="120" w:after="120"/>
            </w:pPr>
            <w:r w:rsidRPr="006C578B">
              <w:t>Ieviests pilnībā</w:t>
            </w:r>
          </w:p>
        </w:tc>
        <w:tc>
          <w:tcPr>
            <w:tcW w:w="1243" w:type="pct"/>
            <w:tcBorders>
              <w:top w:val="single" w:sz="4" w:space="0" w:color="auto"/>
              <w:left w:val="single" w:sz="4" w:space="0" w:color="auto"/>
              <w:bottom w:val="single" w:sz="4" w:space="0" w:color="auto"/>
              <w:right w:val="single" w:sz="4" w:space="0" w:color="auto"/>
            </w:tcBorders>
          </w:tcPr>
          <w:p w14:paraId="699CB9E7" w14:textId="77777777" w:rsidR="008A23FE" w:rsidRPr="00B74E69" w:rsidRDefault="008A23FE" w:rsidP="008A23FE">
            <w:pPr>
              <w:spacing w:before="120" w:after="120"/>
            </w:pPr>
            <w:r w:rsidRPr="00E900C4">
              <w:t>Neparedz stingrākas prasības</w:t>
            </w:r>
          </w:p>
        </w:tc>
      </w:tr>
      <w:tr w:rsidR="008A23FE" w14:paraId="699CB9ED" w14:textId="77777777" w:rsidTr="00CB5E35">
        <w:tc>
          <w:tcPr>
            <w:tcW w:w="1479" w:type="pct"/>
            <w:tcBorders>
              <w:top w:val="single" w:sz="4" w:space="0" w:color="auto"/>
              <w:left w:val="single" w:sz="4" w:space="0" w:color="auto"/>
              <w:bottom w:val="single" w:sz="4" w:space="0" w:color="auto"/>
              <w:right w:val="single" w:sz="4" w:space="0" w:color="auto"/>
            </w:tcBorders>
          </w:tcPr>
          <w:p w14:paraId="699CB9E9" w14:textId="77777777" w:rsidR="008A23FE" w:rsidRPr="00B74E69" w:rsidRDefault="008A23FE" w:rsidP="008A23FE">
            <w:pPr>
              <w:spacing w:before="120" w:after="120"/>
            </w:pPr>
            <w:r w:rsidRPr="00B74E69">
              <w:t>7.</w:t>
            </w:r>
            <w:r w:rsidR="00A12960">
              <w:t> </w:t>
            </w:r>
            <w:r w:rsidRPr="00B74E69">
              <w:t>panta 3.</w:t>
            </w:r>
            <w:r w:rsidR="00A12960">
              <w:t> </w:t>
            </w:r>
            <w:r w:rsidRPr="00B74E69">
              <w:t xml:space="preserve">punkta </w:t>
            </w:r>
            <w:r w:rsidR="00A12960">
              <w:t>otrā</w:t>
            </w:r>
            <w:r w:rsidRPr="00B74E69">
              <w:t xml:space="preserve"> daļa</w:t>
            </w:r>
          </w:p>
        </w:tc>
        <w:tc>
          <w:tcPr>
            <w:tcW w:w="1178" w:type="pct"/>
            <w:gridSpan w:val="2"/>
            <w:tcBorders>
              <w:top w:val="single" w:sz="4" w:space="0" w:color="auto"/>
              <w:left w:val="single" w:sz="4" w:space="0" w:color="auto"/>
              <w:bottom w:val="single" w:sz="4" w:space="0" w:color="auto"/>
              <w:right w:val="single" w:sz="4" w:space="0" w:color="auto"/>
            </w:tcBorders>
          </w:tcPr>
          <w:p w14:paraId="699CB9EA" w14:textId="77777777" w:rsidR="008A23FE" w:rsidRPr="006C578B" w:rsidRDefault="00FA3CE5" w:rsidP="00FA3CE5">
            <w:pPr>
              <w:spacing w:before="120" w:after="120"/>
            </w:pPr>
            <w:r w:rsidRPr="006C578B">
              <w:t>2</w:t>
            </w:r>
            <w:r>
              <w:t>3</w:t>
            </w:r>
            <w:r w:rsidR="008A23FE" w:rsidRPr="006C578B">
              <w:t>.</w:t>
            </w:r>
            <w:r w:rsidR="00A12960" w:rsidRPr="006C578B">
              <w:t> </w:t>
            </w:r>
            <w:r w:rsidR="008A23FE" w:rsidRPr="006C578B">
              <w:t>punkts</w:t>
            </w:r>
          </w:p>
        </w:tc>
        <w:tc>
          <w:tcPr>
            <w:tcW w:w="1100" w:type="pct"/>
            <w:gridSpan w:val="2"/>
            <w:tcBorders>
              <w:top w:val="single" w:sz="4" w:space="0" w:color="auto"/>
              <w:left w:val="single" w:sz="4" w:space="0" w:color="auto"/>
              <w:bottom w:val="single" w:sz="4" w:space="0" w:color="auto"/>
              <w:right w:val="single" w:sz="4" w:space="0" w:color="auto"/>
            </w:tcBorders>
          </w:tcPr>
          <w:p w14:paraId="699CB9EB" w14:textId="77777777" w:rsidR="008A23FE" w:rsidRPr="006C578B" w:rsidRDefault="008A23FE" w:rsidP="008A23FE">
            <w:pPr>
              <w:spacing w:before="120" w:after="120"/>
            </w:pPr>
            <w:r w:rsidRPr="006C578B">
              <w:t>Ieviests pilnībā</w:t>
            </w:r>
          </w:p>
        </w:tc>
        <w:tc>
          <w:tcPr>
            <w:tcW w:w="1243" w:type="pct"/>
            <w:tcBorders>
              <w:top w:val="single" w:sz="4" w:space="0" w:color="auto"/>
              <w:left w:val="single" w:sz="4" w:space="0" w:color="auto"/>
              <w:bottom w:val="single" w:sz="4" w:space="0" w:color="auto"/>
              <w:right w:val="single" w:sz="4" w:space="0" w:color="auto"/>
            </w:tcBorders>
          </w:tcPr>
          <w:p w14:paraId="699CB9EC" w14:textId="77777777" w:rsidR="008A23FE" w:rsidRPr="00B74E69" w:rsidRDefault="008A23FE" w:rsidP="008A23FE">
            <w:pPr>
              <w:spacing w:before="120" w:after="120"/>
            </w:pPr>
            <w:r w:rsidRPr="00E900C4">
              <w:t>Neparedz stingrākas prasības</w:t>
            </w:r>
          </w:p>
        </w:tc>
      </w:tr>
      <w:tr w:rsidR="008A23FE" w14:paraId="699CB9F2" w14:textId="77777777" w:rsidTr="00CB5E35">
        <w:tc>
          <w:tcPr>
            <w:tcW w:w="1479" w:type="pct"/>
            <w:tcBorders>
              <w:top w:val="single" w:sz="4" w:space="0" w:color="auto"/>
              <w:left w:val="single" w:sz="4" w:space="0" w:color="auto"/>
              <w:bottom w:val="single" w:sz="4" w:space="0" w:color="auto"/>
              <w:right w:val="single" w:sz="4" w:space="0" w:color="auto"/>
            </w:tcBorders>
          </w:tcPr>
          <w:p w14:paraId="699CB9EE" w14:textId="77777777" w:rsidR="008A23FE" w:rsidRPr="00B74E69" w:rsidRDefault="008A23FE" w:rsidP="008A23FE">
            <w:pPr>
              <w:spacing w:before="120" w:after="120"/>
            </w:pPr>
            <w:r w:rsidRPr="00B74E69">
              <w:t>10.</w:t>
            </w:r>
            <w:r w:rsidR="00185808">
              <w:t> </w:t>
            </w:r>
            <w:r w:rsidRPr="00B74E69">
              <w:t>panta 6.</w:t>
            </w:r>
            <w:r w:rsidR="00185808">
              <w:t> </w:t>
            </w:r>
            <w:r w:rsidRPr="00B74E69">
              <w:t>punkts</w:t>
            </w:r>
          </w:p>
        </w:tc>
        <w:tc>
          <w:tcPr>
            <w:tcW w:w="1178" w:type="pct"/>
            <w:gridSpan w:val="2"/>
            <w:tcBorders>
              <w:top w:val="single" w:sz="4" w:space="0" w:color="auto"/>
              <w:left w:val="single" w:sz="4" w:space="0" w:color="auto"/>
              <w:bottom w:val="single" w:sz="4" w:space="0" w:color="auto"/>
              <w:right w:val="single" w:sz="4" w:space="0" w:color="auto"/>
            </w:tcBorders>
          </w:tcPr>
          <w:p w14:paraId="699CB9EF" w14:textId="77777777" w:rsidR="008A23FE" w:rsidRPr="006C578B" w:rsidRDefault="00FA3CE5" w:rsidP="00FA3CE5">
            <w:pPr>
              <w:spacing w:before="120" w:after="120"/>
            </w:pPr>
            <w:r w:rsidRPr="006C578B">
              <w:t>2</w:t>
            </w:r>
            <w:r>
              <w:t>4</w:t>
            </w:r>
            <w:r w:rsidR="008A23FE" w:rsidRPr="006C578B">
              <w:t>.</w:t>
            </w:r>
            <w:r w:rsidR="00185808" w:rsidRPr="006C578B">
              <w:t> </w:t>
            </w:r>
            <w:r w:rsidR="008A23FE" w:rsidRPr="006C578B">
              <w:t>punkts</w:t>
            </w:r>
          </w:p>
        </w:tc>
        <w:tc>
          <w:tcPr>
            <w:tcW w:w="1100" w:type="pct"/>
            <w:gridSpan w:val="2"/>
            <w:tcBorders>
              <w:top w:val="single" w:sz="4" w:space="0" w:color="auto"/>
              <w:left w:val="single" w:sz="4" w:space="0" w:color="auto"/>
              <w:bottom w:val="single" w:sz="4" w:space="0" w:color="auto"/>
              <w:right w:val="single" w:sz="4" w:space="0" w:color="auto"/>
            </w:tcBorders>
          </w:tcPr>
          <w:p w14:paraId="699CB9F0" w14:textId="77777777" w:rsidR="008A23FE" w:rsidRPr="006C578B" w:rsidRDefault="008A23FE" w:rsidP="008A23FE">
            <w:pPr>
              <w:spacing w:before="120" w:after="120"/>
            </w:pPr>
            <w:r w:rsidRPr="006C578B">
              <w:t>Ieviests pilnībā</w:t>
            </w:r>
          </w:p>
        </w:tc>
        <w:tc>
          <w:tcPr>
            <w:tcW w:w="1243" w:type="pct"/>
            <w:tcBorders>
              <w:top w:val="single" w:sz="4" w:space="0" w:color="auto"/>
              <w:left w:val="single" w:sz="4" w:space="0" w:color="auto"/>
              <w:bottom w:val="single" w:sz="4" w:space="0" w:color="auto"/>
              <w:right w:val="single" w:sz="4" w:space="0" w:color="auto"/>
            </w:tcBorders>
          </w:tcPr>
          <w:p w14:paraId="699CB9F1" w14:textId="77777777" w:rsidR="008A23FE" w:rsidRPr="00B74E69" w:rsidRDefault="008A23FE" w:rsidP="008A23FE">
            <w:pPr>
              <w:spacing w:before="120" w:after="120"/>
            </w:pPr>
            <w:r w:rsidRPr="00E900C4">
              <w:t>Neparedz stingrākas prasības</w:t>
            </w:r>
          </w:p>
        </w:tc>
      </w:tr>
      <w:tr w:rsidR="008A23FE" w14:paraId="699CB9F7" w14:textId="77777777" w:rsidTr="00CB5E35">
        <w:tc>
          <w:tcPr>
            <w:tcW w:w="1479" w:type="pct"/>
            <w:tcBorders>
              <w:top w:val="single" w:sz="4" w:space="0" w:color="auto"/>
              <w:left w:val="single" w:sz="4" w:space="0" w:color="auto"/>
              <w:bottom w:val="single" w:sz="4" w:space="0" w:color="auto"/>
              <w:right w:val="single" w:sz="4" w:space="0" w:color="auto"/>
            </w:tcBorders>
          </w:tcPr>
          <w:p w14:paraId="699CB9F3" w14:textId="77777777" w:rsidR="008A23FE" w:rsidRPr="00B74E69" w:rsidRDefault="008A23FE" w:rsidP="008A23FE">
            <w:pPr>
              <w:spacing w:before="120" w:after="120"/>
            </w:pPr>
            <w:r w:rsidRPr="00B74E69">
              <w:t>20.</w:t>
            </w:r>
            <w:r w:rsidR="00185808">
              <w:t> </w:t>
            </w:r>
            <w:r w:rsidRPr="00B74E69">
              <w:t>panta 2.</w:t>
            </w:r>
            <w:r w:rsidR="00185808">
              <w:t> </w:t>
            </w:r>
            <w:r w:rsidRPr="00B74E69">
              <w:t>punkts</w:t>
            </w:r>
          </w:p>
        </w:tc>
        <w:tc>
          <w:tcPr>
            <w:tcW w:w="1178" w:type="pct"/>
            <w:gridSpan w:val="2"/>
            <w:tcBorders>
              <w:top w:val="single" w:sz="4" w:space="0" w:color="auto"/>
              <w:left w:val="single" w:sz="4" w:space="0" w:color="auto"/>
              <w:bottom w:val="single" w:sz="4" w:space="0" w:color="auto"/>
              <w:right w:val="single" w:sz="4" w:space="0" w:color="auto"/>
            </w:tcBorders>
          </w:tcPr>
          <w:p w14:paraId="699CB9F4" w14:textId="77777777" w:rsidR="008A23FE" w:rsidRPr="006C578B" w:rsidRDefault="00FA3CE5" w:rsidP="00FA3CE5">
            <w:pPr>
              <w:spacing w:before="120" w:after="120"/>
            </w:pPr>
            <w:r w:rsidRPr="006C578B">
              <w:t>1</w:t>
            </w:r>
            <w:r>
              <w:t>9</w:t>
            </w:r>
            <w:r w:rsidR="008A23FE" w:rsidRPr="006C578B">
              <w:t>.</w:t>
            </w:r>
            <w:r w:rsidR="00185808" w:rsidRPr="006C578B">
              <w:t> </w:t>
            </w:r>
            <w:r w:rsidR="008A23FE" w:rsidRPr="006C578B">
              <w:t>punkts</w:t>
            </w:r>
          </w:p>
        </w:tc>
        <w:tc>
          <w:tcPr>
            <w:tcW w:w="1100" w:type="pct"/>
            <w:gridSpan w:val="2"/>
            <w:tcBorders>
              <w:top w:val="single" w:sz="4" w:space="0" w:color="auto"/>
              <w:left w:val="single" w:sz="4" w:space="0" w:color="auto"/>
              <w:bottom w:val="single" w:sz="4" w:space="0" w:color="auto"/>
              <w:right w:val="single" w:sz="4" w:space="0" w:color="auto"/>
            </w:tcBorders>
          </w:tcPr>
          <w:p w14:paraId="699CB9F5" w14:textId="77777777" w:rsidR="008A23FE" w:rsidRPr="006C578B" w:rsidRDefault="008A23FE" w:rsidP="008A23FE">
            <w:pPr>
              <w:spacing w:before="120" w:after="120"/>
            </w:pPr>
            <w:r w:rsidRPr="006C578B">
              <w:t>Ieviests pilnībā</w:t>
            </w:r>
          </w:p>
        </w:tc>
        <w:tc>
          <w:tcPr>
            <w:tcW w:w="1243" w:type="pct"/>
            <w:tcBorders>
              <w:top w:val="single" w:sz="4" w:space="0" w:color="auto"/>
              <w:left w:val="single" w:sz="4" w:space="0" w:color="auto"/>
              <w:bottom w:val="single" w:sz="4" w:space="0" w:color="auto"/>
              <w:right w:val="single" w:sz="4" w:space="0" w:color="auto"/>
            </w:tcBorders>
          </w:tcPr>
          <w:p w14:paraId="699CB9F6" w14:textId="77777777" w:rsidR="008A23FE" w:rsidRPr="00B74E69" w:rsidRDefault="008A23FE" w:rsidP="008A23FE">
            <w:pPr>
              <w:spacing w:before="120" w:after="120"/>
            </w:pPr>
            <w:r w:rsidRPr="00E900C4">
              <w:t>Neparedz stingrākas prasības</w:t>
            </w:r>
          </w:p>
        </w:tc>
      </w:tr>
      <w:tr w:rsidR="008A23FE" w14:paraId="699CB9FC" w14:textId="77777777" w:rsidTr="00CB5E35">
        <w:tc>
          <w:tcPr>
            <w:tcW w:w="1479" w:type="pct"/>
            <w:tcBorders>
              <w:top w:val="single" w:sz="4" w:space="0" w:color="auto"/>
              <w:left w:val="single" w:sz="4" w:space="0" w:color="auto"/>
              <w:bottom w:val="single" w:sz="4" w:space="0" w:color="auto"/>
              <w:right w:val="single" w:sz="4" w:space="0" w:color="auto"/>
            </w:tcBorders>
          </w:tcPr>
          <w:p w14:paraId="699CB9F8" w14:textId="77777777" w:rsidR="008A23FE" w:rsidRPr="00B74E69" w:rsidRDefault="008A23FE" w:rsidP="008A23FE">
            <w:pPr>
              <w:spacing w:before="120" w:after="120"/>
            </w:pPr>
            <w:r w:rsidRPr="00B74E69">
              <w:t>23.</w:t>
            </w:r>
            <w:r w:rsidR="00185808">
              <w:t> </w:t>
            </w:r>
            <w:r w:rsidRPr="00B74E69">
              <w:t>panta 2.</w:t>
            </w:r>
            <w:r w:rsidR="00185808">
              <w:t> </w:t>
            </w:r>
            <w:r w:rsidRPr="00B74E69">
              <w:t>punkts</w:t>
            </w:r>
          </w:p>
        </w:tc>
        <w:tc>
          <w:tcPr>
            <w:tcW w:w="1178" w:type="pct"/>
            <w:gridSpan w:val="2"/>
            <w:tcBorders>
              <w:top w:val="single" w:sz="4" w:space="0" w:color="auto"/>
              <w:left w:val="single" w:sz="4" w:space="0" w:color="auto"/>
              <w:bottom w:val="single" w:sz="4" w:space="0" w:color="auto"/>
              <w:right w:val="single" w:sz="4" w:space="0" w:color="auto"/>
            </w:tcBorders>
          </w:tcPr>
          <w:p w14:paraId="699CB9F9" w14:textId="77777777" w:rsidR="008A23FE" w:rsidRPr="006C578B" w:rsidRDefault="00FA3CE5" w:rsidP="00FA3CE5">
            <w:pPr>
              <w:spacing w:before="120" w:after="120"/>
            </w:pPr>
            <w:r w:rsidRPr="006C578B">
              <w:t>2</w:t>
            </w:r>
            <w:r>
              <w:t>5</w:t>
            </w:r>
            <w:r w:rsidR="008A23FE" w:rsidRPr="006C578B">
              <w:t>.</w:t>
            </w:r>
            <w:r w:rsidR="00185808" w:rsidRPr="006C578B">
              <w:t> </w:t>
            </w:r>
            <w:r w:rsidR="008A23FE" w:rsidRPr="006C578B">
              <w:t>punkts</w:t>
            </w:r>
          </w:p>
        </w:tc>
        <w:tc>
          <w:tcPr>
            <w:tcW w:w="1100" w:type="pct"/>
            <w:gridSpan w:val="2"/>
            <w:tcBorders>
              <w:top w:val="single" w:sz="4" w:space="0" w:color="auto"/>
              <w:left w:val="single" w:sz="4" w:space="0" w:color="auto"/>
              <w:bottom w:val="single" w:sz="4" w:space="0" w:color="auto"/>
              <w:right w:val="single" w:sz="4" w:space="0" w:color="auto"/>
            </w:tcBorders>
          </w:tcPr>
          <w:p w14:paraId="699CB9FA" w14:textId="77777777" w:rsidR="008A23FE" w:rsidRPr="006C578B" w:rsidRDefault="008A23FE" w:rsidP="008A23FE">
            <w:pPr>
              <w:spacing w:before="120" w:after="120"/>
            </w:pPr>
            <w:r w:rsidRPr="006C578B">
              <w:t>Ieviests pilnībā</w:t>
            </w:r>
          </w:p>
        </w:tc>
        <w:tc>
          <w:tcPr>
            <w:tcW w:w="1243" w:type="pct"/>
            <w:tcBorders>
              <w:top w:val="single" w:sz="4" w:space="0" w:color="auto"/>
              <w:left w:val="single" w:sz="4" w:space="0" w:color="auto"/>
              <w:bottom w:val="single" w:sz="4" w:space="0" w:color="auto"/>
              <w:right w:val="single" w:sz="4" w:space="0" w:color="auto"/>
            </w:tcBorders>
          </w:tcPr>
          <w:p w14:paraId="699CB9FB" w14:textId="77777777" w:rsidR="008A23FE" w:rsidRPr="00B74E69" w:rsidRDefault="008A23FE" w:rsidP="008A23FE">
            <w:pPr>
              <w:spacing w:before="120" w:after="120"/>
            </w:pPr>
            <w:r w:rsidRPr="00E900C4">
              <w:t>Neparedz stingrākas prasības</w:t>
            </w:r>
          </w:p>
        </w:tc>
      </w:tr>
      <w:tr w:rsidR="008A23FE" w14:paraId="699CBA01" w14:textId="77777777" w:rsidTr="00CB5E35">
        <w:tc>
          <w:tcPr>
            <w:tcW w:w="1479" w:type="pct"/>
            <w:tcBorders>
              <w:top w:val="single" w:sz="4" w:space="0" w:color="auto"/>
              <w:left w:val="single" w:sz="4" w:space="0" w:color="auto"/>
              <w:bottom w:val="single" w:sz="4" w:space="0" w:color="auto"/>
              <w:right w:val="single" w:sz="4" w:space="0" w:color="auto"/>
            </w:tcBorders>
          </w:tcPr>
          <w:p w14:paraId="699CB9FD" w14:textId="77777777" w:rsidR="008A23FE" w:rsidRPr="00B74E69" w:rsidRDefault="008A23FE" w:rsidP="008A23FE">
            <w:pPr>
              <w:spacing w:before="120" w:after="120"/>
            </w:pPr>
            <w:r w:rsidRPr="00B74E69">
              <w:t>24.</w:t>
            </w:r>
            <w:r w:rsidR="00185808">
              <w:t> </w:t>
            </w:r>
            <w:r w:rsidRPr="00B74E69">
              <w:t>panta 1.</w:t>
            </w:r>
            <w:r w:rsidR="00185808">
              <w:t> </w:t>
            </w:r>
            <w:r w:rsidRPr="00B74E69">
              <w:t>punkta pēdējais teikums</w:t>
            </w:r>
          </w:p>
        </w:tc>
        <w:tc>
          <w:tcPr>
            <w:tcW w:w="1178" w:type="pct"/>
            <w:gridSpan w:val="2"/>
            <w:tcBorders>
              <w:top w:val="single" w:sz="4" w:space="0" w:color="auto"/>
              <w:left w:val="single" w:sz="4" w:space="0" w:color="auto"/>
              <w:bottom w:val="single" w:sz="4" w:space="0" w:color="auto"/>
              <w:right w:val="single" w:sz="4" w:space="0" w:color="auto"/>
            </w:tcBorders>
          </w:tcPr>
          <w:p w14:paraId="699CB9FE" w14:textId="77777777" w:rsidR="008A23FE" w:rsidRPr="006C578B" w:rsidRDefault="00FA3CE5" w:rsidP="00FA3CE5">
            <w:pPr>
              <w:spacing w:before="120" w:after="120"/>
            </w:pPr>
            <w:r w:rsidRPr="006C578B">
              <w:t>2</w:t>
            </w:r>
            <w:r>
              <w:t>7</w:t>
            </w:r>
            <w:r w:rsidR="008A23FE" w:rsidRPr="006C578B">
              <w:t>.</w:t>
            </w:r>
            <w:r w:rsidR="00185808" w:rsidRPr="006C578B">
              <w:t> </w:t>
            </w:r>
            <w:r w:rsidR="008A23FE" w:rsidRPr="006C578B">
              <w:t>punkts</w:t>
            </w:r>
          </w:p>
        </w:tc>
        <w:tc>
          <w:tcPr>
            <w:tcW w:w="1100" w:type="pct"/>
            <w:gridSpan w:val="2"/>
            <w:tcBorders>
              <w:top w:val="single" w:sz="4" w:space="0" w:color="auto"/>
              <w:left w:val="single" w:sz="4" w:space="0" w:color="auto"/>
              <w:bottom w:val="single" w:sz="4" w:space="0" w:color="auto"/>
              <w:right w:val="single" w:sz="4" w:space="0" w:color="auto"/>
            </w:tcBorders>
          </w:tcPr>
          <w:p w14:paraId="699CB9FF" w14:textId="77777777" w:rsidR="008A23FE" w:rsidRPr="006C578B" w:rsidRDefault="008A23FE" w:rsidP="008A23FE">
            <w:pPr>
              <w:spacing w:before="120" w:after="120"/>
            </w:pPr>
            <w:r w:rsidRPr="006C578B">
              <w:t>Ieviests pilnībā</w:t>
            </w:r>
          </w:p>
        </w:tc>
        <w:tc>
          <w:tcPr>
            <w:tcW w:w="1243" w:type="pct"/>
            <w:tcBorders>
              <w:top w:val="single" w:sz="4" w:space="0" w:color="auto"/>
              <w:left w:val="single" w:sz="4" w:space="0" w:color="auto"/>
              <w:bottom w:val="single" w:sz="4" w:space="0" w:color="auto"/>
              <w:right w:val="single" w:sz="4" w:space="0" w:color="auto"/>
            </w:tcBorders>
          </w:tcPr>
          <w:p w14:paraId="699CBA00" w14:textId="77777777" w:rsidR="008A23FE" w:rsidRPr="00B74E69" w:rsidRDefault="008A23FE" w:rsidP="008A23FE">
            <w:pPr>
              <w:spacing w:before="120" w:after="120"/>
            </w:pPr>
            <w:r w:rsidRPr="00E900C4">
              <w:t>Neparedz stingrākas prasības</w:t>
            </w:r>
          </w:p>
        </w:tc>
      </w:tr>
      <w:tr w:rsidR="008A23FE" w14:paraId="699CBA06" w14:textId="77777777" w:rsidTr="00CB5E35">
        <w:tc>
          <w:tcPr>
            <w:tcW w:w="1479" w:type="pct"/>
            <w:tcBorders>
              <w:top w:val="single" w:sz="4" w:space="0" w:color="auto"/>
              <w:left w:val="single" w:sz="4" w:space="0" w:color="auto"/>
              <w:bottom w:val="single" w:sz="4" w:space="0" w:color="auto"/>
              <w:right w:val="single" w:sz="4" w:space="0" w:color="auto"/>
            </w:tcBorders>
          </w:tcPr>
          <w:p w14:paraId="699CBA02" w14:textId="77777777" w:rsidR="008A23FE" w:rsidRPr="00B74E69" w:rsidRDefault="008A23FE" w:rsidP="008A23FE">
            <w:pPr>
              <w:spacing w:before="120" w:after="120"/>
            </w:pPr>
            <w:r w:rsidRPr="00B74E69">
              <w:t>25.</w:t>
            </w:r>
            <w:r w:rsidR="00185808">
              <w:t> </w:t>
            </w:r>
            <w:r w:rsidRPr="00B74E69">
              <w:t>panta 1.</w:t>
            </w:r>
            <w:r w:rsidR="00185808">
              <w:t> </w:t>
            </w:r>
            <w:r w:rsidRPr="00B74E69">
              <w:t>punkts</w:t>
            </w:r>
          </w:p>
        </w:tc>
        <w:tc>
          <w:tcPr>
            <w:tcW w:w="1178" w:type="pct"/>
            <w:gridSpan w:val="2"/>
            <w:tcBorders>
              <w:top w:val="single" w:sz="4" w:space="0" w:color="auto"/>
              <w:left w:val="single" w:sz="4" w:space="0" w:color="auto"/>
              <w:bottom w:val="single" w:sz="4" w:space="0" w:color="auto"/>
              <w:right w:val="single" w:sz="4" w:space="0" w:color="auto"/>
            </w:tcBorders>
          </w:tcPr>
          <w:p w14:paraId="699CBA03" w14:textId="77777777" w:rsidR="008A23FE" w:rsidRPr="006C578B" w:rsidRDefault="00FA3CE5" w:rsidP="00DD2180">
            <w:pPr>
              <w:spacing w:before="120" w:after="120"/>
            </w:pPr>
            <w:r>
              <w:t>30</w:t>
            </w:r>
            <w:r w:rsidR="008A23FE" w:rsidRPr="006C578B">
              <w:t>.</w:t>
            </w:r>
            <w:r w:rsidR="00185808" w:rsidRPr="006C578B">
              <w:t> </w:t>
            </w:r>
            <w:r w:rsidR="008A23FE" w:rsidRPr="006C578B">
              <w:t>punkts</w:t>
            </w:r>
          </w:p>
        </w:tc>
        <w:tc>
          <w:tcPr>
            <w:tcW w:w="1100" w:type="pct"/>
            <w:gridSpan w:val="2"/>
            <w:tcBorders>
              <w:top w:val="single" w:sz="4" w:space="0" w:color="auto"/>
              <w:left w:val="single" w:sz="4" w:space="0" w:color="auto"/>
              <w:bottom w:val="single" w:sz="4" w:space="0" w:color="auto"/>
              <w:right w:val="single" w:sz="4" w:space="0" w:color="auto"/>
            </w:tcBorders>
          </w:tcPr>
          <w:p w14:paraId="699CBA04" w14:textId="77777777" w:rsidR="008A23FE" w:rsidRPr="006C578B" w:rsidRDefault="008A23FE" w:rsidP="008A23FE">
            <w:pPr>
              <w:spacing w:before="120" w:after="120"/>
            </w:pPr>
            <w:r w:rsidRPr="006C578B">
              <w:t>Ieviests pilnībā</w:t>
            </w:r>
          </w:p>
        </w:tc>
        <w:tc>
          <w:tcPr>
            <w:tcW w:w="1243" w:type="pct"/>
            <w:tcBorders>
              <w:top w:val="single" w:sz="4" w:space="0" w:color="auto"/>
              <w:left w:val="single" w:sz="4" w:space="0" w:color="auto"/>
              <w:bottom w:val="single" w:sz="4" w:space="0" w:color="auto"/>
              <w:right w:val="single" w:sz="4" w:space="0" w:color="auto"/>
            </w:tcBorders>
          </w:tcPr>
          <w:p w14:paraId="699CBA05" w14:textId="77777777" w:rsidR="008A23FE" w:rsidRPr="00B74E69" w:rsidRDefault="008A23FE" w:rsidP="008A23FE">
            <w:pPr>
              <w:spacing w:before="120" w:after="120"/>
            </w:pPr>
            <w:r w:rsidRPr="00E900C4">
              <w:t>Neparedz stingrākas prasības</w:t>
            </w:r>
          </w:p>
        </w:tc>
      </w:tr>
      <w:tr w:rsidR="008A23FE" w14:paraId="699CBA0B" w14:textId="77777777" w:rsidTr="00CB5E35">
        <w:tc>
          <w:tcPr>
            <w:tcW w:w="1479" w:type="pct"/>
            <w:tcBorders>
              <w:top w:val="single" w:sz="4" w:space="0" w:color="auto"/>
              <w:left w:val="single" w:sz="4" w:space="0" w:color="auto"/>
              <w:bottom w:val="single" w:sz="4" w:space="0" w:color="auto"/>
              <w:right w:val="single" w:sz="4" w:space="0" w:color="auto"/>
            </w:tcBorders>
          </w:tcPr>
          <w:p w14:paraId="699CBA07" w14:textId="77777777" w:rsidR="008A23FE" w:rsidRPr="00B74E69" w:rsidRDefault="008A23FE" w:rsidP="008A23FE">
            <w:pPr>
              <w:spacing w:before="120" w:after="120"/>
            </w:pPr>
            <w:r w:rsidRPr="00B74E69">
              <w:t>I</w:t>
            </w:r>
            <w:r w:rsidR="00185808">
              <w:t> </w:t>
            </w:r>
            <w:r w:rsidRPr="00B74E69">
              <w:t>pielikuma A iedaļas pirmās daļas otrais un trešais teikums</w:t>
            </w:r>
          </w:p>
        </w:tc>
        <w:tc>
          <w:tcPr>
            <w:tcW w:w="1178" w:type="pct"/>
            <w:gridSpan w:val="2"/>
            <w:tcBorders>
              <w:top w:val="single" w:sz="4" w:space="0" w:color="auto"/>
              <w:left w:val="single" w:sz="4" w:space="0" w:color="auto"/>
              <w:bottom w:val="single" w:sz="4" w:space="0" w:color="auto"/>
              <w:right w:val="single" w:sz="4" w:space="0" w:color="auto"/>
            </w:tcBorders>
          </w:tcPr>
          <w:p w14:paraId="699CBA08" w14:textId="77777777" w:rsidR="008A23FE" w:rsidRPr="006C578B" w:rsidRDefault="00FA3CE5" w:rsidP="00FA3CE5">
            <w:pPr>
              <w:spacing w:before="120" w:after="120"/>
            </w:pPr>
            <w:r w:rsidRPr="006C578B">
              <w:t>4</w:t>
            </w:r>
            <w:r>
              <w:t>5</w:t>
            </w:r>
            <w:r w:rsidR="008A23FE" w:rsidRPr="006C578B">
              <w:t xml:space="preserve">. un </w:t>
            </w:r>
            <w:r w:rsidRPr="006C578B">
              <w:t>4</w:t>
            </w:r>
            <w:r>
              <w:t>6</w:t>
            </w:r>
            <w:r w:rsidR="008A23FE" w:rsidRPr="006C578B">
              <w:t>.</w:t>
            </w:r>
            <w:r w:rsidR="00185808" w:rsidRPr="006C578B">
              <w:t> </w:t>
            </w:r>
            <w:r w:rsidR="008A23FE" w:rsidRPr="006C578B">
              <w:t>punkts</w:t>
            </w:r>
          </w:p>
        </w:tc>
        <w:tc>
          <w:tcPr>
            <w:tcW w:w="1100" w:type="pct"/>
            <w:gridSpan w:val="2"/>
            <w:tcBorders>
              <w:top w:val="single" w:sz="4" w:space="0" w:color="auto"/>
              <w:left w:val="single" w:sz="4" w:space="0" w:color="auto"/>
              <w:bottom w:val="single" w:sz="4" w:space="0" w:color="auto"/>
              <w:right w:val="single" w:sz="4" w:space="0" w:color="auto"/>
            </w:tcBorders>
          </w:tcPr>
          <w:p w14:paraId="699CBA09" w14:textId="77777777" w:rsidR="008A23FE" w:rsidRPr="006C578B" w:rsidRDefault="008A23FE" w:rsidP="008A23FE">
            <w:pPr>
              <w:spacing w:before="120" w:after="120"/>
            </w:pPr>
            <w:r w:rsidRPr="006C578B">
              <w:t>Ieviests pilnībā</w:t>
            </w:r>
          </w:p>
        </w:tc>
        <w:tc>
          <w:tcPr>
            <w:tcW w:w="1243" w:type="pct"/>
            <w:tcBorders>
              <w:top w:val="single" w:sz="4" w:space="0" w:color="auto"/>
              <w:left w:val="single" w:sz="4" w:space="0" w:color="auto"/>
              <w:bottom w:val="single" w:sz="4" w:space="0" w:color="auto"/>
              <w:right w:val="single" w:sz="4" w:space="0" w:color="auto"/>
            </w:tcBorders>
          </w:tcPr>
          <w:p w14:paraId="699CBA0A" w14:textId="77777777" w:rsidR="008A23FE" w:rsidRPr="00B74E69" w:rsidRDefault="008A23FE" w:rsidP="008A23FE">
            <w:pPr>
              <w:spacing w:before="120" w:after="120"/>
            </w:pPr>
            <w:r w:rsidRPr="00E900C4">
              <w:t>Neparedz stingrākas prasības</w:t>
            </w:r>
          </w:p>
        </w:tc>
      </w:tr>
      <w:tr w:rsidR="008A23FE" w14:paraId="699CBA10" w14:textId="77777777" w:rsidTr="00CB5E35">
        <w:tc>
          <w:tcPr>
            <w:tcW w:w="1479" w:type="pct"/>
            <w:tcBorders>
              <w:top w:val="single" w:sz="4" w:space="0" w:color="auto"/>
              <w:left w:val="single" w:sz="4" w:space="0" w:color="auto"/>
              <w:bottom w:val="single" w:sz="4" w:space="0" w:color="auto"/>
              <w:right w:val="single" w:sz="4" w:space="0" w:color="auto"/>
            </w:tcBorders>
          </w:tcPr>
          <w:p w14:paraId="699CBA0C" w14:textId="77777777" w:rsidR="008A23FE" w:rsidRPr="00B74E69" w:rsidRDefault="008A23FE" w:rsidP="008A23FE">
            <w:pPr>
              <w:spacing w:before="120" w:after="120"/>
            </w:pPr>
            <w:r w:rsidRPr="00B74E69">
              <w:t>I</w:t>
            </w:r>
            <w:r w:rsidR="00185808">
              <w:t> </w:t>
            </w:r>
            <w:r w:rsidRPr="00B74E69">
              <w:t xml:space="preserve">pielikuma A </w:t>
            </w:r>
            <w:r w:rsidR="00185808">
              <w:t>sa</w:t>
            </w:r>
            <w:r w:rsidRPr="00B74E69">
              <w:t>daļas otrās daļas pirmais, otrais   un trešais teikums</w:t>
            </w:r>
          </w:p>
        </w:tc>
        <w:tc>
          <w:tcPr>
            <w:tcW w:w="1178" w:type="pct"/>
            <w:gridSpan w:val="2"/>
            <w:tcBorders>
              <w:top w:val="single" w:sz="4" w:space="0" w:color="auto"/>
              <w:left w:val="single" w:sz="4" w:space="0" w:color="auto"/>
              <w:bottom w:val="single" w:sz="4" w:space="0" w:color="auto"/>
              <w:right w:val="single" w:sz="4" w:space="0" w:color="auto"/>
            </w:tcBorders>
          </w:tcPr>
          <w:p w14:paraId="699CBA0D" w14:textId="77777777" w:rsidR="008A23FE" w:rsidRPr="006C578B" w:rsidRDefault="00FA3CE5" w:rsidP="008A23FE">
            <w:pPr>
              <w:spacing w:before="120" w:after="120"/>
            </w:pPr>
            <w:r>
              <w:t>50</w:t>
            </w:r>
            <w:r w:rsidR="008A23FE" w:rsidRPr="006C578B">
              <w:t>.</w:t>
            </w:r>
            <w:r w:rsidR="00185808" w:rsidRPr="006C578B">
              <w:t> </w:t>
            </w:r>
            <w:r w:rsidR="008A23FE" w:rsidRPr="006C578B">
              <w:t>punkts</w:t>
            </w:r>
          </w:p>
        </w:tc>
        <w:tc>
          <w:tcPr>
            <w:tcW w:w="1100" w:type="pct"/>
            <w:gridSpan w:val="2"/>
            <w:tcBorders>
              <w:top w:val="single" w:sz="4" w:space="0" w:color="auto"/>
              <w:left w:val="single" w:sz="4" w:space="0" w:color="auto"/>
              <w:bottom w:val="single" w:sz="4" w:space="0" w:color="auto"/>
              <w:right w:val="single" w:sz="4" w:space="0" w:color="auto"/>
            </w:tcBorders>
          </w:tcPr>
          <w:p w14:paraId="699CBA0E" w14:textId="77777777" w:rsidR="008A23FE" w:rsidRPr="006C578B" w:rsidRDefault="008A23FE" w:rsidP="008A23FE">
            <w:pPr>
              <w:spacing w:before="120" w:after="120"/>
            </w:pPr>
            <w:r w:rsidRPr="006C578B">
              <w:t>Ieviests pilnībā</w:t>
            </w:r>
          </w:p>
        </w:tc>
        <w:tc>
          <w:tcPr>
            <w:tcW w:w="1243" w:type="pct"/>
            <w:tcBorders>
              <w:top w:val="single" w:sz="4" w:space="0" w:color="auto"/>
              <w:left w:val="single" w:sz="4" w:space="0" w:color="auto"/>
              <w:bottom w:val="single" w:sz="4" w:space="0" w:color="auto"/>
              <w:right w:val="single" w:sz="4" w:space="0" w:color="auto"/>
            </w:tcBorders>
          </w:tcPr>
          <w:p w14:paraId="699CBA0F" w14:textId="77777777" w:rsidR="008A23FE" w:rsidRPr="00B74E69" w:rsidRDefault="008A23FE" w:rsidP="008A23FE">
            <w:pPr>
              <w:spacing w:before="120" w:after="120"/>
            </w:pPr>
            <w:r w:rsidRPr="00E900C4">
              <w:t>Neparedz stingrākas prasības</w:t>
            </w:r>
          </w:p>
        </w:tc>
      </w:tr>
      <w:tr w:rsidR="008A23FE" w14:paraId="699CBA15" w14:textId="77777777" w:rsidTr="00CB5E35">
        <w:tc>
          <w:tcPr>
            <w:tcW w:w="1479" w:type="pct"/>
            <w:tcBorders>
              <w:top w:val="single" w:sz="4" w:space="0" w:color="auto"/>
              <w:left w:val="single" w:sz="4" w:space="0" w:color="auto"/>
              <w:bottom w:val="single" w:sz="4" w:space="0" w:color="auto"/>
              <w:right w:val="single" w:sz="4" w:space="0" w:color="auto"/>
            </w:tcBorders>
          </w:tcPr>
          <w:p w14:paraId="699CBA11" w14:textId="77777777" w:rsidR="008A23FE" w:rsidRPr="00B74E69" w:rsidRDefault="008A23FE" w:rsidP="008A23FE">
            <w:pPr>
              <w:spacing w:before="120" w:after="120"/>
            </w:pPr>
            <w:r w:rsidRPr="00B74E69">
              <w:t>III</w:t>
            </w:r>
            <w:r w:rsidR="00185808">
              <w:t> </w:t>
            </w:r>
            <w:r w:rsidRPr="00B74E69">
              <w:t xml:space="preserve">pielikuma B </w:t>
            </w:r>
            <w:r w:rsidR="00185808">
              <w:t>sa</w:t>
            </w:r>
            <w:r w:rsidRPr="00B74E69">
              <w:t>daļas 2.</w:t>
            </w:r>
            <w:r w:rsidR="00185808">
              <w:t> </w:t>
            </w:r>
            <w:r w:rsidRPr="00B74E69">
              <w:t>punkts</w:t>
            </w:r>
          </w:p>
        </w:tc>
        <w:tc>
          <w:tcPr>
            <w:tcW w:w="1178" w:type="pct"/>
            <w:gridSpan w:val="2"/>
            <w:tcBorders>
              <w:top w:val="single" w:sz="4" w:space="0" w:color="auto"/>
              <w:left w:val="single" w:sz="4" w:space="0" w:color="auto"/>
              <w:bottom w:val="single" w:sz="4" w:space="0" w:color="auto"/>
              <w:right w:val="single" w:sz="4" w:space="0" w:color="auto"/>
            </w:tcBorders>
          </w:tcPr>
          <w:p w14:paraId="699CBA12" w14:textId="77777777" w:rsidR="008A23FE" w:rsidRPr="006C578B" w:rsidRDefault="00FA3CE5" w:rsidP="00FA3CE5">
            <w:pPr>
              <w:spacing w:before="120" w:after="120"/>
            </w:pPr>
            <w:r w:rsidRPr="006C578B">
              <w:t>4</w:t>
            </w:r>
            <w:r>
              <w:t>2</w:t>
            </w:r>
            <w:r w:rsidR="008A23FE" w:rsidRPr="006C578B">
              <w:t>.</w:t>
            </w:r>
            <w:r w:rsidR="00185808" w:rsidRPr="006C578B">
              <w:t> </w:t>
            </w:r>
            <w:r w:rsidR="008A23FE" w:rsidRPr="006C578B">
              <w:t>punkts</w:t>
            </w:r>
          </w:p>
        </w:tc>
        <w:tc>
          <w:tcPr>
            <w:tcW w:w="1100" w:type="pct"/>
            <w:gridSpan w:val="2"/>
            <w:tcBorders>
              <w:top w:val="single" w:sz="4" w:space="0" w:color="auto"/>
              <w:left w:val="single" w:sz="4" w:space="0" w:color="auto"/>
              <w:bottom w:val="single" w:sz="4" w:space="0" w:color="auto"/>
              <w:right w:val="single" w:sz="4" w:space="0" w:color="auto"/>
            </w:tcBorders>
          </w:tcPr>
          <w:p w14:paraId="699CBA13" w14:textId="77777777" w:rsidR="008A23FE" w:rsidRPr="006C578B" w:rsidRDefault="008A23FE" w:rsidP="008A23FE">
            <w:pPr>
              <w:spacing w:before="120" w:after="120"/>
            </w:pPr>
            <w:r w:rsidRPr="006C578B">
              <w:t>Ieviests pilnībā</w:t>
            </w:r>
          </w:p>
        </w:tc>
        <w:tc>
          <w:tcPr>
            <w:tcW w:w="1243" w:type="pct"/>
            <w:tcBorders>
              <w:top w:val="single" w:sz="4" w:space="0" w:color="auto"/>
              <w:left w:val="single" w:sz="4" w:space="0" w:color="auto"/>
              <w:bottom w:val="single" w:sz="4" w:space="0" w:color="auto"/>
              <w:right w:val="single" w:sz="4" w:space="0" w:color="auto"/>
            </w:tcBorders>
          </w:tcPr>
          <w:p w14:paraId="699CBA14" w14:textId="77777777" w:rsidR="008A23FE" w:rsidRPr="00B74E69" w:rsidRDefault="008A23FE" w:rsidP="008A23FE">
            <w:pPr>
              <w:spacing w:before="120" w:after="120"/>
            </w:pPr>
            <w:r w:rsidRPr="00E900C4">
              <w:t>Neparedz stingrākas prasības</w:t>
            </w:r>
          </w:p>
        </w:tc>
      </w:tr>
      <w:tr w:rsidR="008A23FE" w14:paraId="699CBA1A" w14:textId="77777777" w:rsidTr="00CB5E35">
        <w:tc>
          <w:tcPr>
            <w:tcW w:w="1479" w:type="pct"/>
            <w:tcBorders>
              <w:top w:val="single" w:sz="4" w:space="0" w:color="auto"/>
              <w:left w:val="single" w:sz="4" w:space="0" w:color="auto"/>
              <w:bottom w:val="single" w:sz="4" w:space="0" w:color="auto"/>
              <w:right w:val="single" w:sz="4" w:space="0" w:color="auto"/>
            </w:tcBorders>
          </w:tcPr>
          <w:p w14:paraId="699CBA16" w14:textId="77777777" w:rsidR="008A23FE" w:rsidRPr="00B74E69" w:rsidRDefault="008A23FE" w:rsidP="008A23FE">
            <w:pPr>
              <w:spacing w:before="120" w:after="120"/>
            </w:pPr>
            <w:r w:rsidRPr="00B74E69">
              <w:t>V</w:t>
            </w:r>
            <w:r w:rsidR="00185808">
              <w:t> </w:t>
            </w:r>
            <w:r w:rsidRPr="00B74E69">
              <w:t xml:space="preserve">pielikuma A </w:t>
            </w:r>
            <w:r w:rsidR="00185808">
              <w:t>sa</w:t>
            </w:r>
            <w:r w:rsidRPr="00B74E69">
              <w:t>daļas 1.</w:t>
            </w:r>
            <w:r w:rsidR="00185808">
              <w:t> </w:t>
            </w:r>
            <w:r w:rsidRPr="00B74E69">
              <w:t>punkt</w:t>
            </w:r>
            <w:r w:rsidR="00185808">
              <w:t>a tabula</w:t>
            </w:r>
          </w:p>
        </w:tc>
        <w:tc>
          <w:tcPr>
            <w:tcW w:w="1178" w:type="pct"/>
            <w:gridSpan w:val="2"/>
            <w:tcBorders>
              <w:top w:val="single" w:sz="4" w:space="0" w:color="auto"/>
              <w:left w:val="single" w:sz="4" w:space="0" w:color="auto"/>
              <w:bottom w:val="single" w:sz="4" w:space="0" w:color="auto"/>
              <w:right w:val="single" w:sz="4" w:space="0" w:color="auto"/>
            </w:tcBorders>
          </w:tcPr>
          <w:p w14:paraId="699CBA17" w14:textId="77777777" w:rsidR="008A23FE" w:rsidRPr="006C578B" w:rsidRDefault="00FA3CE5" w:rsidP="00FA3CE5">
            <w:pPr>
              <w:spacing w:before="120" w:after="120"/>
            </w:pPr>
            <w:r w:rsidRPr="006C578B">
              <w:t>3</w:t>
            </w:r>
            <w:r>
              <w:t>9</w:t>
            </w:r>
            <w:r w:rsidR="008A23FE" w:rsidRPr="006C578B">
              <w:t>.</w:t>
            </w:r>
            <w:r w:rsidR="00185808" w:rsidRPr="006C578B">
              <w:t> </w:t>
            </w:r>
            <w:r w:rsidR="008A23FE" w:rsidRPr="006C578B">
              <w:t>punkts</w:t>
            </w:r>
          </w:p>
        </w:tc>
        <w:tc>
          <w:tcPr>
            <w:tcW w:w="1100" w:type="pct"/>
            <w:gridSpan w:val="2"/>
            <w:tcBorders>
              <w:top w:val="single" w:sz="4" w:space="0" w:color="auto"/>
              <w:left w:val="single" w:sz="4" w:space="0" w:color="auto"/>
              <w:bottom w:val="single" w:sz="4" w:space="0" w:color="auto"/>
              <w:right w:val="single" w:sz="4" w:space="0" w:color="auto"/>
            </w:tcBorders>
          </w:tcPr>
          <w:p w14:paraId="699CBA18" w14:textId="77777777" w:rsidR="008A23FE" w:rsidRPr="006C578B" w:rsidRDefault="008A23FE" w:rsidP="008A23FE">
            <w:pPr>
              <w:spacing w:before="120" w:after="120"/>
            </w:pPr>
            <w:r w:rsidRPr="006C578B">
              <w:t>Ieviests pilnībā</w:t>
            </w:r>
          </w:p>
        </w:tc>
        <w:tc>
          <w:tcPr>
            <w:tcW w:w="1243" w:type="pct"/>
            <w:tcBorders>
              <w:top w:val="single" w:sz="4" w:space="0" w:color="auto"/>
              <w:left w:val="single" w:sz="4" w:space="0" w:color="auto"/>
              <w:bottom w:val="single" w:sz="4" w:space="0" w:color="auto"/>
              <w:right w:val="single" w:sz="4" w:space="0" w:color="auto"/>
            </w:tcBorders>
          </w:tcPr>
          <w:p w14:paraId="699CBA19" w14:textId="77777777" w:rsidR="008A23FE" w:rsidRPr="00B74E69" w:rsidRDefault="008A23FE" w:rsidP="008A23FE">
            <w:pPr>
              <w:spacing w:before="120" w:after="120"/>
            </w:pPr>
            <w:r w:rsidRPr="00E900C4">
              <w:t>Neparedz stingrākas prasības</w:t>
            </w:r>
          </w:p>
        </w:tc>
      </w:tr>
      <w:tr w:rsidR="008A23FE" w14:paraId="699CBA1F" w14:textId="77777777" w:rsidTr="00CB5E35">
        <w:tc>
          <w:tcPr>
            <w:tcW w:w="1479" w:type="pct"/>
            <w:tcBorders>
              <w:top w:val="single" w:sz="4" w:space="0" w:color="auto"/>
              <w:left w:val="single" w:sz="4" w:space="0" w:color="auto"/>
              <w:bottom w:val="single" w:sz="4" w:space="0" w:color="auto"/>
              <w:right w:val="single" w:sz="4" w:space="0" w:color="auto"/>
            </w:tcBorders>
          </w:tcPr>
          <w:p w14:paraId="699CBA1B" w14:textId="77777777" w:rsidR="008A23FE" w:rsidRPr="00B74E69" w:rsidRDefault="008A23FE" w:rsidP="008A23FE">
            <w:pPr>
              <w:spacing w:before="120" w:after="120"/>
            </w:pPr>
            <w:r w:rsidRPr="00B74E69">
              <w:t>VI</w:t>
            </w:r>
            <w:r w:rsidR="00185808">
              <w:t> </w:t>
            </w:r>
            <w:r w:rsidRPr="00B74E69">
              <w:t xml:space="preserve">pielikuma B </w:t>
            </w:r>
            <w:r w:rsidR="00185808">
              <w:t>sa</w:t>
            </w:r>
            <w:r w:rsidRPr="00B74E69">
              <w:t>daļa</w:t>
            </w:r>
          </w:p>
        </w:tc>
        <w:tc>
          <w:tcPr>
            <w:tcW w:w="1178" w:type="pct"/>
            <w:gridSpan w:val="2"/>
            <w:tcBorders>
              <w:top w:val="single" w:sz="4" w:space="0" w:color="auto"/>
              <w:left w:val="single" w:sz="4" w:space="0" w:color="auto"/>
              <w:bottom w:val="single" w:sz="4" w:space="0" w:color="auto"/>
              <w:right w:val="single" w:sz="4" w:space="0" w:color="auto"/>
            </w:tcBorders>
          </w:tcPr>
          <w:p w14:paraId="699CBA1C" w14:textId="77777777" w:rsidR="008A23FE" w:rsidRPr="006C578B" w:rsidRDefault="00FA3CE5" w:rsidP="00FA3CE5">
            <w:pPr>
              <w:spacing w:before="120" w:after="120"/>
            </w:pPr>
            <w:r w:rsidRPr="006C578B">
              <w:t>1</w:t>
            </w:r>
            <w:r>
              <w:t>4</w:t>
            </w:r>
            <w:r w:rsidR="008A23FE" w:rsidRPr="006C578B">
              <w:t>.</w:t>
            </w:r>
            <w:r w:rsidR="00185808" w:rsidRPr="006C578B">
              <w:t> </w:t>
            </w:r>
            <w:r w:rsidR="008A23FE" w:rsidRPr="006C578B">
              <w:t>punkts</w:t>
            </w:r>
          </w:p>
        </w:tc>
        <w:tc>
          <w:tcPr>
            <w:tcW w:w="1100" w:type="pct"/>
            <w:gridSpan w:val="2"/>
            <w:tcBorders>
              <w:top w:val="single" w:sz="4" w:space="0" w:color="auto"/>
              <w:left w:val="single" w:sz="4" w:space="0" w:color="auto"/>
              <w:bottom w:val="single" w:sz="4" w:space="0" w:color="auto"/>
              <w:right w:val="single" w:sz="4" w:space="0" w:color="auto"/>
            </w:tcBorders>
          </w:tcPr>
          <w:p w14:paraId="699CBA1D" w14:textId="77777777" w:rsidR="008A23FE" w:rsidRPr="006C578B" w:rsidRDefault="008A23FE" w:rsidP="008A23FE">
            <w:pPr>
              <w:spacing w:before="120" w:after="120"/>
            </w:pPr>
            <w:r w:rsidRPr="006C578B">
              <w:t>Ieviests pilnībā</w:t>
            </w:r>
          </w:p>
        </w:tc>
        <w:tc>
          <w:tcPr>
            <w:tcW w:w="1243" w:type="pct"/>
            <w:tcBorders>
              <w:top w:val="single" w:sz="4" w:space="0" w:color="auto"/>
              <w:left w:val="single" w:sz="4" w:space="0" w:color="auto"/>
              <w:bottom w:val="single" w:sz="4" w:space="0" w:color="auto"/>
              <w:right w:val="single" w:sz="4" w:space="0" w:color="auto"/>
            </w:tcBorders>
          </w:tcPr>
          <w:p w14:paraId="699CBA1E" w14:textId="77777777" w:rsidR="008A23FE" w:rsidRPr="00B74E69" w:rsidRDefault="008A23FE" w:rsidP="008A23FE">
            <w:pPr>
              <w:spacing w:before="120" w:after="120"/>
            </w:pPr>
            <w:r w:rsidRPr="00E900C4">
              <w:t>Neparedz stingrākas prasības</w:t>
            </w:r>
          </w:p>
        </w:tc>
      </w:tr>
      <w:tr w:rsidR="008A23FE" w14:paraId="699CBA24" w14:textId="77777777" w:rsidTr="00CB5E35">
        <w:tc>
          <w:tcPr>
            <w:tcW w:w="1479" w:type="pct"/>
            <w:tcBorders>
              <w:top w:val="single" w:sz="4" w:space="0" w:color="auto"/>
              <w:left w:val="single" w:sz="4" w:space="0" w:color="auto"/>
              <w:bottom w:val="single" w:sz="4" w:space="0" w:color="auto"/>
              <w:right w:val="single" w:sz="4" w:space="0" w:color="auto"/>
            </w:tcBorders>
          </w:tcPr>
          <w:p w14:paraId="699CBA20" w14:textId="77777777" w:rsidR="008A23FE" w:rsidRPr="00B74E69" w:rsidRDefault="008A23FE" w:rsidP="008A23FE">
            <w:pPr>
              <w:spacing w:before="120" w:after="120"/>
            </w:pPr>
            <w:r w:rsidRPr="00B74E69">
              <w:t>VI</w:t>
            </w:r>
            <w:r w:rsidR="00185808">
              <w:t> </w:t>
            </w:r>
            <w:r w:rsidRPr="00B74E69">
              <w:t xml:space="preserve">pielikuma C </w:t>
            </w:r>
            <w:r w:rsidR="00185808">
              <w:t>sa</w:t>
            </w:r>
            <w:r w:rsidRPr="00B74E69">
              <w:t>daļa</w:t>
            </w:r>
          </w:p>
        </w:tc>
        <w:tc>
          <w:tcPr>
            <w:tcW w:w="1178" w:type="pct"/>
            <w:gridSpan w:val="2"/>
            <w:tcBorders>
              <w:top w:val="single" w:sz="4" w:space="0" w:color="auto"/>
              <w:left w:val="single" w:sz="4" w:space="0" w:color="auto"/>
              <w:bottom w:val="single" w:sz="4" w:space="0" w:color="auto"/>
              <w:right w:val="single" w:sz="4" w:space="0" w:color="auto"/>
            </w:tcBorders>
          </w:tcPr>
          <w:p w14:paraId="699CBA21" w14:textId="77777777" w:rsidR="008A23FE" w:rsidRPr="006C578B" w:rsidRDefault="00FA3CE5" w:rsidP="00FA3CE5">
            <w:pPr>
              <w:spacing w:before="120" w:after="120"/>
            </w:pPr>
            <w:r w:rsidRPr="006C578B">
              <w:t>1</w:t>
            </w:r>
            <w:r>
              <w:t>2</w:t>
            </w:r>
            <w:r w:rsidR="008A23FE" w:rsidRPr="006C578B">
              <w:t>.</w:t>
            </w:r>
            <w:r w:rsidR="00185808" w:rsidRPr="006C578B">
              <w:t> </w:t>
            </w:r>
            <w:r w:rsidR="008A23FE" w:rsidRPr="006C578B">
              <w:t>punkts</w:t>
            </w:r>
          </w:p>
        </w:tc>
        <w:tc>
          <w:tcPr>
            <w:tcW w:w="1100" w:type="pct"/>
            <w:gridSpan w:val="2"/>
            <w:tcBorders>
              <w:top w:val="single" w:sz="4" w:space="0" w:color="auto"/>
              <w:left w:val="single" w:sz="4" w:space="0" w:color="auto"/>
              <w:bottom w:val="single" w:sz="4" w:space="0" w:color="auto"/>
              <w:right w:val="single" w:sz="4" w:space="0" w:color="auto"/>
            </w:tcBorders>
          </w:tcPr>
          <w:p w14:paraId="699CBA22" w14:textId="77777777" w:rsidR="008A23FE" w:rsidRPr="006C578B" w:rsidRDefault="008A23FE" w:rsidP="008A23FE">
            <w:pPr>
              <w:spacing w:before="120" w:after="120"/>
            </w:pPr>
            <w:r w:rsidRPr="006C578B">
              <w:t>Ieviests pilnībā</w:t>
            </w:r>
          </w:p>
        </w:tc>
        <w:tc>
          <w:tcPr>
            <w:tcW w:w="1243" w:type="pct"/>
            <w:tcBorders>
              <w:top w:val="single" w:sz="4" w:space="0" w:color="auto"/>
              <w:left w:val="single" w:sz="4" w:space="0" w:color="auto"/>
              <w:bottom w:val="single" w:sz="4" w:space="0" w:color="auto"/>
              <w:right w:val="single" w:sz="4" w:space="0" w:color="auto"/>
            </w:tcBorders>
          </w:tcPr>
          <w:p w14:paraId="699CBA23" w14:textId="77777777" w:rsidR="008A23FE" w:rsidRPr="00B74E69" w:rsidRDefault="008A23FE" w:rsidP="008A23FE">
            <w:pPr>
              <w:spacing w:before="120" w:after="120"/>
            </w:pPr>
            <w:r w:rsidRPr="00E900C4">
              <w:t>Neparedz stingrākas prasības</w:t>
            </w:r>
          </w:p>
        </w:tc>
      </w:tr>
      <w:tr w:rsidR="008A23FE" w14:paraId="699CBA29" w14:textId="77777777" w:rsidTr="00CB5E35">
        <w:tc>
          <w:tcPr>
            <w:tcW w:w="1479" w:type="pct"/>
            <w:tcBorders>
              <w:top w:val="single" w:sz="4" w:space="0" w:color="auto"/>
              <w:left w:val="single" w:sz="4" w:space="0" w:color="auto"/>
              <w:bottom w:val="single" w:sz="4" w:space="0" w:color="auto"/>
              <w:right w:val="single" w:sz="4" w:space="0" w:color="auto"/>
            </w:tcBorders>
          </w:tcPr>
          <w:p w14:paraId="699CBA25" w14:textId="77777777" w:rsidR="008A23FE" w:rsidRPr="00B74E69" w:rsidRDefault="008A23FE" w:rsidP="008A23FE">
            <w:pPr>
              <w:spacing w:before="120" w:after="120"/>
            </w:pPr>
            <w:r w:rsidRPr="00B74E69">
              <w:t>VIII</w:t>
            </w:r>
            <w:r w:rsidR="00185808">
              <w:t> </w:t>
            </w:r>
            <w:r w:rsidRPr="00B74E69">
              <w:t xml:space="preserve">pielikuma A </w:t>
            </w:r>
            <w:r w:rsidR="00185808">
              <w:t>sa</w:t>
            </w:r>
            <w:r w:rsidRPr="00B74E69">
              <w:t>daļa</w:t>
            </w:r>
          </w:p>
        </w:tc>
        <w:tc>
          <w:tcPr>
            <w:tcW w:w="1178" w:type="pct"/>
            <w:gridSpan w:val="2"/>
            <w:tcBorders>
              <w:top w:val="single" w:sz="4" w:space="0" w:color="auto"/>
              <w:left w:val="single" w:sz="4" w:space="0" w:color="auto"/>
              <w:bottom w:val="single" w:sz="4" w:space="0" w:color="auto"/>
              <w:right w:val="single" w:sz="4" w:space="0" w:color="auto"/>
            </w:tcBorders>
          </w:tcPr>
          <w:p w14:paraId="699CBA26" w14:textId="77777777" w:rsidR="008A23FE" w:rsidRPr="006C578B" w:rsidRDefault="00FA3CE5" w:rsidP="00FA3CE5">
            <w:pPr>
              <w:spacing w:before="120" w:after="120"/>
            </w:pPr>
            <w:r w:rsidRPr="006C578B">
              <w:t>4</w:t>
            </w:r>
            <w:r>
              <w:t>4</w:t>
            </w:r>
            <w:r w:rsidR="008A23FE" w:rsidRPr="006C578B">
              <w:t>.</w:t>
            </w:r>
            <w:r w:rsidR="00185808" w:rsidRPr="006C578B">
              <w:t> </w:t>
            </w:r>
            <w:r w:rsidR="008A23FE" w:rsidRPr="006C578B">
              <w:t>punkts</w:t>
            </w:r>
          </w:p>
        </w:tc>
        <w:tc>
          <w:tcPr>
            <w:tcW w:w="1100" w:type="pct"/>
            <w:gridSpan w:val="2"/>
            <w:tcBorders>
              <w:top w:val="single" w:sz="4" w:space="0" w:color="auto"/>
              <w:left w:val="single" w:sz="4" w:space="0" w:color="auto"/>
              <w:bottom w:val="single" w:sz="4" w:space="0" w:color="auto"/>
              <w:right w:val="single" w:sz="4" w:space="0" w:color="auto"/>
            </w:tcBorders>
          </w:tcPr>
          <w:p w14:paraId="699CBA27" w14:textId="77777777" w:rsidR="008A23FE" w:rsidRPr="006C578B" w:rsidRDefault="008A23FE" w:rsidP="008A23FE">
            <w:pPr>
              <w:spacing w:before="120" w:after="120"/>
            </w:pPr>
            <w:r w:rsidRPr="006C578B">
              <w:t>Ieviests pilnībā</w:t>
            </w:r>
          </w:p>
        </w:tc>
        <w:tc>
          <w:tcPr>
            <w:tcW w:w="1243" w:type="pct"/>
            <w:tcBorders>
              <w:top w:val="single" w:sz="4" w:space="0" w:color="auto"/>
              <w:left w:val="single" w:sz="4" w:space="0" w:color="auto"/>
              <w:bottom w:val="single" w:sz="4" w:space="0" w:color="auto"/>
              <w:right w:val="single" w:sz="4" w:space="0" w:color="auto"/>
            </w:tcBorders>
          </w:tcPr>
          <w:p w14:paraId="699CBA28" w14:textId="77777777" w:rsidR="008A23FE" w:rsidRPr="00B74E69" w:rsidRDefault="008A23FE" w:rsidP="008A23FE">
            <w:pPr>
              <w:spacing w:before="120" w:after="120"/>
            </w:pPr>
            <w:r w:rsidRPr="00E900C4">
              <w:t>Neparedz stingrākas prasības</w:t>
            </w:r>
          </w:p>
        </w:tc>
      </w:tr>
      <w:tr w:rsidR="008A23FE" w14:paraId="699CBA2E" w14:textId="77777777" w:rsidTr="00CB5E35">
        <w:tc>
          <w:tcPr>
            <w:tcW w:w="1479" w:type="pct"/>
            <w:tcBorders>
              <w:top w:val="single" w:sz="4" w:space="0" w:color="auto"/>
              <w:left w:val="single" w:sz="4" w:space="0" w:color="auto"/>
              <w:bottom w:val="single" w:sz="4" w:space="0" w:color="auto"/>
              <w:right w:val="single" w:sz="4" w:space="0" w:color="auto"/>
            </w:tcBorders>
          </w:tcPr>
          <w:p w14:paraId="699CBA2A" w14:textId="77777777" w:rsidR="008A23FE" w:rsidRPr="00B74E69" w:rsidRDefault="008A23FE" w:rsidP="008A23FE">
            <w:pPr>
              <w:spacing w:before="120" w:after="120"/>
            </w:pPr>
            <w:r w:rsidRPr="00B74E69">
              <w:t>X</w:t>
            </w:r>
            <w:r w:rsidR="00185808">
              <w:t> </w:t>
            </w:r>
            <w:r w:rsidRPr="00B74E69">
              <w:t xml:space="preserve">pielikuma B </w:t>
            </w:r>
            <w:r w:rsidR="00185808">
              <w:t>sa</w:t>
            </w:r>
            <w:r w:rsidRPr="00B74E69">
              <w:t>daļas pirmais teikums</w:t>
            </w:r>
          </w:p>
        </w:tc>
        <w:tc>
          <w:tcPr>
            <w:tcW w:w="1178" w:type="pct"/>
            <w:gridSpan w:val="2"/>
            <w:tcBorders>
              <w:top w:val="single" w:sz="4" w:space="0" w:color="auto"/>
              <w:left w:val="single" w:sz="4" w:space="0" w:color="auto"/>
              <w:bottom w:val="single" w:sz="4" w:space="0" w:color="auto"/>
              <w:right w:val="single" w:sz="4" w:space="0" w:color="auto"/>
            </w:tcBorders>
          </w:tcPr>
          <w:p w14:paraId="699CBA2B" w14:textId="77777777" w:rsidR="008A23FE" w:rsidRPr="006C578B" w:rsidRDefault="00FA3CE5" w:rsidP="00FA3CE5">
            <w:pPr>
              <w:spacing w:before="120" w:after="120"/>
            </w:pPr>
            <w:r w:rsidRPr="006C578B">
              <w:t>5</w:t>
            </w:r>
            <w:r>
              <w:t>2</w:t>
            </w:r>
            <w:r w:rsidR="008A23FE" w:rsidRPr="006C578B">
              <w:t>.</w:t>
            </w:r>
            <w:r w:rsidR="00185808" w:rsidRPr="006C578B">
              <w:t> </w:t>
            </w:r>
            <w:r w:rsidR="008A23FE" w:rsidRPr="006C578B">
              <w:t>punkts</w:t>
            </w:r>
          </w:p>
        </w:tc>
        <w:tc>
          <w:tcPr>
            <w:tcW w:w="1100" w:type="pct"/>
            <w:gridSpan w:val="2"/>
            <w:tcBorders>
              <w:top w:val="single" w:sz="4" w:space="0" w:color="auto"/>
              <w:left w:val="single" w:sz="4" w:space="0" w:color="auto"/>
              <w:bottom w:val="single" w:sz="4" w:space="0" w:color="auto"/>
              <w:right w:val="single" w:sz="4" w:space="0" w:color="auto"/>
            </w:tcBorders>
          </w:tcPr>
          <w:p w14:paraId="699CBA2C" w14:textId="77777777" w:rsidR="008A23FE" w:rsidRPr="006C578B" w:rsidRDefault="008A23FE" w:rsidP="008A23FE">
            <w:pPr>
              <w:spacing w:before="120" w:after="120"/>
            </w:pPr>
            <w:r w:rsidRPr="006C578B">
              <w:t>Ieviests pilnībā</w:t>
            </w:r>
          </w:p>
        </w:tc>
        <w:tc>
          <w:tcPr>
            <w:tcW w:w="1243" w:type="pct"/>
            <w:tcBorders>
              <w:top w:val="single" w:sz="4" w:space="0" w:color="auto"/>
              <w:left w:val="single" w:sz="4" w:space="0" w:color="auto"/>
              <w:bottom w:val="single" w:sz="4" w:space="0" w:color="auto"/>
              <w:right w:val="single" w:sz="4" w:space="0" w:color="auto"/>
            </w:tcBorders>
          </w:tcPr>
          <w:p w14:paraId="699CBA2D" w14:textId="77777777" w:rsidR="008A23FE" w:rsidRPr="00B74E69" w:rsidRDefault="008A23FE" w:rsidP="008A23FE">
            <w:pPr>
              <w:spacing w:before="120" w:after="120"/>
            </w:pPr>
            <w:r w:rsidRPr="00E900C4">
              <w:t>Neparedz stingrākas prasības</w:t>
            </w:r>
          </w:p>
        </w:tc>
      </w:tr>
      <w:tr w:rsidR="008A23FE" w14:paraId="699CBA33" w14:textId="77777777" w:rsidTr="00CB5E35">
        <w:tc>
          <w:tcPr>
            <w:tcW w:w="1479" w:type="pct"/>
            <w:tcBorders>
              <w:top w:val="single" w:sz="4" w:space="0" w:color="auto"/>
              <w:left w:val="single" w:sz="4" w:space="0" w:color="auto"/>
              <w:bottom w:val="single" w:sz="4" w:space="0" w:color="auto"/>
              <w:right w:val="single" w:sz="4" w:space="0" w:color="auto"/>
            </w:tcBorders>
          </w:tcPr>
          <w:p w14:paraId="699CBA2F" w14:textId="77777777" w:rsidR="008A23FE" w:rsidRPr="006C578B" w:rsidRDefault="008A23FE" w:rsidP="008A23FE">
            <w:pPr>
              <w:spacing w:before="120" w:after="120"/>
            </w:pPr>
            <w:r w:rsidRPr="006C578B">
              <w:t>X</w:t>
            </w:r>
            <w:r w:rsidR="00185808" w:rsidRPr="006C578B">
              <w:t> </w:t>
            </w:r>
            <w:r w:rsidRPr="006C578B">
              <w:t xml:space="preserve">pielikuma C </w:t>
            </w:r>
            <w:r w:rsidR="00185808" w:rsidRPr="006C578B">
              <w:t>sa</w:t>
            </w:r>
            <w:r w:rsidRPr="006C578B">
              <w:t>daļa</w:t>
            </w:r>
          </w:p>
        </w:tc>
        <w:tc>
          <w:tcPr>
            <w:tcW w:w="1178" w:type="pct"/>
            <w:gridSpan w:val="2"/>
            <w:tcBorders>
              <w:top w:val="single" w:sz="4" w:space="0" w:color="auto"/>
              <w:left w:val="single" w:sz="4" w:space="0" w:color="auto"/>
              <w:bottom w:val="single" w:sz="4" w:space="0" w:color="auto"/>
              <w:right w:val="single" w:sz="4" w:space="0" w:color="auto"/>
            </w:tcBorders>
          </w:tcPr>
          <w:p w14:paraId="699CBA30" w14:textId="77777777" w:rsidR="008A23FE" w:rsidRPr="006C578B" w:rsidRDefault="00FA3CE5" w:rsidP="00FA3CE5">
            <w:pPr>
              <w:spacing w:before="120" w:after="120"/>
            </w:pPr>
            <w:r w:rsidRPr="006C578B">
              <w:t>5</w:t>
            </w:r>
            <w:r>
              <w:t>3</w:t>
            </w:r>
            <w:r w:rsidR="008A23FE" w:rsidRPr="006C578B">
              <w:t>.</w:t>
            </w:r>
            <w:r w:rsidR="00185808" w:rsidRPr="006C578B">
              <w:t> </w:t>
            </w:r>
            <w:r w:rsidR="008A23FE" w:rsidRPr="006C578B">
              <w:t>punkts</w:t>
            </w:r>
          </w:p>
        </w:tc>
        <w:tc>
          <w:tcPr>
            <w:tcW w:w="1100" w:type="pct"/>
            <w:gridSpan w:val="2"/>
            <w:tcBorders>
              <w:top w:val="single" w:sz="4" w:space="0" w:color="auto"/>
              <w:left w:val="single" w:sz="4" w:space="0" w:color="auto"/>
              <w:bottom w:val="single" w:sz="4" w:space="0" w:color="auto"/>
              <w:right w:val="single" w:sz="4" w:space="0" w:color="auto"/>
            </w:tcBorders>
          </w:tcPr>
          <w:p w14:paraId="699CBA31" w14:textId="77777777" w:rsidR="008A23FE" w:rsidRPr="006C578B" w:rsidRDefault="008A23FE" w:rsidP="008A23FE">
            <w:pPr>
              <w:spacing w:before="120" w:after="120"/>
            </w:pPr>
            <w:r w:rsidRPr="006C578B">
              <w:t>Ieviests pilnībā</w:t>
            </w:r>
          </w:p>
        </w:tc>
        <w:tc>
          <w:tcPr>
            <w:tcW w:w="1243" w:type="pct"/>
            <w:tcBorders>
              <w:top w:val="single" w:sz="4" w:space="0" w:color="auto"/>
              <w:left w:val="single" w:sz="4" w:space="0" w:color="auto"/>
              <w:bottom w:val="single" w:sz="4" w:space="0" w:color="auto"/>
              <w:right w:val="single" w:sz="4" w:space="0" w:color="auto"/>
            </w:tcBorders>
          </w:tcPr>
          <w:p w14:paraId="699CBA32" w14:textId="77777777" w:rsidR="008A23FE" w:rsidRPr="00B74E69" w:rsidRDefault="008A23FE" w:rsidP="008A23FE">
            <w:pPr>
              <w:spacing w:before="120" w:after="120"/>
            </w:pPr>
            <w:r w:rsidRPr="00E900C4">
              <w:t>Neparedz stingrākas prasības</w:t>
            </w:r>
          </w:p>
        </w:tc>
      </w:tr>
      <w:tr w:rsidR="008A23FE" w14:paraId="699CBA38" w14:textId="77777777" w:rsidTr="00CB5E35">
        <w:tc>
          <w:tcPr>
            <w:tcW w:w="1479" w:type="pct"/>
            <w:tcBorders>
              <w:top w:val="single" w:sz="4" w:space="0" w:color="auto"/>
              <w:left w:val="single" w:sz="4" w:space="0" w:color="auto"/>
              <w:bottom w:val="single" w:sz="4" w:space="0" w:color="auto"/>
              <w:right w:val="single" w:sz="4" w:space="0" w:color="auto"/>
            </w:tcBorders>
          </w:tcPr>
          <w:p w14:paraId="699CBA34" w14:textId="77777777" w:rsidR="008A23FE" w:rsidRPr="006C578B" w:rsidRDefault="008A23FE" w:rsidP="008A23FE">
            <w:pPr>
              <w:spacing w:before="120" w:after="120"/>
            </w:pPr>
            <w:r w:rsidRPr="006C578B">
              <w:t>XIV</w:t>
            </w:r>
            <w:r w:rsidR="00185808" w:rsidRPr="006C578B">
              <w:t> </w:t>
            </w:r>
            <w:r w:rsidRPr="006C578B">
              <w:t xml:space="preserve">pielikuma A </w:t>
            </w:r>
            <w:r w:rsidR="00185808" w:rsidRPr="006C578B">
              <w:t>sa</w:t>
            </w:r>
            <w:r w:rsidRPr="006C578B">
              <w:t>daļas pēdējā daļa</w:t>
            </w:r>
          </w:p>
        </w:tc>
        <w:tc>
          <w:tcPr>
            <w:tcW w:w="1178" w:type="pct"/>
            <w:gridSpan w:val="2"/>
            <w:tcBorders>
              <w:top w:val="single" w:sz="4" w:space="0" w:color="auto"/>
              <w:left w:val="single" w:sz="4" w:space="0" w:color="auto"/>
              <w:bottom w:val="single" w:sz="4" w:space="0" w:color="auto"/>
              <w:right w:val="single" w:sz="4" w:space="0" w:color="auto"/>
            </w:tcBorders>
          </w:tcPr>
          <w:p w14:paraId="699CBA35" w14:textId="77777777" w:rsidR="008A23FE" w:rsidRPr="006C578B" w:rsidRDefault="00FA3CE5" w:rsidP="00FA3CE5">
            <w:pPr>
              <w:spacing w:before="120" w:after="120"/>
            </w:pPr>
            <w:r w:rsidRPr="006C578B">
              <w:t>3</w:t>
            </w:r>
            <w:r>
              <w:t>7</w:t>
            </w:r>
            <w:r w:rsidR="008A23FE" w:rsidRPr="006C578B">
              <w:t>.</w:t>
            </w:r>
            <w:r w:rsidR="00185808" w:rsidRPr="006C578B">
              <w:t> </w:t>
            </w:r>
            <w:r w:rsidR="008A23FE" w:rsidRPr="006C578B">
              <w:t>punkts</w:t>
            </w:r>
          </w:p>
        </w:tc>
        <w:tc>
          <w:tcPr>
            <w:tcW w:w="1100" w:type="pct"/>
            <w:gridSpan w:val="2"/>
            <w:tcBorders>
              <w:top w:val="single" w:sz="4" w:space="0" w:color="auto"/>
              <w:left w:val="single" w:sz="4" w:space="0" w:color="auto"/>
              <w:bottom w:val="single" w:sz="4" w:space="0" w:color="auto"/>
              <w:right w:val="single" w:sz="4" w:space="0" w:color="auto"/>
            </w:tcBorders>
          </w:tcPr>
          <w:p w14:paraId="699CBA36" w14:textId="77777777" w:rsidR="008A23FE" w:rsidRPr="006C578B" w:rsidRDefault="008A23FE" w:rsidP="008A23FE">
            <w:pPr>
              <w:spacing w:before="120" w:after="120"/>
            </w:pPr>
            <w:r w:rsidRPr="006C578B">
              <w:t>Ieviests pilnībā</w:t>
            </w:r>
          </w:p>
        </w:tc>
        <w:tc>
          <w:tcPr>
            <w:tcW w:w="1243" w:type="pct"/>
            <w:tcBorders>
              <w:top w:val="single" w:sz="4" w:space="0" w:color="auto"/>
              <w:left w:val="single" w:sz="4" w:space="0" w:color="auto"/>
              <w:bottom w:val="single" w:sz="4" w:space="0" w:color="auto"/>
              <w:right w:val="single" w:sz="4" w:space="0" w:color="auto"/>
            </w:tcBorders>
          </w:tcPr>
          <w:p w14:paraId="699CBA37" w14:textId="77777777" w:rsidR="008A23FE" w:rsidRPr="00B74E69" w:rsidRDefault="008A23FE" w:rsidP="008A23FE">
            <w:pPr>
              <w:spacing w:before="120" w:after="120"/>
            </w:pPr>
            <w:r w:rsidRPr="00E900C4">
              <w:t>Neparedz stingrākas prasības</w:t>
            </w:r>
          </w:p>
        </w:tc>
      </w:tr>
      <w:tr w:rsidR="008A23FE" w14:paraId="699CBA3D" w14:textId="77777777" w:rsidTr="00CB5E35">
        <w:tc>
          <w:tcPr>
            <w:tcW w:w="1479" w:type="pct"/>
            <w:tcBorders>
              <w:top w:val="single" w:sz="4" w:space="0" w:color="auto"/>
              <w:left w:val="single" w:sz="4" w:space="0" w:color="auto"/>
              <w:bottom w:val="single" w:sz="4" w:space="0" w:color="auto"/>
              <w:right w:val="single" w:sz="4" w:space="0" w:color="auto"/>
            </w:tcBorders>
          </w:tcPr>
          <w:p w14:paraId="699CBA39" w14:textId="77777777" w:rsidR="008A23FE" w:rsidRPr="006C578B" w:rsidRDefault="008A23FE" w:rsidP="003B4B50">
            <w:pPr>
              <w:spacing w:before="120" w:after="120"/>
            </w:pPr>
            <w:r w:rsidRPr="006C578B">
              <w:t>X</w:t>
            </w:r>
            <w:r w:rsidR="003B4B50" w:rsidRPr="006C578B">
              <w:t xml:space="preserve">IV </w:t>
            </w:r>
            <w:r w:rsidRPr="006C578B">
              <w:t xml:space="preserve">pielikuma B </w:t>
            </w:r>
            <w:r w:rsidR="00185808" w:rsidRPr="006C578B">
              <w:t>sa</w:t>
            </w:r>
            <w:r w:rsidRPr="006C578B">
              <w:t>daļas tabula</w:t>
            </w:r>
          </w:p>
        </w:tc>
        <w:tc>
          <w:tcPr>
            <w:tcW w:w="1178" w:type="pct"/>
            <w:gridSpan w:val="2"/>
            <w:tcBorders>
              <w:top w:val="single" w:sz="4" w:space="0" w:color="auto"/>
              <w:left w:val="single" w:sz="4" w:space="0" w:color="auto"/>
              <w:bottom w:val="single" w:sz="4" w:space="0" w:color="auto"/>
              <w:right w:val="single" w:sz="4" w:space="0" w:color="auto"/>
            </w:tcBorders>
          </w:tcPr>
          <w:p w14:paraId="699CBA3A" w14:textId="77777777" w:rsidR="008A23FE" w:rsidRPr="006C578B" w:rsidRDefault="00FA3CE5" w:rsidP="00FA3CE5">
            <w:pPr>
              <w:spacing w:before="120" w:after="120"/>
            </w:pPr>
            <w:r w:rsidRPr="006C578B">
              <w:t>3</w:t>
            </w:r>
            <w:r>
              <w:t>8</w:t>
            </w:r>
            <w:r w:rsidR="008A23FE" w:rsidRPr="006C578B">
              <w:t>.</w:t>
            </w:r>
            <w:r w:rsidR="00185808" w:rsidRPr="006C578B">
              <w:t> </w:t>
            </w:r>
            <w:r w:rsidR="008A23FE" w:rsidRPr="006C578B">
              <w:t>punkts</w:t>
            </w:r>
          </w:p>
        </w:tc>
        <w:tc>
          <w:tcPr>
            <w:tcW w:w="1100" w:type="pct"/>
            <w:gridSpan w:val="2"/>
            <w:tcBorders>
              <w:top w:val="single" w:sz="4" w:space="0" w:color="auto"/>
              <w:left w:val="single" w:sz="4" w:space="0" w:color="auto"/>
              <w:bottom w:val="single" w:sz="4" w:space="0" w:color="auto"/>
              <w:right w:val="single" w:sz="4" w:space="0" w:color="auto"/>
            </w:tcBorders>
          </w:tcPr>
          <w:p w14:paraId="699CBA3B" w14:textId="77777777" w:rsidR="008A23FE" w:rsidRPr="006C578B" w:rsidRDefault="008A23FE" w:rsidP="008A23FE">
            <w:pPr>
              <w:spacing w:before="120" w:after="120"/>
            </w:pPr>
            <w:r w:rsidRPr="006C578B">
              <w:t>Ieviests pilnībā</w:t>
            </w:r>
          </w:p>
        </w:tc>
        <w:tc>
          <w:tcPr>
            <w:tcW w:w="1243" w:type="pct"/>
            <w:tcBorders>
              <w:top w:val="single" w:sz="4" w:space="0" w:color="auto"/>
              <w:left w:val="single" w:sz="4" w:space="0" w:color="auto"/>
              <w:bottom w:val="single" w:sz="4" w:space="0" w:color="auto"/>
              <w:right w:val="single" w:sz="4" w:space="0" w:color="auto"/>
            </w:tcBorders>
          </w:tcPr>
          <w:p w14:paraId="699CBA3C" w14:textId="77777777" w:rsidR="008A23FE" w:rsidRPr="003B4B50" w:rsidRDefault="008A23FE" w:rsidP="008A23FE">
            <w:pPr>
              <w:spacing w:before="120" w:after="120"/>
            </w:pPr>
            <w:r w:rsidRPr="003B4B50">
              <w:t>Neparedz stingrākas prasības</w:t>
            </w:r>
          </w:p>
        </w:tc>
      </w:tr>
      <w:tr w:rsidR="008A23FE" w14:paraId="699CBA42" w14:textId="77777777" w:rsidTr="00CB5E35">
        <w:tc>
          <w:tcPr>
            <w:tcW w:w="1479" w:type="pct"/>
            <w:tcBorders>
              <w:top w:val="single" w:sz="4" w:space="0" w:color="auto"/>
              <w:left w:val="single" w:sz="4" w:space="0" w:color="auto"/>
              <w:bottom w:val="single" w:sz="4" w:space="0" w:color="auto"/>
              <w:right w:val="single" w:sz="4" w:space="0" w:color="auto"/>
            </w:tcBorders>
          </w:tcPr>
          <w:p w14:paraId="699CBA3E" w14:textId="77777777" w:rsidR="008A23FE" w:rsidRPr="00B74E69" w:rsidRDefault="008A23FE" w:rsidP="008A23FE">
            <w:pPr>
              <w:spacing w:before="120" w:after="120"/>
            </w:pPr>
            <w:r w:rsidRPr="00B74E69">
              <w:t>XV</w:t>
            </w:r>
            <w:r w:rsidR="00185808">
              <w:t> </w:t>
            </w:r>
            <w:r w:rsidRPr="00B74E69">
              <w:t xml:space="preserve">pielikuma A </w:t>
            </w:r>
            <w:r w:rsidR="00185808">
              <w:t>sa</w:t>
            </w:r>
            <w:r w:rsidRPr="00B74E69">
              <w:t>daļa 7.</w:t>
            </w:r>
            <w:r w:rsidR="00F35BB2">
              <w:t> </w:t>
            </w:r>
            <w:r w:rsidRPr="00B74E69">
              <w:t xml:space="preserve">punkta </w:t>
            </w:r>
            <w:r w:rsidR="00F35BB2">
              <w:t>„</w:t>
            </w:r>
            <w:r w:rsidRPr="00B74E69">
              <w:t>a</w:t>
            </w:r>
            <w:r w:rsidR="00F35BB2">
              <w:t>”</w:t>
            </w:r>
            <w:r w:rsidRPr="00B74E69">
              <w:t xml:space="preserve"> apakšpunkts un 8.</w:t>
            </w:r>
            <w:r w:rsidR="00F35BB2">
              <w:t> </w:t>
            </w:r>
            <w:r w:rsidRPr="00B74E69">
              <w:t xml:space="preserve">punkta </w:t>
            </w:r>
            <w:r w:rsidR="00F35BB2">
              <w:t>„</w:t>
            </w:r>
            <w:r w:rsidRPr="00B74E69">
              <w:t>a</w:t>
            </w:r>
            <w:r w:rsidR="00F35BB2">
              <w:t>”</w:t>
            </w:r>
            <w:r w:rsidRPr="00B74E69">
              <w:t xml:space="preserve"> apakšpunkts</w:t>
            </w:r>
          </w:p>
        </w:tc>
        <w:tc>
          <w:tcPr>
            <w:tcW w:w="1178" w:type="pct"/>
            <w:gridSpan w:val="2"/>
            <w:tcBorders>
              <w:top w:val="single" w:sz="4" w:space="0" w:color="auto"/>
              <w:left w:val="single" w:sz="4" w:space="0" w:color="auto"/>
              <w:bottom w:val="single" w:sz="4" w:space="0" w:color="auto"/>
              <w:right w:val="single" w:sz="4" w:space="0" w:color="auto"/>
            </w:tcBorders>
          </w:tcPr>
          <w:p w14:paraId="699CBA3F" w14:textId="77777777" w:rsidR="008A23FE" w:rsidRPr="006C578B" w:rsidRDefault="00FA3CE5" w:rsidP="00FA3CE5">
            <w:pPr>
              <w:spacing w:before="120" w:after="120"/>
            </w:pPr>
            <w:r w:rsidRPr="006C578B">
              <w:t>5</w:t>
            </w:r>
            <w:r>
              <w:t>5</w:t>
            </w:r>
            <w:r w:rsidR="008A23FE" w:rsidRPr="006C578B">
              <w:t xml:space="preserve">. un </w:t>
            </w:r>
            <w:r w:rsidRPr="006C578B">
              <w:t>5</w:t>
            </w:r>
            <w:r>
              <w:t>6</w:t>
            </w:r>
            <w:r w:rsidR="008A23FE" w:rsidRPr="006C578B">
              <w:t>.</w:t>
            </w:r>
            <w:r w:rsidR="00185808" w:rsidRPr="006C578B">
              <w:t> </w:t>
            </w:r>
            <w:r w:rsidR="008A23FE" w:rsidRPr="006C578B">
              <w:t>punkts</w:t>
            </w:r>
          </w:p>
        </w:tc>
        <w:tc>
          <w:tcPr>
            <w:tcW w:w="1100" w:type="pct"/>
            <w:gridSpan w:val="2"/>
            <w:tcBorders>
              <w:top w:val="single" w:sz="4" w:space="0" w:color="auto"/>
              <w:left w:val="single" w:sz="4" w:space="0" w:color="auto"/>
              <w:bottom w:val="single" w:sz="4" w:space="0" w:color="auto"/>
              <w:right w:val="single" w:sz="4" w:space="0" w:color="auto"/>
            </w:tcBorders>
          </w:tcPr>
          <w:p w14:paraId="699CBA40" w14:textId="77777777" w:rsidR="008A23FE" w:rsidRPr="006C578B" w:rsidRDefault="008A23FE" w:rsidP="008A23FE">
            <w:pPr>
              <w:spacing w:before="120" w:after="120"/>
            </w:pPr>
            <w:r w:rsidRPr="006C578B">
              <w:t>Ieviests pilnībā</w:t>
            </w:r>
          </w:p>
        </w:tc>
        <w:tc>
          <w:tcPr>
            <w:tcW w:w="1243" w:type="pct"/>
            <w:tcBorders>
              <w:top w:val="single" w:sz="4" w:space="0" w:color="auto"/>
              <w:left w:val="single" w:sz="4" w:space="0" w:color="auto"/>
              <w:bottom w:val="single" w:sz="4" w:space="0" w:color="auto"/>
              <w:right w:val="single" w:sz="4" w:space="0" w:color="auto"/>
            </w:tcBorders>
          </w:tcPr>
          <w:p w14:paraId="699CBA41" w14:textId="77777777" w:rsidR="008A23FE" w:rsidRPr="00B74E69" w:rsidRDefault="008A23FE" w:rsidP="008A23FE">
            <w:pPr>
              <w:spacing w:before="120" w:after="120"/>
            </w:pPr>
            <w:r w:rsidRPr="00E900C4">
              <w:t>Neparedz stingrākas prasības</w:t>
            </w:r>
          </w:p>
        </w:tc>
      </w:tr>
      <w:tr w:rsidR="008A23FE" w14:paraId="699CBA47" w14:textId="77777777" w:rsidTr="00CB5E35">
        <w:tc>
          <w:tcPr>
            <w:tcW w:w="1479" w:type="pct"/>
            <w:tcBorders>
              <w:top w:val="single" w:sz="4" w:space="0" w:color="auto"/>
              <w:left w:val="single" w:sz="4" w:space="0" w:color="auto"/>
              <w:bottom w:val="single" w:sz="4" w:space="0" w:color="auto"/>
              <w:right w:val="single" w:sz="4" w:space="0" w:color="auto"/>
            </w:tcBorders>
          </w:tcPr>
          <w:p w14:paraId="699CBA43" w14:textId="77777777" w:rsidR="008A23FE" w:rsidRPr="00B74E69" w:rsidRDefault="008A23FE" w:rsidP="008A23FE">
            <w:pPr>
              <w:spacing w:before="120" w:after="120"/>
            </w:pPr>
            <w:r w:rsidRPr="00B74E69">
              <w:t xml:space="preserve">XVI pielikuma 4.punkta </w:t>
            </w:r>
            <w:r w:rsidR="00F35BB2">
              <w:t>„</w:t>
            </w:r>
            <w:r w:rsidRPr="00B74E69">
              <w:t>d</w:t>
            </w:r>
            <w:r w:rsidR="00F35BB2">
              <w:t>”</w:t>
            </w:r>
            <w:r w:rsidRPr="00B74E69">
              <w:t xml:space="preserve"> un </w:t>
            </w:r>
            <w:r w:rsidR="00F35BB2">
              <w:t>„</w:t>
            </w:r>
            <w:r w:rsidRPr="00B74E69">
              <w:t>e</w:t>
            </w:r>
            <w:r w:rsidR="00F35BB2">
              <w:t>”</w:t>
            </w:r>
            <w:r w:rsidRPr="00B74E69">
              <w:t xml:space="preserve"> apakšpunkts</w:t>
            </w:r>
          </w:p>
        </w:tc>
        <w:tc>
          <w:tcPr>
            <w:tcW w:w="1178" w:type="pct"/>
            <w:gridSpan w:val="2"/>
            <w:tcBorders>
              <w:top w:val="single" w:sz="4" w:space="0" w:color="auto"/>
              <w:left w:val="single" w:sz="4" w:space="0" w:color="auto"/>
              <w:bottom w:val="single" w:sz="4" w:space="0" w:color="auto"/>
              <w:right w:val="single" w:sz="4" w:space="0" w:color="auto"/>
            </w:tcBorders>
          </w:tcPr>
          <w:p w14:paraId="699CBA44" w14:textId="77777777" w:rsidR="008A23FE" w:rsidRPr="006C578B" w:rsidRDefault="00FA3CE5" w:rsidP="00FA3CE5">
            <w:pPr>
              <w:spacing w:before="120" w:after="120"/>
            </w:pPr>
            <w:r w:rsidRPr="006C578B">
              <w:t>3</w:t>
            </w:r>
            <w:r>
              <w:t>2</w:t>
            </w:r>
            <w:r w:rsidR="008A23FE" w:rsidRPr="006C578B">
              <w:t>.</w:t>
            </w:r>
            <w:r w:rsidR="00185808" w:rsidRPr="006C578B">
              <w:t> </w:t>
            </w:r>
            <w:r w:rsidR="008A23FE" w:rsidRPr="006C578B">
              <w:t>punkts</w:t>
            </w:r>
          </w:p>
        </w:tc>
        <w:tc>
          <w:tcPr>
            <w:tcW w:w="1100" w:type="pct"/>
            <w:gridSpan w:val="2"/>
            <w:tcBorders>
              <w:top w:val="single" w:sz="4" w:space="0" w:color="auto"/>
              <w:left w:val="single" w:sz="4" w:space="0" w:color="auto"/>
              <w:bottom w:val="single" w:sz="4" w:space="0" w:color="auto"/>
              <w:right w:val="single" w:sz="4" w:space="0" w:color="auto"/>
            </w:tcBorders>
          </w:tcPr>
          <w:p w14:paraId="699CBA45" w14:textId="77777777" w:rsidR="008A23FE" w:rsidRPr="00B74E69" w:rsidRDefault="008A23FE" w:rsidP="008A23FE">
            <w:pPr>
              <w:spacing w:before="120" w:after="120"/>
            </w:pPr>
            <w:r w:rsidRPr="00B74E69">
              <w:t>Ieviests pilnībā</w:t>
            </w:r>
          </w:p>
        </w:tc>
        <w:tc>
          <w:tcPr>
            <w:tcW w:w="1243" w:type="pct"/>
            <w:tcBorders>
              <w:top w:val="single" w:sz="4" w:space="0" w:color="auto"/>
              <w:left w:val="single" w:sz="4" w:space="0" w:color="auto"/>
              <w:bottom w:val="single" w:sz="4" w:space="0" w:color="auto"/>
              <w:right w:val="single" w:sz="4" w:space="0" w:color="auto"/>
            </w:tcBorders>
          </w:tcPr>
          <w:p w14:paraId="699CBA46" w14:textId="77777777" w:rsidR="008A23FE" w:rsidRPr="00B74E69" w:rsidRDefault="008A23FE" w:rsidP="008A23FE">
            <w:pPr>
              <w:spacing w:before="120" w:after="120"/>
            </w:pPr>
            <w:r w:rsidRPr="00E900C4">
              <w:t>Neparedz stingrākas prasības</w:t>
            </w:r>
          </w:p>
        </w:tc>
      </w:tr>
      <w:tr w:rsidR="00177A96" w14:paraId="699CBA49" w14:textId="77777777" w:rsidTr="00177A96">
        <w:tc>
          <w:tcPr>
            <w:tcW w:w="5000" w:type="pct"/>
            <w:gridSpan w:val="6"/>
            <w:tcBorders>
              <w:top w:val="single" w:sz="4" w:space="0" w:color="auto"/>
              <w:left w:val="single" w:sz="4" w:space="0" w:color="auto"/>
              <w:bottom w:val="single" w:sz="4" w:space="0" w:color="auto"/>
              <w:right w:val="single" w:sz="4" w:space="0" w:color="auto"/>
            </w:tcBorders>
          </w:tcPr>
          <w:p w14:paraId="699CBA48" w14:textId="77777777" w:rsidR="00177A96" w:rsidRPr="00B74E69" w:rsidRDefault="00177A96" w:rsidP="00D009C9">
            <w:pPr>
              <w:spacing w:before="120" w:after="120"/>
            </w:pPr>
            <w:r w:rsidRPr="00B74E69">
              <w:rPr>
                <w:b/>
              </w:rPr>
              <w:t>Direktīvas 2015/2193</w:t>
            </w:r>
          </w:p>
        </w:tc>
      </w:tr>
      <w:tr w:rsidR="00177A96" w14:paraId="699CBA4E" w14:textId="77777777" w:rsidTr="00CB5E35">
        <w:tc>
          <w:tcPr>
            <w:tcW w:w="1479" w:type="pct"/>
            <w:tcBorders>
              <w:top w:val="single" w:sz="4" w:space="0" w:color="auto"/>
              <w:left w:val="single" w:sz="4" w:space="0" w:color="auto"/>
              <w:bottom w:val="single" w:sz="4" w:space="0" w:color="auto"/>
              <w:right w:val="single" w:sz="4" w:space="0" w:color="auto"/>
            </w:tcBorders>
          </w:tcPr>
          <w:p w14:paraId="699CBA4A" w14:textId="77777777" w:rsidR="00177A96" w:rsidRPr="00B74E69" w:rsidRDefault="005D4076" w:rsidP="00D009C9">
            <w:pPr>
              <w:spacing w:before="120" w:after="120"/>
            </w:pPr>
            <w:r w:rsidRPr="00B74E69">
              <w:t>6.</w:t>
            </w:r>
            <w:r w:rsidR="00185808">
              <w:t> </w:t>
            </w:r>
            <w:r w:rsidRPr="00B74E69">
              <w:t>panta 9.</w:t>
            </w:r>
            <w:r w:rsidR="00185808">
              <w:t> </w:t>
            </w:r>
            <w:r w:rsidRPr="00B74E69">
              <w:t>punkts</w:t>
            </w:r>
          </w:p>
        </w:tc>
        <w:tc>
          <w:tcPr>
            <w:tcW w:w="1178" w:type="pct"/>
            <w:gridSpan w:val="2"/>
            <w:tcBorders>
              <w:top w:val="single" w:sz="4" w:space="0" w:color="auto"/>
              <w:left w:val="single" w:sz="4" w:space="0" w:color="auto"/>
              <w:bottom w:val="single" w:sz="4" w:space="0" w:color="auto"/>
              <w:right w:val="single" w:sz="4" w:space="0" w:color="auto"/>
            </w:tcBorders>
          </w:tcPr>
          <w:p w14:paraId="699CBA4B" w14:textId="77777777" w:rsidR="00177A96" w:rsidRPr="006C578B" w:rsidRDefault="00FA3CE5" w:rsidP="00FA3CE5">
            <w:pPr>
              <w:spacing w:before="120" w:after="120"/>
            </w:pPr>
            <w:r w:rsidRPr="006C578B">
              <w:t>2</w:t>
            </w:r>
            <w:r>
              <w:t>5</w:t>
            </w:r>
            <w:r w:rsidR="00911285" w:rsidRPr="006C578B">
              <w:t>.</w:t>
            </w:r>
            <w:r w:rsidR="00185808" w:rsidRPr="006C578B">
              <w:t> </w:t>
            </w:r>
            <w:r w:rsidR="00911285" w:rsidRPr="006C578B">
              <w:t>punkts</w:t>
            </w:r>
          </w:p>
        </w:tc>
        <w:tc>
          <w:tcPr>
            <w:tcW w:w="1100" w:type="pct"/>
            <w:gridSpan w:val="2"/>
            <w:tcBorders>
              <w:top w:val="single" w:sz="4" w:space="0" w:color="auto"/>
              <w:left w:val="single" w:sz="4" w:space="0" w:color="auto"/>
              <w:bottom w:val="single" w:sz="4" w:space="0" w:color="auto"/>
              <w:right w:val="single" w:sz="4" w:space="0" w:color="auto"/>
            </w:tcBorders>
          </w:tcPr>
          <w:p w14:paraId="699CBA4C" w14:textId="77777777" w:rsidR="00177A96" w:rsidRPr="00B74E69" w:rsidRDefault="007534D5" w:rsidP="00D009C9">
            <w:pPr>
              <w:spacing w:before="120" w:after="120"/>
            </w:pPr>
            <w:r>
              <w:t>Ieviests pilnībā</w:t>
            </w:r>
          </w:p>
        </w:tc>
        <w:tc>
          <w:tcPr>
            <w:tcW w:w="1243" w:type="pct"/>
            <w:tcBorders>
              <w:top w:val="single" w:sz="4" w:space="0" w:color="auto"/>
              <w:left w:val="single" w:sz="4" w:space="0" w:color="auto"/>
              <w:bottom w:val="single" w:sz="4" w:space="0" w:color="auto"/>
              <w:right w:val="single" w:sz="4" w:space="0" w:color="auto"/>
            </w:tcBorders>
          </w:tcPr>
          <w:p w14:paraId="699CBA4D" w14:textId="77777777" w:rsidR="00177A96" w:rsidRPr="00B74E69" w:rsidRDefault="008A23FE" w:rsidP="00D009C9">
            <w:pPr>
              <w:spacing w:before="120" w:after="120"/>
            </w:pPr>
            <w:r>
              <w:t>Neparedz stingrākas prasības</w:t>
            </w:r>
          </w:p>
        </w:tc>
      </w:tr>
      <w:tr w:rsidR="00D009C9" w14:paraId="699CBA51" w14:textId="77777777" w:rsidTr="00CB5E35">
        <w:tc>
          <w:tcPr>
            <w:tcW w:w="1479" w:type="pct"/>
            <w:tcBorders>
              <w:top w:val="single" w:sz="4" w:space="0" w:color="auto"/>
              <w:left w:val="single" w:sz="4" w:space="0" w:color="auto"/>
              <w:bottom w:val="single" w:sz="4" w:space="0" w:color="auto"/>
              <w:right w:val="single" w:sz="4" w:space="0" w:color="auto"/>
            </w:tcBorders>
            <w:hideMark/>
          </w:tcPr>
          <w:p w14:paraId="699CBA4F" w14:textId="77777777" w:rsidR="00D009C9" w:rsidRDefault="00D009C9" w:rsidP="00D009C9">
            <w: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21" w:type="pct"/>
            <w:gridSpan w:val="5"/>
            <w:tcBorders>
              <w:top w:val="single" w:sz="4" w:space="0" w:color="auto"/>
              <w:left w:val="single" w:sz="4" w:space="0" w:color="auto"/>
              <w:bottom w:val="single" w:sz="4" w:space="0" w:color="auto"/>
              <w:right w:val="single" w:sz="4" w:space="0" w:color="auto"/>
            </w:tcBorders>
            <w:hideMark/>
          </w:tcPr>
          <w:p w14:paraId="699CBA50" w14:textId="77777777" w:rsidR="00D009C9" w:rsidRDefault="00D009C9" w:rsidP="00D009C9">
            <w:r>
              <w:t>Noteikumu projekts šo jomu neskar.</w:t>
            </w:r>
          </w:p>
        </w:tc>
      </w:tr>
      <w:tr w:rsidR="00D009C9" w14:paraId="699CBA54" w14:textId="77777777" w:rsidTr="00CB5E35">
        <w:tc>
          <w:tcPr>
            <w:tcW w:w="1479" w:type="pct"/>
            <w:tcBorders>
              <w:top w:val="single" w:sz="4" w:space="0" w:color="auto"/>
              <w:left w:val="single" w:sz="4" w:space="0" w:color="auto"/>
              <w:bottom w:val="single" w:sz="4" w:space="0" w:color="auto"/>
              <w:right w:val="single" w:sz="4" w:space="0" w:color="auto"/>
            </w:tcBorders>
            <w:hideMark/>
          </w:tcPr>
          <w:p w14:paraId="699CBA52" w14:textId="77777777" w:rsidR="00D009C9" w:rsidRDefault="00D009C9" w:rsidP="00D009C9">
            <w:r>
              <w:t>Cita informācija</w:t>
            </w:r>
          </w:p>
        </w:tc>
        <w:tc>
          <w:tcPr>
            <w:tcW w:w="3521" w:type="pct"/>
            <w:gridSpan w:val="5"/>
            <w:tcBorders>
              <w:top w:val="single" w:sz="4" w:space="0" w:color="auto"/>
              <w:left w:val="single" w:sz="4" w:space="0" w:color="auto"/>
              <w:bottom w:val="single" w:sz="4" w:space="0" w:color="auto"/>
              <w:right w:val="single" w:sz="4" w:space="0" w:color="auto"/>
            </w:tcBorders>
            <w:hideMark/>
          </w:tcPr>
          <w:p w14:paraId="699CBA53" w14:textId="77777777" w:rsidR="00D009C9" w:rsidRDefault="00D009C9" w:rsidP="00D009C9">
            <w:r>
              <w:t>Nav</w:t>
            </w:r>
          </w:p>
        </w:tc>
      </w:tr>
      <w:tr w:rsidR="00D009C9" w14:paraId="699CBA56" w14:textId="77777777" w:rsidTr="00F527E5">
        <w:tc>
          <w:tcPr>
            <w:tcW w:w="5000" w:type="pct"/>
            <w:gridSpan w:val="6"/>
            <w:tcBorders>
              <w:top w:val="single" w:sz="4" w:space="0" w:color="auto"/>
              <w:left w:val="single" w:sz="4" w:space="0" w:color="auto"/>
              <w:bottom w:val="single" w:sz="4" w:space="0" w:color="auto"/>
              <w:right w:val="single" w:sz="4" w:space="0" w:color="auto"/>
            </w:tcBorders>
            <w:hideMark/>
          </w:tcPr>
          <w:p w14:paraId="699CBA55" w14:textId="77777777" w:rsidR="00D009C9" w:rsidRDefault="00D009C9" w:rsidP="00D009C9">
            <w:pPr>
              <w:jc w:val="center"/>
              <w:rPr>
                <w:b/>
                <w:bCs/>
              </w:rPr>
            </w:pPr>
            <w:r>
              <w:rPr>
                <w:b/>
                <w:bCs/>
              </w:rPr>
              <w:t>2.</w:t>
            </w:r>
            <w:r w:rsidR="00BD51A1">
              <w:rPr>
                <w:b/>
                <w:bCs/>
              </w:rPr>
              <w:t> </w:t>
            </w:r>
            <w:r>
              <w:rPr>
                <w:b/>
                <w:bCs/>
              </w:rPr>
              <w:t>tabula</w:t>
            </w:r>
            <w:r>
              <w:rPr>
                <w:b/>
                <w:bCs/>
              </w:rPr>
              <w:br/>
              <w:t>Ar tiesību akta projektu izpildītās vai uzņemtās saistības, kas izriet no starptautiskajiem tiesību aktiem vai starptautiskas institūcijas vai organizācijas dokumentiem.</w:t>
            </w:r>
            <w:r>
              <w:rPr>
                <w:b/>
                <w:bCs/>
              </w:rPr>
              <w:br/>
              <w:t>Pasākumi šo saistību izpildei</w:t>
            </w:r>
          </w:p>
        </w:tc>
      </w:tr>
      <w:tr w:rsidR="00D009C9" w14:paraId="699CBA59" w14:textId="77777777" w:rsidTr="00410213">
        <w:tc>
          <w:tcPr>
            <w:tcW w:w="2500" w:type="pct"/>
            <w:gridSpan w:val="2"/>
            <w:tcBorders>
              <w:top w:val="single" w:sz="4" w:space="0" w:color="auto"/>
              <w:left w:val="single" w:sz="4" w:space="0" w:color="auto"/>
              <w:bottom w:val="single" w:sz="4" w:space="0" w:color="auto"/>
              <w:right w:val="single" w:sz="4" w:space="0" w:color="auto"/>
            </w:tcBorders>
            <w:hideMark/>
          </w:tcPr>
          <w:p w14:paraId="699CBA57" w14:textId="77777777" w:rsidR="00D009C9" w:rsidRDefault="00D009C9" w:rsidP="00D009C9">
            <w:pPr>
              <w:rPr>
                <w:lang w:eastAsia="en-US"/>
              </w:rPr>
            </w:pPr>
            <w:r>
              <w:t>Attiecīgā starptautiskā tiesību akta vai starptautiskas institūcijas vai organizācijas dokumenta (turpmāk – starptautiskais dokuments) datums, numurs un nosaukums</w:t>
            </w:r>
          </w:p>
        </w:tc>
        <w:tc>
          <w:tcPr>
            <w:tcW w:w="2500" w:type="pct"/>
            <w:gridSpan w:val="4"/>
            <w:tcBorders>
              <w:top w:val="single" w:sz="4" w:space="0" w:color="auto"/>
              <w:left w:val="single" w:sz="4" w:space="0" w:color="auto"/>
              <w:bottom w:val="single" w:sz="4" w:space="0" w:color="auto"/>
              <w:right w:val="single" w:sz="4" w:space="0" w:color="auto"/>
            </w:tcBorders>
            <w:hideMark/>
          </w:tcPr>
          <w:p w14:paraId="699CBA58" w14:textId="77777777" w:rsidR="00D009C9" w:rsidRDefault="00D009C9" w:rsidP="00D009C9">
            <w:r>
              <w:t>Noteikumu projekts šo jomu neskar.</w:t>
            </w:r>
          </w:p>
        </w:tc>
      </w:tr>
      <w:tr w:rsidR="00D009C9" w14:paraId="699CBA5D" w14:textId="77777777" w:rsidTr="00410213">
        <w:tc>
          <w:tcPr>
            <w:tcW w:w="2500" w:type="pct"/>
            <w:gridSpan w:val="2"/>
            <w:tcBorders>
              <w:top w:val="single" w:sz="4" w:space="0" w:color="auto"/>
              <w:left w:val="single" w:sz="4" w:space="0" w:color="auto"/>
              <w:bottom w:val="single" w:sz="4" w:space="0" w:color="auto"/>
              <w:right w:val="single" w:sz="4" w:space="0" w:color="auto"/>
            </w:tcBorders>
            <w:hideMark/>
          </w:tcPr>
          <w:p w14:paraId="699CBA5A" w14:textId="77777777" w:rsidR="00D009C9" w:rsidRDefault="00D009C9" w:rsidP="00D009C9">
            <w:pPr>
              <w:jc w:val="center"/>
            </w:pPr>
            <w:r>
              <w:t>A</w:t>
            </w:r>
          </w:p>
        </w:tc>
        <w:tc>
          <w:tcPr>
            <w:tcW w:w="1018" w:type="pct"/>
            <w:gridSpan w:val="2"/>
            <w:tcBorders>
              <w:top w:val="single" w:sz="4" w:space="0" w:color="auto"/>
              <w:left w:val="single" w:sz="4" w:space="0" w:color="auto"/>
              <w:bottom w:val="single" w:sz="4" w:space="0" w:color="auto"/>
              <w:right w:val="single" w:sz="4" w:space="0" w:color="auto"/>
            </w:tcBorders>
            <w:hideMark/>
          </w:tcPr>
          <w:p w14:paraId="699CBA5B" w14:textId="77777777" w:rsidR="00D009C9" w:rsidRDefault="00D009C9" w:rsidP="00D009C9">
            <w:pPr>
              <w:jc w:val="center"/>
            </w:pPr>
            <w:r>
              <w:t>B</w:t>
            </w:r>
          </w:p>
        </w:tc>
        <w:tc>
          <w:tcPr>
            <w:tcW w:w="1482" w:type="pct"/>
            <w:gridSpan w:val="2"/>
            <w:tcBorders>
              <w:top w:val="single" w:sz="4" w:space="0" w:color="auto"/>
              <w:left w:val="single" w:sz="4" w:space="0" w:color="auto"/>
              <w:bottom w:val="single" w:sz="4" w:space="0" w:color="auto"/>
              <w:right w:val="single" w:sz="4" w:space="0" w:color="auto"/>
            </w:tcBorders>
            <w:hideMark/>
          </w:tcPr>
          <w:p w14:paraId="699CBA5C" w14:textId="77777777" w:rsidR="00D009C9" w:rsidRDefault="00D009C9" w:rsidP="00D009C9">
            <w:pPr>
              <w:jc w:val="center"/>
            </w:pPr>
            <w:r>
              <w:t>C</w:t>
            </w:r>
          </w:p>
        </w:tc>
      </w:tr>
      <w:tr w:rsidR="00D009C9" w14:paraId="699CBA61" w14:textId="77777777" w:rsidTr="00410213">
        <w:tc>
          <w:tcPr>
            <w:tcW w:w="2500" w:type="pct"/>
            <w:gridSpan w:val="2"/>
            <w:tcBorders>
              <w:top w:val="single" w:sz="4" w:space="0" w:color="auto"/>
              <w:left w:val="single" w:sz="4" w:space="0" w:color="auto"/>
              <w:bottom w:val="single" w:sz="4" w:space="0" w:color="auto"/>
              <w:right w:val="single" w:sz="4" w:space="0" w:color="auto"/>
            </w:tcBorders>
            <w:hideMark/>
          </w:tcPr>
          <w:p w14:paraId="699CBA5E" w14:textId="77777777" w:rsidR="00D009C9" w:rsidRDefault="00D009C9" w:rsidP="00D009C9">
            <w:r>
              <w:t>Iekļauj informāciju atbilstoši instrukcijas 58.1.apakšpunktā noteiktajam</w:t>
            </w:r>
          </w:p>
        </w:tc>
        <w:tc>
          <w:tcPr>
            <w:tcW w:w="1018" w:type="pct"/>
            <w:gridSpan w:val="2"/>
            <w:tcBorders>
              <w:top w:val="single" w:sz="4" w:space="0" w:color="auto"/>
              <w:left w:val="single" w:sz="4" w:space="0" w:color="auto"/>
              <w:bottom w:val="single" w:sz="4" w:space="0" w:color="auto"/>
              <w:right w:val="single" w:sz="4" w:space="0" w:color="auto"/>
            </w:tcBorders>
            <w:hideMark/>
          </w:tcPr>
          <w:p w14:paraId="699CBA5F" w14:textId="77777777" w:rsidR="00D009C9" w:rsidRDefault="00D009C9" w:rsidP="00D009C9">
            <w:r>
              <w:t>Projekts šo jomu neskar.</w:t>
            </w:r>
          </w:p>
        </w:tc>
        <w:tc>
          <w:tcPr>
            <w:tcW w:w="1482" w:type="pct"/>
            <w:gridSpan w:val="2"/>
            <w:tcBorders>
              <w:top w:val="single" w:sz="4" w:space="0" w:color="auto"/>
              <w:left w:val="single" w:sz="4" w:space="0" w:color="auto"/>
              <w:bottom w:val="single" w:sz="4" w:space="0" w:color="auto"/>
              <w:right w:val="single" w:sz="4" w:space="0" w:color="auto"/>
            </w:tcBorders>
            <w:hideMark/>
          </w:tcPr>
          <w:p w14:paraId="699CBA60" w14:textId="77777777" w:rsidR="00D009C9" w:rsidRDefault="00D009C9" w:rsidP="00D009C9">
            <w:r>
              <w:t>Projekts šo jomu neskar.</w:t>
            </w:r>
          </w:p>
        </w:tc>
      </w:tr>
      <w:tr w:rsidR="00D009C9" w14:paraId="699CBA64" w14:textId="77777777" w:rsidTr="00410213">
        <w:tc>
          <w:tcPr>
            <w:tcW w:w="2500" w:type="pct"/>
            <w:gridSpan w:val="2"/>
            <w:tcBorders>
              <w:top w:val="single" w:sz="4" w:space="0" w:color="auto"/>
              <w:left w:val="single" w:sz="4" w:space="0" w:color="auto"/>
              <w:bottom w:val="single" w:sz="4" w:space="0" w:color="auto"/>
              <w:right w:val="single" w:sz="4" w:space="0" w:color="auto"/>
            </w:tcBorders>
            <w:hideMark/>
          </w:tcPr>
          <w:p w14:paraId="699CBA62" w14:textId="77777777" w:rsidR="00D009C9" w:rsidRDefault="00D009C9" w:rsidP="00D009C9">
            <w:r>
              <w:t>Vai starptautiskajā dokumentā paredzētās saistības nav pretrunā ar jau esošajām Latvijas Republikas starptautiskajām saistībām</w:t>
            </w:r>
          </w:p>
        </w:tc>
        <w:tc>
          <w:tcPr>
            <w:tcW w:w="2500" w:type="pct"/>
            <w:gridSpan w:val="4"/>
            <w:tcBorders>
              <w:top w:val="single" w:sz="4" w:space="0" w:color="auto"/>
              <w:left w:val="single" w:sz="4" w:space="0" w:color="auto"/>
              <w:bottom w:val="single" w:sz="4" w:space="0" w:color="auto"/>
              <w:right w:val="single" w:sz="4" w:space="0" w:color="auto"/>
            </w:tcBorders>
            <w:hideMark/>
          </w:tcPr>
          <w:p w14:paraId="699CBA63" w14:textId="77777777" w:rsidR="00D009C9" w:rsidRDefault="00D009C9" w:rsidP="00D009C9">
            <w:r>
              <w:t>Projekts šo jomu neskar.</w:t>
            </w:r>
          </w:p>
        </w:tc>
      </w:tr>
      <w:tr w:rsidR="00D009C9" w14:paraId="699CBA67" w14:textId="77777777" w:rsidTr="00410213">
        <w:tc>
          <w:tcPr>
            <w:tcW w:w="2500" w:type="pct"/>
            <w:gridSpan w:val="2"/>
            <w:tcBorders>
              <w:top w:val="single" w:sz="4" w:space="0" w:color="auto"/>
              <w:left w:val="single" w:sz="4" w:space="0" w:color="auto"/>
              <w:bottom w:val="single" w:sz="4" w:space="0" w:color="auto"/>
              <w:right w:val="single" w:sz="4" w:space="0" w:color="auto"/>
            </w:tcBorders>
            <w:hideMark/>
          </w:tcPr>
          <w:p w14:paraId="699CBA65" w14:textId="77777777" w:rsidR="00D009C9" w:rsidRDefault="00D009C9" w:rsidP="00D009C9">
            <w:r>
              <w:t>Cita informācija</w:t>
            </w:r>
          </w:p>
        </w:tc>
        <w:tc>
          <w:tcPr>
            <w:tcW w:w="2500" w:type="pct"/>
            <w:gridSpan w:val="4"/>
            <w:tcBorders>
              <w:top w:val="single" w:sz="4" w:space="0" w:color="auto"/>
              <w:left w:val="single" w:sz="4" w:space="0" w:color="auto"/>
              <w:bottom w:val="single" w:sz="4" w:space="0" w:color="auto"/>
              <w:right w:val="single" w:sz="4" w:space="0" w:color="auto"/>
            </w:tcBorders>
            <w:hideMark/>
          </w:tcPr>
          <w:p w14:paraId="699CBA66" w14:textId="77777777" w:rsidR="00D009C9" w:rsidRDefault="00D009C9" w:rsidP="00D009C9">
            <w:r>
              <w:t>Nav</w:t>
            </w:r>
          </w:p>
        </w:tc>
      </w:tr>
    </w:tbl>
    <w:p w14:paraId="699CBA68" w14:textId="77777777" w:rsidR="00675E27" w:rsidRPr="000B7CDC" w:rsidRDefault="00675E27" w:rsidP="00E6286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
        <w:gridCol w:w="1955"/>
        <w:gridCol w:w="6629"/>
      </w:tblGrid>
      <w:tr w:rsidR="00E62865" w:rsidRPr="000B7CDC" w14:paraId="699CBA6A" w14:textId="77777777" w:rsidTr="008153FA">
        <w:trPr>
          <w:jc w:val="center"/>
        </w:trPr>
        <w:tc>
          <w:tcPr>
            <w:tcW w:w="5000" w:type="pct"/>
            <w:gridSpan w:val="3"/>
            <w:tcMar>
              <w:top w:w="57" w:type="dxa"/>
              <w:left w:w="57" w:type="dxa"/>
              <w:bottom w:w="57" w:type="dxa"/>
              <w:right w:w="57" w:type="dxa"/>
            </w:tcMar>
          </w:tcPr>
          <w:p w14:paraId="699CBA69" w14:textId="77777777" w:rsidR="00E62865" w:rsidRPr="000B7CDC" w:rsidRDefault="00E62865" w:rsidP="0098329C">
            <w:pPr>
              <w:pStyle w:val="naisnod"/>
              <w:spacing w:before="0" w:after="0"/>
              <w:ind w:left="57" w:right="57"/>
            </w:pPr>
            <w:r w:rsidRPr="000B7CDC">
              <w:t>VI.</w:t>
            </w:r>
            <w:r w:rsidR="00BD51A1">
              <w:t> </w:t>
            </w:r>
            <w:r w:rsidRPr="000B7CDC">
              <w:t>Sabiedrības līdzdalība un komunikācijas aktivitātes</w:t>
            </w:r>
          </w:p>
        </w:tc>
      </w:tr>
      <w:tr w:rsidR="00E62865" w:rsidRPr="000B7CDC" w14:paraId="699CBA6E" w14:textId="77777777" w:rsidTr="008153FA">
        <w:trPr>
          <w:trHeight w:val="553"/>
          <w:jc w:val="center"/>
        </w:trPr>
        <w:tc>
          <w:tcPr>
            <w:tcW w:w="263" w:type="pct"/>
            <w:tcMar>
              <w:top w:w="57" w:type="dxa"/>
              <w:left w:w="57" w:type="dxa"/>
              <w:bottom w:w="57" w:type="dxa"/>
              <w:right w:w="57" w:type="dxa"/>
            </w:tcMar>
          </w:tcPr>
          <w:p w14:paraId="699CBA6B" w14:textId="77777777" w:rsidR="00E62865" w:rsidRPr="00142D65" w:rsidRDefault="00E62865" w:rsidP="0098329C">
            <w:pPr>
              <w:pStyle w:val="naiskr"/>
              <w:spacing w:before="0" w:after="0"/>
              <w:ind w:left="57" w:right="57"/>
              <w:rPr>
                <w:bCs/>
              </w:rPr>
            </w:pPr>
            <w:r w:rsidRPr="00142D65">
              <w:rPr>
                <w:bCs/>
                <w:sz w:val="22"/>
                <w:szCs w:val="22"/>
              </w:rPr>
              <w:t>1.</w:t>
            </w:r>
          </w:p>
        </w:tc>
        <w:tc>
          <w:tcPr>
            <w:tcW w:w="1079" w:type="pct"/>
            <w:tcMar>
              <w:top w:w="57" w:type="dxa"/>
              <w:left w:w="57" w:type="dxa"/>
              <w:bottom w:w="57" w:type="dxa"/>
              <w:right w:w="57" w:type="dxa"/>
            </w:tcMar>
          </w:tcPr>
          <w:p w14:paraId="699CBA6C" w14:textId="77777777" w:rsidR="00E62865" w:rsidRPr="000B7CDC" w:rsidRDefault="00E62865" w:rsidP="0098329C">
            <w:pPr>
              <w:pStyle w:val="naiskr"/>
              <w:tabs>
                <w:tab w:val="left" w:pos="170"/>
              </w:tabs>
              <w:spacing w:before="0" w:after="0"/>
              <w:ind w:left="57" w:right="57"/>
            </w:pPr>
            <w:r w:rsidRPr="000B7CDC">
              <w:t>Plānotās sabiedrības līdzdalības un komunikācijas aktivitātes saistībā ar projektu</w:t>
            </w:r>
          </w:p>
        </w:tc>
        <w:tc>
          <w:tcPr>
            <w:tcW w:w="3657" w:type="pct"/>
            <w:tcMar>
              <w:top w:w="57" w:type="dxa"/>
              <w:left w:w="57" w:type="dxa"/>
              <w:bottom w:w="57" w:type="dxa"/>
              <w:right w:w="57" w:type="dxa"/>
            </w:tcMar>
          </w:tcPr>
          <w:p w14:paraId="699CBA6D" w14:textId="77777777" w:rsidR="00E62865" w:rsidRPr="00311541" w:rsidRDefault="00DE589E" w:rsidP="008153FA">
            <w:pPr>
              <w:jc w:val="both"/>
            </w:pPr>
            <w:r w:rsidRPr="00061ACF">
              <w:t>Saskaņā ar Ministru kabineta 2009. gada 25. augusta noteikumu Nr. 970 „Sabiedrības līdzdalības kārtība attīstības plānošanas procesā” 7.4.</w:t>
            </w:r>
            <w:r w:rsidRPr="002A6534">
              <w:rPr>
                <w:vertAlign w:val="superscript"/>
              </w:rPr>
              <w:t>1</w:t>
            </w:r>
            <w:r w:rsidRPr="00D04939">
              <w:rPr>
                <w:vertAlign w:val="superscript"/>
              </w:rPr>
              <w:t> </w:t>
            </w:r>
            <w:r w:rsidRPr="00673585">
              <w:t>apakšpunktu sabiedrības pārstāvji ir aicināti līdzdarboties, rakstiski sniedzot viedokli par noteikumu projektu tā izstrādes stadijā. Sabiedrības pārstāvji ir informēti par iespēju līdzdarboties, publicējot paziņojumu par</w:t>
            </w:r>
            <w:r>
              <w:t xml:space="preserve"> līdzdalības procesu Vides aizsardzības un reģionālās attīstības </w:t>
            </w:r>
            <w:r w:rsidRPr="00673585">
              <w:t xml:space="preserve"> </w:t>
            </w:r>
            <w:r>
              <w:t xml:space="preserve">ministrijas </w:t>
            </w:r>
            <w:r w:rsidRPr="00673585">
              <w:t>tīmekļa vietnē.</w:t>
            </w:r>
          </w:p>
        </w:tc>
      </w:tr>
      <w:tr w:rsidR="00E62865" w:rsidRPr="000B7CDC" w14:paraId="699CBA74" w14:textId="77777777" w:rsidTr="008153FA">
        <w:trPr>
          <w:trHeight w:val="339"/>
          <w:jc w:val="center"/>
        </w:trPr>
        <w:tc>
          <w:tcPr>
            <w:tcW w:w="263" w:type="pct"/>
            <w:tcMar>
              <w:top w:w="57" w:type="dxa"/>
              <w:left w:w="57" w:type="dxa"/>
              <w:bottom w:w="57" w:type="dxa"/>
              <w:right w:w="57" w:type="dxa"/>
            </w:tcMar>
          </w:tcPr>
          <w:p w14:paraId="699CBA6F" w14:textId="77777777" w:rsidR="00E62865" w:rsidRPr="00142D65" w:rsidRDefault="00E62865" w:rsidP="0098329C">
            <w:pPr>
              <w:pStyle w:val="naiskr"/>
              <w:spacing w:before="0" w:after="0"/>
              <w:ind w:left="57" w:right="57"/>
              <w:rPr>
                <w:bCs/>
              </w:rPr>
            </w:pPr>
            <w:r w:rsidRPr="00142D65">
              <w:rPr>
                <w:bCs/>
                <w:sz w:val="22"/>
                <w:szCs w:val="22"/>
              </w:rPr>
              <w:t>2.</w:t>
            </w:r>
          </w:p>
        </w:tc>
        <w:tc>
          <w:tcPr>
            <w:tcW w:w="1079" w:type="pct"/>
            <w:tcMar>
              <w:top w:w="57" w:type="dxa"/>
              <w:left w:w="57" w:type="dxa"/>
              <w:bottom w:w="57" w:type="dxa"/>
              <w:right w:w="57" w:type="dxa"/>
            </w:tcMar>
          </w:tcPr>
          <w:p w14:paraId="699CBA70" w14:textId="77777777" w:rsidR="00E62865" w:rsidRPr="000B7CDC" w:rsidRDefault="00E62865" w:rsidP="0098329C">
            <w:pPr>
              <w:pStyle w:val="naiskr"/>
              <w:spacing w:before="0" w:after="0"/>
              <w:ind w:left="57" w:right="57"/>
            </w:pPr>
            <w:r w:rsidRPr="000B7CDC">
              <w:t xml:space="preserve">Sabiedrības līdzdalība projekta izstrādē </w:t>
            </w:r>
          </w:p>
        </w:tc>
        <w:tc>
          <w:tcPr>
            <w:tcW w:w="3657" w:type="pct"/>
            <w:tcMar>
              <w:top w:w="57" w:type="dxa"/>
              <w:left w:w="57" w:type="dxa"/>
              <w:bottom w:w="57" w:type="dxa"/>
              <w:right w:w="57" w:type="dxa"/>
            </w:tcMar>
          </w:tcPr>
          <w:p w14:paraId="699CBA71" w14:textId="77777777" w:rsidR="00E62865" w:rsidRDefault="008153FA" w:rsidP="004918E4">
            <w:pPr>
              <w:pStyle w:val="naiskr"/>
              <w:spacing w:before="0" w:after="0"/>
              <w:ind w:left="57" w:right="57"/>
              <w:jc w:val="both"/>
            </w:pPr>
            <w:r>
              <w:t xml:space="preserve">Noteikumu projekts </w:t>
            </w:r>
            <w:r w:rsidR="004918E4">
              <w:t>2016.</w:t>
            </w:r>
            <w:r w:rsidR="00BD51A1">
              <w:t> </w:t>
            </w:r>
            <w:r w:rsidR="004918E4">
              <w:t>gada 27.</w:t>
            </w:r>
            <w:r w:rsidR="00BD51A1">
              <w:t> </w:t>
            </w:r>
            <w:r w:rsidR="004918E4">
              <w:t>septembrī</w:t>
            </w:r>
            <w:r w:rsidR="009A029D">
              <w:t xml:space="preserve"> </w:t>
            </w:r>
            <w:r>
              <w:t xml:space="preserve">ievietots </w:t>
            </w:r>
            <w:r w:rsidR="003F201A">
              <w:t xml:space="preserve">Vides aizsardzības un reģionālās attīstības </w:t>
            </w:r>
            <w:r>
              <w:t>ministrijas</w:t>
            </w:r>
            <w:r w:rsidRPr="00311541">
              <w:t xml:space="preserve"> </w:t>
            </w:r>
            <w:r w:rsidR="003F201A">
              <w:t>tīmekļa vietnē,</w:t>
            </w:r>
            <w:r w:rsidRPr="00311541">
              <w:t xml:space="preserve"> </w:t>
            </w:r>
            <w:r>
              <w:t>sadaļā „Sabiedrības līdzdalība” (</w:t>
            </w:r>
            <w:hyperlink r:id="rId12" w:history="1">
              <w:r w:rsidR="00811E02" w:rsidRPr="007E1AFF">
                <w:rPr>
                  <w:rStyle w:val="Hyperlink"/>
                </w:rPr>
                <w:t>http://www.varam.gov.lv/lat/likumdosana/normativo_aktu_projekti/normativo_aktu_projekti_vides_aizsardzibas_joma/</w:t>
              </w:r>
            </w:hyperlink>
            <w:r w:rsidR="00811E02">
              <w:t>)</w:t>
            </w:r>
            <w:r>
              <w:t>.</w:t>
            </w:r>
          </w:p>
          <w:p w14:paraId="699CBA72" w14:textId="77777777" w:rsidR="00337F12" w:rsidRDefault="00337F12" w:rsidP="004918E4">
            <w:pPr>
              <w:pStyle w:val="naiskr"/>
              <w:spacing w:before="0" w:after="0"/>
              <w:ind w:left="57" w:right="57"/>
              <w:jc w:val="both"/>
            </w:pPr>
          </w:p>
          <w:p w14:paraId="699CBA73" w14:textId="77777777" w:rsidR="00337F12" w:rsidRPr="00BE3C64" w:rsidRDefault="00337F12" w:rsidP="001B33A3">
            <w:pPr>
              <w:pStyle w:val="naiskr"/>
              <w:spacing w:before="0" w:after="0"/>
              <w:ind w:left="57" w:right="57"/>
              <w:jc w:val="both"/>
            </w:pPr>
            <w:r w:rsidRPr="006C578B">
              <w:t xml:space="preserve">Pēc noteikumu projekta izsludināšanas tika saņemti dažādi komentāri no </w:t>
            </w:r>
            <w:r w:rsidR="00C00054" w:rsidRPr="006C578B">
              <w:t>Latvijas Vides pārvaldības asociācijas</w:t>
            </w:r>
            <w:r w:rsidRPr="006C578B">
              <w:t xml:space="preserve">, kā arī no Rīgas domes </w:t>
            </w:r>
            <w:r w:rsidR="00733667" w:rsidRPr="006C578B">
              <w:t>eksperta</w:t>
            </w:r>
            <w:r w:rsidRPr="006C578B">
              <w:t>.</w:t>
            </w:r>
            <w:r w:rsidR="00733667" w:rsidRPr="006C578B">
              <w:t xml:space="preserve"> </w:t>
            </w:r>
            <w:r w:rsidR="00B46B7D" w:rsidRPr="006C578B">
              <w:t>Tika ņemt</w:t>
            </w:r>
            <w:r w:rsidR="00353309" w:rsidRPr="006C578B">
              <w:t>s</w:t>
            </w:r>
            <w:r w:rsidR="00B46B7D" w:rsidRPr="006C578B">
              <w:t xml:space="preserve"> vērā ierosinājums par to, ka skaidrāk jānosaka, ka noteikumu prasības neattiecas uz operatoriem un zinātniskajām institūcijām, kā arī </w:t>
            </w:r>
            <w:r w:rsidR="005D06F9" w:rsidRPr="006C578B">
              <w:t>priekšlikums skaidrāk noteikt prasības, kas attiecas uz tām stacijām, kas mērījumus veic ārpus valsts monitoringa tīkla. Atbilstoši iesniegtajiem priekšlikumiem precizētas arī</w:t>
            </w:r>
            <w:r w:rsidR="00B46B7D" w:rsidRPr="006C578B">
              <w:t xml:space="preserve"> normas, kas saistītas ar mērījumu metožu (standartu) izmantošanu</w:t>
            </w:r>
            <w:r w:rsidR="005D06F9" w:rsidRPr="006C578B">
              <w:t>, kā arī v</w:t>
            </w:r>
            <w:r w:rsidR="00B46B7D" w:rsidRPr="006C578B">
              <w:t>eikti</w:t>
            </w:r>
            <w:r w:rsidR="005D06F9" w:rsidRPr="006C578B">
              <w:t xml:space="preserve"> </w:t>
            </w:r>
            <w:r w:rsidR="00B46B7D" w:rsidRPr="006C578B">
              <w:t>citi redakcionāl</w:t>
            </w:r>
            <w:r w:rsidR="005D06F9" w:rsidRPr="006C578B">
              <w:t xml:space="preserve">a rakstura </w:t>
            </w:r>
            <w:r w:rsidR="00B46B7D" w:rsidRPr="006C578B">
              <w:t>precizējumi.</w:t>
            </w:r>
          </w:p>
        </w:tc>
      </w:tr>
      <w:tr w:rsidR="00E62865" w:rsidRPr="000B7CDC" w14:paraId="699CBA78" w14:textId="77777777" w:rsidTr="008153FA">
        <w:trPr>
          <w:trHeight w:val="375"/>
          <w:jc w:val="center"/>
        </w:trPr>
        <w:tc>
          <w:tcPr>
            <w:tcW w:w="263" w:type="pct"/>
            <w:tcMar>
              <w:top w:w="57" w:type="dxa"/>
              <w:left w:w="57" w:type="dxa"/>
              <w:bottom w:w="57" w:type="dxa"/>
              <w:right w:w="57" w:type="dxa"/>
            </w:tcMar>
          </w:tcPr>
          <w:p w14:paraId="699CBA75" w14:textId="77777777" w:rsidR="00E62865" w:rsidRPr="00142D65" w:rsidRDefault="00E62865" w:rsidP="0098329C">
            <w:pPr>
              <w:pStyle w:val="naiskr"/>
              <w:spacing w:before="0" w:after="0"/>
              <w:ind w:left="57" w:right="57"/>
              <w:rPr>
                <w:bCs/>
              </w:rPr>
            </w:pPr>
            <w:r w:rsidRPr="00142D65">
              <w:rPr>
                <w:bCs/>
                <w:sz w:val="22"/>
                <w:szCs w:val="22"/>
              </w:rPr>
              <w:t>3.</w:t>
            </w:r>
          </w:p>
        </w:tc>
        <w:tc>
          <w:tcPr>
            <w:tcW w:w="1079" w:type="pct"/>
            <w:tcMar>
              <w:top w:w="57" w:type="dxa"/>
              <w:left w:w="57" w:type="dxa"/>
              <w:bottom w:w="57" w:type="dxa"/>
              <w:right w:w="57" w:type="dxa"/>
            </w:tcMar>
          </w:tcPr>
          <w:p w14:paraId="699CBA76" w14:textId="77777777" w:rsidR="00E62865" w:rsidRPr="000B7CDC" w:rsidRDefault="00E62865" w:rsidP="0098329C">
            <w:pPr>
              <w:pStyle w:val="naiskr"/>
              <w:spacing w:before="0" w:after="0"/>
              <w:ind w:left="57" w:right="57"/>
            </w:pPr>
            <w:r w:rsidRPr="000B7CDC">
              <w:t xml:space="preserve">Sabiedrības līdzdalības rezultāti </w:t>
            </w:r>
          </w:p>
        </w:tc>
        <w:tc>
          <w:tcPr>
            <w:tcW w:w="3657" w:type="pct"/>
            <w:tcMar>
              <w:top w:w="57" w:type="dxa"/>
              <w:left w:w="57" w:type="dxa"/>
              <w:bottom w:w="57" w:type="dxa"/>
              <w:right w:w="57" w:type="dxa"/>
            </w:tcMar>
          </w:tcPr>
          <w:p w14:paraId="699CBA77" w14:textId="77777777" w:rsidR="00E62865" w:rsidRPr="000B7CDC" w:rsidRDefault="00A03EA0" w:rsidP="0048546C">
            <w:r>
              <w:t>Saņemtie k</w:t>
            </w:r>
            <w:r w:rsidR="00C27E71">
              <w:t xml:space="preserve">omentāri </w:t>
            </w:r>
            <w:r w:rsidR="0048546C">
              <w:t>daļēji ņemti vērā.</w:t>
            </w:r>
          </w:p>
        </w:tc>
      </w:tr>
      <w:tr w:rsidR="00E62865" w:rsidRPr="000B7CDC" w14:paraId="699CBA7C" w14:textId="77777777" w:rsidTr="00C3718C">
        <w:trPr>
          <w:trHeight w:val="154"/>
          <w:jc w:val="center"/>
        </w:trPr>
        <w:tc>
          <w:tcPr>
            <w:tcW w:w="263" w:type="pct"/>
            <w:tcMar>
              <w:top w:w="57" w:type="dxa"/>
              <w:left w:w="57" w:type="dxa"/>
              <w:bottom w:w="57" w:type="dxa"/>
              <w:right w:w="57" w:type="dxa"/>
            </w:tcMar>
          </w:tcPr>
          <w:p w14:paraId="699CBA79" w14:textId="77777777" w:rsidR="00E62865" w:rsidRPr="00142D65" w:rsidRDefault="00E62865" w:rsidP="0098329C">
            <w:pPr>
              <w:pStyle w:val="naiskr"/>
              <w:spacing w:before="0" w:after="0"/>
              <w:ind w:left="57" w:right="57"/>
              <w:rPr>
                <w:bCs/>
              </w:rPr>
            </w:pPr>
            <w:r w:rsidRPr="00142D65">
              <w:rPr>
                <w:bCs/>
                <w:sz w:val="22"/>
                <w:szCs w:val="22"/>
              </w:rPr>
              <w:t>4.</w:t>
            </w:r>
          </w:p>
        </w:tc>
        <w:tc>
          <w:tcPr>
            <w:tcW w:w="1079" w:type="pct"/>
            <w:tcMar>
              <w:top w:w="57" w:type="dxa"/>
              <w:left w:w="57" w:type="dxa"/>
              <w:bottom w:w="57" w:type="dxa"/>
              <w:right w:w="57" w:type="dxa"/>
            </w:tcMar>
          </w:tcPr>
          <w:p w14:paraId="699CBA7A" w14:textId="77777777" w:rsidR="00E62865" w:rsidRPr="000B7CDC" w:rsidRDefault="00E62865" w:rsidP="0098329C">
            <w:pPr>
              <w:pStyle w:val="naiskr"/>
              <w:spacing w:before="0" w:after="0"/>
              <w:ind w:left="57" w:right="57"/>
            </w:pPr>
            <w:r w:rsidRPr="000B7CDC">
              <w:t>Cita informācija</w:t>
            </w:r>
          </w:p>
        </w:tc>
        <w:tc>
          <w:tcPr>
            <w:tcW w:w="3657" w:type="pct"/>
            <w:tcMar>
              <w:top w:w="57" w:type="dxa"/>
              <w:left w:w="57" w:type="dxa"/>
              <w:bottom w:w="57" w:type="dxa"/>
              <w:right w:w="57" w:type="dxa"/>
            </w:tcMar>
          </w:tcPr>
          <w:p w14:paraId="699CBA7B" w14:textId="77777777" w:rsidR="00E62865" w:rsidRPr="000B7CDC" w:rsidRDefault="00E62865" w:rsidP="0098329C">
            <w:pPr>
              <w:pStyle w:val="naiskr"/>
              <w:spacing w:before="0" w:after="0"/>
              <w:ind w:right="57"/>
              <w:jc w:val="both"/>
            </w:pPr>
            <w:r w:rsidRPr="000B7CDC">
              <w:t>Nav</w:t>
            </w:r>
          </w:p>
        </w:tc>
      </w:tr>
    </w:tbl>
    <w:p w14:paraId="699CBA7D" w14:textId="77777777" w:rsidR="00675E27" w:rsidRPr="000B7CDC" w:rsidRDefault="00675E27" w:rsidP="00E6286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02"/>
        <w:gridCol w:w="3987"/>
        <w:gridCol w:w="4672"/>
      </w:tblGrid>
      <w:tr w:rsidR="00E62865" w:rsidRPr="000B7CDC" w14:paraId="699CBA7F" w14:textId="77777777" w:rsidTr="00C459A3">
        <w:trPr>
          <w:jc w:val="center"/>
        </w:trPr>
        <w:tc>
          <w:tcPr>
            <w:tcW w:w="5000" w:type="pct"/>
            <w:gridSpan w:val="3"/>
            <w:tcBorders>
              <w:top w:val="single" w:sz="4" w:space="0" w:color="auto"/>
            </w:tcBorders>
            <w:tcMar>
              <w:top w:w="57" w:type="dxa"/>
              <w:left w:w="57" w:type="dxa"/>
              <w:bottom w:w="57" w:type="dxa"/>
              <w:right w:w="57" w:type="dxa"/>
            </w:tcMar>
          </w:tcPr>
          <w:p w14:paraId="699CBA7E" w14:textId="77777777" w:rsidR="00E62865" w:rsidRPr="000B7CDC" w:rsidRDefault="00E62865" w:rsidP="0098329C">
            <w:pPr>
              <w:pStyle w:val="naisnod"/>
              <w:spacing w:before="0" w:after="0"/>
              <w:ind w:left="57" w:right="57"/>
            </w:pPr>
            <w:r w:rsidRPr="000B7CDC">
              <w:t>VII.</w:t>
            </w:r>
            <w:r w:rsidR="003F201A">
              <w:t> </w:t>
            </w:r>
            <w:r w:rsidRPr="000B7CDC">
              <w:t>Tiesību akta projekta izpildes nodrošināšana un tās ietekme uz institūcijām</w:t>
            </w:r>
          </w:p>
        </w:tc>
      </w:tr>
      <w:tr w:rsidR="00E62865" w:rsidRPr="000B7CDC" w14:paraId="699CBA83" w14:textId="77777777" w:rsidTr="00E03D67">
        <w:trPr>
          <w:trHeight w:val="427"/>
          <w:jc w:val="center"/>
        </w:trPr>
        <w:tc>
          <w:tcPr>
            <w:tcW w:w="222" w:type="pct"/>
            <w:tcMar>
              <w:top w:w="57" w:type="dxa"/>
              <w:left w:w="57" w:type="dxa"/>
              <w:bottom w:w="57" w:type="dxa"/>
              <w:right w:w="57" w:type="dxa"/>
            </w:tcMar>
          </w:tcPr>
          <w:p w14:paraId="699CBA80" w14:textId="77777777" w:rsidR="00E62865" w:rsidRPr="00142D65" w:rsidRDefault="00E62865" w:rsidP="0098329C">
            <w:pPr>
              <w:pStyle w:val="naisnod"/>
              <w:spacing w:before="0" w:after="0"/>
              <w:ind w:left="57" w:right="57"/>
              <w:jc w:val="left"/>
              <w:rPr>
                <w:b w:val="0"/>
              </w:rPr>
            </w:pPr>
            <w:r w:rsidRPr="00142D65">
              <w:rPr>
                <w:b w:val="0"/>
                <w:sz w:val="22"/>
                <w:szCs w:val="22"/>
              </w:rPr>
              <w:t>1.</w:t>
            </w:r>
          </w:p>
        </w:tc>
        <w:tc>
          <w:tcPr>
            <w:tcW w:w="2200" w:type="pct"/>
            <w:tcMar>
              <w:top w:w="57" w:type="dxa"/>
              <w:left w:w="57" w:type="dxa"/>
              <w:bottom w:w="57" w:type="dxa"/>
              <w:right w:w="57" w:type="dxa"/>
            </w:tcMar>
          </w:tcPr>
          <w:p w14:paraId="699CBA81" w14:textId="77777777" w:rsidR="00E62865" w:rsidRPr="000B7CDC" w:rsidRDefault="00E62865" w:rsidP="0098329C">
            <w:pPr>
              <w:pStyle w:val="naisf"/>
              <w:spacing w:before="0" w:after="0"/>
              <w:ind w:left="57" w:right="57" w:firstLine="0"/>
              <w:jc w:val="left"/>
            </w:pPr>
            <w:r w:rsidRPr="000B7CDC">
              <w:t xml:space="preserve">Projekta izpildē iesaistītās institūcijas </w:t>
            </w:r>
          </w:p>
        </w:tc>
        <w:tc>
          <w:tcPr>
            <w:tcW w:w="2578" w:type="pct"/>
            <w:tcMar>
              <w:top w:w="57" w:type="dxa"/>
              <w:left w:w="57" w:type="dxa"/>
              <w:bottom w:w="57" w:type="dxa"/>
              <w:right w:w="57" w:type="dxa"/>
            </w:tcMar>
          </w:tcPr>
          <w:p w14:paraId="699CBA82" w14:textId="77777777" w:rsidR="00E62865" w:rsidRPr="00E41A3A" w:rsidRDefault="00DE589E" w:rsidP="009A029D">
            <w:pPr>
              <w:pStyle w:val="naisnod"/>
              <w:spacing w:before="0" w:after="0"/>
              <w:ind w:left="57" w:right="57"/>
              <w:jc w:val="both"/>
              <w:rPr>
                <w:b w:val="0"/>
              </w:rPr>
            </w:pPr>
            <w:r>
              <w:rPr>
                <w:b w:val="0"/>
              </w:rPr>
              <w:t>LVĢMC</w:t>
            </w:r>
            <w:r w:rsidR="00E41A3A" w:rsidRPr="00E41A3A">
              <w:rPr>
                <w:b w:val="0"/>
              </w:rPr>
              <w:t>,</w:t>
            </w:r>
            <w:r w:rsidR="002F2EE7">
              <w:rPr>
                <w:b w:val="0"/>
              </w:rPr>
              <w:t xml:space="preserve"> </w:t>
            </w:r>
            <w:r w:rsidR="009A029D">
              <w:rPr>
                <w:b w:val="0"/>
              </w:rPr>
              <w:t xml:space="preserve">Valsts vides dienests un </w:t>
            </w:r>
            <w:r w:rsidR="00BF7521">
              <w:rPr>
                <w:b w:val="0"/>
              </w:rPr>
              <w:t>pašvaldības</w:t>
            </w:r>
            <w:r w:rsidR="009A029D">
              <w:rPr>
                <w:b w:val="0"/>
              </w:rPr>
              <w:t xml:space="preserve"> un citas institūcijas</w:t>
            </w:r>
            <w:r w:rsidR="00BF7521">
              <w:rPr>
                <w:b w:val="0"/>
              </w:rPr>
              <w:t>, k</w:t>
            </w:r>
            <w:r>
              <w:rPr>
                <w:b w:val="0"/>
              </w:rPr>
              <w:t>as</w:t>
            </w:r>
            <w:r w:rsidR="00BF7521">
              <w:rPr>
                <w:b w:val="0"/>
              </w:rPr>
              <w:t xml:space="preserve"> veic gaisa kvalitātes monitoringu</w:t>
            </w:r>
            <w:r w:rsidR="009A029D">
              <w:rPr>
                <w:b w:val="0"/>
              </w:rPr>
              <w:t xml:space="preserve"> un monitoringa datus publicē</w:t>
            </w:r>
            <w:r w:rsidR="002F2EE7">
              <w:rPr>
                <w:b w:val="0"/>
              </w:rPr>
              <w:t>.</w:t>
            </w:r>
          </w:p>
        </w:tc>
      </w:tr>
      <w:tr w:rsidR="00E62865" w:rsidRPr="000B7CDC" w14:paraId="699CBA89" w14:textId="77777777" w:rsidTr="00E03D67">
        <w:trPr>
          <w:trHeight w:val="463"/>
          <w:jc w:val="center"/>
        </w:trPr>
        <w:tc>
          <w:tcPr>
            <w:tcW w:w="222" w:type="pct"/>
            <w:tcMar>
              <w:top w:w="57" w:type="dxa"/>
              <w:left w:w="57" w:type="dxa"/>
              <w:bottom w:w="57" w:type="dxa"/>
              <w:right w:w="57" w:type="dxa"/>
            </w:tcMar>
          </w:tcPr>
          <w:p w14:paraId="699CBA84" w14:textId="77777777" w:rsidR="00E62865" w:rsidRPr="00142D65" w:rsidRDefault="00E62865" w:rsidP="0098329C">
            <w:pPr>
              <w:pStyle w:val="naisnod"/>
              <w:spacing w:before="0" w:after="0"/>
              <w:ind w:left="57" w:right="57"/>
              <w:jc w:val="left"/>
              <w:rPr>
                <w:b w:val="0"/>
              </w:rPr>
            </w:pPr>
            <w:r w:rsidRPr="00142D65">
              <w:rPr>
                <w:b w:val="0"/>
                <w:sz w:val="22"/>
                <w:szCs w:val="22"/>
              </w:rPr>
              <w:t>2.</w:t>
            </w:r>
          </w:p>
        </w:tc>
        <w:tc>
          <w:tcPr>
            <w:tcW w:w="2200" w:type="pct"/>
            <w:tcMar>
              <w:top w:w="57" w:type="dxa"/>
              <w:left w:w="57" w:type="dxa"/>
              <w:bottom w:w="57" w:type="dxa"/>
              <w:right w:w="57" w:type="dxa"/>
            </w:tcMar>
          </w:tcPr>
          <w:p w14:paraId="699CBA85" w14:textId="77777777" w:rsidR="00E62865" w:rsidRPr="006C578B" w:rsidRDefault="00E62865" w:rsidP="0098329C">
            <w:pPr>
              <w:pStyle w:val="naisf"/>
              <w:spacing w:before="0" w:after="0"/>
              <w:ind w:left="57" w:right="57" w:firstLine="0"/>
              <w:jc w:val="left"/>
            </w:pPr>
            <w:r w:rsidRPr="000B7CDC">
              <w:t xml:space="preserve">Projekta izpildes ietekme uz pārvaldes funkcijām </w:t>
            </w:r>
            <w:r w:rsidRPr="006C578B">
              <w:t>un institucionālo struktūru</w:t>
            </w:r>
          </w:p>
          <w:p w14:paraId="699CBA86" w14:textId="77777777" w:rsidR="00E03D67" w:rsidRPr="006C578B" w:rsidRDefault="00E03D67" w:rsidP="0098329C">
            <w:pPr>
              <w:pStyle w:val="naisf"/>
              <w:spacing w:before="0" w:after="0"/>
              <w:ind w:left="57" w:right="57" w:firstLine="0"/>
              <w:jc w:val="left"/>
              <w:rPr>
                <w:color w:val="414142"/>
                <w:shd w:val="clear" w:color="auto" w:fill="FFFFFF"/>
              </w:rPr>
            </w:pPr>
          </w:p>
          <w:p w14:paraId="699CBA87" w14:textId="77777777" w:rsidR="00E03D67" w:rsidRPr="000B7CDC" w:rsidRDefault="00E03D67" w:rsidP="00E03D67">
            <w:pPr>
              <w:pStyle w:val="naisf"/>
              <w:spacing w:before="0" w:after="0"/>
              <w:ind w:left="57" w:right="57" w:firstLine="0"/>
            </w:pPr>
            <w:r w:rsidRPr="006C578B">
              <w:rPr>
                <w:shd w:val="clear" w:color="auto" w:fill="FFFFFF"/>
              </w:rPr>
              <w:t>Jaunu institūciju izveide, esošu institūciju likvidācija vai reorganizācija, to ietekme uz institūcijas cilvēkresursiem</w:t>
            </w:r>
          </w:p>
        </w:tc>
        <w:tc>
          <w:tcPr>
            <w:tcW w:w="2578" w:type="pct"/>
            <w:tcMar>
              <w:top w:w="57" w:type="dxa"/>
              <w:left w:w="57" w:type="dxa"/>
              <w:bottom w:w="57" w:type="dxa"/>
              <w:right w:w="57" w:type="dxa"/>
            </w:tcMar>
          </w:tcPr>
          <w:p w14:paraId="699CBA88" w14:textId="77777777" w:rsidR="00E62865" w:rsidRPr="00CC7B27" w:rsidRDefault="005D6C36" w:rsidP="00BF7521">
            <w:pPr>
              <w:pStyle w:val="naisnod"/>
              <w:spacing w:before="0" w:after="0"/>
              <w:ind w:right="57"/>
              <w:jc w:val="both"/>
              <w:rPr>
                <w:b w:val="0"/>
              </w:rPr>
            </w:pPr>
            <w:r>
              <w:rPr>
                <w:b w:val="0"/>
              </w:rPr>
              <w:t>Jaun</w:t>
            </w:r>
            <w:r w:rsidR="00BF7521">
              <w:rPr>
                <w:b w:val="0"/>
              </w:rPr>
              <w:t xml:space="preserve">i uzdevumi noteikti </w:t>
            </w:r>
            <w:r>
              <w:rPr>
                <w:b w:val="0"/>
              </w:rPr>
              <w:t>LVĢMC</w:t>
            </w:r>
            <w:r w:rsidR="006D5067">
              <w:rPr>
                <w:b w:val="0"/>
              </w:rPr>
              <w:t xml:space="preserve"> (</w:t>
            </w:r>
            <w:r w:rsidR="00DE589E">
              <w:rPr>
                <w:b w:val="0"/>
              </w:rPr>
              <w:t>detalizētu</w:t>
            </w:r>
            <w:r w:rsidR="006D5067">
              <w:rPr>
                <w:b w:val="0"/>
              </w:rPr>
              <w:t xml:space="preserve"> skaidrojumu skatīt anotācijas II</w:t>
            </w:r>
            <w:r w:rsidR="00DE589E">
              <w:rPr>
                <w:b w:val="0"/>
              </w:rPr>
              <w:t> </w:t>
            </w:r>
            <w:r w:rsidR="006D5067">
              <w:rPr>
                <w:b w:val="0"/>
              </w:rPr>
              <w:t>sadaļā)</w:t>
            </w:r>
            <w:r>
              <w:rPr>
                <w:b w:val="0"/>
              </w:rPr>
              <w:t>.</w:t>
            </w:r>
          </w:p>
        </w:tc>
      </w:tr>
      <w:tr w:rsidR="00E62865" w:rsidRPr="000B7CDC" w14:paraId="699CBA8D" w14:textId="77777777" w:rsidTr="00E03D67">
        <w:trPr>
          <w:trHeight w:val="218"/>
          <w:jc w:val="center"/>
        </w:trPr>
        <w:tc>
          <w:tcPr>
            <w:tcW w:w="222" w:type="pct"/>
            <w:tcMar>
              <w:top w:w="57" w:type="dxa"/>
              <w:left w:w="57" w:type="dxa"/>
              <w:bottom w:w="57" w:type="dxa"/>
              <w:right w:w="57" w:type="dxa"/>
            </w:tcMar>
          </w:tcPr>
          <w:p w14:paraId="699CBA8A" w14:textId="77777777" w:rsidR="00E62865" w:rsidRPr="00142D65" w:rsidRDefault="00E62865" w:rsidP="0098329C">
            <w:pPr>
              <w:pStyle w:val="naiskr"/>
              <w:spacing w:before="0" w:after="0"/>
              <w:ind w:left="57" w:right="57"/>
            </w:pPr>
            <w:r w:rsidRPr="00142D65">
              <w:rPr>
                <w:sz w:val="22"/>
                <w:szCs w:val="22"/>
              </w:rPr>
              <w:t>3.</w:t>
            </w:r>
          </w:p>
        </w:tc>
        <w:tc>
          <w:tcPr>
            <w:tcW w:w="2200" w:type="pct"/>
            <w:tcMar>
              <w:top w:w="57" w:type="dxa"/>
              <w:left w:w="57" w:type="dxa"/>
              <w:bottom w:w="57" w:type="dxa"/>
              <w:right w:w="57" w:type="dxa"/>
            </w:tcMar>
          </w:tcPr>
          <w:p w14:paraId="699CBA8B" w14:textId="77777777" w:rsidR="00E62865" w:rsidRPr="000B7CDC" w:rsidRDefault="00E62865" w:rsidP="0098329C">
            <w:pPr>
              <w:pStyle w:val="naiskr"/>
              <w:spacing w:before="0" w:after="0"/>
              <w:ind w:left="57" w:right="57"/>
            </w:pPr>
            <w:r w:rsidRPr="000B7CDC">
              <w:t>Cita informācija</w:t>
            </w:r>
          </w:p>
        </w:tc>
        <w:tc>
          <w:tcPr>
            <w:tcW w:w="2578" w:type="pct"/>
            <w:tcMar>
              <w:top w:w="57" w:type="dxa"/>
              <w:left w:w="57" w:type="dxa"/>
              <w:bottom w:w="57" w:type="dxa"/>
              <w:right w:w="57" w:type="dxa"/>
            </w:tcMar>
          </w:tcPr>
          <w:p w14:paraId="699CBA8C" w14:textId="77777777" w:rsidR="00E62865" w:rsidRPr="000B7CDC" w:rsidRDefault="00E62865" w:rsidP="0098329C">
            <w:pPr>
              <w:pStyle w:val="naiskr"/>
              <w:spacing w:before="0" w:after="0"/>
              <w:ind w:left="57" w:right="57"/>
            </w:pPr>
            <w:r w:rsidRPr="000B7CDC">
              <w:t>Nav</w:t>
            </w:r>
          </w:p>
        </w:tc>
      </w:tr>
    </w:tbl>
    <w:p w14:paraId="699CBA8E" w14:textId="77777777" w:rsidR="00FD3BDC" w:rsidRDefault="00FD3BDC" w:rsidP="008C6CA3">
      <w:pPr>
        <w:jc w:val="center"/>
        <w:rPr>
          <w:b/>
          <w:bCs/>
        </w:rPr>
      </w:pPr>
    </w:p>
    <w:p w14:paraId="699CBA8F" w14:textId="77777777" w:rsidR="000A68DF" w:rsidRDefault="000A68DF" w:rsidP="008C6CA3">
      <w:pPr>
        <w:jc w:val="center"/>
        <w:rPr>
          <w:b/>
          <w:bCs/>
        </w:rPr>
      </w:pPr>
    </w:p>
    <w:p w14:paraId="699CBA90" w14:textId="77777777" w:rsidR="000A68DF" w:rsidRDefault="000A68DF" w:rsidP="008C6CA3">
      <w:pPr>
        <w:jc w:val="center"/>
        <w:rPr>
          <w:b/>
          <w:bCs/>
        </w:rPr>
      </w:pPr>
    </w:p>
    <w:p w14:paraId="699CBA91" w14:textId="77777777" w:rsidR="00410213" w:rsidRPr="002A6534" w:rsidRDefault="00410213" w:rsidP="008C6CA3">
      <w:pPr>
        <w:jc w:val="center"/>
        <w:rPr>
          <w:b/>
          <w:bCs/>
        </w:rPr>
      </w:pPr>
      <w:r w:rsidRPr="002A6534">
        <w:rPr>
          <w:b/>
          <w:bCs/>
        </w:rPr>
        <w:t>Anotācijas IV sadaļa - projekts šo jomu neskar.</w:t>
      </w:r>
    </w:p>
    <w:p w14:paraId="699CBA92" w14:textId="77777777" w:rsidR="00324481" w:rsidRDefault="00324481" w:rsidP="00020FFC">
      <w:pPr>
        <w:jc w:val="both"/>
        <w:rPr>
          <w:bCs/>
        </w:rPr>
      </w:pPr>
    </w:p>
    <w:p w14:paraId="699CBA93" w14:textId="77777777" w:rsidR="00324481" w:rsidRDefault="00324481" w:rsidP="00020FFC">
      <w:pPr>
        <w:jc w:val="both"/>
        <w:rPr>
          <w:bCs/>
        </w:rPr>
      </w:pPr>
    </w:p>
    <w:p w14:paraId="699CBA94" w14:textId="77777777" w:rsidR="000A68DF" w:rsidRDefault="000A68DF" w:rsidP="00020FFC">
      <w:pPr>
        <w:jc w:val="both"/>
        <w:rPr>
          <w:bCs/>
        </w:rPr>
      </w:pPr>
    </w:p>
    <w:p w14:paraId="699CBA95" w14:textId="77777777" w:rsidR="000A68DF" w:rsidRDefault="000A68DF" w:rsidP="00020FFC">
      <w:pPr>
        <w:jc w:val="both"/>
        <w:rPr>
          <w:bCs/>
        </w:rPr>
      </w:pPr>
    </w:p>
    <w:p w14:paraId="699CBA96" w14:textId="77777777" w:rsidR="00C84B80" w:rsidRPr="00C84B80" w:rsidRDefault="000A68DF" w:rsidP="00C84B80">
      <w:pPr>
        <w:pStyle w:val="BodyTextIndent3"/>
        <w:spacing w:after="0"/>
        <w:ind w:left="0" w:firstLine="720"/>
        <w:rPr>
          <w:sz w:val="24"/>
          <w:szCs w:val="24"/>
        </w:rPr>
      </w:pPr>
      <w:r>
        <w:rPr>
          <w:sz w:val="24"/>
          <w:szCs w:val="24"/>
        </w:rPr>
        <w:t>V</w:t>
      </w:r>
      <w:r w:rsidR="00C84B80" w:rsidRPr="00C84B80">
        <w:rPr>
          <w:sz w:val="24"/>
          <w:szCs w:val="24"/>
        </w:rPr>
        <w:t>ides aizsardzības un reģionālās attīstības ministrs</w:t>
      </w:r>
      <w:r w:rsidR="00C84B80" w:rsidRPr="00C84B80">
        <w:rPr>
          <w:sz w:val="24"/>
          <w:szCs w:val="24"/>
        </w:rPr>
        <w:tab/>
      </w:r>
      <w:r w:rsidR="00C84B80" w:rsidRPr="00C84B80">
        <w:rPr>
          <w:sz w:val="24"/>
          <w:szCs w:val="24"/>
        </w:rPr>
        <w:tab/>
      </w:r>
      <w:r w:rsidR="00C84B80" w:rsidRPr="00C84B80">
        <w:rPr>
          <w:sz w:val="24"/>
          <w:szCs w:val="24"/>
        </w:rPr>
        <w:tab/>
      </w:r>
      <w:r w:rsidR="00415B5D">
        <w:rPr>
          <w:sz w:val="24"/>
          <w:szCs w:val="24"/>
        </w:rPr>
        <w:t>K.</w:t>
      </w:r>
      <w:r w:rsidR="00DE589E">
        <w:rPr>
          <w:sz w:val="24"/>
          <w:szCs w:val="24"/>
        </w:rPr>
        <w:t> </w:t>
      </w:r>
      <w:r w:rsidR="00415B5D">
        <w:rPr>
          <w:sz w:val="24"/>
          <w:szCs w:val="24"/>
        </w:rPr>
        <w:t>Gerhards</w:t>
      </w:r>
      <w:r w:rsidR="00C84B80" w:rsidRPr="00C84B80">
        <w:rPr>
          <w:sz w:val="24"/>
          <w:szCs w:val="24"/>
        </w:rPr>
        <w:tab/>
      </w:r>
    </w:p>
    <w:p w14:paraId="699CBA97" w14:textId="77777777" w:rsidR="00FD3BDC" w:rsidRDefault="00C84B80" w:rsidP="00C84B80">
      <w:pPr>
        <w:tabs>
          <w:tab w:val="left" w:pos="0"/>
        </w:tabs>
        <w:jc w:val="both"/>
      </w:pPr>
      <w:r w:rsidRPr="00C84B80">
        <w:tab/>
      </w:r>
    </w:p>
    <w:p w14:paraId="699CBA98" w14:textId="77777777" w:rsidR="00FD3BDC" w:rsidRDefault="00FD3BDC" w:rsidP="00C84B80">
      <w:pPr>
        <w:tabs>
          <w:tab w:val="left" w:pos="0"/>
        </w:tabs>
        <w:jc w:val="both"/>
      </w:pPr>
    </w:p>
    <w:p w14:paraId="699CBA99" w14:textId="77777777" w:rsidR="000A68DF" w:rsidRDefault="000A68DF" w:rsidP="00C84B80">
      <w:pPr>
        <w:tabs>
          <w:tab w:val="left" w:pos="0"/>
        </w:tabs>
        <w:jc w:val="both"/>
      </w:pPr>
    </w:p>
    <w:p w14:paraId="699CBA9A" w14:textId="77777777" w:rsidR="000A68DF" w:rsidRDefault="00C84B80" w:rsidP="00C84B80">
      <w:pPr>
        <w:tabs>
          <w:tab w:val="left" w:pos="0"/>
        </w:tabs>
        <w:jc w:val="both"/>
      </w:pPr>
      <w:r w:rsidRPr="00C84B80">
        <w:tab/>
      </w:r>
      <w:r w:rsidR="000A68DF">
        <w:t>V</w:t>
      </w:r>
      <w:r w:rsidR="000A68DF" w:rsidRPr="00C84B80">
        <w:t>ides aizsardzības un</w:t>
      </w:r>
      <w:r w:rsidR="000A68DF">
        <w:t xml:space="preserve"> reģionālās attīstības ministrijas </w:t>
      </w:r>
    </w:p>
    <w:p w14:paraId="699CBA9B" w14:textId="77777777" w:rsidR="00C84B80" w:rsidRPr="00C84B80" w:rsidRDefault="000A68DF" w:rsidP="00C84B80">
      <w:pPr>
        <w:tabs>
          <w:tab w:val="left" w:pos="0"/>
        </w:tabs>
        <w:jc w:val="both"/>
      </w:pPr>
      <w:r>
        <w:tab/>
      </w:r>
      <w:r w:rsidR="00DE589E">
        <w:t>v</w:t>
      </w:r>
      <w:r w:rsidR="00C84B80" w:rsidRPr="00C84B80">
        <w:t>alsts sekretārs</w:t>
      </w:r>
      <w:r w:rsidR="00C84B80" w:rsidRPr="00C84B80">
        <w:tab/>
      </w:r>
      <w:r w:rsidR="00C84B80" w:rsidRPr="00C84B80">
        <w:tab/>
      </w:r>
      <w:r w:rsidR="00C84B80" w:rsidRPr="00C84B80">
        <w:tab/>
      </w:r>
      <w:r w:rsidR="00C84B80" w:rsidRPr="00C84B80">
        <w:tab/>
      </w:r>
      <w:r w:rsidR="00C84B80" w:rsidRPr="00C84B80">
        <w:tab/>
      </w:r>
      <w:r w:rsidR="00C84B80" w:rsidRPr="00C84B80">
        <w:tab/>
      </w:r>
      <w:r w:rsidR="00C84B80" w:rsidRPr="00C84B80">
        <w:tab/>
      </w:r>
      <w:r w:rsidR="00FE18AD">
        <w:t>R.</w:t>
      </w:r>
      <w:r w:rsidR="00DE589E">
        <w:t> </w:t>
      </w:r>
      <w:r w:rsidR="00FE18AD">
        <w:t>Muciņš</w:t>
      </w:r>
    </w:p>
    <w:p w14:paraId="699CBA9C" w14:textId="77777777" w:rsidR="008C6CA3" w:rsidRDefault="008C6CA3" w:rsidP="00C84B80">
      <w:pPr>
        <w:rPr>
          <w:sz w:val="20"/>
          <w:szCs w:val="20"/>
        </w:rPr>
      </w:pPr>
    </w:p>
    <w:p w14:paraId="699CBA9D" w14:textId="77777777" w:rsidR="00FD3BDC" w:rsidRDefault="00FD3BDC" w:rsidP="00C84B80">
      <w:pPr>
        <w:rPr>
          <w:sz w:val="20"/>
          <w:szCs w:val="20"/>
        </w:rPr>
      </w:pPr>
    </w:p>
    <w:p w14:paraId="699CBA9E" w14:textId="77777777" w:rsidR="00FD3BDC" w:rsidRDefault="00FD3BDC" w:rsidP="00C84B80">
      <w:pPr>
        <w:rPr>
          <w:sz w:val="20"/>
          <w:szCs w:val="20"/>
        </w:rPr>
      </w:pPr>
    </w:p>
    <w:p w14:paraId="633F95C4" w14:textId="77777777" w:rsidR="007942CA" w:rsidRDefault="00C84B80" w:rsidP="00020FFC">
      <w:pPr>
        <w:rPr>
          <w:sz w:val="20"/>
          <w:szCs w:val="20"/>
        </w:rPr>
      </w:pPr>
      <w:r w:rsidRPr="002A6534">
        <w:rPr>
          <w:sz w:val="20"/>
          <w:szCs w:val="20"/>
        </w:rPr>
        <w:t>L.</w:t>
      </w:r>
      <w:r w:rsidR="00A12960">
        <w:rPr>
          <w:sz w:val="20"/>
          <w:szCs w:val="20"/>
        </w:rPr>
        <w:t> </w:t>
      </w:r>
      <w:r w:rsidRPr="002A6534">
        <w:rPr>
          <w:sz w:val="20"/>
          <w:szCs w:val="20"/>
        </w:rPr>
        <w:t xml:space="preserve">Maslova </w:t>
      </w:r>
      <w:smartTag w:uri="schemas-tilde-lv/tildestengine" w:element="phone">
        <w:smartTagPr>
          <w:attr w:name="phone_number" w:val="7026586"/>
          <w:attr w:name="phone_prefix" w:val="6"/>
        </w:smartTagPr>
        <w:r w:rsidRPr="002A6534">
          <w:rPr>
            <w:sz w:val="20"/>
            <w:szCs w:val="20"/>
          </w:rPr>
          <w:t>67026586</w:t>
        </w:r>
      </w:smartTag>
    </w:p>
    <w:bookmarkStart w:id="6" w:name="_GoBack"/>
    <w:bookmarkEnd w:id="6"/>
    <w:p w14:paraId="699CBAA4" w14:textId="19615FE4" w:rsidR="006969BF" w:rsidRDefault="007942CA" w:rsidP="00020FFC">
      <w:pPr>
        <w:rPr>
          <w:sz w:val="20"/>
          <w:szCs w:val="20"/>
        </w:rPr>
      </w:pPr>
      <w:r>
        <w:fldChar w:fldCharType="begin"/>
      </w:r>
      <w:r>
        <w:instrText xml:space="preserve"> HYPERLINK "mailto:lana.maslova@varam.gov.lv" </w:instrText>
      </w:r>
      <w:r>
        <w:fldChar w:fldCharType="separate"/>
      </w:r>
      <w:r w:rsidR="00662039" w:rsidRPr="007C7B00">
        <w:rPr>
          <w:rStyle w:val="Hyperlink"/>
          <w:sz w:val="20"/>
          <w:szCs w:val="20"/>
        </w:rPr>
        <w:t>lana.maslova@varam.gov.lv</w:t>
      </w:r>
      <w:r>
        <w:rPr>
          <w:rStyle w:val="Hyperlink"/>
          <w:sz w:val="20"/>
          <w:szCs w:val="20"/>
        </w:rPr>
        <w:fldChar w:fldCharType="end"/>
      </w:r>
    </w:p>
    <w:p w14:paraId="699CBAA7" w14:textId="47A85F95" w:rsidR="006969BF" w:rsidRDefault="007942CA" w:rsidP="006969BF">
      <w:pPr>
        <w:rPr>
          <w:sz w:val="20"/>
          <w:szCs w:val="20"/>
        </w:rPr>
      </w:pPr>
      <w:r>
        <w:rPr>
          <w:sz w:val="20"/>
          <w:szCs w:val="20"/>
        </w:rPr>
        <w:t>V. </w:t>
      </w:r>
      <w:r w:rsidR="006969BF">
        <w:rPr>
          <w:sz w:val="20"/>
          <w:szCs w:val="20"/>
        </w:rPr>
        <w:t>Maļecka</w:t>
      </w:r>
    </w:p>
    <w:p w14:paraId="699CBAA8" w14:textId="77777777" w:rsidR="006969BF" w:rsidRPr="006969BF" w:rsidRDefault="007942CA" w:rsidP="006969BF">
      <w:pPr>
        <w:rPr>
          <w:sz w:val="20"/>
          <w:szCs w:val="20"/>
        </w:rPr>
      </w:pPr>
      <w:hyperlink r:id="rId13" w:history="1">
        <w:r w:rsidR="006969BF" w:rsidRPr="002B36DF">
          <w:rPr>
            <w:rStyle w:val="Hyperlink"/>
            <w:sz w:val="20"/>
            <w:szCs w:val="20"/>
          </w:rPr>
          <w:t>valentina.malecka@lvgmc.lv</w:t>
        </w:r>
      </w:hyperlink>
      <w:r w:rsidR="006969BF">
        <w:rPr>
          <w:sz w:val="20"/>
          <w:szCs w:val="20"/>
        </w:rPr>
        <w:t xml:space="preserve"> </w:t>
      </w:r>
    </w:p>
    <w:sectPr w:rsidR="006969BF" w:rsidRPr="006969BF" w:rsidSect="0098329C">
      <w:headerReference w:type="default" r:id="rId14"/>
      <w:footerReference w:type="default" r:id="rId15"/>
      <w:footerReference w:type="first" r:id="rId1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F4E2A" w14:textId="77777777" w:rsidR="007942CA" w:rsidRDefault="007942CA">
      <w:r>
        <w:separator/>
      </w:r>
    </w:p>
  </w:endnote>
  <w:endnote w:type="continuationSeparator" w:id="0">
    <w:p w14:paraId="0230B0D0" w14:textId="77777777" w:rsidR="007942CA" w:rsidRDefault="007942CA">
      <w:r>
        <w:continuationSeparator/>
      </w:r>
    </w:p>
  </w:endnote>
  <w:endnote w:type="continuationNotice" w:id="1">
    <w:p w14:paraId="1EE9DFB0" w14:textId="77777777" w:rsidR="00690FDD" w:rsidRDefault="00690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EU Albertina"/>
    <w:panose1 w:val="00000000000000000000"/>
    <w:charset w:val="EE"/>
    <w:family w:val="swiss"/>
    <w:notTrueType/>
    <w:pitch w:val="default"/>
    <w:sig w:usb0="00000007"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BAAE" w14:textId="77777777" w:rsidR="007942CA" w:rsidRPr="00887048" w:rsidRDefault="007942CA" w:rsidP="00603E37">
    <w:pPr>
      <w:jc w:val="both"/>
      <w:rPr>
        <w:sz w:val="20"/>
        <w:szCs w:val="20"/>
      </w:rPr>
    </w:pPr>
    <w:r w:rsidRPr="00887048">
      <w:rPr>
        <w:sz w:val="20"/>
        <w:szCs w:val="20"/>
      </w:rPr>
      <w:t>VARAMAnot_</w:t>
    </w:r>
    <w:r>
      <w:rPr>
        <w:sz w:val="20"/>
        <w:szCs w:val="20"/>
      </w:rPr>
      <w:t>260117</w:t>
    </w:r>
    <w:r w:rsidRPr="00887048">
      <w:rPr>
        <w:sz w:val="20"/>
        <w:szCs w:val="20"/>
      </w:rPr>
      <w:t>_gaiss; Noteikumu projekta „Grozījumi Ministru kabineta 2009.</w:t>
    </w:r>
    <w:r>
      <w:rPr>
        <w:sz w:val="20"/>
        <w:szCs w:val="20"/>
      </w:rPr>
      <w:t> </w:t>
    </w:r>
    <w:r w:rsidRPr="00887048">
      <w:rPr>
        <w:sz w:val="20"/>
        <w:szCs w:val="20"/>
      </w:rPr>
      <w:t>gada 3.</w:t>
    </w:r>
    <w:r>
      <w:rPr>
        <w:sz w:val="20"/>
        <w:szCs w:val="20"/>
      </w:rPr>
      <w:t> </w:t>
    </w:r>
    <w:r w:rsidRPr="00887048">
      <w:rPr>
        <w:sz w:val="20"/>
        <w:szCs w:val="20"/>
      </w:rPr>
      <w:t>novembra noteikumos Nr.</w:t>
    </w:r>
    <w:r>
      <w:rPr>
        <w:sz w:val="20"/>
        <w:szCs w:val="20"/>
      </w:rPr>
      <w:t> </w:t>
    </w:r>
    <w:r w:rsidRPr="00887048">
      <w:rPr>
        <w:sz w:val="20"/>
        <w:szCs w:val="20"/>
      </w:rPr>
      <w:t>1290 „Noteikumi par gaisa kvalitāti””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BAAF" w14:textId="77777777" w:rsidR="007942CA" w:rsidRPr="00887048" w:rsidRDefault="007942CA" w:rsidP="00640A82">
    <w:pPr>
      <w:jc w:val="both"/>
      <w:rPr>
        <w:sz w:val="20"/>
        <w:szCs w:val="20"/>
      </w:rPr>
    </w:pPr>
    <w:r w:rsidRPr="00887048">
      <w:rPr>
        <w:sz w:val="20"/>
        <w:szCs w:val="20"/>
      </w:rPr>
      <w:t>VARAMAnot_</w:t>
    </w:r>
    <w:r>
      <w:rPr>
        <w:sz w:val="20"/>
        <w:szCs w:val="20"/>
      </w:rPr>
      <w:t>260117</w:t>
    </w:r>
    <w:r w:rsidRPr="00887048">
      <w:rPr>
        <w:sz w:val="20"/>
        <w:szCs w:val="20"/>
      </w:rPr>
      <w:t>_gaiss; Noteikumu projekta „Grozījumi Ministru kabineta 2009. gada 3. novembra noteikumos Nr. 1290 „Noteikumi par gaisa kvalitāti””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028BD" w14:textId="77777777" w:rsidR="007942CA" w:rsidRDefault="007942CA">
      <w:r>
        <w:separator/>
      </w:r>
    </w:p>
  </w:footnote>
  <w:footnote w:type="continuationSeparator" w:id="0">
    <w:p w14:paraId="5BE9D138" w14:textId="77777777" w:rsidR="007942CA" w:rsidRDefault="007942CA">
      <w:r>
        <w:continuationSeparator/>
      </w:r>
    </w:p>
  </w:footnote>
  <w:footnote w:type="continuationNotice" w:id="1">
    <w:p w14:paraId="7739E4B1" w14:textId="77777777" w:rsidR="00690FDD" w:rsidRDefault="00690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BAAD" w14:textId="77777777" w:rsidR="007942CA" w:rsidRDefault="007942CA">
    <w:pPr>
      <w:pStyle w:val="Header"/>
    </w:pPr>
    <w:r w:rsidRPr="00013525">
      <w:rPr>
        <w:rStyle w:val="PageNumber"/>
      </w:rPr>
      <w:tab/>
      <w:t xml:space="preserve"> </w:t>
    </w:r>
    <w:r w:rsidRPr="00013525">
      <w:rPr>
        <w:rStyle w:val="PageNumber"/>
      </w:rPr>
      <w:fldChar w:fldCharType="begin"/>
    </w:r>
    <w:r w:rsidRPr="00013525">
      <w:rPr>
        <w:rStyle w:val="PageNumber"/>
      </w:rPr>
      <w:instrText xml:space="preserve"> PAGE </w:instrText>
    </w:r>
    <w:r w:rsidRPr="00013525">
      <w:rPr>
        <w:rStyle w:val="PageNumber"/>
      </w:rPr>
      <w:fldChar w:fldCharType="separate"/>
    </w:r>
    <w:r w:rsidR="00690FDD">
      <w:rPr>
        <w:rStyle w:val="PageNumber"/>
        <w:noProof/>
      </w:rPr>
      <w:t>16</w:t>
    </w:r>
    <w:r w:rsidRPr="00013525">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1872"/>
    <w:multiLevelType w:val="hybridMultilevel"/>
    <w:tmpl w:val="69208574"/>
    <w:lvl w:ilvl="0" w:tplc="A70E570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CF22EC"/>
    <w:multiLevelType w:val="hybridMultilevel"/>
    <w:tmpl w:val="419C7182"/>
    <w:lvl w:ilvl="0" w:tplc="C0E80FBE">
      <w:start w:val="1"/>
      <w:numFmt w:val="decimal"/>
      <w:lvlText w:val="%1)"/>
      <w:lvlJc w:val="left"/>
      <w:pPr>
        <w:ind w:left="757" w:hanging="360"/>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2" w15:restartNumberingAfterBreak="0">
    <w:nsid w:val="05F35D91"/>
    <w:multiLevelType w:val="hybridMultilevel"/>
    <w:tmpl w:val="C5024F46"/>
    <w:lvl w:ilvl="0" w:tplc="1B001EE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F37597"/>
    <w:multiLevelType w:val="hybridMultilevel"/>
    <w:tmpl w:val="D87C96F6"/>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 w15:restartNumberingAfterBreak="0">
    <w:nsid w:val="07D35CE7"/>
    <w:multiLevelType w:val="hybridMultilevel"/>
    <w:tmpl w:val="C8284A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F173E1"/>
    <w:multiLevelType w:val="hybridMultilevel"/>
    <w:tmpl w:val="B9A2FE4A"/>
    <w:lvl w:ilvl="0" w:tplc="23420442">
      <w:start w:val="1"/>
      <w:numFmt w:val="bullet"/>
      <w:lvlText w:val=""/>
      <w:lvlJc w:val="left"/>
      <w:pPr>
        <w:ind w:left="720" w:hanging="360"/>
      </w:pPr>
      <w:rPr>
        <w:rFonts w:ascii="Times New Roman" w:hAnsi="Times New Roman" w:cs="Times New Roman" w:hint="default"/>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34C0D62"/>
    <w:multiLevelType w:val="hybridMultilevel"/>
    <w:tmpl w:val="BB7C2F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2323D8"/>
    <w:multiLevelType w:val="hybridMultilevel"/>
    <w:tmpl w:val="5F6C338E"/>
    <w:lvl w:ilvl="0" w:tplc="BCD4ABE0">
      <w:start w:val="1"/>
      <w:numFmt w:val="bullet"/>
      <w:lvlText w:val="-"/>
      <w:lvlJc w:val="left"/>
      <w:pPr>
        <w:ind w:left="1117" w:hanging="360"/>
      </w:pPr>
      <w:rPr>
        <w:rFonts w:ascii="Calibri" w:eastAsiaTheme="minorHAnsi" w:hAnsi="Calibri" w:cs="Times New Roman"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8" w15:restartNumberingAfterBreak="0">
    <w:nsid w:val="1CE66CF4"/>
    <w:multiLevelType w:val="hybridMultilevel"/>
    <w:tmpl w:val="54F00B5A"/>
    <w:lvl w:ilvl="0" w:tplc="04260011">
      <w:start w:val="1"/>
      <w:numFmt w:val="decimal"/>
      <w:lvlText w:val="%1)"/>
      <w:lvlJc w:val="left"/>
      <w:pPr>
        <w:ind w:left="785" w:hanging="360"/>
      </w:pPr>
    </w:lvl>
    <w:lvl w:ilvl="1" w:tplc="04260019">
      <w:start w:val="1"/>
      <w:numFmt w:val="lowerLetter"/>
      <w:lvlText w:val="%2."/>
      <w:lvlJc w:val="left"/>
      <w:pPr>
        <w:ind w:left="1505" w:hanging="360"/>
      </w:pPr>
    </w:lvl>
    <w:lvl w:ilvl="2" w:tplc="0426001B">
      <w:start w:val="1"/>
      <w:numFmt w:val="lowerRoman"/>
      <w:lvlText w:val="%3."/>
      <w:lvlJc w:val="right"/>
      <w:pPr>
        <w:ind w:left="2225" w:hanging="180"/>
      </w:pPr>
    </w:lvl>
    <w:lvl w:ilvl="3" w:tplc="0426000F">
      <w:start w:val="1"/>
      <w:numFmt w:val="decimal"/>
      <w:lvlText w:val="%4."/>
      <w:lvlJc w:val="left"/>
      <w:pPr>
        <w:ind w:left="2945" w:hanging="360"/>
      </w:pPr>
    </w:lvl>
    <w:lvl w:ilvl="4" w:tplc="04260019">
      <w:start w:val="1"/>
      <w:numFmt w:val="lowerLetter"/>
      <w:lvlText w:val="%5."/>
      <w:lvlJc w:val="left"/>
      <w:pPr>
        <w:ind w:left="3665" w:hanging="360"/>
      </w:pPr>
    </w:lvl>
    <w:lvl w:ilvl="5" w:tplc="0426001B">
      <w:start w:val="1"/>
      <w:numFmt w:val="lowerRoman"/>
      <w:lvlText w:val="%6."/>
      <w:lvlJc w:val="right"/>
      <w:pPr>
        <w:ind w:left="4385" w:hanging="180"/>
      </w:pPr>
    </w:lvl>
    <w:lvl w:ilvl="6" w:tplc="0426000F">
      <w:start w:val="1"/>
      <w:numFmt w:val="decimal"/>
      <w:lvlText w:val="%7."/>
      <w:lvlJc w:val="left"/>
      <w:pPr>
        <w:ind w:left="5105" w:hanging="360"/>
      </w:pPr>
    </w:lvl>
    <w:lvl w:ilvl="7" w:tplc="04260019">
      <w:start w:val="1"/>
      <w:numFmt w:val="lowerLetter"/>
      <w:lvlText w:val="%8."/>
      <w:lvlJc w:val="left"/>
      <w:pPr>
        <w:ind w:left="5825" w:hanging="360"/>
      </w:pPr>
    </w:lvl>
    <w:lvl w:ilvl="8" w:tplc="0426001B">
      <w:start w:val="1"/>
      <w:numFmt w:val="lowerRoman"/>
      <w:lvlText w:val="%9."/>
      <w:lvlJc w:val="right"/>
      <w:pPr>
        <w:ind w:left="6545" w:hanging="180"/>
      </w:pPr>
    </w:lvl>
  </w:abstractNum>
  <w:abstractNum w:abstractNumId="9" w15:restartNumberingAfterBreak="0">
    <w:nsid w:val="21A912CE"/>
    <w:multiLevelType w:val="hybridMultilevel"/>
    <w:tmpl w:val="8CF87AF4"/>
    <w:lvl w:ilvl="0" w:tplc="4D040C0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A76C80"/>
    <w:multiLevelType w:val="hybridMultilevel"/>
    <w:tmpl w:val="70C00E22"/>
    <w:lvl w:ilvl="0" w:tplc="4D040C0C">
      <w:numFmt w:val="bullet"/>
      <w:lvlText w:val="-"/>
      <w:lvlJc w:val="left"/>
      <w:pPr>
        <w:ind w:left="1500" w:hanging="360"/>
      </w:pPr>
      <w:rPr>
        <w:rFonts w:ascii="Times New Roman" w:eastAsia="Times New Roman" w:hAnsi="Times New Roman" w:cs="Times New Roman"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1" w15:restartNumberingAfterBreak="0">
    <w:nsid w:val="32A51FCB"/>
    <w:multiLevelType w:val="hybridMultilevel"/>
    <w:tmpl w:val="60504AF0"/>
    <w:lvl w:ilvl="0" w:tplc="993E5954">
      <w:start w:val="11"/>
      <w:numFmt w:val="decimal"/>
      <w:lvlText w:val="%1)"/>
      <w:lvlJc w:val="left"/>
      <w:pPr>
        <w:ind w:left="957" w:hanging="390"/>
      </w:pPr>
      <w:rPr>
        <w:rFonts w:hint="default"/>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2" w15:restartNumberingAfterBreak="0">
    <w:nsid w:val="33476399"/>
    <w:multiLevelType w:val="hybridMultilevel"/>
    <w:tmpl w:val="FC04D1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6F25CC"/>
    <w:multiLevelType w:val="hybridMultilevel"/>
    <w:tmpl w:val="94EE0F28"/>
    <w:lvl w:ilvl="0" w:tplc="F858ECB2">
      <w:start w:val="1"/>
      <w:numFmt w:val="decimal"/>
      <w:lvlText w:val="%1)"/>
      <w:lvlJc w:val="left"/>
      <w:pPr>
        <w:ind w:left="450" w:hanging="360"/>
      </w:pPr>
      <w:rPr>
        <w:rFonts w:hint="default"/>
        <w:b w:val="0"/>
        <w:bCs/>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9872636"/>
    <w:multiLevelType w:val="hybridMultilevel"/>
    <w:tmpl w:val="B6D80532"/>
    <w:lvl w:ilvl="0" w:tplc="E7402EA4">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5" w15:restartNumberingAfterBreak="0">
    <w:nsid w:val="41187799"/>
    <w:multiLevelType w:val="hybridMultilevel"/>
    <w:tmpl w:val="831893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2812332"/>
    <w:multiLevelType w:val="hybridMultilevel"/>
    <w:tmpl w:val="E03A8EB2"/>
    <w:lvl w:ilvl="0" w:tplc="BDE45C16">
      <w:start w:val="1"/>
      <w:numFmt w:val="bullet"/>
      <w:lvlText w:val="•"/>
      <w:lvlJc w:val="left"/>
      <w:pPr>
        <w:tabs>
          <w:tab w:val="num" w:pos="720"/>
        </w:tabs>
        <w:ind w:left="720" w:hanging="360"/>
      </w:pPr>
      <w:rPr>
        <w:rFonts w:ascii="Arial" w:hAnsi="Arial" w:hint="default"/>
      </w:rPr>
    </w:lvl>
    <w:lvl w:ilvl="1" w:tplc="46F0CEE0" w:tentative="1">
      <w:start w:val="1"/>
      <w:numFmt w:val="bullet"/>
      <w:lvlText w:val="•"/>
      <w:lvlJc w:val="left"/>
      <w:pPr>
        <w:tabs>
          <w:tab w:val="num" w:pos="1440"/>
        </w:tabs>
        <w:ind w:left="1440" w:hanging="360"/>
      </w:pPr>
      <w:rPr>
        <w:rFonts w:ascii="Arial" w:hAnsi="Arial" w:hint="default"/>
      </w:rPr>
    </w:lvl>
    <w:lvl w:ilvl="2" w:tplc="F8462774" w:tentative="1">
      <w:start w:val="1"/>
      <w:numFmt w:val="bullet"/>
      <w:lvlText w:val="•"/>
      <w:lvlJc w:val="left"/>
      <w:pPr>
        <w:tabs>
          <w:tab w:val="num" w:pos="2160"/>
        </w:tabs>
        <w:ind w:left="2160" w:hanging="360"/>
      </w:pPr>
      <w:rPr>
        <w:rFonts w:ascii="Arial" w:hAnsi="Arial" w:hint="default"/>
      </w:rPr>
    </w:lvl>
    <w:lvl w:ilvl="3" w:tplc="EBB2C95A" w:tentative="1">
      <w:start w:val="1"/>
      <w:numFmt w:val="bullet"/>
      <w:lvlText w:val="•"/>
      <w:lvlJc w:val="left"/>
      <w:pPr>
        <w:tabs>
          <w:tab w:val="num" w:pos="2880"/>
        </w:tabs>
        <w:ind w:left="2880" w:hanging="360"/>
      </w:pPr>
      <w:rPr>
        <w:rFonts w:ascii="Arial" w:hAnsi="Arial" w:hint="default"/>
      </w:rPr>
    </w:lvl>
    <w:lvl w:ilvl="4" w:tplc="200E01F0" w:tentative="1">
      <w:start w:val="1"/>
      <w:numFmt w:val="bullet"/>
      <w:lvlText w:val="•"/>
      <w:lvlJc w:val="left"/>
      <w:pPr>
        <w:tabs>
          <w:tab w:val="num" w:pos="3600"/>
        </w:tabs>
        <w:ind w:left="3600" w:hanging="360"/>
      </w:pPr>
      <w:rPr>
        <w:rFonts w:ascii="Arial" w:hAnsi="Arial" w:hint="default"/>
      </w:rPr>
    </w:lvl>
    <w:lvl w:ilvl="5" w:tplc="A00A17B2" w:tentative="1">
      <w:start w:val="1"/>
      <w:numFmt w:val="bullet"/>
      <w:lvlText w:val="•"/>
      <w:lvlJc w:val="left"/>
      <w:pPr>
        <w:tabs>
          <w:tab w:val="num" w:pos="4320"/>
        </w:tabs>
        <w:ind w:left="4320" w:hanging="360"/>
      </w:pPr>
      <w:rPr>
        <w:rFonts w:ascii="Arial" w:hAnsi="Arial" w:hint="default"/>
      </w:rPr>
    </w:lvl>
    <w:lvl w:ilvl="6" w:tplc="4DBA3C54" w:tentative="1">
      <w:start w:val="1"/>
      <w:numFmt w:val="bullet"/>
      <w:lvlText w:val="•"/>
      <w:lvlJc w:val="left"/>
      <w:pPr>
        <w:tabs>
          <w:tab w:val="num" w:pos="5040"/>
        </w:tabs>
        <w:ind w:left="5040" w:hanging="360"/>
      </w:pPr>
      <w:rPr>
        <w:rFonts w:ascii="Arial" w:hAnsi="Arial" w:hint="default"/>
      </w:rPr>
    </w:lvl>
    <w:lvl w:ilvl="7" w:tplc="ABF8EF42" w:tentative="1">
      <w:start w:val="1"/>
      <w:numFmt w:val="bullet"/>
      <w:lvlText w:val="•"/>
      <w:lvlJc w:val="left"/>
      <w:pPr>
        <w:tabs>
          <w:tab w:val="num" w:pos="5760"/>
        </w:tabs>
        <w:ind w:left="5760" w:hanging="360"/>
      </w:pPr>
      <w:rPr>
        <w:rFonts w:ascii="Arial" w:hAnsi="Arial" w:hint="default"/>
      </w:rPr>
    </w:lvl>
    <w:lvl w:ilvl="8" w:tplc="5A82C14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CD7898"/>
    <w:multiLevelType w:val="hybridMultilevel"/>
    <w:tmpl w:val="D8389E50"/>
    <w:lvl w:ilvl="0" w:tplc="DDA46BD2">
      <w:start w:val="1"/>
      <w:numFmt w:val="decimal"/>
      <w:lvlText w:val="%1)"/>
      <w:lvlJc w:val="left"/>
      <w:pPr>
        <w:ind w:left="757" w:hanging="360"/>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18" w15:restartNumberingAfterBreak="0">
    <w:nsid w:val="42DC323A"/>
    <w:multiLevelType w:val="hybridMultilevel"/>
    <w:tmpl w:val="A8F06C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9136FF"/>
    <w:multiLevelType w:val="hybridMultilevel"/>
    <w:tmpl w:val="9C641DB0"/>
    <w:lvl w:ilvl="0" w:tplc="92DA1EF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DB1607"/>
    <w:multiLevelType w:val="hybridMultilevel"/>
    <w:tmpl w:val="8A0A3AB8"/>
    <w:lvl w:ilvl="0" w:tplc="6270FC1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7EF2BEA"/>
    <w:multiLevelType w:val="hybridMultilevel"/>
    <w:tmpl w:val="4FACFD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A0541FF"/>
    <w:multiLevelType w:val="hybridMultilevel"/>
    <w:tmpl w:val="1CA41676"/>
    <w:lvl w:ilvl="0" w:tplc="4D040C0C">
      <w:numFmt w:val="bullet"/>
      <w:lvlText w:val="-"/>
      <w:lvlJc w:val="left"/>
      <w:pPr>
        <w:ind w:left="1500" w:hanging="360"/>
      </w:pPr>
      <w:rPr>
        <w:rFonts w:ascii="Times New Roman" w:eastAsia="Times New Roman" w:hAnsi="Times New Roman" w:cs="Times New Roman"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3" w15:restartNumberingAfterBreak="0">
    <w:nsid w:val="5AB80DDE"/>
    <w:multiLevelType w:val="hybridMultilevel"/>
    <w:tmpl w:val="7ED4FB32"/>
    <w:lvl w:ilvl="0" w:tplc="4D040C0C">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4" w15:restartNumberingAfterBreak="0">
    <w:nsid w:val="5E5B13B5"/>
    <w:multiLevelType w:val="hybridMultilevel"/>
    <w:tmpl w:val="8F1CBDF6"/>
    <w:lvl w:ilvl="0" w:tplc="4D040C0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04D4548"/>
    <w:multiLevelType w:val="hybridMultilevel"/>
    <w:tmpl w:val="23467E26"/>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6" w15:restartNumberingAfterBreak="0">
    <w:nsid w:val="61302800"/>
    <w:multiLevelType w:val="hybridMultilevel"/>
    <w:tmpl w:val="1130E19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69FE1466"/>
    <w:multiLevelType w:val="hybridMultilevel"/>
    <w:tmpl w:val="7320F9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E0C1CAD"/>
    <w:multiLevelType w:val="multilevel"/>
    <w:tmpl w:val="8F4C001E"/>
    <w:lvl w:ilvl="0">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6C1DCD"/>
    <w:multiLevelType w:val="multilevel"/>
    <w:tmpl w:val="DDF0BB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2D2331"/>
    <w:multiLevelType w:val="hybridMultilevel"/>
    <w:tmpl w:val="2A3CCD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FF1088A"/>
    <w:multiLevelType w:val="hybridMultilevel"/>
    <w:tmpl w:val="2CD2D6A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1"/>
  </w:num>
  <w:num w:numId="2">
    <w:abstractNumId w:val="13"/>
  </w:num>
  <w:num w:numId="3">
    <w:abstractNumId w:val="15"/>
  </w:num>
  <w:num w:numId="4">
    <w:abstractNumId w:val="21"/>
  </w:num>
  <w:num w:numId="5">
    <w:abstractNumId w:val="18"/>
  </w:num>
  <w:num w:numId="6">
    <w:abstractNumId w:val="16"/>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4"/>
  </w:num>
  <w:num w:numId="11">
    <w:abstractNumId w:val="17"/>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0"/>
  </w:num>
  <w:num w:numId="18">
    <w:abstractNumId w:val="2"/>
  </w:num>
  <w:num w:numId="19">
    <w:abstractNumId w:val="20"/>
  </w:num>
  <w:num w:numId="20">
    <w:abstractNumId w:val="14"/>
  </w:num>
  <w:num w:numId="21">
    <w:abstractNumId w:val="29"/>
  </w:num>
  <w:num w:numId="22">
    <w:abstractNumId w:val="5"/>
  </w:num>
  <w:num w:numId="23">
    <w:abstractNumId w:val="9"/>
  </w:num>
  <w:num w:numId="24">
    <w:abstractNumId w:val="24"/>
  </w:num>
  <w:num w:numId="25">
    <w:abstractNumId w:val="23"/>
  </w:num>
  <w:num w:numId="26">
    <w:abstractNumId w:val="28"/>
  </w:num>
  <w:num w:numId="27">
    <w:abstractNumId w:val="6"/>
  </w:num>
  <w:num w:numId="28">
    <w:abstractNumId w:val="3"/>
  </w:num>
  <w:num w:numId="29">
    <w:abstractNumId w:val="25"/>
  </w:num>
  <w:num w:numId="30">
    <w:abstractNumId w:val="30"/>
  </w:num>
  <w:num w:numId="31">
    <w:abstractNumId w:val="22"/>
  </w:num>
  <w:num w:numId="32">
    <w:abstractNumId w:val="10"/>
  </w:num>
  <w:num w:numId="33">
    <w:abstractNumId w:val="27"/>
  </w:num>
  <w:num w:numId="34">
    <w:abstractNumId w:val="1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65"/>
    <w:rsid w:val="000000B6"/>
    <w:rsid w:val="000036C3"/>
    <w:rsid w:val="000036E2"/>
    <w:rsid w:val="0000681F"/>
    <w:rsid w:val="00013FE8"/>
    <w:rsid w:val="00014A3C"/>
    <w:rsid w:val="000177CF"/>
    <w:rsid w:val="00020FFC"/>
    <w:rsid w:val="000218C7"/>
    <w:rsid w:val="0002308A"/>
    <w:rsid w:val="00024A52"/>
    <w:rsid w:val="00025C19"/>
    <w:rsid w:val="00027818"/>
    <w:rsid w:val="00030B17"/>
    <w:rsid w:val="00031382"/>
    <w:rsid w:val="00032BA1"/>
    <w:rsid w:val="000331AA"/>
    <w:rsid w:val="00033735"/>
    <w:rsid w:val="00034691"/>
    <w:rsid w:val="000419B3"/>
    <w:rsid w:val="00043FB9"/>
    <w:rsid w:val="000459C0"/>
    <w:rsid w:val="00050169"/>
    <w:rsid w:val="00051C65"/>
    <w:rsid w:val="00052EEB"/>
    <w:rsid w:val="00054837"/>
    <w:rsid w:val="00055BF1"/>
    <w:rsid w:val="00056A87"/>
    <w:rsid w:val="00057874"/>
    <w:rsid w:val="000651DF"/>
    <w:rsid w:val="0006669E"/>
    <w:rsid w:val="00071639"/>
    <w:rsid w:val="00071E21"/>
    <w:rsid w:val="0007577E"/>
    <w:rsid w:val="00075D5B"/>
    <w:rsid w:val="00075DB2"/>
    <w:rsid w:val="00076594"/>
    <w:rsid w:val="00077173"/>
    <w:rsid w:val="000846B5"/>
    <w:rsid w:val="000947BC"/>
    <w:rsid w:val="00095E76"/>
    <w:rsid w:val="00097D26"/>
    <w:rsid w:val="000A30EE"/>
    <w:rsid w:val="000A3C42"/>
    <w:rsid w:val="000A4466"/>
    <w:rsid w:val="000A68DF"/>
    <w:rsid w:val="000A6E10"/>
    <w:rsid w:val="000A722B"/>
    <w:rsid w:val="000A7361"/>
    <w:rsid w:val="000A7DFA"/>
    <w:rsid w:val="000B0BF8"/>
    <w:rsid w:val="000B0E4F"/>
    <w:rsid w:val="000B1567"/>
    <w:rsid w:val="000B30C5"/>
    <w:rsid w:val="000B34EA"/>
    <w:rsid w:val="000B39CE"/>
    <w:rsid w:val="000B3D0C"/>
    <w:rsid w:val="000B4091"/>
    <w:rsid w:val="000B4327"/>
    <w:rsid w:val="000B569D"/>
    <w:rsid w:val="000B68BE"/>
    <w:rsid w:val="000C2740"/>
    <w:rsid w:val="000C45E7"/>
    <w:rsid w:val="000C6C38"/>
    <w:rsid w:val="000D0BAC"/>
    <w:rsid w:val="000D22B2"/>
    <w:rsid w:val="000D238D"/>
    <w:rsid w:val="000D45F9"/>
    <w:rsid w:val="000D5B01"/>
    <w:rsid w:val="000E0755"/>
    <w:rsid w:val="000E0D42"/>
    <w:rsid w:val="000E44AA"/>
    <w:rsid w:val="000E5FF2"/>
    <w:rsid w:val="000E7009"/>
    <w:rsid w:val="000F199F"/>
    <w:rsid w:val="000F2BA4"/>
    <w:rsid w:val="000F5CB7"/>
    <w:rsid w:val="000F683B"/>
    <w:rsid w:val="00100765"/>
    <w:rsid w:val="00100949"/>
    <w:rsid w:val="00103B7E"/>
    <w:rsid w:val="0010491D"/>
    <w:rsid w:val="00104B5D"/>
    <w:rsid w:val="00106989"/>
    <w:rsid w:val="00113EDA"/>
    <w:rsid w:val="00114F8E"/>
    <w:rsid w:val="0011524F"/>
    <w:rsid w:val="001159A1"/>
    <w:rsid w:val="00115D49"/>
    <w:rsid w:val="00117225"/>
    <w:rsid w:val="00120962"/>
    <w:rsid w:val="00120CC7"/>
    <w:rsid w:val="00121A21"/>
    <w:rsid w:val="00124618"/>
    <w:rsid w:val="00125721"/>
    <w:rsid w:val="0012729F"/>
    <w:rsid w:val="00130E30"/>
    <w:rsid w:val="001320C2"/>
    <w:rsid w:val="00133B8E"/>
    <w:rsid w:val="00136A91"/>
    <w:rsid w:val="0014021C"/>
    <w:rsid w:val="00142D65"/>
    <w:rsid w:val="00143E83"/>
    <w:rsid w:val="00144495"/>
    <w:rsid w:val="00145A72"/>
    <w:rsid w:val="00147DEF"/>
    <w:rsid w:val="001536F3"/>
    <w:rsid w:val="0015680E"/>
    <w:rsid w:val="001579B2"/>
    <w:rsid w:val="00157F8E"/>
    <w:rsid w:val="00161657"/>
    <w:rsid w:val="00165D0E"/>
    <w:rsid w:val="00166A22"/>
    <w:rsid w:val="00167342"/>
    <w:rsid w:val="001673D2"/>
    <w:rsid w:val="00167544"/>
    <w:rsid w:val="00167B13"/>
    <w:rsid w:val="00170230"/>
    <w:rsid w:val="00170AC9"/>
    <w:rsid w:val="00177419"/>
    <w:rsid w:val="00177A96"/>
    <w:rsid w:val="0018211C"/>
    <w:rsid w:val="001827E0"/>
    <w:rsid w:val="00185808"/>
    <w:rsid w:val="00185847"/>
    <w:rsid w:val="00185A0C"/>
    <w:rsid w:val="001869E0"/>
    <w:rsid w:val="001876AC"/>
    <w:rsid w:val="001909CD"/>
    <w:rsid w:val="001954A3"/>
    <w:rsid w:val="00195ACB"/>
    <w:rsid w:val="00196116"/>
    <w:rsid w:val="0019658E"/>
    <w:rsid w:val="00196FBB"/>
    <w:rsid w:val="0019762C"/>
    <w:rsid w:val="001A30CA"/>
    <w:rsid w:val="001A4DA7"/>
    <w:rsid w:val="001A62E7"/>
    <w:rsid w:val="001A6B08"/>
    <w:rsid w:val="001B02E2"/>
    <w:rsid w:val="001B0E45"/>
    <w:rsid w:val="001B17F5"/>
    <w:rsid w:val="001B2135"/>
    <w:rsid w:val="001B263E"/>
    <w:rsid w:val="001B33A3"/>
    <w:rsid w:val="001B42B9"/>
    <w:rsid w:val="001B4DA6"/>
    <w:rsid w:val="001B669C"/>
    <w:rsid w:val="001B75F7"/>
    <w:rsid w:val="001B7BE0"/>
    <w:rsid w:val="001C2B5C"/>
    <w:rsid w:val="001C3F16"/>
    <w:rsid w:val="001C447C"/>
    <w:rsid w:val="001C6D3E"/>
    <w:rsid w:val="001D0097"/>
    <w:rsid w:val="001D36C3"/>
    <w:rsid w:val="001D3D81"/>
    <w:rsid w:val="001D44B8"/>
    <w:rsid w:val="001D48D6"/>
    <w:rsid w:val="001E2BEB"/>
    <w:rsid w:val="001E6B10"/>
    <w:rsid w:val="001E7050"/>
    <w:rsid w:val="001F034A"/>
    <w:rsid w:val="001F0D72"/>
    <w:rsid w:val="001F576A"/>
    <w:rsid w:val="001F58C8"/>
    <w:rsid w:val="001F5DA3"/>
    <w:rsid w:val="001F7710"/>
    <w:rsid w:val="002004DB"/>
    <w:rsid w:val="00206034"/>
    <w:rsid w:val="00206535"/>
    <w:rsid w:val="00207E6C"/>
    <w:rsid w:val="00211301"/>
    <w:rsid w:val="002116DC"/>
    <w:rsid w:val="00212B1E"/>
    <w:rsid w:val="002136B9"/>
    <w:rsid w:val="00214307"/>
    <w:rsid w:val="00216225"/>
    <w:rsid w:val="00217249"/>
    <w:rsid w:val="00220A45"/>
    <w:rsid w:val="00223342"/>
    <w:rsid w:val="0022338D"/>
    <w:rsid w:val="00223EB7"/>
    <w:rsid w:val="002246CD"/>
    <w:rsid w:val="00224D36"/>
    <w:rsid w:val="0022720E"/>
    <w:rsid w:val="00227368"/>
    <w:rsid w:val="0023318D"/>
    <w:rsid w:val="00234383"/>
    <w:rsid w:val="0023460A"/>
    <w:rsid w:val="00235E68"/>
    <w:rsid w:val="00236D3F"/>
    <w:rsid w:val="00241006"/>
    <w:rsid w:val="00241A3D"/>
    <w:rsid w:val="00241D1B"/>
    <w:rsid w:val="00242A4A"/>
    <w:rsid w:val="00243A46"/>
    <w:rsid w:val="00246F8B"/>
    <w:rsid w:val="0025119E"/>
    <w:rsid w:val="002515CD"/>
    <w:rsid w:val="00252B1F"/>
    <w:rsid w:val="00252D78"/>
    <w:rsid w:val="002547EA"/>
    <w:rsid w:val="00257159"/>
    <w:rsid w:val="00262F73"/>
    <w:rsid w:val="00266D5F"/>
    <w:rsid w:val="00266F53"/>
    <w:rsid w:val="0027023E"/>
    <w:rsid w:val="0027215B"/>
    <w:rsid w:val="00272DF0"/>
    <w:rsid w:val="00272FF0"/>
    <w:rsid w:val="00273770"/>
    <w:rsid w:val="00276B95"/>
    <w:rsid w:val="0027731B"/>
    <w:rsid w:val="0027769D"/>
    <w:rsid w:val="002777A7"/>
    <w:rsid w:val="0028391A"/>
    <w:rsid w:val="002849E0"/>
    <w:rsid w:val="00286818"/>
    <w:rsid w:val="00287ADE"/>
    <w:rsid w:val="0029012F"/>
    <w:rsid w:val="0029216F"/>
    <w:rsid w:val="0029220A"/>
    <w:rsid w:val="002933A9"/>
    <w:rsid w:val="002963BA"/>
    <w:rsid w:val="002969D1"/>
    <w:rsid w:val="002A2730"/>
    <w:rsid w:val="002A3228"/>
    <w:rsid w:val="002A3259"/>
    <w:rsid w:val="002A443A"/>
    <w:rsid w:val="002A46C3"/>
    <w:rsid w:val="002A6534"/>
    <w:rsid w:val="002A6650"/>
    <w:rsid w:val="002A7DB2"/>
    <w:rsid w:val="002B3172"/>
    <w:rsid w:val="002C0447"/>
    <w:rsid w:val="002C3ACE"/>
    <w:rsid w:val="002C4C55"/>
    <w:rsid w:val="002C7AC2"/>
    <w:rsid w:val="002D2937"/>
    <w:rsid w:val="002D412C"/>
    <w:rsid w:val="002D603A"/>
    <w:rsid w:val="002D626E"/>
    <w:rsid w:val="002D7557"/>
    <w:rsid w:val="002D79DB"/>
    <w:rsid w:val="002D7D67"/>
    <w:rsid w:val="002F2EE7"/>
    <w:rsid w:val="002F3EEB"/>
    <w:rsid w:val="002F5159"/>
    <w:rsid w:val="002F62E4"/>
    <w:rsid w:val="002F670C"/>
    <w:rsid w:val="002F6ACE"/>
    <w:rsid w:val="002F78BC"/>
    <w:rsid w:val="003011FB"/>
    <w:rsid w:val="00301406"/>
    <w:rsid w:val="00304D75"/>
    <w:rsid w:val="003057FF"/>
    <w:rsid w:val="0030772B"/>
    <w:rsid w:val="003100A7"/>
    <w:rsid w:val="00313A8A"/>
    <w:rsid w:val="003169A1"/>
    <w:rsid w:val="00322DBD"/>
    <w:rsid w:val="00324481"/>
    <w:rsid w:val="00324F0E"/>
    <w:rsid w:val="00326F73"/>
    <w:rsid w:val="00327A7C"/>
    <w:rsid w:val="00331FD0"/>
    <w:rsid w:val="00334481"/>
    <w:rsid w:val="0033457F"/>
    <w:rsid w:val="003354AE"/>
    <w:rsid w:val="00336C4D"/>
    <w:rsid w:val="00337F12"/>
    <w:rsid w:val="003420AD"/>
    <w:rsid w:val="00342D1E"/>
    <w:rsid w:val="00344150"/>
    <w:rsid w:val="00345E1F"/>
    <w:rsid w:val="003503B1"/>
    <w:rsid w:val="00353309"/>
    <w:rsid w:val="00356169"/>
    <w:rsid w:val="00361163"/>
    <w:rsid w:val="00361A01"/>
    <w:rsid w:val="00362B60"/>
    <w:rsid w:val="003734A9"/>
    <w:rsid w:val="00373587"/>
    <w:rsid w:val="00376CAE"/>
    <w:rsid w:val="0038041A"/>
    <w:rsid w:val="0038070F"/>
    <w:rsid w:val="00381A3E"/>
    <w:rsid w:val="00382BA8"/>
    <w:rsid w:val="003850E7"/>
    <w:rsid w:val="003855A0"/>
    <w:rsid w:val="003855A4"/>
    <w:rsid w:val="003929EE"/>
    <w:rsid w:val="00393A0B"/>
    <w:rsid w:val="00396F60"/>
    <w:rsid w:val="003A2A5F"/>
    <w:rsid w:val="003A4595"/>
    <w:rsid w:val="003A627F"/>
    <w:rsid w:val="003A6F25"/>
    <w:rsid w:val="003A7513"/>
    <w:rsid w:val="003B1233"/>
    <w:rsid w:val="003B12C2"/>
    <w:rsid w:val="003B1406"/>
    <w:rsid w:val="003B4B50"/>
    <w:rsid w:val="003B4BD5"/>
    <w:rsid w:val="003B4F06"/>
    <w:rsid w:val="003B672B"/>
    <w:rsid w:val="003B6871"/>
    <w:rsid w:val="003C196D"/>
    <w:rsid w:val="003C29B7"/>
    <w:rsid w:val="003C2A4C"/>
    <w:rsid w:val="003C426B"/>
    <w:rsid w:val="003D05F3"/>
    <w:rsid w:val="003D11A1"/>
    <w:rsid w:val="003D14AF"/>
    <w:rsid w:val="003D23B5"/>
    <w:rsid w:val="003D51B3"/>
    <w:rsid w:val="003E014D"/>
    <w:rsid w:val="003E1693"/>
    <w:rsid w:val="003E3DF4"/>
    <w:rsid w:val="003E48AE"/>
    <w:rsid w:val="003E7335"/>
    <w:rsid w:val="003E7BC7"/>
    <w:rsid w:val="003F201A"/>
    <w:rsid w:val="003F31E2"/>
    <w:rsid w:val="003F55A4"/>
    <w:rsid w:val="003F63FB"/>
    <w:rsid w:val="003F6B90"/>
    <w:rsid w:val="00401D2B"/>
    <w:rsid w:val="00402D0F"/>
    <w:rsid w:val="004068BB"/>
    <w:rsid w:val="00407790"/>
    <w:rsid w:val="00410213"/>
    <w:rsid w:val="00411314"/>
    <w:rsid w:val="0041319B"/>
    <w:rsid w:val="00413211"/>
    <w:rsid w:val="00414FCA"/>
    <w:rsid w:val="00414FEF"/>
    <w:rsid w:val="00414FFB"/>
    <w:rsid w:val="00415B5D"/>
    <w:rsid w:val="0041651F"/>
    <w:rsid w:val="00422B51"/>
    <w:rsid w:val="00424576"/>
    <w:rsid w:val="004252C3"/>
    <w:rsid w:val="00426849"/>
    <w:rsid w:val="00427C24"/>
    <w:rsid w:val="004324B1"/>
    <w:rsid w:val="00432852"/>
    <w:rsid w:val="00435C02"/>
    <w:rsid w:val="0043663E"/>
    <w:rsid w:val="004378BC"/>
    <w:rsid w:val="0044006D"/>
    <w:rsid w:val="00441068"/>
    <w:rsid w:val="00443E6D"/>
    <w:rsid w:val="00445872"/>
    <w:rsid w:val="00446DD7"/>
    <w:rsid w:val="004508F7"/>
    <w:rsid w:val="004512D3"/>
    <w:rsid w:val="004518AA"/>
    <w:rsid w:val="00456E9A"/>
    <w:rsid w:val="004609A3"/>
    <w:rsid w:val="004616F9"/>
    <w:rsid w:val="00463385"/>
    <w:rsid w:val="00464FFE"/>
    <w:rsid w:val="004658C4"/>
    <w:rsid w:val="00467C2A"/>
    <w:rsid w:val="00470322"/>
    <w:rsid w:val="00470B71"/>
    <w:rsid w:val="00471DEA"/>
    <w:rsid w:val="00474882"/>
    <w:rsid w:val="00474FA3"/>
    <w:rsid w:val="0047572F"/>
    <w:rsid w:val="004764E2"/>
    <w:rsid w:val="0047693F"/>
    <w:rsid w:val="00477D4A"/>
    <w:rsid w:val="004801DC"/>
    <w:rsid w:val="00484BA8"/>
    <w:rsid w:val="0048546C"/>
    <w:rsid w:val="00485B06"/>
    <w:rsid w:val="00487823"/>
    <w:rsid w:val="0049061D"/>
    <w:rsid w:val="00490AC1"/>
    <w:rsid w:val="004911FD"/>
    <w:rsid w:val="0049171A"/>
    <w:rsid w:val="004918E4"/>
    <w:rsid w:val="00492161"/>
    <w:rsid w:val="004922D5"/>
    <w:rsid w:val="00492420"/>
    <w:rsid w:val="00493964"/>
    <w:rsid w:val="00494C15"/>
    <w:rsid w:val="00495F7B"/>
    <w:rsid w:val="004A1136"/>
    <w:rsid w:val="004A1C91"/>
    <w:rsid w:val="004A31BF"/>
    <w:rsid w:val="004A6367"/>
    <w:rsid w:val="004B086E"/>
    <w:rsid w:val="004B2B52"/>
    <w:rsid w:val="004B3B21"/>
    <w:rsid w:val="004B4696"/>
    <w:rsid w:val="004B5362"/>
    <w:rsid w:val="004B6403"/>
    <w:rsid w:val="004C00DC"/>
    <w:rsid w:val="004C1B6C"/>
    <w:rsid w:val="004C1DA1"/>
    <w:rsid w:val="004C782A"/>
    <w:rsid w:val="004D04E8"/>
    <w:rsid w:val="004D0797"/>
    <w:rsid w:val="004D1A6B"/>
    <w:rsid w:val="004D31AC"/>
    <w:rsid w:val="004D3238"/>
    <w:rsid w:val="004D458A"/>
    <w:rsid w:val="004D4737"/>
    <w:rsid w:val="004E1E40"/>
    <w:rsid w:val="004E203E"/>
    <w:rsid w:val="004E2B2D"/>
    <w:rsid w:val="004E2B77"/>
    <w:rsid w:val="004E4C17"/>
    <w:rsid w:val="004F1090"/>
    <w:rsid w:val="004F2890"/>
    <w:rsid w:val="004F294E"/>
    <w:rsid w:val="004F2F46"/>
    <w:rsid w:val="00501FB3"/>
    <w:rsid w:val="00502202"/>
    <w:rsid w:val="00503293"/>
    <w:rsid w:val="00505CFF"/>
    <w:rsid w:val="00510032"/>
    <w:rsid w:val="005101A6"/>
    <w:rsid w:val="005101D8"/>
    <w:rsid w:val="005113FB"/>
    <w:rsid w:val="00512DFE"/>
    <w:rsid w:val="00513CB9"/>
    <w:rsid w:val="0051438E"/>
    <w:rsid w:val="00514853"/>
    <w:rsid w:val="00515428"/>
    <w:rsid w:val="005211FD"/>
    <w:rsid w:val="00521CB1"/>
    <w:rsid w:val="00522A6A"/>
    <w:rsid w:val="005258DA"/>
    <w:rsid w:val="00525DCE"/>
    <w:rsid w:val="00527B42"/>
    <w:rsid w:val="00530D31"/>
    <w:rsid w:val="00532999"/>
    <w:rsid w:val="005350E8"/>
    <w:rsid w:val="00535A2C"/>
    <w:rsid w:val="00541C34"/>
    <w:rsid w:val="00542D46"/>
    <w:rsid w:val="00542DD0"/>
    <w:rsid w:val="00544EF1"/>
    <w:rsid w:val="00545C29"/>
    <w:rsid w:val="00545C65"/>
    <w:rsid w:val="00545C6E"/>
    <w:rsid w:val="005464D7"/>
    <w:rsid w:val="005521AA"/>
    <w:rsid w:val="00554580"/>
    <w:rsid w:val="00556457"/>
    <w:rsid w:val="00557F60"/>
    <w:rsid w:val="00561637"/>
    <w:rsid w:val="00562097"/>
    <w:rsid w:val="00563C94"/>
    <w:rsid w:val="00564AD1"/>
    <w:rsid w:val="00566862"/>
    <w:rsid w:val="005670E5"/>
    <w:rsid w:val="00567D78"/>
    <w:rsid w:val="00570C45"/>
    <w:rsid w:val="00570EAB"/>
    <w:rsid w:val="005716B0"/>
    <w:rsid w:val="00571D66"/>
    <w:rsid w:val="00573880"/>
    <w:rsid w:val="0057416C"/>
    <w:rsid w:val="0057563F"/>
    <w:rsid w:val="005762DC"/>
    <w:rsid w:val="00576516"/>
    <w:rsid w:val="005808FF"/>
    <w:rsid w:val="00580C8E"/>
    <w:rsid w:val="005866C9"/>
    <w:rsid w:val="00586DEE"/>
    <w:rsid w:val="005909EA"/>
    <w:rsid w:val="0059144E"/>
    <w:rsid w:val="00592023"/>
    <w:rsid w:val="00592A39"/>
    <w:rsid w:val="00596190"/>
    <w:rsid w:val="005965A4"/>
    <w:rsid w:val="00596F0C"/>
    <w:rsid w:val="005A0F99"/>
    <w:rsid w:val="005A353A"/>
    <w:rsid w:val="005A4011"/>
    <w:rsid w:val="005B0EEC"/>
    <w:rsid w:val="005B324C"/>
    <w:rsid w:val="005B4F50"/>
    <w:rsid w:val="005C203F"/>
    <w:rsid w:val="005C2F4A"/>
    <w:rsid w:val="005C3A6D"/>
    <w:rsid w:val="005C4D3D"/>
    <w:rsid w:val="005C65AF"/>
    <w:rsid w:val="005C6B70"/>
    <w:rsid w:val="005D06F9"/>
    <w:rsid w:val="005D3006"/>
    <w:rsid w:val="005D4076"/>
    <w:rsid w:val="005D4094"/>
    <w:rsid w:val="005D6C36"/>
    <w:rsid w:val="005E0DB8"/>
    <w:rsid w:val="005E1FBF"/>
    <w:rsid w:val="005E2E3E"/>
    <w:rsid w:val="005E44CD"/>
    <w:rsid w:val="005E6639"/>
    <w:rsid w:val="005E73A8"/>
    <w:rsid w:val="005F5676"/>
    <w:rsid w:val="005F60E7"/>
    <w:rsid w:val="005F78B8"/>
    <w:rsid w:val="00603E37"/>
    <w:rsid w:val="00605A1E"/>
    <w:rsid w:val="006101D3"/>
    <w:rsid w:val="006104D9"/>
    <w:rsid w:val="00611892"/>
    <w:rsid w:val="006175FC"/>
    <w:rsid w:val="00625FE7"/>
    <w:rsid w:val="006263E4"/>
    <w:rsid w:val="00626485"/>
    <w:rsid w:val="006308A0"/>
    <w:rsid w:val="00633DD9"/>
    <w:rsid w:val="00633E3A"/>
    <w:rsid w:val="00637BEA"/>
    <w:rsid w:val="00640A82"/>
    <w:rsid w:val="006439AF"/>
    <w:rsid w:val="00643E2D"/>
    <w:rsid w:val="00644DA8"/>
    <w:rsid w:val="00650913"/>
    <w:rsid w:val="00651556"/>
    <w:rsid w:val="00652609"/>
    <w:rsid w:val="0065377E"/>
    <w:rsid w:val="006555EB"/>
    <w:rsid w:val="00660FDA"/>
    <w:rsid w:val="00662039"/>
    <w:rsid w:val="00664578"/>
    <w:rsid w:val="00673682"/>
    <w:rsid w:val="006738EF"/>
    <w:rsid w:val="0067599C"/>
    <w:rsid w:val="00675E27"/>
    <w:rsid w:val="0067603F"/>
    <w:rsid w:val="00681F3F"/>
    <w:rsid w:val="00684AC0"/>
    <w:rsid w:val="006854C5"/>
    <w:rsid w:val="00686A01"/>
    <w:rsid w:val="00690FDD"/>
    <w:rsid w:val="0069102E"/>
    <w:rsid w:val="006918C0"/>
    <w:rsid w:val="00692A33"/>
    <w:rsid w:val="00692A36"/>
    <w:rsid w:val="00692EEA"/>
    <w:rsid w:val="006931B8"/>
    <w:rsid w:val="00694B3E"/>
    <w:rsid w:val="00694D93"/>
    <w:rsid w:val="006969BF"/>
    <w:rsid w:val="00697814"/>
    <w:rsid w:val="006A088F"/>
    <w:rsid w:val="006A2F39"/>
    <w:rsid w:val="006A4433"/>
    <w:rsid w:val="006A52E7"/>
    <w:rsid w:val="006B1D1C"/>
    <w:rsid w:val="006B70A5"/>
    <w:rsid w:val="006C23F8"/>
    <w:rsid w:val="006C36FE"/>
    <w:rsid w:val="006C3D32"/>
    <w:rsid w:val="006C578B"/>
    <w:rsid w:val="006C5FD4"/>
    <w:rsid w:val="006C7064"/>
    <w:rsid w:val="006C7E93"/>
    <w:rsid w:val="006D1C5F"/>
    <w:rsid w:val="006D3822"/>
    <w:rsid w:val="006D4EBF"/>
    <w:rsid w:val="006D4F65"/>
    <w:rsid w:val="006D5067"/>
    <w:rsid w:val="006D58FD"/>
    <w:rsid w:val="006E033D"/>
    <w:rsid w:val="006E1DA1"/>
    <w:rsid w:val="006E3095"/>
    <w:rsid w:val="006E31A1"/>
    <w:rsid w:val="006E37D8"/>
    <w:rsid w:val="006E405E"/>
    <w:rsid w:val="006E7FA6"/>
    <w:rsid w:val="006F2E11"/>
    <w:rsid w:val="006F3393"/>
    <w:rsid w:val="006F44E7"/>
    <w:rsid w:val="00700BC4"/>
    <w:rsid w:val="007039B1"/>
    <w:rsid w:val="007041C0"/>
    <w:rsid w:val="00704B0D"/>
    <w:rsid w:val="007072D6"/>
    <w:rsid w:val="00710276"/>
    <w:rsid w:val="00712456"/>
    <w:rsid w:val="00712AF4"/>
    <w:rsid w:val="0071403F"/>
    <w:rsid w:val="00716446"/>
    <w:rsid w:val="00716613"/>
    <w:rsid w:val="00717EC4"/>
    <w:rsid w:val="007201AD"/>
    <w:rsid w:val="0072104E"/>
    <w:rsid w:val="007222D2"/>
    <w:rsid w:val="00730A80"/>
    <w:rsid w:val="00732029"/>
    <w:rsid w:val="00732193"/>
    <w:rsid w:val="00733667"/>
    <w:rsid w:val="00734635"/>
    <w:rsid w:val="0073773A"/>
    <w:rsid w:val="007377F5"/>
    <w:rsid w:val="00742764"/>
    <w:rsid w:val="00743C61"/>
    <w:rsid w:val="00746906"/>
    <w:rsid w:val="0075012B"/>
    <w:rsid w:val="0075216D"/>
    <w:rsid w:val="00753417"/>
    <w:rsid w:val="007534D5"/>
    <w:rsid w:val="00753AE7"/>
    <w:rsid w:val="00754953"/>
    <w:rsid w:val="007568CE"/>
    <w:rsid w:val="00757659"/>
    <w:rsid w:val="00761F04"/>
    <w:rsid w:val="00763039"/>
    <w:rsid w:val="00763041"/>
    <w:rsid w:val="00763953"/>
    <w:rsid w:val="00772E4E"/>
    <w:rsid w:val="007743E2"/>
    <w:rsid w:val="007749BF"/>
    <w:rsid w:val="0077670B"/>
    <w:rsid w:val="00776800"/>
    <w:rsid w:val="007768E6"/>
    <w:rsid w:val="00777BA5"/>
    <w:rsid w:val="00781754"/>
    <w:rsid w:val="007817C8"/>
    <w:rsid w:val="00782DAD"/>
    <w:rsid w:val="00783D17"/>
    <w:rsid w:val="007840AD"/>
    <w:rsid w:val="00790442"/>
    <w:rsid w:val="00791B19"/>
    <w:rsid w:val="00793E78"/>
    <w:rsid w:val="00794070"/>
    <w:rsid w:val="007942CA"/>
    <w:rsid w:val="007946A5"/>
    <w:rsid w:val="0079749B"/>
    <w:rsid w:val="007A067B"/>
    <w:rsid w:val="007A0EB3"/>
    <w:rsid w:val="007A2747"/>
    <w:rsid w:val="007A290E"/>
    <w:rsid w:val="007A47AD"/>
    <w:rsid w:val="007A49D9"/>
    <w:rsid w:val="007A5F76"/>
    <w:rsid w:val="007A7B88"/>
    <w:rsid w:val="007B0314"/>
    <w:rsid w:val="007B1269"/>
    <w:rsid w:val="007B2A3D"/>
    <w:rsid w:val="007B63AD"/>
    <w:rsid w:val="007B7718"/>
    <w:rsid w:val="007C0153"/>
    <w:rsid w:val="007C17FE"/>
    <w:rsid w:val="007C33DE"/>
    <w:rsid w:val="007C3FD1"/>
    <w:rsid w:val="007D171E"/>
    <w:rsid w:val="007D2707"/>
    <w:rsid w:val="007D2D44"/>
    <w:rsid w:val="007D4205"/>
    <w:rsid w:val="007D66E5"/>
    <w:rsid w:val="007E4E7E"/>
    <w:rsid w:val="007E6088"/>
    <w:rsid w:val="007F069B"/>
    <w:rsid w:val="007F0EB5"/>
    <w:rsid w:val="007F167A"/>
    <w:rsid w:val="007F34E3"/>
    <w:rsid w:val="007F5079"/>
    <w:rsid w:val="007F51AE"/>
    <w:rsid w:val="008007C4"/>
    <w:rsid w:val="00800AAA"/>
    <w:rsid w:val="008018DB"/>
    <w:rsid w:val="00801A3A"/>
    <w:rsid w:val="0080345F"/>
    <w:rsid w:val="00805AA1"/>
    <w:rsid w:val="00805FA5"/>
    <w:rsid w:val="008066DC"/>
    <w:rsid w:val="00807811"/>
    <w:rsid w:val="00810A06"/>
    <w:rsid w:val="00811286"/>
    <w:rsid w:val="00811B81"/>
    <w:rsid w:val="00811DB3"/>
    <w:rsid w:val="00811E02"/>
    <w:rsid w:val="00811F39"/>
    <w:rsid w:val="008153FA"/>
    <w:rsid w:val="00820491"/>
    <w:rsid w:val="008238CD"/>
    <w:rsid w:val="008246BF"/>
    <w:rsid w:val="00827315"/>
    <w:rsid w:val="0082788C"/>
    <w:rsid w:val="00827D92"/>
    <w:rsid w:val="00830374"/>
    <w:rsid w:val="008320F1"/>
    <w:rsid w:val="00833076"/>
    <w:rsid w:val="00835083"/>
    <w:rsid w:val="008376BC"/>
    <w:rsid w:val="00841515"/>
    <w:rsid w:val="008428EC"/>
    <w:rsid w:val="0084331A"/>
    <w:rsid w:val="00843A35"/>
    <w:rsid w:val="00845079"/>
    <w:rsid w:val="00846169"/>
    <w:rsid w:val="00850554"/>
    <w:rsid w:val="00850CC6"/>
    <w:rsid w:val="00852FAA"/>
    <w:rsid w:val="00853CDB"/>
    <w:rsid w:val="00854FB5"/>
    <w:rsid w:val="008561E4"/>
    <w:rsid w:val="008622C8"/>
    <w:rsid w:val="008624F1"/>
    <w:rsid w:val="00862758"/>
    <w:rsid w:val="00862BEC"/>
    <w:rsid w:val="00865D88"/>
    <w:rsid w:val="00867289"/>
    <w:rsid w:val="00874222"/>
    <w:rsid w:val="00874357"/>
    <w:rsid w:val="00874BD0"/>
    <w:rsid w:val="00877840"/>
    <w:rsid w:val="00877A3F"/>
    <w:rsid w:val="00880E9F"/>
    <w:rsid w:val="008820C3"/>
    <w:rsid w:val="00884740"/>
    <w:rsid w:val="00885348"/>
    <w:rsid w:val="00887048"/>
    <w:rsid w:val="00887F5C"/>
    <w:rsid w:val="00890A8A"/>
    <w:rsid w:val="00890D56"/>
    <w:rsid w:val="008926B7"/>
    <w:rsid w:val="00892C83"/>
    <w:rsid w:val="0089480A"/>
    <w:rsid w:val="0089604B"/>
    <w:rsid w:val="00896278"/>
    <w:rsid w:val="00896C50"/>
    <w:rsid w:val="008A015C"/>
    <w:rsid w:val="008A1B8F"/>
    <w:rsid w:val="008A214D"/>
    <w:rsid w:val="008A23FE"/>
    <w:rsid w:val="008A3675"/>
    <w:rsid w:val="008A3B00"/>
    <w:rsid w:val="008A529F"/>
    <w:rsid w:val="008A7673"/>
    <w:rsid w:val="008B0423"/>
    <w:rsid w:val="008B1623"/>
    <w:rsid w:val="008B1E93"/>
    <w:rsid w:val="008B293D"/>
    <w:rsid w:val="008B2E5B"/>
    <w:rsid w:val="008B2E66"/>
    <w:rsid w:val="008B325B"/>
    <w:rsid w:val="008B4254"/>
    <w:rsid w:val="008B4913"/>
    <w:rsid w:val="008B4F6A"/>
    <w:rsid w:val="008B560F"/>
    <w:rsid w:val="008C14F5"/>
    <w:rsid w:val="008C5263"/>
    <w:rsid w:val="008C53B2"/>
    <w:rsid w:val="008C67AC"/>
    <w:rsid w:val="008C69B5"/>
    <w:rsid w:val="008C6CA3"/>
    <w:rsid w:val="008D4B60"/>
    <w:rsid w:val="008D78A7"/>
    <w:rsid w:val="008E03E3"/>
    <w:rsid w:val="008E3461"/>
    <w:rsid w:val="008E6C5F"/>
    <w:rsid w:val="008E6DA4"/>
    <w:rsid w:val="008E753D"/>
    <w:rsid w:val="008F0150"/>
    <w:rsid w:val="008F08D7"/>
    <w:rsid w:val="008F2916"/>
    <w:rsid w:val="008F346F"/>
    <w:rsid w:val="008F4224"/>
    <w:rsid w:val="008F4DBC"/>
    <w:rsid w:val="008F6CB9"/>
    <w:rsid w:val="009000D2"/>
    <w:rsid w:val="0090025F"/>
    <w:rsid w:val="009027F6"/>
    <w:rsid w:val="0090472C"/>
    <w:rsid w:val="0090498F"/>
    <w:rsid w:val="00905A0A"/>
    <w:rsid w:val="009110F6"/>
    <w:rsid w:val="00911285"/>
    <w:rsid w:val="00916AC0"/>
    <w:rsid w:val="00920BE0"/>
    <w:rsid w:val="009226AF"/>
    <w:rsid w:val="00930447"/>
    <w:rsid w:val="00931186"/>
    <w:rsid w:val="00932323"/>
    <w:rsid w:val="00934AB1"/>
    <w:rsid w:val="0093596F"/>
    <w:rsid w:val="00940A14"/>
    <w:rsid w:val="0094315A"/>
    <w:rsid w:val="009443DD"/>
    <w:rsid w:val="00944EBA"/>
    <w:rsid w:val="00946C41"/>
    <w:rsid w:val="0095447A"/>
    <w:rsid w:val="009554EC"/>
    <w:rsid w:val="00957930"/>
    <w:rsid w:val="00960A39"/>
    <w:rsid w:val="00961898"/>
    <w:rsid w:val="00963127"/>
    <w:rsid w:val="009647A6"/>
    <w:rsid w:val="00970276"/>
    <w:rsid w:val="00971004"/>
    <w:rsid w:val="0097246A"/>
    <w:rsid w:val="00976730"/>
    <w:rsid w:val="00976A8A"/>
    <w:rsid w:val="00976C61"/>
    <w:rsid w:val="00976DB4"/>
    <w:rsid w:val="0098008C"/>
    <w:rsid w:val="009827A7"/>
    <w:rsid w:val="0098329C"/>
    <w:rsid w:val="00983441"/>
    <w:rsid w:val="00984353"/>
    <w:rsid w:val="00987815"/>
    <w:rsid w:val="009924CD"/>
    <w:rsid w:val="00992BE0"/>
    <w:rsid w:val="00993734"/>
    <w:rsid w:val="009939E8"/>
    <w:rsid w:val="009947E0"/>
    <w:rsid w:val="0099726B"/>
    <w:rsid w:val="009A029D"/>
    <w:rsid w:val="009A08A2"/>
    <w:rsid w:val="009A1BC3"/>
    <w:rsid w:val="009A2B24"/>
    <w:rsid w:val="009A4D33"/>
    <w:rsid w:val="009A767E"/>
    <w:rsid w:val="009A7B7C"/>
    <w:rsid w:val="009B050A"/>
    <w:rsid w:val="009B129E"/>
    <w:rsid w:val="009B4C5D"/>
    <w:rsid w:val="009B5F85"/>
    <w:rsid w:val="009B630D"/>
    <w:rsid w:val="009B6945"/>
    <w:rsid w:val="009B6DFA"/>
    <w:rsid w:val="009B77AC"/>
    <w:rsid w:val="009C113D"/>
    <w:rsid w:val="009C3588"/>
    <w:rsid w:val="009C710F"/>
    <w:rsid w:val="009D13A7"/>
    <w:rsid w:val="009D163D"/>
    <w:rsid w:val="009D3C54"/>
    <w:rsid w:val="009D3CDD"/>
    <w:rsid w:val="009D4192"/>
    <w:rsid w:val="009D5C86"/>
    <w:rsid w:val="009D7ADD"/>
    <w:rsid w:val="009E04DB"/>
    <w:rsid w:val="009E153D"/>
    <w:rsid w:val="009E225E"/>
    <w:rsid w:val="009E3343"/>
    <w:rsid w:val="009E42A9"/>
    <w:rsid w:val="009E65BF"/>
    <w:rsid w:val="009E756E"/>
    <w:rsid w:val="009F0217"/>
    <w:rsid w:val="009F0EBB"/>
    <w:rsid w:val="009F4C7B"/>
    <w:rsid w:val="009F7530"/>
    <w:rsid w:val="00A021EA"/>
    <w:rsid w:val="00A02806"/>
    <w:rsid w:val="00A02DFF"/>
    <w:rsid w:val="00A03EA0"/>
    <w:rsid w:val="00A046DC"/>
    <w:rsid w:val="00A04C01"/>
    <w:rsid w:val="00A05900"/>
    <w:rsid w:val="00A06416"/>
    <w:rsid w:val="00A06D03"/>
    <w:rsid w:val="00A109BC"/>
    <w:rsid w:val="00A12960"/>
    <w:rsid w:val="00A13CBE"/>
    <w:rsid w:val="00A1408C"/>
    <w:rsid w:val="00A1514B"/>
    <w:rsid w:val="00A24462"/>
    <w:rsid w:val="00A245DB"/>
    <w:rsid w:val="00A24885"/>
    <w:rsid w:val="00A274E3"/>
    <w:rsid w:val="00A27E18"/>
    <w:rsid w:val="00A30372"/>
    <w:rsid w:val="00A309B5"/>
    <w:rsid w:val="00A31240"/>
    <w:rsid w:val="00A31A5B"/>
    <w:rsid w:val="00A31C04"/>
    <w:rsid w:val="00A31E2F"/>
    <w:rsid w:val="00A32566"/>
    <w:rsid w:val="00A33367"/>
    <w:rsid w:val="00A35468"/>
    <w:rsid w:val="00A37063"/>
    <w:rsid w:val="00A37F8B"/>
    <w:rsid w:val="00A4016D"/>
    <w:rsid w:val="00A4224E"/>
    <w:rsid w:val="00A42293"/>
    <w:rsid w:val="00A43A0F"/>
    <w:rsid w:val="00A45D93"/>
    <w:rsid w:val="00A463AD"/>
    <w:rsid w:val="00A4653B"/>
    <w:rsid w:val="00A46B49"/>
    <w:rsid w:val="00A46E69"/>
    <w:rsid w:val="00A50501"/>
    <w:rsid w:val="00A50CCC"/>
    <w:rsid w:val="00A54572"/>
    <w:rsid w:val="00A54BA8"/>
    <w:rsid w:val="00A54F27"/>
    <w:rsid w:val="00A57E69"/>
    <w:rsid w:val="00A613B5"/>
    <w:rsid w:val="00A627A7"/>
    <w:rsid w:val="00A64255"/>
    <w:rsid w:val="00A70911"/>
    <w:rsid w:val="00A70D77"/>
    <w:rsid w:val="00A728A2"/>
    <w:rsid w:val="00A73B61"/>
    <w:rsid w:val="00A745B0"/>
    <w:rsid w:val="00A74C33"/>
    <w:rsid w:val="00A7685C"/>
    <w:rsid w:val="00A77ED4"/>
    <w:rsid w:val="00A811E3"/>
    <w:rsid w:val="00A82F87"/>
    <w:rsid w:val="00A83814"/>
    <w:rsid w:val="00A85F70"/>
    <w:rsid w:val="00A94997"/>
    <w:rsid w:val="00A95938"/>
    <w:rsid w:val="00A96E51"/>
    <w:rsid w:val="00A97697"/>
    <w:rsid w:val="00AA0DF3"/>
    <w:rsid w:val="00AA24C6"/>
    <w:rsid w:val="00AA30B5"/>
    <w:rsid w:val="00AA3B87"/>
    <w:rsid w:val="00AB6E0B"/>
    <w:rsid w:val="00AC12C8"/>
    <w:rsid w:val="00AC2557"/>
    <w:rsid w:val="00AC3DD8"/>
    <w:rsid w:val="00AC4049"/>
    <w:rsid w:val="00AC6C55"/>
    <w:rsid w:val="00AD2B31"/>
    <w:rsid w:val="00AD4377"/>
    <w:rsid w:val="00AD4C03"/>
    <w:rsid w:val="00AD5630"/>
    <w:rsid w:val="00AE19C3"/>
    <w:rsid w:val="00AE28DF"/>
    <w:rsid w:val="00AE2A9F"/>
    <w:rsid w:val="00AE69B3"/>
    <w:rsid w:val="00AE760A"/>
    <w:rsid w:val="00AE7CE1"/>
    <w:rsid w:val="00AF0501"/>
    <w:rsid w:val="00AF1110"/>
    <w:rsid w:val="00AF1113"/>
    <w:rsid w:val="00AF1A8A"/>
    <w:rsid w:val="00AF1B80"/>
    <w:rsid w:val="00AF1FE3"/>
    <w:rsid w:val="00AF21CB"/>
    <w:rsid w:val="00AF2684"/>
    <w:rsid w:val="00AF4882"/>
    <w:rsid w:val="00B007B5"/>
    <w:rsid w:val="00B02227"/>
    <w:rsid w:val="00B03898"/>
    <w:rsid w:val="00B03EC9"/>
    <w:rsid w:val="00B07545"/>
    <w:rsid w:val="00B13685"/>
    <w:rsid w:val="00B15308"/>
    <w:rsid w:val="00B15DAF"/>
    <w:rsid w:val="00B2079B"/>
    <w:rsid w:val="00B22D1A"/>
    <w:rsid w:val="00B23FF4"/>
    <w:rsid w:val="00B24C90"/>
    <w:rsid w:val="00B2604F"/>
    <w:rsid w:val="00B34FFE"/>
    <w:rsid w:val="00B35A89"/>
    <w:rsid w:val="00B36E03"/>
    <w:rsid w:val="00B41153"/>
    <w:rsid w:val="00B426D6"/>
    <w:rsid w:val="00B43E59"/>
    <w:rsid w:val="00B4403E"/>
    <w:rsid w:val="00B44E47"/>
    <w:rsid w:val="00B46B7D"/>
    <w:rsid w:val="00B47035"/>
    <w:rsid w:val="00B51501"/>
    <w:rsid w:val="00B52897"/>
    <w:rsid w:val="00B53C6E"/>
    <w:rsid w:val="00B566D0"/>
    <w:rsid w:val="00B56998"/>
    <w:rsid w:val="00B62B44"/>
    <w:rsid w:val="00B63E15"/>
    <w:rsid w:val="00B64D83"/>
    <w:rsid w:val="00B655FE"/>
    <w:rsid w:val="00B66822"/>
    <w:rsid w:val="00B67D1E"/>
    <w:rsid w:val="00B7114E"/>
    <w:rsid w:val="00B715DE"/>
    <w:rsid w:val="00B719EB"/>
    <w:rsid w:val="00B73117"/>
    <w:rsid w:val="00B7342E"/>
    <w:rsid w:val="00B74E69"/>
    <w:rsid w:val="00B75830"/>
    <w:rsid w:val="00B760C8"/>
    <w:rsid w:val="00B76D85"/>
    <w:rsid w:val="00B7735F"/>
    <w:rsid w:val="00B80A0C"/>
    <w:rsid w:val="00B81815"/>
    <w:rsid w:val="00B841DA"/>
    <w:rsid w:val="00B912D0"/>
    <w:rsid w:val="00B91544"/>
    <w:rsid w:val="00B94BBB"/>
    <w:rsid w:val="00B9691D"/>
    <w:rsid w:val="00BA333D"/>
    <w:rsid w:val="00BA6D82"/>
    <w:rsid w:val="00BA6F31"/>
    <w:rsid w:val="00BB3457"/>
    <w:rsid w:val="00BB4220"/>
    <w:rsid w:val="00BB5E62"/>
    <w:rsid w:val="00BB70A2"/>
    <w:rsid w:val="00BC159B"/>
    <w:rsid w:val="00BC4499"/>
    <w:rsid w:val="00BC543B"/>
    <w:rsid w:val="00BC5572"/>
    <w:rsid w:val="00BD04DD"/>
    <w:rsid w:val="00BD4E47"/>
    <w:rsid w:val="00BD51A1"/>
    <w:rsid w:val="00BD7CC4"/>
    <w:rsid w:val="00BE1E0A"/>
    <w:rsid w:val="00BE242F"/>
    <w:rsid w:val="00BE505A"/>
    <w:rsid w:val="00BE5910"/>
    <w:rsid w:val="00BF26CE"/>
    <w:rsid w:val="00BF45E3"/>
    <w:rsid w:val="00BF650C"/>
    <w:rsid w:val="00BF7521"/>
    <w:rsid w:val="00C00054"/>
    <w:rsid w:val="00C01CF4"/>
    <w:rsid w:val="00C0532A"/>
    <w:rsid w:val="00C0613C"/>
    <w:rsid w:val="00C06738"/>
    <w:rsid w:val="00C0694F"/>
    <w:rsid w:val="00C140AB"/>
    <w:rsid w:val="00C158A2"/>
    <w:rsid w:val="00C17415"/>
    <w:rsid w:val="00C17C43"/>
    <w:rsid w:val="00C17C8A"/>
    <w:rsid w:val="00C22CCE"/>
    <w:rsid w:val="00C22D61"/>
    <w:rsid w:val="00C252F1"/>
    <w:rsid w:val="00C25F95"/>
    <w:rsid w:val="00C2692F"/>
    <w:rsid w:val="00C27E71"/>
    <w:rsid w:val="00C301D5"/>
    <w:rsid w:val="00C314FF"/>
    <w:rsid w:val="00C344F7"/>
    <w:rsid w:val="00C3502A"/>
    <w:rsid w:val="00C3718C"/>
    <w:rsid w:val="00C376E3"/>
    <w:rsid w:val="00C40466"/>
    <w:rsid w:val="00C42169"/>
    <w:rsid w:val="00C42D3F"/>
    <w:rsid w:val="00C43467"/>
    <w:rsid w:val="00C444B5"/>
    <w:rsid w:val="00C451D0"/>
    <w:rsid w:val="00C4569E"/>
    <w:rsid w:val="00C459A3"/>
    <w:rsid w:val="00C476A7"/>
    <w:rsid w:val="00C520BD"/>
    <w:rsid w:val="00C53220"/>
    <w:rsid w:val="00C5397C"/>
    <w:rsid w:val="00C55BDE"/>
    <w:rsid w:val="00C574A9"/>
    <w:rsid w:val="00C6063B"/>
    <w:rsid w:val="00C64565"/>
    <w:rsid w:val="00C645F5"/>
    <w:rsid w:val="00C65CA1"/>
    <w:rsid w:val="00C663B9"/>
    <w:rsid w:val="00C67989"/>
    <w:rsid w:val="00C702C2"/>
    <w:rsid w:val="00C727FC"/>
    <w:rsid w:val="00C7604B"/>
    <w:rsid w:val="00C76340"/>
    <w:rsid w:val="00C7731C"/>
    <w:rsid w:val="00C7777A"/>
    <w:rsid w:val="00C77F75"/>
    <w:rsid w:val="00C80D03"/>
    <w:rsid w:val="00C82B3D"/>
    <w:rsid w:val="00C84B80"/>
    <w:rsid w:val="00C855A9"/>
    <w:rsid w:val="00C8581C"/>
    <w:rsid w:val="00C85CEA"/>
    <w:rsid w:val="00C90A03"/>
    <w:rsid w:val="00C93047"/>
    <w:rsid w:val="00C96440"/>
    <w:rsid w:val="00C96818"/>
    <w:rsid w:val="00C9685F"/>
    <w:rsid w:val="00C969CA"/>
    <w:rsid w:val="00CA2A8A"/>
    <w:rsid w:val="00CA3E6D"/>
    <w:rsid w:val="00CA5631"/>
    <w:rsid w:val="00CB1C10"/>
    <w:rsid w:val="00CB2D55"/>
    <w:rsid w:val="00CB360A"/>
    <w:rsid w:val="00CB5E35"/>
    <w:rsid w:val="00CB6A39"/>
    <w:rsid w:val="00CB6CC9"/>
    <w:rsid w:val="00CD1135"/>
    <w:rsid w:val="00CD4B24"/>
    <w:rsid w:val="00CD55FF"/>
    <w:rsid w:val="00CD5EEA"/>
    <w:rsid w:val="00CD6580"/>
    <w:rsid w:val="00CD7556"/>
    <w:rsid w:val="00CD7F9B"/>
    <w:rsid w:val="00CE14AE"/>
    <w:rsid w:val="00CE1734"/>
    <w:rsid w:val="00CE34A2"/>
    <w:rsid w:val="00CE36D9"/>
    <w:rsid w:val="00CE3CF7"/>
    <w:rsid w:val="00CE4436"/>
    <w:rsid w:val="00CE576F"/>
    <w:rsid w:val="00CE5813"/>
    <w:rsid w:val="00CE6A3F"/>
    <w:rsid w:val="00CF09A0"/>
    <w:rsid w:val="00CF2037"/>
    <w:rsid w:val="00CF23A0"/>
    <w:rsid w:val="00CF2B3A"/>
    <w:rsid w:val="00CF302D"/>
    <w:rsid w:val="00D0048E"/>
    <w:rsid w:val="00D009C9"/>
    <w:rsid w:val="00D01EA9"/>
    <w:rsid w:val="00D02372"/>
    <w:rsid w:val="00D04A1E"/>
    <w:rsid w:val="00D04D29"/>
    <w:rsid w:val="00D0545D"/>
    <w:rsid w:val="00D05604"/>
    <w:rsid w:val="00D11286"/>
    <w:rsid w:val="00D120CE"/>
    <w:rsid w:val="00D155EC"/>
    <w:rsid w:val="00D1653B"/>
    <w:rsid w:val="00D2492E"/>
    <w:rsid w:val="00D273D9"/>
    <w:rsid w:val="00D27C8B"/>
    <w:rsid w:val="00D307E1"/>
    <w:rsid w:val="00D31AB9"/>
    <w:rsid w:val="00D34AB6"/>
    <w:rsid w:val="00D34EE5"/>
    <w:rsid w:val="00D35391"/>
    <w:rsid w:val="00D35EB7"/>
    <w:rsid w:val="00D36201"/>
    <w:rsid w:val="00D36461"/>
    <w:rsid w:val="00D413E9"/>
    <w:rsid w:val="00D4176C"/>
    <w:rsid w:val="00D439CC"/>
    <w:rsid w:val="00D44EB0"/>
    <w:rsid w:val="00D457F7"/>
    <w:rsid w:val="00D47DB7"/>
    <w:rsid w:val="00D50F94"/>
    <w:rsid w:val="00D51CFD"/>
    <w:rsid w:val="00D51FEA"/>
    <w:rsid w:val="00D5451E"/>
    <w:rsid w:val="00D549C5"/>
    <w:rsid w:val="00D60507"/>
    <w:rsid w:val="00D6219D"/>
    <w:rsid w:val="00D63A1F"/>
    <w:rsid w:val="00D6518F"/>
    <w:rsid w:val="00D6602C"/>
    <w:rsid w:val="00D66524"/>
    <w:rsid w:val="00D67D80"/>
    <w:rsid w:val="00D70370"/>
    <w:rsid w:val="00D70C4E"/>
    <w:rsid w:val="00D72785"/>
    <w:rsid w:val="00D72CED"/>
    <w:rsid w:val="00D73BF8"/>
    <w:rsid w:val="00D73E67"/>
    <w:rsid w:val="00D749C1"/>
    <w:rsid w:val="00D75798"/>
    <w:rsid w:val="00D803C6"/>
    <w:rsid w:val="00D8120D"/>
    <w:rsid w:val="00D866D6"/>
    <w:rsid w:val="00D8728C"/>
    <w:rsid w:val="00D87E15"/>
    <w:rsid w:val="00D93358"/>
    <w:rsid w:val="00D95B1B"/>
    <w:rsid w:val="00DA1F25"/>
    <w:rsid w:val="00DA36C2"/>
    <w:rsid w:val="00DA56A2"/>
    <w:rsid w:val="00DA5B2F"/>
    <w:rsid w:val="00DA6964"/>
    <w:rsid w:val="00DA7F9F"/>
    <w:rsid w:val="00DB1575"/>
    <w:rsid w:val="00DB298B"/>
    <w:rsid w:val="00DB426D"/>
    <w:rsid w:val="00DB4F2D"/>
    <w:rsid w:val="00DB60A4"/>
    <w:rsid w:val="00DB63FF"/>
    <w:rsid w:val="00DB7BA4"/>
    <w:rsid w:val="00DC1C6D"/>
    <w:rsid w:val="00DC27EC"/>
    <w:rsid w:val="00DC3AC1"/>
    <w:rsid w:val="00DC448B"/>
    <w:rsid w:val="00DC5391"/>
    <w:rsid w:val="00DC6B54"/>
    <w:rsid w:val="00DC7804"/>
    <w:rsid w:val="00DD041C"/>
    <w:rsid w:val="00DD0738"/>
    <w:rsid w:val="00DD2180"/>
    <w:rsid w:val="00DD4670"/>
    <w:rsid w:val="00DD6A75"/>
    <w:rsid w:val="00DE08E9"/>
    <w:rsid w:val="00DE19E2"/>
    <w:rsid w:val="00DE5420"/>
    <w:rsid w:val="00DE589E"/>
    <w:rsid w:val="00DE6F51"/>
    <w:rsid w:val="00DE783F"/>
    <w:rsid w:val="00DF5A9E"/>
    <w:rsid w:val="00DF6644"/>
    <w:rsid w:val="00E008F5"/>
    <w:rsid w:val="00E01499"/>
    <w:rsid w:val="00E03D67"/>
    <w:rsid w:val="00E05F10"/>
    <w:rsid w:val="00E119A4"/>
    <w:rsid w:val="00E122D4"/>
    <w:rsid w:val="00E1460C"/>
    <w:rsid w:val="00E2197B"/>
    <w:rsid w:val="00E2799A"/>
    <w:rsid w:val="00E27A28"/>
    <w:rsid w:val="00E301F4"/>
    <w:rsid w:val="00E31F97"/>
    <w:rsid w:val="00E334E0"/>
    <w:rsid w:val="00E33897"/>
    <w:rsid w:val="00E36093"/>
    <w:rsid w:val="00E37BF4"/>
    <w:rsid w:val="00E41A3A"/>
    <w:rsid w:val="00E4235F"/>
    <w:rsid w:val="00E431E5"/>
    <w:rsid w:val="00E441A3"/>
    <w:rsid w:val="00E44385"/>
    <w:rsid w:val="00E447E4"/>
    <w:rsid w:val="00E45CF7"/>
    <w:rsid w:val="00E45E7D"/>
    <w:rsid w:val="00E4716E"/>
    <w:rsid w:val="00E554C5"/>
    <w:rsid w:val="00E576EB"/>
    <w:rsid w:val="00E62865"/>
    <w:rsid w:val="00E62C33"/>
    <w:rsid w:val="00E6417F"/>
    <w:rsid w:val="00E642F8"/>
    <w:rsid w:val="00E65DBC"/>
    <w:rsid w:val="00E705FF"/>
    <w:rsid w:val="00E70F8C"/>
    <w:rsid w:val="00E72BF7"/>
    <w:rsid w:val="00E740A4"/>
    <w:rsid w:val="00E75D83"/>
    <w:rsid w:val="00E80465"/>
    <w:rsid w:val="00E80D4D"/>
    <w:rsid w:val="00E8423F"/>
    <w:rsid w:val="00E84C48"/>
    <w:rsid w:val="00E85A86"/>
    <w:rsid w:val="00E8621A"/>
    <w:rsid w:val="00E903FC"/>
    <w:rsid w:val="00E90836"/>
    <w:rsid w:val="00E91D6E"/>
    <w:rsid w:val="00E92080"/>
    <w:rsid w:val="00E937AB"/>
    <w:rsid w:val="00EA112C"/>
    <w:rsid w:val="00EA5832"/>
    <w:rsid w:val="00EA6BE5"/>
    <w:rsid w:val="00EB0AA4"/>
    <w:rsid w:val="00EB5817"/>
    <w:rsid w:val="00EB66AB"/>
    <w:rsid w:val="00EB6A42"/>
    <w:rsid w:val="00EC0680"/>
    <w:rsid w:val="00EC1FB2"/>
    <w:rsid w:val="00EC2CB3"/>
    <w:rsid w:val="00EC34B9"/>
    <w:rsid w:val="00EC447E"/>
    <w:rsid w:val="00EC4DD0"/>
    <w:rsid w:val="00EC6C4E"/>
    <w:rsid w:val="00EC79CA"/>
    <w:rsid w:val="00EC7A3A"/>
    <w:rsid w:val="00EC7FA2"/>
    <w:rsid w:val="00ED0182"/>
    <w:rsid w:val="00ED0D85"/>
    <w:rsid w:val="00ED18F1"/>
    <w:rsid w:val="00ED39F3"/>
    <w:rsid w:val="00ED3A21"/>
    <w:rsid w:val="00ED51EF"/>
    <w:rsid w:val="00ED7E62"/>
    <w:rsid w:val="00EE070E"/>
    <w:rsid w:val="00EE1CF9"/>
    <w:rsid w:val="00EE473F"/>
    <w:rsid w:val="00EE5C78"/>
    <w:rsid w:val="00EE6495"/>
    <w:rsid w:val="00EE7157"/>
    <w:rsid w:val="00EF115E"/>
    <w:rsid w:val="00EF3C21"/>
    <w:rsid w:val="00EF5693"/>
    <w:rsid w:val="00EF63C5"/>
    <w:rsid w:val="00F0093E"/>
    <w:rsid w:val="00F01DC2"/>
    <w:rsid w:val="00F03B18"/>
    <w:rsid w:val="00F05274"/>
    <w:rsid w:val="00F11149"/>
    <w:rsid w:val="00F11D8A"/>
    <w:rsid w:val="00F13EE2"/>
    <w:rsid w:val="00F146CE"/>
    <w:rsid w:val="00F16E8E"/>
    <w:rsid w:val="00F236EE"/>
    <w:rsid w:val="00F23798"/>
    <w:rsid w:val="00F24983"/>
    <w:rsid w:val="00F30E04"/>
    <w:rsid w:val="00F31F89"/>
    <w:rsid w:val="00F339BA"/>
    <w:rsid w:val="00F35BB2"/>
    <w:rsid w:val="00F35CCB"/>
    <w:rsid w:val="00F379FC"/>
    <w:rsid w:val="00F4127E"/>
    <w:rsid w:val="00F46263"/>
    <w:rsid w:val="00F46579"/>
    <w:rsid w:val="00F46B0A"/>
    <w:rsid w:val="00F505BE"/>
    <w:rsid w:val="00F50E65"/>
    <w:rsid w:val="00F51649"/>
    <w:rsid w:val="00F51CF4"/>
    <w:rsid w:val="00F527E5"/>
    <w:rsid w:val="00F533C6"/>
    <w:rsid w:val="00F54340"/>
    <w:rsid w:val="00F55FA7"/>
    <w:rsid w:val="00F60235"/>
    <w:rsid w:val="00F60ED7"/>
    <w:rsid w:val="00F63103"/>
    <w:rsid w:val="00F63A63"/>
    <w:rsid w:val="00F64342"/>
    <w:rsid w:val="00F6552B"/>
    <w:rsid w:val="00F662DE"/>
    <w:rsid w:val="00F70BF2"/>
    <w:rsid w:val="00F71CCE"/>
    <w:rsid w:val="00F723E9"/>
    <w:rsid w:val="00F736E6"/>
    <w:rsid w:val="00F741ED"/>
    <w:rsid w:val="00F75854"/>
    <w:rsid w:val="00F76F1E"/>
    <w:rsid w:val="00F76FDE"/>
    <w:rsid w:val="00F77271"/>
    <w:rsid w:val="00F77D31"/>
    <w:rsid w:val="00F82C32"/>
    <w:rsid w:val="00F82CCA"/>
    <w:rsid w:val="00F82E84"/>
    <w:rsid w:val="00F84F3C"/>
    <w:rsid w:val="00F862A0"/>
    <w:rsid w:val="00F90408"/>
    <w:rsid w:val="00F9078C"/>
    <w:rsid w:val="00F93B1E"/>
    <w:rsid w:val="00F94A39"/>
    <w:rsid w:val="00F9694F"/>
    <w:rsid w:val="00F97088"/>
    <w:rsid w:val="00F97508"/>
    <w:rsid w:val="00FA1C70"/>
    <w:rsid w:val="00FA3CE5"/>
    <w:rsid w:val="00FA679D"/>
    <w:rsid w:val="00FB010D"/>
    <w:rsid w:val="00FB15AD"/>
    <w:rsid w:val="00FB1632"/>
    <w:rsid w:val="00FB255F"/>
    <w:rsid w:val="00FB2662"/>
    <w:rsid w:val="00FB2952"/>
    <w:rsid w:val="00FB6091"/>
    <w:rsid w:val="00FB7F93"/>
    <w:rsid w:val="00FC0CCD"/>
    <w:rsid w:val="00FC26C2"/>
    <w:rsid w:val="00FC3158"/>
    <w:rsid w:val="00FC3564"/>
    <w:rsid w:val="00FC3DE2"/>
    <w:rsid w:val="00FC46D5"/>
    <w:rsid w:val="00FC631B"/>
    <w:rsid w:val="00FD20A2"/>
    <w:rsid w:val="00FD3BDC"/>
    <w:rsid w:val="00FE18AD"/>
    <w:rsid w:val="00FE4703"/>
    <w:rsid w:val="00FF03FB"/>
    <w:rsid w:val="00FF3B59"/>
    <w:rsid w:val="00FF6B55"/>
    <w:rsid w:val="00FF78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699CB824"/>
  <w15:docId w15:val="{08436159-DD72-45F8-91C9-7CCE48F3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65"/>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
    <w:qFormat/>
    <w:rsid w:val="000C6C38"/>
    <w:pPr>
      <w:spacing w:before="100" w:beforeAutospacing="1" w:after="100" w:afterAutospacing="1"/>
      <w:outlineLvl w:val="0"/>
    </w:pPr>
    <w:rPr>
      <w:b/>
      <w:bCs/>
      <w:kern w:val="36"/>
      <w:sz w:val="48"/>
      <w:szCs w:val="48"/>
      <w:lang w:val="en-US" w:eastAsia="en-US" w:bidi="as-IN"/>
    </w:rPr>
  </w:style>
  <w:style w:type="paragraph" w:styleId="Heading3">
    <w:name w:val="heading 3"/>
    <w:basedOn w:val="Normal"/>
    <w:next w:val="Normal"/>
    <w:link w:val="Heading3Char"/>
    <w:uiPriority w:val="9"/>
    <w:semiHidden/>
    <w:unhideWhenUsed/>
    <w:qFormat/>
    <w:rsid w:val="005F78B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2865"/>
    <w:pPr>
      <w:tabs>
        <w:tab w:val="center" w:pos="4153"/>
        <w:tab w:val="right" w:pos="8306"/>
      </w:tabs>
    </w:pPr>
  </w:style>
  <w:style w:type="character" w:customStyle="1" w:styleId="HeaderChar">
    <w:name w:val="Header Char"/>
    <w:basedOn w:val="DefaultParagraphFont"/>
    <w:link w:val="Header"/>
    <w:uiPriority w:val="99"/>
    <w:rsid w:val="00E62865"/>
    <w:rPr>
      <w:rFonts w:ascii="Times New Roman" w:eastAsia="Times New Roman" w:hAnsi="Times New Roman" w:cs="Times New Roman"/>
      <w:sz w:val="24"/>
      <w:szCs w:val="24"/>
      <w:lang w:eastAsia="lv-LV"/>
    </w:rPr>
  </w:style>
  <w:style w:type="paragraph" w:customStyle="1" w:styleId="naisf">
    <w:name w:val="naisf"/>
    <w:basedOn w:val="Normal"/>
    <w:uiPriority w:val="99"/>
    <w:rsid w:val="00E62865"/>
    <w:pPr>
      <w:spacing w:before="75" w:after="75"/>
      <w:ind w:firstLine="375"/>
      <w:jc w:val="both"/>
    </w:pPr>
  </w:style>
  <w:style w:type="character" w:styleId="PageNumber">
    <w:name w:val="page number"/>
    <w:basedOn w:val="DefaultParagraphFont"/>
    <w:rsid w:val="00E62865"/>
  </w:style>
  <w:style w:type="character" w:styleId="Hyperlink">
    <w:name w:val="Hyperlink"/>
    <w:uiPriority w:val="99"/>
    <w:rsid w:val="00E62865"/>
    <w:rPr>
      <w:rFonts w:cs="Times New Roman"/>
      <w:color w:val="0000FF"/>
      <w:u w:val="single"/>
    </w:rPr>
  </w:style>
  <w:style w:type="paragraph" w:customStyle="1" w:styleId="naisnod">
    <w:name w:val="naisnod"/>
    <w:basedOn w:val="Normal"/>
    <w:uiPriority w:val="99"/>
    <w:rsid w:val="00E62865"/>
    <w:pPr>
      <w:spacing w:before="150" w:after="150"/>
      <w:jc w:val="center"/>
    </w:pPr>
    <w:rPr>
      <w:b/>
      <w:bCs/>
    </w:rPr>
  </w:style>
  <w:style w:type="paragraph" w:customStyle="1" w:styleId="naiskr">
    <w:name w:val="naiskr"/>
    <w:basedOn w:val="Normal"/>
    <w:rsid w:val="00E62865"/>
    <w:pPr>
      <w:spacing w:before="75" w:after="75"/>
    </w:pPr>
  </w:style>
  <w:style w:type="paragraph" w:styleId="Title">
    <w:name w:val="Title"/>
    <w:basedOn w:val="Normal"/>
    <w:link w:val="TitleChar"/>
    <w:uiPriority w:val="99"/>
    <w:qFormat/>
    <w:rsid w:val="00E62865"/>
    <w:pPr>
      <w:jc w:val="center"/>
    </w:pPr>
    <w:rPr>
      <w:b/>
      <w:bCs/>
    </w:rPr>
  </w:style>
  <w:style w:type="character" w:customStyle="1" w:styleId="TitleChar">
    <w:name w:val="Title Char"/>
    <w:basedOn w:val="DefaultParagraphFont"/>
    <w:link w:val="Title"/>
    <w:uiPriority w:val="99"/>
    <w:rsid w:val="00E62865"/>
    <w:rPr>
      <w:rFonts w:ascii="Times New Roman" w:eastAsia="Times New Roman" w:hAnsi="Times New Roman" w:cs="Times New Roman"/>
      <w:b/>
      <w:bCs/>
      <w:sz w:val="24"/>
      <w:szCs w:val="24"/>
    </w:rPr>
  </w:style>
  <w:style w:type="paragraph" w:customStyle="1" w:styleId="naisc">
    <w:name w:val="naisc"/>
    <w:basedOn w:val="Normal"/>
    <w:rsid w:val="00E62865"/>
    <w:pPr>
      <w:spacing w:before="75" w:after="75"/>
      <w:jc w:val="center"/>
    </w:pPr>
  </w:style>
  <w:style w:type="paragraph" w:customStyle="1" w:styleId="tvhtml1">
    <w:name w:val="tv_html1"/>
    <w:basedOn w:val="Normal"/>
    <w:rsid w:val="00E62865"/>
    <w:pPr>
      <w:spacing w:before="100" w:beforeAutospacing="1" w:line="360" w:lineRule="auto"/>
    </w:pPr>
    <w:rPr>
      <w:rFonts w:ascii="Verdana" w:hAnsi="Verdana"/>
      <w:sz w:val="18"/>
      <w:szCs w:val="18"/>
      <w:lang w:val="en-US" w:eastAsia="en-US"/>
    </w:rPr>
  </w:style>
  <w:style w:type="paragraph" w:customStyle="1" w:styleId="tv2131">
    <w:name w:val="tv2131"/>
    <w:basedOn w:val="Normal"/>
    <w:rsid w:val="00E62865"/>
    <w:pPr>
      <w:spacing w:before="240" w:line="360" w:lineRule="auto"/>
      <w:ind w:firstLine="217"/>
      <w:jc w:val="both"/>
    </w:pPr>
    <w:rPr>
      <w:rFonts w:ascii="Verdana" w:hAnsi="Verdana"/>
      <w:sz w:val="13"/>
      <w:szCs w:val="13"/>
      <w:lang w:val="en-US" w:eastAsia="en-US"/>
    </w:rPr>
  </w:style>
  <w:style w:type="paragraph" w:customStyle="1" w:styleId="tv2161">
    <w:name w:val="tv2161"/>
    <w:basedOn w:val="Normal"/>
    <w:rsid w:val="00E62865"/>
    <w:pPr>
      <w:spacing w:before="240" w:line="360" w:lineRule="auto"/>
      <w:ind w:firstLine="259"/>
      <w:jc w:val="right"/>
    </w:pPr>
    <w:rPr>
      <w:rFonts w:ascii="Verdana" w:hAnsi="Verdana"/>
      <w:sz w:val="16"/>
      <w:szCs w:val="16"/>
      <w:lang w:eastAsia="en-US"/>
    </w:rPr>
  </w:style>
  <w:style w:type="paragraph" w:customStyle="1" w:styleId="naislab">
    <w:name w:val="naislab"/>
    <w:basedOn w:val="Normal"/>
    <w:uiPriority w:val="99"/>
    <w:rsid w:val="00E62865"/>
    <w:pPr>
      <w:spacing w:before="75" w:after="75"/>
      <w:jc w:val="right"/>
    </w:pPr>
  </w:style>
  <w:style w:type="paragraph" w:customStyle="1" w:styleId="Default">
    <w:name w:val="Default"/>
    <w:rsid w:val="00E62865"/>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CM1">
    <w:name w:val="CM1"/>
    <w:basedOn w:val="Default"/>
    <w:next w:val="Default"/>
    <w:uiPriority w:val="99"/>
    <w:rsid w:val="00E62865"/>
    <w:rPr>
      <w:rFonts w:cs="Times New Roman"/>
      <w:color w:val="auto"/>
    </w:rPr>
  </w:style>
  <w:style w:type="paragraph" w:customStyle="1" w:styleId="tv20787921">
    <w:name w:val="tv207_87_921"/>
    <w:basedOn w:val="Normal"/>
    <w:uiPriority w:val="99"/>
    <w:rsid w:val="00E62865"/>
    <w:pPr>
      <w:spacing w:after="567" w:line="360" w:lineRule="auto"/>
      <w:jc w:val="center"/>
    </w:pPr>
    <w:rPr>
      <w:rFonts w:ascii="Verdana" w:hAnsi="Verdana"/>
      <w:b/>
      <w:bCs/>
      <w:sz w:val="28"/>
      <w:szCs w:val="28"/>
    </w:rPr>
  </w:style>
  <w:style w:type="paragraph" w:styleId="EnvelopeReturn">
    <w:name w:val="envelope return"/>
    <w:basedOn w:val="Normal"/>
    <w:unhideWhenUsed/>
    <w:rsid w:val="00157F8E"/>
    <w:pPr>
      <w:keepLines/>
      <w:widowControl w:val="0"/>
      <w:spacing w:before="600"/>
    </w:pPr>
    <w:rPr>
      <w:sz w:val="26"/>
      <w:szCs w:val="20"/>
      <w:lang w:val="en-AU" w:eastAsia="en-US"/>
    </w:rPr>
  </w:style>
  <w:style w:type="paragraph" w:styleId="BodyTextIndent2">
    <w:name w:val="Body Text Indent 2"/>
    <w:basedOn w:val="Normal"/>
    <w:link w:val="BodyTextIndent2Char"/>
    <w:uiPriority w:val="99"/>
    <w:semiHidden/>
    <w:unhideWhenUsed/>
    <w:rsid w:val="00157F8E"/>
    <w:pPr>
      <w:spacing w:after="120" w:line="480" w:lineRule="auto"/>
      <w:ind w:left="283"/>
    </w:pPr>
    <w:rPr>
      <w:rFonts w:ascii="Calibri" w:hAnsi="Calibri"/>
      <w:sz w:val="22"/>
      <w:szCs w:val="22"/>
    </w:rPr>
  </w:style>
  <w:style w:type="character" w:customStyle="1" w:styleId="BodyTextIndent2Char">
    <w:name w:val="Body Text Indent 2 Char"/>
    <w:basedOn w:val="DefaultParagraphFont"/>
    <w:link w:val="BodyTextIndent2"/>
    <w:uiPriority w:val="99"/>
    <w:semiHidden/>
    <w:rsid w:val="00157F8E"/>
    <w:rPr>
      <w:rFonts w:ascii="Calibri" w:eastAsia="Times New Roman" w:hAnsi="Calibri" w:cs="Times New Roman"/>
      <w:lang w:eastAsia="lv-LV"/>
    </w:rPr>
  </w:style>
  <w:style w:type="paragraph" w:styleId="ListParagraph">
    <w:name w:val="List Paragraph"/>
    <w:basedOn w:val="Normal"/>
    <w:uiPriority w:val="34"/>
    <w:qFormat/>
    <w:rsid w:val="00CB2D55"/>
    <w:pPr>
      <w:spacing w:after="200" w:line="276" w:lineRule="auto"/>
      <w:ind w:left="720"/>
      <w:contextualSpacing/>
    </w:pPr>
    <w:rPr>
      <w:rFonts w:ascii="Calibri" w:eastAsiaTheme="minorHAnsi" w:hAnsi="Calibri"/>
      <w:sz w:val="22"/>
      <w:szCs w:val="22"/>
    </w:rPr>
  </w:style>
  <w:style w:type="paragraph" w:styleId="Caption">
    <w:name w:val="caption"/>
    <w:basedOn w:val="Normal"/>
    <w:next w:val="Normal"/>
    <w:uiPriority w:val="99"/>
    <w:qFormat/>
    <w:rsid w:val="00CB2D55"/>
    <w:pPr>
      <w:spacing w:after="200" w:line="276" w:lineRule="auto"/>
    </w:pPr>
    <w:rPr>
      <w:rFonts w:ascii="Calibri" w:eastAsia="Calibri" w:hAnsi="Calibri"/>
      <w:b/>
      <w:bCs/>
      <w:sz w:val="20"/>
      <w:szCs w:val="20"/>
      <w:lang w:eastAsia="en-US"/>
    </w:rPr>
  </w:style>
  <w:style w:type="character" w:customStyle="1" w:styleId="Heading1Char">
    <w:name w:val="Heading 1 Char"/>
    <w:basedOn w:val="DefaultParagraphFont"/>
    <w:link w:val="Heading1"/>
    <w:uiPriority w:val="9"/>
    <w:rsid w:val="000C6C38"/>
    <w:rPr>
      <w:rFonts w:ascii="Times New Roman" w:eastAsia="Times New Roman" w:hAnsi="Times New Roman" w:cs="Times New Roman"/>
      <w:b/>
      <w:bCs/>
      <w:kern w:val="36"/>
      <w:sz w:val="48"/>
      <w:szCs w:val="48"/>
      <w:lang w:val="en-US" w:bidi="as-IN"/>
    </w:rPr>
  </w:style>
  <w:style w:type="character" w:customStyle="1" w:styleId="apple-converted-space">
    <w:name w:val="apple-converted-space"/>
    <w:basedOn w:val="DefaultParagraphFont"/>
    <w:rsid w:val="00CE3CF7"/>
  </w:style>
  <w:style w:type="paragraph" w:styleId="Footer">
    <w:name w:val="footer"/>
    <w:basedOn w:val="Normal"/>
    <w:link w:val="FooterChar"/>
    <w:uiPriority w:val="99"/>
    <w:unhideWhenUsed/>
    <w:rsid w:val="00BB5E62"/>
    <w:pPr>
      <w:tabs>
        <w:tab w:val="center" w:pos="4153"/>
        <w:tab w:val="right" w:pos="8306"/>
      </w:tabs>
    </w:pPr>
  </w:style>
  <w:style w:type="character" w:customStyle="1" w:styleId="FooterChar">
    <w:name w:val="Footer Char"/>
    <w:basedOn w:val="DefaultParagraphFont"/>
    <w:link w:val="Footer"/>
    <w:uiPriority w:val="99"/>
    <w:rsid w:val="00BB5E62"/>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uiPriority w:val="99"/>
    <w:semiHidden/>
    <w:unhideWhenUsed/>
    <w:rsid w:val="00C84B8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4B80"/>
    <w:rPr>
      <w:rFonts w:ascii="Times New Roman" w:eastAsia="Times New Roman" w:hAnsi="Times New Roman" w:cs="Times New Roman"/>
      <w:sz w:val="16"/>
      <w:szCs w:val="16"/>
      <w:lang w:eastAsia="lv-LV"/>
    </w:rPr>
  </w:style>
  <w:style w:type="character" w:styleId="CommentReference">
    <w:name w:val="annotation reference"/>
    <w:basedOn w:val="DefaultParagraphFont"/>
    <w:unhideWhenUsed/>
    <w:rsid w:val="0098329C"/>
    <w:rPr>
      <w:sz w:val="16"/>
      <w:szCs w:val="16"/>
    </w:rPr>
  </w:style>
  <w:style w:type="paragraph" w:styleId="CommentText">
    <w:name w:val="annotation text"/>
    <w:basedOn w:val="Normal"/>
    <w:link w:val="CommentTextChar"/>
    <w:uiPriority w:val="99"/>
    <w:unhideWhenUsed/>
    <w:rsid w:val="0098329C"/>
    <w:rPr>
      <w:sz w:val="20"/>
      <w:szCs w:val="20"/>
    </w:rPr>
  </w:style>
  <w:style w:type="character" w:customStyle="1" w:styleId="CommentTextChar">
    <w:name w:val="Comment Text Char"/>
    <w:basedOn w:val="DefaultParagraphFont"/>
    <w:link w:val="CommentText"/>
    <w:uiPriority w:val="99"/>
    <w:rsid w:val="0098329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8329C"/>
    <w:rPr>
      <w:b/>
      <w:bCs/>
    </w:rPr>
  </w:style>
  <w:style w:type="character" w:customStyle="1" w:styleId="CommentSubjectChar">
    <w:name w:val="Comment Subject Char"/>
    <w:basedOn w:val="CommentTextChar"/>
    <w:link w:val="CommentSubject"/>
    <w:uiPriority w:val="99"/>
    <w:semiHidden/>
    <w:rsid w:val="0098329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8329C"/>
    <w:rPr>
      <w:rFonts w:ascii="Tahoma" w:hAnsi="Tahoma" w:cs="Tahoma"/>
      <w:sz w:val="16"/>
      <w:szCs w:val="16"/>
    </w:rPr>
  </w:style>
  <w:style w:type="character" w:customStyle="1" w:styleId="BalloonTextChar">
    <w:name w:val="Balloon Text Char"/>
    <w:basedOn w:val="DefaultParagraphFont"/>
    <w:link w:val="BalloonText"/>
    <w:uiPriority w:val="99"/>
    <w:semiHidden/>
    <w:rsid w:val="0098329C"/>
    <w:rPr>
      <w:rFonts w:ascii="Tahoma" w:eastAsia="Times New Roman" w:hAnsi="Tahoma" w:cs="Tahoma"/>
      <w:sz w:val="16"/>
      <w:szCs w:val="16"/>
      <w:lang w:eastAsia="lv-LV"/>
    </w:rPr>
  </w:style>
  <w:style w:type="character" w:styleId="Emphasis">
    <w:name w:val="Emphasis"/>
    <w:basedOn w:val="DefaultParagraphFont"/>
    <w:uiPriority w:val="20"/>
    <w:qFormat/>
    <w:rsid w:val="003D05F3"/>
    <w:rPr>
      <w:i/>
      <w:iCs/>
    </w:rPr>
  </w:style>
  <w:style w:type="character" w:styleId="FollowedHyperlink">
    <w:name w:val="FollowedHyperlink"/>
    <w:basedOn w:val="DefaultParagraphFont"/>
    <w:uiPriority w:val="99"/>
    <w:semiHidden/>
    <w:unhideWhenUsed/>
    <w:rsid w:val="006F2E11"/>
    <w:rPr>
      <w:color w:val="800080" w:themeColor="followedHyperlink"/>
      <w:u w:val="single"/>
    </w:rPr>
  </w:style>
  <w:style w:type="table" w:styleId="TableGrid">
    <w:name w:val="Table Grid"/>
    <w:basedOn w:val="TableNormal"/>
    <w:uiPriority w:val="59"/>
    <w:rsid w:val="00F527E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2169"/>
    <w:pPr>
      <w:spacing w:before="75" w:after="75"/>
    </w:pPr>
  </w:style>
  <w:style w:type="character" w:customStyle="1" w:styleId="NoSpacingChar">
    <w:name w:val="No Spacing Char"/>
    <w:basedOn w:val="DefaultParagraphFont"/>
    <w:link w:val="NoSpacing"/>
    <w:uiPriority w:val="1"/>
    <w:locked/>
    <w:rsid w:val="00C42169"/>
    <w:rPr>
      <w:rFonts w:ascii="Times New Roman" w:eastAsia="Times New Roman" w:hAnsi="Times New Roman" w:cs="Times New Roman"/>
      <w:sz w:val="24"/>
      <w:szCs w:val="24"/>
    </w:rPr>
  </w:style>
  <w:style w:type="paragraph" w:styleId="NoSpacing">
    <w:name w:val="No Spacing"/>
    <w:link w:val="NoSpacingChar"/>
    <w:uiPriority w:val="1"/>
    <w:qFormat/>
    <w:rsid w:val="00C42169"/>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F78B8"/>
    <w:rPr>
      <w:rFonts w:asciiTheme="majorHAnsi" w:eastAsiaTheme="majorEastAsia" w:hAnsiTheme="majorHAnsi" w:cstheme="majorBidi"/>
      <w:color w:val="243F60" w:themeColor="accent1" w:themeShade="7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4826">
      <w:bodyDiv w:val="1"/>
      <w:marLeft w:val="0"/>
      <w:marRight w:val="0"/>
      <w:marTop w:val="0"/>
      <w:marBottom w:val="0"/>
      <w:divBdr>
        <w:top w:val="none" w:sz="0" w:space="0" w:color="auto"/>
        <w:left w:val="none" w:sz="0" w:space="0" w:color="auto"/>
        <w:bottom w:val="none" w:sz="0" w:space="0" w:color="auto"/>
        <w:right w:val="none" w:sz="0" w:space="0" w:color="auto"/>
      </w:divBdr>
    </w:div>
    <w:div w:id="193732640">
      <w:bodyDiv w:val="1"/>
      <w:marLeft w:val="0"/>
      <w:marRight w:val="0"/>
      <w:marTop w:val="0"/>
      <w:marBottom w:val="0"/>
      <w:divBdr>
        <w:top w:val="none" w:sz="0" w:space="0" w:color="auto"/>
        <w:left w:val="none" w:sz="0" w:space="0" w:color="auto"/>
        <w:bottom w:val="none" w:sz="0" w:space="0" w:color="auto"/>
        <w:right w:val="none" w:sz="0" w:space="0" w:color="auto"/>
      </w:divBdr>
      <w:divsChild>
        <w:div w:id="543520703">
          <w:marLeft w:val="0"/>
          <w:marRight w:val="0"/>
          <w:marTop w:val="0"/>
          <w:marBottom w:val="0"/>
          <w:divBdr>
            <w:top w:val="none" w:sz="0" w:space="0" w:color="auto"/>
            <w:left w:val="none" w:sz="0" w:space="0" w:color="auto"/>
            <w:bottom w:val="none" w:sz="0" w:space="0" w:color="auto"/>
            <w:right w:val="none" w:sz="0" w:space="0" w:color="auto"/>
          </w:divBdr>
          <w:divsChild>
            <w:div w:id="1871845001">
              <w:marLeft w:val="0"/>
              <w:marRight w:val="0"/>
              <w:marTop w:val="0"/>
              <w:marBottom w:val="0"/>
              <w:divBdr>
                <w:top w:val="none" w:sz="0" w:space="0" w:color="auto"/>
                <w:left w:val="none" w:sz="0" w:space="0" w:color="auto"/>
                <w:bottom w:val="none" w:sz="0" w:space="0" w:color="auto"/>
                <w:right w:val="none" w:sz="0" w:space="0" w:color="auto"/>
              </w:divBdr>
              <w:divsChild>
                <w:div w:id="1188526952">
                  <w:marLeft w:val="0"/>
                  <w:marRight w:val="0"/>
                  <w:marTop w:val="0"/>
                  <w:marBottom w:val="0"/>
                  <w:divBdr>
                    <w:top w:val="none" w:sz="0" w:space="0" w:color="auto"/>
                    <w:left w:val="none" w:sz="0" w:space="0" w:color="auto"/>
                    <w:bottom w:val="none" w:sz="0" w:space="0" w:color="auto"/>
                    <w:right w:val="none" w:sz="0" w:space="0" w:color="auto"/>
                  </w:divBdr>
                  <w:divsChild>
                    <w:div w:id="17170073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32240241">
      <w:bodyDiv w:val="1"/>
      <w:marLeft w:val="0"/>
      <w:marRight w:val="0"/>
      <w:marTop w:val="0"/>
      <w:marBottom w:val="0"/>
      <w:divBdr>
        <w:top w:val="none" w:sz="0" w:space="0" w:color="auto"/>
        <w:left w:val="none" w:sz="0" w:space="0" w:color="auto"/>
        <w:bottom w:val="none" w:sz="0" w:space="0" w:color="auto"/>
        <w:right w:val="none" w:sz="0" w:space="0" w:color="auto"/>
      </w:divBdr>
      <w:divsChild>
        <w:div w:id="1114402293">
          <w:marLeft w:val="0"/>
          <w:marRight w:val="0"/>
          <w:marTop w:val="480"/>
          <w:marBottom w:val="240"/>
          <w:divBdr>
            <w:top w:val="none" w:sz="0" w:space="0" w:color="auto"/>
            <w:left w:val="none" w:sz="0" w:space="0" w:color="auto"/>
            <w:bottom w:val="none" w:sz="0" w:space="0" w:color="auto"/>
            <w:right w:val="none" w:sz="0" w:space="0" w:color="auto"/>
          </w:divBdr>
        </w:div>
        <w:div w:id="1844467939">
          <w:marLeft w:val="0"/>
          <w:marRight w:val="0"/>
          <w:marTop w:val="0"/>
          <w:marBottom w:val="567"/>
          <w:divBdr>
            <w:top w:val="none" w:sz="0" w:space="0" w:color="auto"/>
            <w:left w:val="none" w:sz="0" w:space="0" w:color="auto"/>
            <w:bottom w:val="none" w:sz="0" w:space="0" w:color="auto"/>
            <w:right w:val="none" w:sz="0" w:space="0" w:color="auto"/>
          </w:divBdr>
        </w:div>
      </w:divsChild>
    </w:div>
    <w:div w:id="994845782">
      <w:bodyDiv w:val="1"/>
      <w:marLeft w:val="0"/>
      <w:marRight w:val="0"/>
      <w:marTop w:val="0"/>
      <w:marBottom w:val="0"/>
      <w:divBdr>
        <w:top w:val="none" w:sz="0" w:space="0" w:color="auto"/>
        <w:left w:val="none" w:sz="0" w:space="0" w:color="auto"/>
        <w:bottom w:val="none" w:sz="0" w:space="0" w:color="auto"/>
        <w:right w:val="none" w:sz="0" w:space="0" w:color="auto"/>
      </w:divBdr>
      <w:divsChild>
        <w:div w:id="1688216242">
          <w:marLeft w:val="0"/>
          <w:marRight w:val="0"/>
          <w:marTop w:val="480"/>
          <w:marBottom w:val="240"/>
          <w:divBdr>
            <w:top w:val="none" w:sz="0" w:space="0" w:color="auto"/>
            <w:left w:val="none" w:sz="0" w:space="0" w:color="auto"/>
            <w:bottom w:val="none" w:sz="0" w:space="0" w:color="auto"/>
            <w:right w:val="none" w:sz="0" w:space="0" w:color="auto"/>
          </w:divBdr>
        </w:div>
        <w:div w:id="230967920">
          <w:marLeft w:val="0"/>
          <w:marRight w:val="0"/>
          <w:marTop w:val="0"/>
          <w:marBottom w:val="567"/>
          <w:divBdr>
            <w:top w:val="none" w:sz="0" w:space="0" w:color="auto"/>
            <w:left w:val="none" w:sz="0" w:space="0" w:color="auto"/>
            <w:bottom w:val="none" w:sz="0" w:space="0" w:color="auto"/>
            <w:right w:val="none" w:sz="0" w:space="0" w:color="auto"/>
          </w:divBdr>
        </w:div>
      </w:divsChild>
    </w:div>
    <w:div w:id="1003629540">
      <w:bodyDiv w:val="1"/>
      <w:marLeft w:val="0"/>
      <w:marRight w:val="0"/>
      <w:marTop w:val="0"/>
      <w:marBottom w:val="0"/>
      <w:divBdr>
        <w:top w:val="none" w:sz="0" w:space="0" w:color="auto"/>
        <w:left w:val="none" w:sz="0" w:space="0" w:color="auto"/>
        <w:bottom w:val="none" w:sz="0" w:space="0" w:color="auto"/>
        <w:right w:val="none" w:sz="0" w:space="0" w:color="auto"/>
      </w:divBdr>
      <w:divsChild>
        <w:div w:id="1508398304">
          <w:marLeft w:val="0"/>
          <w:marRight w:val="0"/>
          <w:marTop w:val="0"/>
          <w:marBottom w:val="0"/>
          <w:divBdr>
            <w:top w:val="none" w:sz="0" w:space="0" w:color="auto"/>
            <w:left w:val="none" w:sz="0" w:space="0" w:color="auto"/>
            <w:bottom w:val="none" w:sz="0" w:space="0" w:color="auto"/>
            <w:right w:val="none" w:sz="0" w:space="0" w:color="auto"/>
          </w:divBdr>
          <w:divsChild>
            <w:div w:id="1321304022">
              <w:marLeft w:val="0"/>
              <w:marRight w:val="0"/>
              <w:marTop w:val="0"/>
              <w:marBottom w:val="0"/>
              <w:divBdr>
                <w:top w:val="none" w:sz="0" w:space="0" w:color="auto"/>
                <w:left w:val="none" w:sz="0" w:space="0" w:color="auto"/>
                <w:bottom w:val="none" w:sz="0" w:space="0" w:color="auto"/>
                <w:right w:val="none" w:sz="0" w:space="0" w:color="auto"/>
              </w:divBdr>
              <w:divsChild>
                <w:div w:id="1160316930">
                  <w:marLeft w:val="0"/>
                  <w:marRight w:val="0"/>
                  <w:marTop w:val="0"/>
                  <w:marBottom w:val="0"/>
                  <w:divBdr>
                    <w:top w:val="none" w:sz="0" w:space="0" w:color="auto"/>
                    <w:left w:val="none" w:sz="0" w:space="0" w:color="auto"/>
                    <w:bottom w:val="none" w:sz="0" w:space="0" w:color="auto"/>
                    <w:right w:val="none" w:sz="0" w:space="0" w:color="auto"/>
                  </w:divBdr>
                  <w:divsChild>
                    <w:div w:id="778642129">
                      <w:marLeft w:val="0"/>
                      <w:marRight w:val="0"/>
                      <w:marTop w:val="0"/>
                      <w:marBottom w:val="0"/>
                      <w:divBdr>
                        <w:top w:val="none" w:sz="0" w:space="0" w:color="auto"/>
                        <w:left w:val="none" w:sz="0" w:space="0" w:color="auto"/>
                        <w:bottom w:val="none" w:sz="0" w:space="0" w:color="auto"/>
                        <w:right w:val="none" w:sz="0" w:space="0" w:color="auto"/>
                      </w:divBdr>
                      <w:divsChild>
                        <w:div w:id="1172338395">
                          <w:marLeft w:val="0"/>
                          <w:marRight w:val="0"/>
                          <w:marTop w:val="0"/>
                          <w:marBottom w:val="0"/>
                          <w:divBdr>
                            <w:top w:val="none" w:sz="0" w:space="0" w:color="auto"/>
                            <w:left w:val="none" w:sz="0" w:space="0" w:color="auto"/>
                            <w:bottom w:val="none" w:sz="0" w:space="0" w:color="auto"/>
                            <w:right w:val="none" w:sz="0" w:space="0" w:color="auto"/>
                          </w:divBdr>
                          <w:divsChild>
                            <w:div w:id="3350374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258348">
      <w:bodyDiv w:val="1"/>
      <w:marLeft w:val="0"/>
      <w:marRight w:val="0"/>
      <w:marTop w:val="0"/>
      <w:marBottom w:val="0"/>
      <w:divBdr>
        <w:top w:val="none" w:sz="0" w:space="0" w:color="auto"/>
        <w:left w:val="none" w:sz="0" w:space="0" w:color="auto"/>
        <w:bottom w:val="none" w:sz="0" w:space="0" w:color="auto"/>
        <w:right w:val="none" w:sz="0" w:space="0" w:color="auto"/>
      </w:divBdr>
    </w:div>
    <w:div w:id="1183201755">
      <w:bodyDiv w:val="1"/>
      <w:marLeft w:val="0"/>
      <w:marRight w:val="0"/>
      <w:marTop w:val="0"/>
      <w:marBottom w:val="0"/>
      <w:divBdr>
        <w:top w:val="none" w:sz="0" w:space="0" w:color="auto"/>
        <w:left w:val="none" w:sz="0" w:space="0" w:color="auto"/>
        <w:bottom w:val="none" w:sz="0" w:space="0" w:color="auto"/>
        <w:right w:val="none" w:sz="0" w:space="0" w:color="auto"/>
      </w:divBdr>
    </w:div>
    <w:div w:id="1198154197">
      <w:bodyDiv w:val="1"/>
      <w:marLeft w:val="0"/>
      <w:marRight w:val="0"/>
      <w:marTop w:val="0"/>
      <w:marBottom w:val="0"/>
      <w:divBdr>
        <w:top w:val="none" w:sz="0" w:space="0" w:color="auto"/>
        <w:left w:val="none" w:sz="0" w:space="0" w:color="auto"/>
        <w:bottom w:val="none" w:sz="0" w:space="0" w:color="auto"/>
        <w:right w:val="none" w:sz="0" w:space="0" w:color="auto"/>
      </w:divBdr>
    </w:div>
    <w:div w:id="1228152974">
      <w:bodyDiv w:val="1"/>
      <w:marLeft w:val="0"/>
      <w:marRight w:val="0"/>
      <w:marTop w:val="0"/>
      <w:marBottom w:val="0"/>
      <w:divBdr>
        <w:top w:val="none" w:sz="0" w:space="0" w:color="auto"/>
        <w:left w:val="none" w:sz="0" w:space="0" w:color="auto"/>
        <w:bottom w:val="none" w:sz="0" w:space="0" w:color="auto"/>
        <w:right w:val="none" w:sz="0" w:space="0" w:color="auto"/>
      </w:divBdr>
    </w:div>
    <w:div w:id="1242180573">
      <w:bodyDiv w:val="1"/>
      <w:marLeft w:val="0"/>
      <w:marRight w:val="0"/>
      <w:marTop w:val="0"/>
      <w:marBottom w:val="0"/>
      <w:divBdr>
        <w:top w:val="none" w:sz="0" w:space="0" w:color="auto"/>
        <w:left w:val="none" w:sz="0" w:space="0" w:color="auto"/>
        <w:bottom w:val="none" w:sz="0" w:space="0" w:color="auto"/>
        <w:right w:val="none" w:sz="0" w:space="0" w:color="auto"/>
      </w:divBdr>
    </w:div>
    <w:div w:id="1702434331">
      <w:bodyDiv w:val="1"/>
      <w:marLeft w:val="0"/>
      <w:marRight w:val="0"/>
      <w:marTop w:val="0"/>
      <w:marBottom w:val="0"/>
      <w:divBdr>
        <w:top w:val="none" w:sz="0" w:space="0" w:color="auto"/>
        <w:left w:val="none" w:sz="0" w:space="0" w:color="auto"/>
        <w:bottom w:val="none" w:sz="0" w:space="0" w:color="auto"/>
        <w:right w:val="none" w:sz="0" w:space="0" w:color="auto"/>
      </w:divBdr>
    </w:div>
    <w:div w:id="1906377789">
      <w:bodyDiv w:val="1"/>
      <w:marLeft w:val="0"/>
      <w:marRight w:val="0"/>
      <w:marTop w:val="0"/>
      <w:marBottom w:val="0"/>
      <w:divBdr>
        <w:top w:val="none" w:sz="0" w:space="0" w:color="auto"/>
        <w:left w:val="none" w:sz="0" w:space="0" w:color="auto"/>
        <w:bottom w:val="none" w:sz="0" w:space="0" w:color="auto"/>
        <w:right w:val="none" w:sz="0" w:space="0" w:color="auto"/>
      </w:divBdr>
    </w:div>
    <w:div w:id="2002267204">
      <w:bodyDiv w:val="1"/>
      <w:marLeft w:val="0"/>
      <w:marRight w:val="0"/>
      <w:marTop w:val="0"/>
      <w:marBottom w:val="0"/>
      <w:divBdr>
        <w:top w:val="none" w:sz="0" w:space="0" w:color="auto"/>
        <w:left w:val="none" w:sz="0" w:space="0" w:color="auto"/>
        <w:bottom w:val="none" w:sz="0" w:space="0" w:color="auto"/>
        <w:right w:val="none" w:sz="0" w:space="0" w:color="auto"/>
      </w:divBdr>
      <w:divsChild>
        <w:div w:id="891697022">
          <w:marLeft w:val="150"/>
          <w:marRight w:val="150"/>
          <w:marTop w:val="480"/>
          <w:marBottom w:val="0"/>
          <w:divBdr>
            <w:top w:val="single" w:sz="6" w:space="28" w:color="D4D4D4"/>
            <w:left w:val="none" w:sz="0" w:space="0" w:color="auto"/>
            <w:bottom w:val="none" w:sz="0" w:space="0" w:color="auto"/>
            <w:right w:val="none" w:sz="0" w:space="0" w:color="auto"/>
          </w:divBdr>
        </w:div>
        <w:div w:id="1999386180">
          <w:marLeft w:val="0"/>
          <w:marRight w:val="0"/>
          <w:marTop w:val="400"/>
          <w:marBottom w:val="0"/>
          <w:divBdr>
            <w:top w:val="none" w:sz="0" w:space="0" w:color="auto"/>
            <w:left w:val="none" w:sz="0" w:space="0" w:color="auto"/>
            <w:bottom w:val="none" w:sz="0" w:space="0" w:color="auto"/>
            <w:right w:val="none" w:sz="0" w:space="0" w:color="auto"/>
          </w:divBdr>
        </w:div>
      </w:divsChild>
    </w:div>
    <w:div w:id="2116750119">
      <w:bodyDiv w:val="1"/>
      <w:marLeft w:val="0"/>
      <w:marRight w:val="0"/>
      <w:marTop w:val="0"/>
      <w:marBottom w:val="0"/>
      <w:divBdr>
        <w:top w:val="none" w:sz="0" w:space="0" w:color="auto"/>
        <w:left w:val="none" w:sz="0" w:space="0" w:color="auto"/>
        <w:bottom w:val="none" w:sz="0" w:space="0" w:color="auto"/>
        <w:right w:val="none" w:sz="0" w:space="0" w:color="auto"/>
      </w:divBdr>
      <w:divsChild>
        <w:div w:id="256913575">
          <w:marLeft w:val="0"/>
          <w:marRight w:val="0"/>
          <w:marTop w:val="0"/>
          <w:marBottom w:val="0"/>
          <w:divBdr>
            <w:top w:val="none" w:sz="0" w:space="0" w:color="auto"/>
            <w:left w:val="none" w:sz="0" w:space="0" w:color="auto"/>
            <w:bottom w:val="none" w:sz="0" w:space="0" w:color="auto"/>
            <w:right w:val="none" w:sz="0" w:space="0" w:color="auto"/>
          </w:divBdr>
          <w:divsChild>
            <w:div w:id="905380087">
              <w:marLeft w:val="0"/>
              <w:marRight w:val="0"/>
              <w:marTop w:val="0"/>
              <w:marBottom w:val="0"/>
              <w:divBdr>
                <w:top w:val="none" w:sz="0" w:space="0" w:color="auto"/>
                <w:left w:val="none" w:sz="0" w:space="0" w:color="auto"/>
                <w:bottom w:val="none" w:sz="0" w:space="0" w:color="auto"/>
                <w:right w:val="none" w:sz="0" w:space="0" w:color="auto"/>
              </w:divBdr>
              <w:divsChild>
                <w:div w:id="881474939">
                  <w:marLeft w:val="0"/>
                  <w:marRight w:val="0"/>
                  <w:marTop w:val="0"/>
                  <w:marBottom w:val="0"/>
                  <w:divBdr>
                    <w:top w:val="none" w:sz="0" w:space="0" w:color="auto"/>
                    <w:left w:val="none" w:sz="0" w:space="0" w:color="auto"/>
                    <w:bottom w:val="none" w:sz="0" w:space="0" w:color="auto"/>
                    <w:right w:val="none" w:sz="0" w:space="0" w:color="auto"/>
                  </w:divBdr>
                  <w:divsChild>
                    <w:div w:id="12811797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nvironment/air/quality/legislation/pdf/equivalence.pdf" TargetMode="External"/><Relationship Id="rId13" Type="http://schemas.openxmlformats.org/officeDocument/2006/relationships/hyperlink" Target="mailto:valentina.malecka@lvgmc.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ram.gov.lv/lat/likumdosana/normativo_aktu_projekti/normativo_aktu_projekti_vides_aizsardzibas_jom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eo.lv/gaisa-kvalitates-staciju-karte/?nid=47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europa.eu/jrc/en/aquila/members" TargetMode="External"/><Relationship Id="rId4" Type="http://schemas.openxmlformats.org/officeDocument/2006/relationships/settings" Target="settings.xml"/><Relationship Id="rId9" Type="http://schemas.openxmlformats.org/officeDocument/2006/relationships/hyperlink" Target="http://www.meteo.lv/gaisa-kvalitates-staciju-karte/?nid=47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DDCA7-45E1-4ABD-9473-7C3FD9D9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18</Pages>
  <Words>6294</Words>
  <Characters>35882</Characters>
  <Application>Microsoft Office Word</Application>
  <DocSecurity>0</DocSecurity>
  <Lines>299</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Lana Maslova</dc:creator>
  <cp:lastModifiedBy>Marta Ošleja</cp:lastModifiedBy>
  <cp:revision>49</cp:revision>
  <cp:lastPrinted>2016-12-28T13:21:00Z</cp:lastPrinted>
  <dcterms:created xsi:type="dcterms:W3CDTF">2017-01-10T14:05:00Z</dcterms:created>
  <dcterms:modified xsi:type="dcterms:W3CDTF">2017-01-31T09:21:00Z</dcterms:modified>
</cp:coreProperties>
</file>