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13" w:rsidRPr="00DD4291" w:rsidRDefault="001B28EF" w:rsidP="00DD4291">
      <w:pPr>
        <w:spacing w:before="100" w:after="100" w:line="240" w:lineRule="exact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42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Protokols Nr</w:t>
      </w:r>
      <w:r w:rsidR="00E01813" w:rsidRPr="00DD42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15</w:t>
      </w:r>
      <w:r w:rsidRPr="00DD42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ar ko tiek grozīta Cilvēka tiesību un pama</w:t>
      </w:r>
      <w:r w:rsidR="00EC38A4" w:rsidRPr="00DD42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tbrīvību aizsardzības konvencija</w:t>
      </w:r>
    </w:p>
    <w:p w:rsidR="00E01813" w:rsidRPr="005C72BE" w:rsidRDefault="001B28EF" w:rsidP="00DD4291">
      <w:pPr>
        <w:spacing w:before="100" w:after="10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D3E70">
        <w:rPr>
          <w:rFonts w:ascii="Times New Roman" w:eastAsia="Times New Roman" w:hAnsi="Times New Roman" w:cs="Times New Roman"/>
          <w:sz w:val="20"/>
          <w:szCs w:val="20"/>
          <w:lang w:eastAsia="lv-LV"/>
        </w:rPr>
        <w:t>Strasbūra</w:t>
      </w:r>
      <w:r w:rsidR="00E01813" w:rsidRPr="001D3E70">
        <w:rPr>
          <w:rFonts w:ascii="Times New Roman" w:eastAsia="Times New Roman" w:hAnsi="Times New Roman" w:cs="Times New Roman"/>
          <w:sz w:val="20"/>
          <w:szCs w:val="20"/>
          <w:lang w:eastAsia="lv-LV"/>
        </w:rPr>
        <w:t>, 24.VI.2013</w:t>
      </w:r>
      <w:r w:rsidR="00E01813" w:rsidRPr="00A4577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DF75E8" w:rsidRDefault="002A3275" w:rsidP="00DD4291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399.8pt;height:.05pt" o:hrpct="962" o:hrstd="t" o:hr="t" fillcolor="#a0a0a0" stroked="f"/>
        </w:pict>
      </w:r>
    </w:p>
    <w:p w:rsidR="00E01813" w:rsidRPr="00DF75E8" w:rsidRDefault="005D0026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Ievads</w:t>
      </w:r>
    </w:p>
    <w:p w:rsidR="00E01813" w:rsidRPr="00CD1AE3" w:rsidRDefault="001B28EF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Eiropas Padomes dalībvalstis un citas 1950. gada 4. decembrī Romā parakstītās Cilvēka tiesību un pamatbrīvību aizsardzības konvencijas (turpmāk 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tekstā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saukta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„Konvencija”) Augstās Līgumslēdzējas P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uses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šī Protokola parakstītāji,</w:t>
      </w:r>
    </w:p>
    <w:p w:rsidR="00E01813" w:rsidRPr="00CD1AE3" w:rsidRDefault="001B28EF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Atsaucoties uz 2012. gada 19. un 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>20. aprīlī Braitonā notikušajā a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ugsta līmeņa konferencē par Eiropas Cilvēktiesību tiesas nākotni pieņemto deklarāciju, kā arī 2010. gada 18. un 19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>. </w:t>
      </w:r>
      <w:r w:rsid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februārī Interlā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kenē un 2011. gada 26. un 27. 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prīlī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Izmirā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notikušajās konferencēs pieņemtajām deklarācijām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</w:p>
    <w:p w:rsidR="00E01813" w:rsidRPr="00CD1AE3" w:rsidRDefault="00E1360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Atsaucoties uz Eiropas Padomes Parlamentārās asamble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>jas 2013. gada 26. aprīlī izdoto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Atzinumu Nr. 283 (2013)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</w:p>
    <w:p w:rsidR="00E01813" w:rsidRPr="00CD1AE3" w:rsidRDefault="00FE6230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Ņemot vērā nepieciešamību</w:t>
      </w:r>
      <w:proofErr w:type="gramEnd"/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nodrošināt, lai Eiropas Cilvēkt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iesību tiesa (turpmāk tekstā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saukta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„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Tiesa”) var turpināt īstenot savu nozīmī</w:t>
      </w:r>
      <w:r w:rsid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go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lomu 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>cilvēktiesību aizsardzīb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ā</w:t>
      </w:r>
      <w:r w:rsidR="004E1BD4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Eiropā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E01813" w:rsidRPr="00CD1AE3" w:rsidRDefault="00E13603" w:rsidP="00DD4291">
      <w:pPr>
        <w:spacing w:before="100" w:after="100" w:line="240" w:lineRule="exact"/>
        <w:ind w:left="70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Ir vienojušās par sekojošo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: </w:t>
      </w:r>
    </w:p>
    <w:p w:rsidR="00E01813" w:rsidRPr="00EE5579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EE5579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1</w:t>
      </w:r>
      <w:r w:rsidR="00E13603" w:rsidRPr="00EE5579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 pants</w:t>
      </w:r>
    </w:p>
    <w:p w:rsidR="00E01813" w:rsidRPr="00CD1AE3" w:rsidRDefault="00E13603" w:rsidP="007875E3">
      <w:pPr>
        <w:spacing w:before="100" w:after="10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Konvencijas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ievada </w:t>
      </w:r>
      <w:r w:rsidR="001A56D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beigās tiek 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>pievieno</w:t>
      </w:r>
      <w:r w:rsidR="001A56DC">
        <w:rPr>
          <w:rFonts w:ascii="Times New Roman" w:eastAsia="Times New Roman" w:hAnsi="Times New Roman" w:cs="Times New Roman"/>
          <w:sz w:val="20"/>
          <w:szCs w:val="20"/>
          <w:lang w:eastAsia="lv-LV"/>
        </w:rPr>
        <w:t>ts</w:t>
      </w:r>
      <w:r w:rsidR="004E1B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papildu punkts</w:t>
      </w:r>
      <w:r w:rsidR="00537360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šādā redakcijā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: </w:t>
      </w:r>
    </w:p>
    <w:p w:rsidR="00E01813" w:rsidRPr="00CD1AE3" w:rsidRDefault="004E1BD4" w:rsidP="007875E3">
      <w:pPr>
        <w:spacing w:before="100" w:after="100" w:line="240" w:lineRule="exact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„</w:t>
      </w:r>
      <w:r w:rsidR="001A56D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Apstiprinot, </w:t>
      </w:r>
      <w:r w:rsidR="003471A3">
        <w:rPr>
          <w:rFonts w:ascii="Times New Roman" w:eastAsia="Times New Roman" w:hAnsi="Times New Roman" w:cs="Times New Roman"/>
          <w:sz w:val="20"/>
          <w:szCs w:val="20"/>
          <w:lang w:eastAsia="lv-LV"/>
        </w:rPr>
        <w:t>ka Augst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ajām</w:t>
      </w:r>
      <w:r w:rsidR="003471A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Līgumslēdzēj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ām</w:t>
      </w:r>
      <w:r w:rsidR="003471A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Pus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ēm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saskaņā a</w:t>
      </w:r>
      <w:r w:rsidR="003471A3">
        <w:rPr>
          <w:rFonts w:ascii="Times New Roman" w:eastAsia="Times New Roman" w:hAnsi="Times New Roman" w:cs="Times New Roman"/>
          <w:sz w:val="20"/>
          <w:szCs w:val="20"/>
          <w:lang w:eastAsia="lv-LV"/>
        </w:rPr>
        <w:t>r subsidiaritātes principu</w:t>
      </w:r>
      <w:r w:rsidR="006B6A7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ir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galvenā atbildība par 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šajā Konvencijā un tās Protokolos noteikt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o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6B6A7D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tiesīb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="006B6A7D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un brīvīb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u nodrošināšanu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un ka, veicot šo uzdevumu,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tām</w:t>
      </w:r>
      <w:r w:rsidR="00E1360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ir rīcības brīvība</w:t>
      </w:r>
      <w:r w:rsidR="00537360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3C007B">
        <w:rPr>
          <w:rFonts w:ascii="Times New Roman" w:eastAsia="Times New Roman" w:hAnsi="Times New Roman" w:cs="Times New Roman"/>
          <w:sz w:val="20"/>
          <w:szCs w:val="20"/>
          <w:lang w:eastAsia="lv-LV"/>
        </w:rPr>
        <w:t>kas pakļauta</w:t>
      </w:r>
      <w:r w:rsidR="00537360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ar šo Konvenciju 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>nodibinātās</w:t>
      </w:r>
      <w:r w:rsidR="00122E19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37360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Cilvēktiesību tiesas uzraudzības jurisdikcij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>ai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,”. </w:t>
      </w:r>
    </w:p>
    <w:p w:rsidR="00E01813" w:rsidRPr="005C72BE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2</w:t>
      </w:r>
      <w:r w:rsidR="00537360" w:rsidRPr="005C72B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 pants</w:t>
      </w:r>
    </w:p>
    <w:p w:rsidR="00E01813" w:rsidRPr="00CD1AE3" w:rsidRDefault="00E01813" w:rsidP="007875E3">
      <w:pPr>
        <w:tabs>
          <w:tab w:val="left" w:pos="426"/>
          <w:tab w:val="left" w:pos="567"/>
          <w:tab w:val="left" w:pos="113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0C0F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869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537360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K</w:t>
      </w:r>
      <w:r w:rsidR="00FE6230">
        <w:rPr>
          <w:rFonts w:ascii="Times New Roman" w:eastAsia="Times New Roman" w:hAnsi="Times New Roman" w:cs="Times New Roman"/>
          <w:sz w:val="20"/>
          <w:szCs w:val="20"/>
          <w:lang w:eastAsia="lv-LV"/>
        </w:rPr>
        <w:t>onvencijas</w:t>
      </w:r>
      <w:r w:rsidR="00AF0C0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10B97">
        <w:rPr>
          <w:rFonts w:ascii="Times New Roman" w:eastAsia="Times New Roman" w:hAnsi="Times New Roman" w:cs="Times New Roman"/>
          <w:sz w:val="20"/>
          <w:szCs w:val="20"/>
          <w:lang w:eastAsia="lv-LV"/>
        </w:rPr>
        <w:t>21.</w:t>
      </w:r>
      <w:r w:rsidR="00FE623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10B97">
        <w:rPr>
          <w:rFonts w:ascii="Times New Roman" w:eastAsia="Times New Roman" w:hAnsi="Times New Roman" w:cs="Times New Roman"/>
          <w:sz w:val="20"/>
          <w:szCs w:val="20"/>
          <w:lang w:eastAsia="lv-LV"/>
        </w:rPr>
        <w:t>pants</w:t>
      </w:r>
      <w:r w:rsidR="00AF0C0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tiek papildināts ar 2.punktu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37360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šādā redakcijā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: </w:t>
      </w:r>
    </w:p>
    <w:p w:rsidR="00E01813" w:rsidRPr="00CD1AE3" w:rsidRDefault="001A56DC" w:rsidP="007875E3">
      <w:pPr>
        <w:tabs>
          <w:tab w:val="left" w:pos="426"/>
          <w:tab w:val="left" w:pos="567"/>
          <w:tab w:val="left" w:pos="1134"/>
          <w:tab w:val="left" w:pos="1276"/>
        </w:tabs>
        <w:spacing w:before="100" w:after="10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„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>Datumā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>līdz kuram</w:t>
      </w:r>
      <w:r w:rsidR="00122E19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444B69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Parlamentārā asambleja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saskaņā ar 22. panta nosacījumiem ir pieprasījusi trīs kandidātu sarakstu, k</w:t>
      </w:r>
      <w:r w:rsidR="00444B69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andidātiem jābūt jaunākiem par 65 gadiem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.” </w:t>
      </w:r>
    </w:p>
    <w:p w:rsidR="00E01813" w:rsidRPr="00CD1AE3" w:rsidRDefault="00E01813" w:rsidP="007875E3">
      <w:pPr>
        <w:tabs>
          <w:tab w:val="left" w:pos="426"/>
          <w:tab w:val="left" w:pos="567"/>
          <w:tab w:val="left" w:pos="113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0C0F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869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1A56DC">
        <w:rPr>
          <w:rFonts w:ascii="Times New Roman" w:eastAsia="Times New Roman" w:hAnsi="Times New Roman" w:cs="Times New Roman"/>
          <w:sz w:val="20"/>
          <w:szCs w:val="20"/>
          <w:lang w:eastAsia="lv-LV"/>
        </w:rPr>
        <w:t>Konvencijas 21. panta 2. un 3. punkts attiecīgi kļūst par 21. panta 3. un 4. punktu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</w:p>
    <w:p w:rsidR="00E01813" w:rsidRPr="00CD1AE3" w:rsidRDefault="00E01813" w:rsidP="007875E3">
      <w:pPr>
        <w:tabs>
          <w:tab w:val="left" w:pos="426"/>
          <w:tab w:val="left" w:pos="567"/>
          <w:tab w:val="left" w:pos="113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86905">
        <w:rPr>
          <w:rFonts w:ascii="Arial" w:eastAsia="Times New Roman" w:hAnsi="Arial" w:cs="Arial"/>
          <w:sz w:val="16"/>
          <w:szCs w:val="16"/>
          <w:lang w:eastAsia="lv-LV"/>
        </w:rPr>
        <w:tab/>
      </w:r>
      <w:r w:rsidR="001A56DC">
        <w:rPr>
          <w:rFonts w:ascii="Times New Roman" w:eastAsia="Times New Roman" w:hAnsi="Times New Roman" w:cs="Times New Roman"/>
          <w:sz w:val="20"/>
          <w:szCs w:val="20"/>
          <w:lang w:eastAsia="lv-LV"/>
        </w:rPr>
        <w:t>Konvencijas 23. panta 2. p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unkts tiek</w:t>
      </w:r>
      <w:r w:rsidR="00910B9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svītrots</w:t>
      </w:r>
      <w:r w:rsidR="001A56DC">
        <w:rPr>
          <w:rFonts w:ascii="Times New Roman" w:eastAsia="Times New Roman" w:hAnsi="Times New Roman" w:cs="Times New Roman"/>
          <w:sz w:val="20"/>
          <w:szCs w:val="20"/>
          <w:lang w:eastAsia="lv-LV"/>
        </w:rPr>
        <w:t>. 23. panta 3. un 4. punkts attiecīgi kļūst par 23. panta 2. un 3. p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unktu.</w:t>
      </w:r>
    </w:p>
    <w:p w:rsidR="00E01813" w:rsidRPr="00910B97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3</w:t>
      </w:r>
      <w:r w:rsidR="009D7535"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. pants</w:t>
      </w:r>
      <w:r w:rsidRPr="00910B9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CD1AE3" w:rsidRDefault="001A56DC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Konvencijas 30. p</w:t>
      </w:r>
      <w:r w:rsidR="0036343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antā tiek 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svītrota </w:t>
      </w:r>
      <w:r w:rsidR="00363439">
        <w:rPr>
          <w:rFonts w:ascii="Times New Roman" w:eastAsia="Times New Roman" w:hAnsi="Times New Roman" w:cs="Times New Roman"/>
          <w:sz w:val="20"/>
          <w:szCs w:val="20"/>
          <w:lang w:eastAsia="lv-LV"/>
        </w:rPr>
        <w:t>daļa „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ja vien 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>kāda</w:t>
      </w:r>
      <w:r w:rsidR="00374AD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no lietā iesaistītajām pusēm neiebilst”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</w:p>
    <w:p w:rsidR="00E01813" w:rsidRPr="005C72BE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4</w:t>
      </w:r>
      <w:r w:rsidR="009D7535"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="009D7535" w:rsidRPr="005C72B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pants</w:t>
      </w:r>
    </w:p>
    <w:p w:rsidR="00E01813" w:rsidRPr="00CD1AE3" w:rsidRDefault="00363439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Konvencijas 35. panta 1. punktā 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vārdi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„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sešu mēnešu laikā” tiek </w:t>
      </w:r>
      <w:r w:rsid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aizstāt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ar 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vārdiem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„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četru mēnešu laikā”.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5C72BE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5</w:t>
      </w:r>
      <w:r w:rsidR="009D7535" w:rsidRPr="005C72B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 pants</w:t>
      </w:r>
    </w:p>
    <w:p w:rsidR="00E01813" w:rsidRPr="00CD1AE3" w:rsidRDefault="00363439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Konvencijas 35. panta 3. p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unkta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b</w:t>
      </w:r>
      <w:r w:rsidR="00FE6230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apakšpunktā tiek 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>svītrot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122E1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vārdi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„</w:t>
      </w:r>
      <w:r w:rsidR="009D7535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un 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>ka</w:t>
      </w:r>
      <w:r w:rsidR="008261F6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95982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uz šī pamata </w:t>
      </w:r>
      <w:r w:rsidR="008261F6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>var tikt noraidīta</w:t>
      </w:r>
      <w:r w:rsidR="008261F6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95982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evien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liet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k</w:t>
      </w:r>
      <w:r w:rsid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>uru nav pienācīgi izvērtējusi nacionālā tiesa</w:t>
      </w:r>
      <w:r w:rsidR="00995982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”.</w:t>
      </w:r>
    </w:p>
    <w:p w:rsidR="00E01813" w:rsidRPr="00DF75E8" w:rsidRDefault="00DF75E8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No</w:t>
      </w:r>
      <w:r w:rsidR="00E05854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beiguma</w:t>
      </w:r>
      <w:r w:rsidR="00374AD8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</w:t>
      </w:r>
      <w:r w:rsidR="00995982"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un pārejas noteikumi</w:t>
      </w:r>
      <w:r w:rsidR="00E01813" w:rsidRPr="008261F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D375BB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D375BB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6</w:t>
      </w:r>
      <w:r w:rsidR="00995982" w:rsidRPr="00D375BB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 pants</w:t>
      </w:r>
    </w:p>
    <w:p w:rsidR="00E01813" w:rsidRPr="00D375BB" w:rsidRDefault="00E01813" w:rsidP="00DD4291">
      <w:pPr>
        <w:tabs>
          <w:tab w:val="left" w:pos="28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DD4291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86905" w:rsidRPr="00D375BB">
        <w:rPr>
          <w:rFonts w:ascii="Arial" w:eastAsia="Times New Roman" w:hAnsi="Arial" w:cs="Arial"/>
          <w:sz w:val="16"/>
          <w:szCs w:val="16"/>
          <w:lang w:eastAsia="lv-LV"/>
        </w:rPr>
        <w:tab/>
      </w:r>
      <w:r w:rsidR="00995982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Šis Protokols ir </w:t>
      </w:r>
      <w:proofErr w:type="gramStart"/>
      <w:r w:rsidR="00995982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atvērts parak</w:t>
      </w:r>
      <w:r w:rsidR="00363439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stīšanai Konvencijas Augstajām Līgumslēdzējām P</w:t>
      </w:r>
      <w:r w:rsidR="00995982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usēm</w:t>
      </w:r>
      <w:proofErr w:type="gramEnd"/>
      <w:r w:rsidR="00DD4291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995982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kas var izteikt savu piekrišanu uzņemties saistības ar</w:t>
      </w:r>
      <w:r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: </w:t>
      </w:r>
    </w:p>
    <w:p w:rsidR="00E01813" w:rsidRPr="00697C90" w:rsidRDefault="00995982" w:rsidP="007875E3">
      <w:pPr>
        <w:pStyle w:val="ListParagraph"/>
        <w:numPr>
          <w:ilvl w:val="0"/>
          <w:numId w:val="1"/>
        </w:numPr>
        <w:tabs>
          <w:tab w:val="left" w:pos="1418"/>
          <w:tab w:val="left" w:pos="1560"/>
        </w:tabs>
        <w:spacing w:before="100" w:after="100" w:line="240" w:lineRule="exact"/>
        <w:ind w:left="70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parakst</w:t>
      </w:r>
      <w:r w:rsidR="00D375BB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īšanu</w:t>
      </w:r>
      <w:r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bez </w:t>
      </w:r>
      <w:r w:rsidR="00D375BB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nepieciešamības ratificēt, </w:t>
      </w:r>
      <w:r w:rsid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pieņemt</w:t>
      </w:r>
      <w:r w:rsidR="00D375BB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vai apstiprināt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; vai</w:t>
      </w:r>
      <w:r w:rsidR="00E0181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697C90" w:rsidRDefault="00995982" w:rsidP="00DD4291">
      <w:pPr>
        <w:pStyle w:val="ListParagraph"/>
        <w:numPr>
          <w:ilvl w:val="0"/>
          <w:numId w:val="1"/>
        </w:numPr>
        <w:tabs>
          <w:tab w:val="left" w:pos="1560"/>
        </w:tabs>
        <w:spacing w:before="100" w:after="100" w:line="240" w:lineRule="exact"/>
        <w:ind w:left="284" w:firstLine="992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parakst</w:t>
      </w:r>
      <w:r w:rsidR="00D375BB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īšanu ar nepieciešamību ratificēt, </w:t>
      </w:r>
      <w:r w:rsid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pieņemt</w:t>
      </w:r>
      <w:r w:rsidR="00D375BB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vai apstiprināt</w:t>
      </w:r>
      <w:r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, k</w:t>
      </w:r>
      <w:r w:rsidR="00116B0F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am seko ratifi</w:t>
      </w:r>
      <w:r w:rsidR="00D375BB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kācija</w:t>
      </w:r>
      <w:r w:rsidR="00FE6230">
        <w:rPr>
          <w:rFonts w:ascii="Times New Roman" w:eastAsia="Times New Roman" w:hAnsi="Times New Roman" w:cs="Times New Roman"/>
          <w:sz w:val="20"/>
          <w:szCs w:val="20"/>
          <w:lang w:eastAsia="lv-LV"/>
        </w:rPr>
        <w:t>, pieņemšana</w:t>
      </w:r>
      <w:bookmarkStart w:id="0" w:name="_GoBack"/>
      <w:bookmarkEnd w:id="0"/>
      <w:r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vai apstiprināšana</w:t>
      </w:r>
      <w:r w:rsidR="00E0181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</w:p>
    <w:p w:rsidR="00E01813" w:rsidRPr="00CD1AE3" w:rsidRDefault="00E01813" w:rsidP="007875E3">
      <w:pPr>
        <w:tabs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2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86905" w:rsidRPr="00D375BB">
        <w:rPr>
          <w:rFonts w:ascii="Arial" w:eastAsia="Times New Roman" w:hAnsi="Arial" w:cs="Arial"/>
          <w:sz w:val="16"/>
          <w:szCs w:val="16"/>
          <w:lang w:eastAsia="lv-LV"/>
        </w:rPr>
        <w:tab/>
      </w:r>
      <w:r w:rsidR="00116B0F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Ratifi</w:t>
      </w:r>
      <w:r w:rsidR="00204C42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kācijas</w:t>
      </w:r>
      <w:r w:rsidR="00116B0F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FE6230">
        <w:rPr>
          <w:rFonts w:ascii="Times New Roman" w:eastAsia="Times New Roman" w:hAnsi="Times New Roman" w:cs="Times New Roman"/>
          <w:sz w:val="20"/>
          <w:szCs w:val="20"/>
          <w:lang w:eastAsia="lv-LV"/>
        </w:rPr>
        <w:t>pieņemšanas</w:t>
      </w:r>
      <w:r w:rsidR="00CF3AB4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vai apstiprināšanas instrumenti tiek </w:t>
      </w:r>
      <w:r w:rsidR="00122E19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deponēt</w:t>
      </w:r>
      <w:r w:rsidR="00D375BB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="00122E19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CF3AB4" w:rsidRPr="00D375B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Eiropas Padomes </w:t>
      </w:r>
      <w:r w:rsidR="00CF3AB4" w:rsidRPr="00186F21">
        <w:rPr>
          <w:rFonts w:ascii="Times New Roman" w:eastAsia="Times New Roman" w:hAnsi="Times New Roman" w:cs="Times New Roman"/>
          <w:sz w:val="20"/>
          <w:szCs w:val="20"/>
          <w:lang w:eastAsia="lv-LV"/>
        </w:rPr>
        <w:t>ģenerālsekretāra</w:t>
      </w:r>
      <w:r w:rsidR="00122E19" w:rsidRPr="00186F21">
        <w:rPr>
          <w:rFonts w:ascii="Times New Roman" w:eastAsia="Times New Roman" w:hAnsi="Times New Roman" w:cs="Times New Roman"/>
          <w:sz w:val="20"/>
          <w:szCs w:val="20"/>
          <w:lang w:eastAsia="lv-LV"/>
        </w:rPr>
        <w:t>m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5C72BE" w:rsidRDefault="00E01813" w:rsidP="007875E3">
      <w:pPr>
        <w:spacing w:before="100" w:after="100" w:line="240" w:lineRule="exact"/>
        <w:ind w:firstLine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7</w:t>
      </w:r>
      <w:r w:rsidR="00CF3AB4" w:rsidRPr="005C72B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 pants</w:t>
      </w:r>
    </w:p>
    <w:p w:rsidR="00E01813" w:rsidRPr="00CD1AE3" w:rsidRDefault="00CF3AB4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Šis Protokols stājas spēkā </w:t>
      </w:r>
      <w:r w:rsid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tā </w:t>
      </w:r>
      <w:r w:rsidR="00116B0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mēneša pirmajā </w:t>
      </w:r>
      <w:r w:rsidR="005C72BE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d</w:t>
      </w:r>
      <w:r w:rsidR="006B6A7D">
        <w:rPr>
          <w:rFonts w:ascii="Times New Roman" w:eastAsia="Times New Roman" w:hAnsi="Times New Roman" w:cs="Times New Roman"/>
          <w:sz w:val="20"/>
          <w:szCs w:val="20"/>
          <w:lang w:eastAsia="lv-LV"/>
        </w:rPr>
        <w:t>ienā, kur</w:t>
      </w:r>
      <w:r w:rsidR="00204C42">
        <w:rPr>
          <w:rFonts w:ascii="Times New Roman" w:eastAsia="Times New Roman" w:hAnsi="Times New Roman" w:cs="Times New Roman"/>
          <w:sz w:val="20"/>
          <w:szCs w:val="20"/>
          <w:lang w:eastAsia="lv-LV"/>
        </w:rPr>
        <w:t>š</w:t>
      </w:r>
      <w:r w:rsidR="005C72BE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seko</w:t>
      </w:r>
      <w:r w:rsidR="00204C4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trīs mēnešu </w:t>
      </w:r>
      <w:r w:rsid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periodam, skaitot no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datuma, </w:t>
      </w:r>
      <w:r w:rsidR="00116B0F">
        <w:rPr>
          <w:rFonts w:ascii="Times New Roman" w:eastAsia="Times New Roman" w:hAnsi="Times New Roman" w:cs="Times New Roman"/>
          <w:sz w:val="20"/>
          <w:szCs w:val="20"/>
          <w:lang w:eastAsia="lv-LV"/>
        </w:rPr>
        <w:t>kurā visas Konvencijas Augstās Līgumslēdzējas P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uses </w:t>
      </w:r>
      <w:r w:rsidR="00116B0F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6. p</w:t>
      </w:r>
      <w:r w:rsidR="00116B0F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anta nosacījumiem 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ir izteikušas savu piekrišanu uzņemties Protokolā not</w:t>
      </w:r>
      <w:r w:rsidR="00116B0F">
        <w:rPr>
          <w:rFonts w:ascii="Times New Roman" w:eastAsia="Times New Roman" w:hAnsi="Times New Roman" w:cs="Times New Roman"/>
          <w:sz w:val="20"/>
          <w:szCs w:val="20"/>
          <w:lang w:eastAsia="lv-LV"/>
        </w:rPr>
        <w:t>eiktās saistības</w:t>
      </w:r>
      <w:r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01813" w:rsidRPr="00CD1AE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5C72BE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8</w:t>
      </w:r>
      <w:r w:rsidR="00CF3AB4" w:rsidRPr="005C72B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 pants</w:t>
      </w:r>
    </w:p>
    <w:p w:rsidR="00E01813" w:rsidRPr="00DF75E8" w:rsidRDefault="00E01813" w:rsidP="007875E3">
      <w:pPr>
        <w:tabs>
          <w:tab w:val="left" w:pos="113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116B0F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Šī Protokola 2. p</w:t>
      </w:r>
      <w:r w:rsidR="00CF3AB4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antā minētie grozījumi attiecas tikai uz kandidātiem, kas </w:t>
      </w:r>
      <w:r w:rsidR="00116B0F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ir norādīti sarakstos, ko Augstās Līgumslēdzējas P</w:t>
      </w:r>
      <w:r w:rsidR="00CF3AB4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uses iesniedz Parlamentārajai asamble</w:t>
      </w:r>
      <w:r w:rsidR="00116B0F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jai saskaņā ar Konvencijas 22. p</w:t>
      </w:r>
      <w:r w:rsidR="00CF3AB4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anta nosacījumiem</w:t>
      </w:r>
      <w:r w:rsidR="00204C4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204C42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pēc šī Protokola spēkā stāšanās</w:t>
      </w:r>
      <w:r w:rsidR="00CF3AB4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6B6A7D" w:rsidRDefault="00E01813" w:rsidP="007875E3">
      <w:pPr>
        <w:tabs>
          <w:tab w:val="left" w:pos="113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CF3AB4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Šī Protokol</w:t>
      </w:r>
      <w:r w:rsidR="00116B0F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a 3. p</w:t>
      </w:r>
      <w:r w:rsidR="00CF3AB4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antā minētie grozījumi neattiecas uz </w:t>
      </w:r>
      <w:r w:rsidR="00E96B52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izskatīšanas procesā esošām lietām, kur </w:t>
      </w:r>
      <w:r w:rsid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kāda</w:t>
      </w:r>
      <w:r w:rsidR="00DF75E8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96B52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no pusēm pirms šī Protokola spēkā stāšanās datuma ir iebildusi pret Tiesas palātas ierosinājumu atteikties no jurisdikcijas Lielās palātas labā.</w:t>
      </w:r>
    </w:p>
    <w:p w:rsidR="00E01813" w:rsidRPr="005C72BE" w:rsidRDefault="00E01813" w:rsidP="007875E3">
      <w:pPr>
        <w:tabs>
          <w:tab w:val="left" w:pos="113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116B0F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Šī Protokola 4. p</w:t>
      </w:r>
      <w:r w:rsidR="00AE67A1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ants </w:t>
      </w:r>
      <w:r w:rsidR="009D5F06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stājas spēkā seš</w:t>
      </w:r>
      <w:r w:rsidR="00204C42">
        <w:rPr>
          <w:rFonts w:ascii="Times New Roman" w:eastAsia="Times New Roman" w:hAnsi="Times New Roman" w:cs="Times New Roman"/>
          <w:sz w:val="20"/>
          <w:szCs w:val="20"/>
          <w:lang w:eastAsia="lv-LV"/>
        </w:rPr>
        <w:t>us</w:t>
      </w:r>
      <w:r w:rsidR="009D5F06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mēneš</w:t>
      </w:r>
      <w:r w:rsidR="00204C42">
        <w:rPr>
          <w:rFonts w:ascii="Times New Roman" w:eastAsia="Times New Roman" w:hAnsi="Times New Roman" w:cs="Times New Roman"/>
          <w:sz w:val="20"/>
          <w:szCs w:val="20"/>
          <w:lang w:eastAsia="lv-LV"/>
        </w:rPr>
        <w:t>us</w:t>
      </w:r>
      <w:r w:rsidR="009D5F06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204C42">
        <w:rPr>
          <w:rFonts w:ascii="Times New Roman" w:eastAsia="Times New Roman" w:hAnsi="Times New Roman" w:cs="Times New Roman"/>
          <w:sz w:val="20"/>
          <w:szCs w:val="20"/>
          <w:lang w:eastAsia="lv-LV"/>
        </w:rPr>
        <w:t>pēc šī</w:t>
      </w:r>
      <w:r w:rsidR="00204C42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D5F06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Protokola spēkā stāšanās datuma</w:t>
      </w:r>
      <w:r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="000E0ECC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Protokola 4. p</w:t>
      </w:r>
      <w:r w:rsidR="009D5F06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ants neattiecas uz pieteikumiem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9D5F06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204C42">
        <w:rPr>
          <w:rFonts w:ascii="Times New Roman" w:eastAsia="Times New Roman" w:hAnsi="Times New Roman" w:cs="Times New Roman"/>
          <w:sz w:val="20"/>
          <w:szCs w:val="20"/>
          <w:lang w:eastAsia="lv-LV"/>
        </w:rPr>
        <w:t>par</w:t>
      </w:r>
      <w:r w:rsidR="009D5F06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kuriem g</w:t>
      </w:r>
      <w:r w:rsidR="000E0ECC" w:rsidRP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>alīgais lēmums Konvencijas 35. panta 1. p</w:t>
      </w:r>
      <w:r w:rsidR="009D5F06"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unkta izpratnē tic</w:t>
      </w:r>
      <w:r w:rsidR="000E0ECC"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is pieņemts pirms Protokola 4. p</w:t>
      </w:r>
      <w:r w:rsidR="009D5F06"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anta spēkā stāšanās datuma.</w:t>
      </w:r>
    </w:p>
    <w:p w:rsidR="00E01813" w:rsidRPr="00697C90" w:rsidRDefault="00E01813" w:rsidP="007875E3">
      <w:pPr>
        <w:tabs>
          <w:tab w:val="left" w:pos="1134"/>
          <w:tab w:val="left" w:pos="1276"/>
        </w:tabs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C72BE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7875E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DF75E8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9D5F06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Visi citi šī Protokola noteikumi ir </w:t>
      </w:r>
      <w:r w:rsidR="00204C42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piemērojami</w:t>
      </w:r>
      <w:r w:rsidR="009D5F06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, sākot no tā spēkā</w:t>
      </w:r>
      <w:r w:rsidR="000E0ECC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stāšanās datuma saskaņā ar 7.</w:t>
      </w:r>
      <w:r w:rsid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0E0ECC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="009D5F06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anta nosacījumiem.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697C90" w:rsidRDefault="00E01813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9</w:t>
      </w:r>
      <w:r w:rsidR="009D5F06" w:rsidRPr="00697C9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 pants</w:t>
      </w:r>
    </w:p>
    <w:p w:rsidR="00E01813" w:rsidRPr="00697C90" w:rsidRDefault="009D5F06" w:rsidP="007875E3">
      <w:pPr>
        <w:spacing w:before="100" w:after="100" w:line="240" w:lineRule="exact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Padomes ģenerālsekretār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s paziņo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Eiropas Padomes dalībvalst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īm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cit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ām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Konvencijas Augstā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m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0E0ECC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Līgumslēdzēj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ām</w:t>
      </w:r>
      <w:r w:rsidR="000E0ECC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us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ēm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par</w:t>
      </w:r>
      <w:r w:rsidR="00E0181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: </w:t>
      </w:r>
    </w:p>
    <w:p w:rsidR="00E01813" w:rsidRPr="00697C90" w:rsidRDefault="006B6A7D" w:rsidP="007875E3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before="100" w:after="100" w:line="240" w:lineRule="exact"/>
        <w:ind w:left="70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ikvienu</w:t>
      </w:r>
      <w:r w:rsidR="00204C42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D5F06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parakst</w:t>
      </w:r>
      <w:r w:rsidR="00D375BB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īšanu</w:t>
      </w:r>
      <w:r w:rsidR="00E0181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</w:p>
    <w:p w:rsidR="00E01813" w:rsidRPr="00697C90" w:rsidRDefault="006B6A7D" w:rsidP="007875E3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before="100" w:after="100" w:line="240" w:lineRule="exact"/>
        <w:ind w:left="70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ikviena ratifikācijas</w:t>
      </w:r>
      <w:r w:rsidR="000E0ECC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pieņemšanas </w:t>
      </w:r>
      <w:r w:rsidR="009D5F06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vai apstiprināšanas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instrumenta</w:t>
      </w:r>
      <w:r w:rsidR="009D5F06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deponēšanu</w:t>
      </w:r>
      <w:r w:rsidR="00E0181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</w:p>
    <w:p w:rsidR="00E01813" w:rsidRPr="00697C90" w:rsidRDefault="009D5F06" w:rsidP="007875E3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before="100" w:after="100" w:line="240" w:lineRule="exact"/>
        <w:ind w:left="70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šī Protokola spēkā</w:t>
      </w:r>
      <w:r w:rsidR="000E0ECC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stāšanās datumu saskaņā ar 7. p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anta nosacījumiem;</w:t>
      </w:r>
      <w:r w:rsidR="00E0181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01813" w:rsidRPr="00697C90" w:rsidRDefault="009D5F06" w:rsidP="007875E3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before="100" w:after="100" w:line="240" w:lineRule="exact"/>
        <w:ind w:left="70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par </w:t>
      </w:r>
      <w:r w:rsidR="006B6A7D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jebkuru </w:t>
      </w: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citu 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dokumentu, notu </w:t>
      </w:r>
      <w:r w:rsidR="00014C04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vai paziņojumu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attiecībā uz šo Protokolu.</w:t>
      </w:r>
    </w:p>
    <w:p w:rsidR="00E01813" w:rsidRPr="00697C90" w:rsidRDefault="00962FBB" w:rsidP="00DD4291">
      <w:pPr>
        <w:spacing w:before="100" w:after="100" w:line="240" w:lineRule="exac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62FBB">
        <w:rPr>
          <w:rFonts w:ascii="Times New Roman" w:eastAsia="Times New Roman" w:hAnsi="Times New Roman" w:cs="Times New Roman"/>
          <w:sz w:val="20"/>
          <w:szCs w:val="20"/>
          <w:lang w:eastAsia="lv-LV"/>
        </w:rPr>
        <w:t>To apliecinot, pienācīgi pilnvarotas personas ir parakstījušas šo Protokolu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:rsidR="00E01813" w:rsidRPr="00CD1AE3" w:rsidRDefault="00A45772" w:rsidP="00DD4291">
      <w:pPr>
        <w:spacing w:before="100" w:after="10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Parakstīts</w:t>
      </w:r>
      <w:r w:rsidR="00AE403B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Strasbūrā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2013. gada 24. jūnijā, angļu un franču valodā, abi</w:t>
      </w:r>
      <w:r w:rsidR="00B80E6F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em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teksti</w:t>
      </w:r>
      <w:r w:rsidR="00B80E6F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em esot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vienlīdz autentiski</w:t>
      </w:r>
      <w:r w:rsidR="00B80E6F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em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B80E6F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tie vienā kopijā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B80E6F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tiek nodoti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glabāšanai Eiropas Padomes arhīvos. Eiropas Padomes 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ģ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enerālsekretār</w:t>
      </w:r>
      <w:r w:rsidR="00697C90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s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nodo</w:t>
      </w:r>
      <w:r w:rsidR="00204C42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d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apliecinātas kopijas katrai Eiropas Padomes dalībvalsti</w:t>
      </w:r>
      <w:r w:rsidR="00B80E6F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j un citām Konvencijas Augstajām Līgumslēdzējām P</w:t>
      </w:r>
      <w:r w:rsidR="00CD1AE3" w:rsidRPr="00697C90">
        <w:rPr>
          <w:rFonts w:ascii="Times New Roman" w:eastAsia="Times New Roman" w:hAnsi="Times New Roman" w:cs="Times New Roman"/>
          <w:sz w:val="20"/>
          <w:szCs w:val="20"/>
          <w:lang w:eastAsia="lv-LV"/>
        </w:rPr>
        <w:t>usēm.</w:t>
      </w:r>
    </w:p>
    <w:p w:rsidR="006A4FAF" w:rsidRPr="00CD1AE3" w:rsidRDefault="006A4FAF" w:rsidP="007875E3">
      <w:pPr>
        <w:spacing w:line="240" w:lineRule="exact"/>
        <w:ind w:firstLine="720"/>
        <w:jc w:val="both"/>
      </w:pPr>
    </w:p>
    <w:sectPr w:rsidR="006A4FAF" w:rsidRPr="00CD1AE3" w:rsidSect="00DD4291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75" w:rsidRDefault="002A3275" w:rsidP="001B28EF">
      <w:pPr>
        <w:spacing w:after="0" w:line="240" w:lineRule="auto"/>
      </w:pPr>
      <w:r>
        <w:separator/>
      </w:r>
    </w:p>
  </w:endnote>
  <w:endnote w:type="continuationSeparator" w:id="0">
    <w:p w:rsidR="002A3275" w:rsidRDefault="002A3275" w:rsidP="001B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75" w:rsidRDefault="002A3275" w:rsidP="001B28EF">
      <w:pPr>
        <w:spacing w:after="0" w:line="240" w:lineRule="auto"/>
      </w:pPr>
      <w:r>
        <w:separator/>
      </w:r>
    </w:p>
  </w:footnote>
  <w:footnote w:type="continuationSeparator" w:id="0">
    <w:p w:rsidR="002A3275" w:rsidRDefault="002A3275" w:rsidP="001B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EF" w:rsidRPr="007875E3" w:rsidRDefault="007202F0" w:rsidP="001B28EF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7875E3">
      <w:rPr>
        <w:rFonts w:ascii="Times New Roman" w:hAnsi="Times New Roman" w:cs="Times New Roman"/>
        <w:i/>
        <w:sz w:val="20"/>
        <w:szCs w:val="20"/>
      </w:rPr>
      <w:t>Neoficiāls tulkojums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E47"/>
    <w:multiLevelType w:val="hybridMultilevel"/>
    <w:tmpl w:val="3672330C"/>
    <w:lvl w:ilvl="0" w:tplc="0426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F1E143D"/>
    <w:multiLevelType w:val="hybridMultilevel"/>
    <w:tmpl w:val="1A0ECD2C"/>
    <w:lvl w:ilvl="0" w:tplc="0426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48" w:hanging="360"/>
      </w:pPr>
    </w:lvl>
    <w:lvl w:ilvl="2" w:tplc="0426001B" w:tentative="1">
      <w:start w:val="1"/>
      <w:numFmt w:val="lowerRoman"/>
      <w:lvlText w:val="%3."/>
      <w:lvlJc w:val="right"/>
      <w:pPr>
        <w:ind w:left="2868" w:hanging="180"/>
      </w:pPr>
    </w:lvl>
    <w:lvl w:ilvl="3" w:tplc="0426000F" w:tentative="1">
      <w:start w:val="1"/>
      <w:numFmt w:val="decimal"/>
      <w:lvlText w:val="%4."/>
      <w:lvlJc w:val="left"/>
      <w:pPr>
        <w:ind w:left="3588" w:hanging="360"/>
      </w:pPr>
    </w:lvl>
    <w:lvl w:ilvl="4" w:tplc="04260019" w:tentative="1">
      <w:start w:val="1"/>
      <w:numFmt w:val="lowerLetter"/>
      <w:lvlText w:val="%5."/>
      <w:lvlJc w:val="left"/>
      <w:pPr>
        <w:ind w:left="4308" w:hanging="360"/>
      </w:pPr>
    </w:lvl>
    <w:lvl w:ilvl="5" w:tplc="0426001B" w:tentative="1">
      <w:start w:val="1"/>
      <w:numFmt w:val="lowerRoman"/>
      <w:lvlText w:val="%6."/>
      <w:lvlJc w:val="right"/>
      <w:pPr>
        <w:ind w:left="5028" w:hanging="180"/>
      </w:pPr>
    </w:lvl>
    <w:lvl w:ilvl="6" w:tplc="0426000F" w:tentative="1">
      <w:start w:val="1"/>
      <w:numFmt w:val="decimal"/>
      <w:lvlText w:val="%7."/>
      <w:lvlJc w:val="left"/>
      <w:pPr>
        <w:ind w:left="5748" w:hanging="360"/>
      </w:pPr>
    </w:lvl>
    <w:lvl w:ilvl="7" w:tplc="04260019" w:tentative="1">
      <w:start w:val="1"/>
      <w:numFmt w:val="lowerLetter"/>
      <w:lvlText w:val="%8."/>
      <w:lvlJc w:val="left"/>
      <w:pPr>
        <w:ind w:left="6468" w:hanging="360"/>
      </w:pPr>
    </w:lvl>
    <w:lvl w:ilvl="8" w:tplc="042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13"/>
    <w:rsid w:val="00014C04"/>
    <w:rsid w:val="000265CA"/>
    <w:rsid w:val="00051953"/>
    <w:rsid w:val="00072EDE"/>
    <w:rsid w:val="00075C8F"/>
    <w:rsid w:val="00080254"/>
    <w:rsid w:val="000B369D"/>
    <w:rsid w:val="000E01D2"/>
    <w:rsid w:val="000E0ECC"/>
    <w:rsid w:val="000E65A3"/>
    <w:rsid w:val="00116B0F"/>
    <w:rsid w:val="00122E19"/>
    <w:rsid w:val="00123D66"/>
    <w:rsid w:val="00140D09"/>
    <w:rsid w:val="0015676A"/>
    <w:rsid w:val="00164397"/>
    <w:rsid w:val="00174811"/>
    <w:rsid w:val="001748B2"/>
    <w:rsid w:val="00186F21"/>
    <w:rsid w:val="00191FC3"/>
    <w:rsid w:val="00192AA8"/>
    <w:rsid w:val="001A1F00"/>
    <w:rsid w:val="001A56DC"/>
    <w:rsid w:val="001B28EF"/>
    <w:rsid w:val="001B2DFA"/>
    <w:rsid w:val="001B2E39"/>
    <w:rsid w:val="001B4255"/>
    <w:rsid w:val="001C0432"/>
    <w:rsid w:val="001D3E70"/>
    <w:rsid w:val="001F29B7"/>
    <w:rsid w:val="001F48AC"/>
    <w:rsid w:val="00204C42"/>
    <w:rsid w:val="0021190E"/>
    <w:rsid w:val="00213C5C"/>
    <w:rsid w:val="002245EE"/>
    <w:rsid w:val="0024694F"/>
    <w:rsid w:val="002618EF"/>
    <w:rsid w:val="0026488F"/>
    <w:rsid w:val="00275A6C"/>
    <w:rsid w:val="0028013F"/>
    <w:rsid w:val="002833F6"/>
    <w:rsid w:val="002A3275"/>
    <w:rsid w:val="002A3E1F"/>
    <w:rsid w:val="002A7C0F"/>
    <w:rsid w:val="002C631B"/>
    <w:rsid w:val="002E10D3"/>
    <w:rsid w:val="002E5C76"/>
    <w:rsid w:val="002F5FB6"/>
    <w:rsid w:val="002F7990"/>
    <w:rsid w:val="003130FA"/>
    <w:rsid w:val="003471A3"/>
    <w:rsid w:val="00357397"/>
    <w:rsid w:val="00363439"/>
    <w:rsid w:val="003647B7"/>
    <w:rsid w:val="0037240B"/>
    <w:rsid w:val="00374AD8"/>
    <w:rsid w:val="0037508E"/>
    <w:rsid w:val="0038700F"/>
    <w:rsid w:val="00397759"/>
    <w:rsid w:val="003C007B"/>
    <w:rsid w:val="003C0D6F"/>
    <w:rsid w:val="003C34F7"/>
    <w:rsid w:val="003C58DE"/>
    <w:rsid w:val="00407171"/>
    <w:rsid w:val="004074BE"/>
    <w:rsid w:val="00410DC8"/>
    <w:rsid w:val="004310B7"/>
    <w:rsid w:val="00431274"/>
    <w:rsid w:val="00444032"/>
    <w:rsid w:val="00444B69"/>
    <w:rsid w:val="0046574C"/>
    <w:rsid w:val="0047060A"/>
    <w:rsid w:val="00471248"/>
    <w:rsid w:val="004862F9"/>
    <w:rsid w:val="0049525A"/>
    <w:rsid w:val="004A0B4F"/>
    <w:rsid w:val="004A0FAF"/>
    <w:rsid w:val="004A425F"/>
    <w:rsid w:val="004B474E"/>
    <w:rsid w:val="004D1479"/>
    <w:rsid w:val="004D2233"/>
    <w:rsid w:val="004D586E"/>
    <w:rsid w:val="004D6DDB"/>
    <w:rsid w:val="004E1BD4"/>
    <w:rsid w:val="004E2C72"/>
    <w:rsid w:val="004F5688"/>
    <w:rsid w:val="0050023B"/>
    <w:rsid w:val="0052006C"/>
    <w:rsid w:val="0052067C"/>
    <w:rsid w:val="00522C8C"/>
    <w:rsid w:val="00526052"/>
    <w:rsid w:val="0053115E"/>
    <w:rsid w:val="00532A99"/>
    <w:rsid w:val="00537360"/>
    <w:rsid w:val="00547E09"/>
    <w:rsid w:val="00562AF8"/>
    <w:rsid w:val="00564A6E"/>
    <w:rsid w:val="00585A58"/>
    <w:rsid w:val="005A4370"/>
    <w:rsid w:val="005C72BE"/>
    <w:rsid w:val="005D0026"/>
    <w:rsid w:val="005E362E"/>
    <w:rsid w:val="00615C05"/>
    <w:rsid w:val="00617B74"/>
    <w:rsid w:val="006421F2"/>
    <w:rsid w:val="0064398A"/>
    <w:rsid w:val="00646D42"/>
    <w:rsid w:val="00665ED3"/>
    <w:rsid w:val="00685264"/>
    <w:rsid w:val="00696376"/>
    <w:rsid w:val="00697C90"/>
    <w:rsid w:val="00697D77"/>
    <w:rsid w:val="006A4FAF"/>
    <w:rsid w:val="006A7E60"/>
    <w:rsid w:val="006B6A7D"/>
    <w:rsid w:val="006E35DF"/>
    <w:rsid w:val="006F51FB"/>
    <w:rsid w:val="007025B7"/>
    <w:rsid w:val="007202F0"/>
    <w:rsid w:val="00726649"/>
    <w:rsid w:val="00732EDC"/>
    <w:rsid w:val="00742C05"/>
    <w:rsid w:val="00755258"/>
    <w:rsid w:val="0076533B"/>
    <w:rsid w:val="007875E3"/>
    <w:rsid w:val="00796C96"/>
    <w:rsid w:val="0079737A"/>
    <w:rsid w:val="007A1486"/>
    <w:rsid w:val="007A4F51"/>
    <w:rsid w:val="007B17B9"/>
    <w:rsid w:val="007C4580"/>
    <w:rsid w:val="007D571B"/>
    <w:rsid w:val="00825328"/>
    <w:rsid w:val="008261F6"/>
    <w:rsid w:val="00827252"/>
    <w:rsid w:val="00835B85"/>
    <w:rsid w:val="00843CD5"/>
    <w:rsid w:val="00867FC6"/>
    <w:rsid w:val="008736FB"/>
    <w:rsid w:val="00880FD6"/>
    <w:rsid w:val="00881BB6"/>
    <w:rsid w:val="00886EA0"/>
    <w:rsid w:val="008A207F"/>
    <w:rsid w:val="008C7CF2"/>
    <w:rsid w:val="008E63E7"/>
    <w:rsid w:val="008E754E"/>
    <w:rsid w:val="009106FB"/>
    <w:rsid w:val="00910B97"/>
    <w:rsid w:val="00912029"/>
    <w:rsid w:val="0092753A"/>
    <w:rsid w:val="00933BE6"/>
    <w:rsid w:val="00952D1A"/>
    <w:rsid w:val="00962FBB"/>
    <w:rsid w:val="00976287"/>
    <w:rsid w:val="00982E01"/>
    <w:rsid w:val="0099243D"/>
    <w:rsid w:val="00995982"/>
    <w:rsid w:val="00996D99"/>
    <w:rsid w:val="009A03F2"/>
    <w:rsid w:val="009B08F2"/>
    <w:rsid w:val="009B230D"/>
    <w:rsid w:val="009D5F06"/>
    <w:rsid w:val="009D7535"/>
    <w:rsid w:val="009E4624"/>
    <w:rsid w:val="009E5938"/>
    <w:rsid w:val="009F2202"/>
    <w:rsid w:val="00A02A18"/>
    <w:rsid w:val="00A166EC"/>
    <w:rsid w:val="00A177A9"/>
    <w:rsid w:val="00A2105E"/>
    <w:rsid w:val="00A27370"/>
    <w:rsid w:val="00A323BE"/>
    <w:rsid w:val="00A33A7E"/>
    <w:rsid w:val="00A36B51"/>
    <w:rsid w:val="00A43D4E"/>
    <w:rsid w:val="00A45772"/>
    <w:rsid w:val="00A54DBB"/>
    <w:rsid w:val="00A70A41"/>
    <w:rsid w:val="00A858AE"/>
    <w:rsid w:val="00A93F76"/>
    <w:rsid w:val="00AA1A14"/>
    <w:rsid w:val="00AA779D"/>
    <w:rsid w:val="00AC741C"/>
    <w:rsid w:val="00AC7457"/>
    <w:rsid w:val="00AD59D3"/>
    <w:rsid w:val="00AD7CDA"/>
    <w:rsid w:val="00AE31CD"/>
    <w:rsid w:val="00AE403B"/>
    <w:rsid w:val="00AE67A1"/>
    <w:rsid w:val="00AF0C0F"/>
    <w:rsid w:val="00B3210A"/>
    <w:rsid w:val="00B33C04"/>
    <w:rsid w:val="00B3662C"/>
    <w:rsid w:val="00B37E0E"/>
    <w:rsid w:val="00B42A43"/>
    <w:rsid w:val="00B60D7D"/>
    <w:rsid w:val="00B80E6F"/>
    <w:rsid w:val="00B8620F"/>
    <w:rsid w:val="00B94B04"/>
    <w:rsid w:val="00B95BE6"/>
    <w:rsid w:val="00BB22C1"/>
    <w:rsid w:val="00BD4CE9"/>
    <w:rsid w:val="00BD58B3"/>
    <w:rsid w:val="00BE04C1"/>
    <w:rsid w:val="00BE5289"/>
    <w:rsid w:val="00BE5FF1"/>
    <w:rsid w:val="00C07432"/>
    <w:rsid w:val="00C12C4A"/>
    <w:rsid w:val="00C40829"/>
    <w:rsid w:val="00C425AA"/>
    <w:rsid w:val="00C430DA"/>
    <w:rsid w:val="00C819AA"/>
    <w:rsid w:val="00C81ED5"/>
    <w:rsid w:val="00CC16BC"/>
    <w:rsid w:val="00CD020E"/>
    <w:rsid w:val="00CD1331"/>
    <w:rsid w:val="00CD1AE3"/>
    <w:rsid w:val="00CD2954"/>
    <w:rsid w:val="00CF3AB4"/>
    <w:rsid w:val="00D02E0B"/>
    <w:rsid w:val="00D07A3F"/>
    <w:rsid w:val="00D24414"/>
    <w:rsid w:val="00D264A1"/>
    <w:rsid w:val="00D326C1"/>
    <w:rsid w:val="00D375BB"/>
    <w:rsid w:val="00D4079A"/>
    <w:rsid w:val="00D4247B"/>
    <w:rsid w:val="00D43CA5"/>
    <w:rsid w:val="00D50266"/>
    <w:rsid w:val="00D64DFB"/>
    <w:rsid w:val="00D719B0"/>
    <w:rsid w:val="00D73765"/>
    <w:rsid w:val="00D76C7F"/>
    <w:rsid w:val="00D97A43"/>
    <w:rsid w:val="00DA32CC"/>
    <w:rsid w:val="00DB4C5D"/>
    <w:rsid w:val="00DC61EE"/>
    <w:rsid w:val="00DD2F9F"/>
    <w:rsid w:val="00DD4291"/>
    <w:rsid w:val="00DD439F"/>
    <w:rsid w:val="00DF09F3"/>
    <w:rsid w:val="00DF6EA5"/>
    <w:rsid w:val="00DF75E8"/>
    <w:rsid w:val="00E01813"/>
    <w:rsid w:val="00E05854"/>
    <w:rsid w:val="00E06FE2"/>
    <w:rsid w:val="00E13603"/>
    <w:rsid w:val="00E2069B"/>
    <w:rsid w:val="00E416D2"/>
    <w:rsid w:val="00E43AA9"/>
    <w:rsid w:val="00E47FFB"/>
    <w:rsid w:val="00E54E41"/>
    <w:rsid w:val="00E84C39"/>
    <w:rsid w:val="00E85EC7"/>
    <w:rsid w:val="00E86905"/>
    <w:rsid w:val="00E91703"/>
    <w:rsid w:val="00E96B52"/>
    <w:rsid w:val="00EA6711"/>
    <w:rsid w:val="00EB2517"/>
    <w:rsid w:val="00EC38A4"/>
    <w:rsid w:val="00ED1C15"/>
    <w:rsid w:val="00ED212D"/>
    <w:rsid w:val="00ED7985"/>
    <w:rsid w:val="00EE4765"/>
    <w:rsid w:val="00EE5579"/>
    <w:rsid w:val="00EF1287"/>
    <w:rsid w:val="00EF5472"/>
    <w:rsid w:val="00F13D35"/>
    <w:rsid w:val="00F21456"/>
    <w:rsid w:val="00F23EB7"/>
    <w:rsid w:val="00F443A8"/>
    <w:rsid w:val="00F850AB"/>
    <w:rsid w:val="00F860B5"/>
    <w:rsid w:val="00F97C72"/>
    <w:rsid w:val="00FB285B"/>
    <w:rsid w:val="00FB2C25"/>
    <w:rsid w:val="00FC7E5B"/>
    <w:rsid w:val="00FE6230"/>
    <w:rsid w:val="00FF3AB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18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10">
    <w:name w:val="normal10"/>
    <w:basedOn w:val="DefaultParagraphFont"/>
    <w:rsid w:val="00E01813"/>
  </w:style>
  <w:style w:type="paragraph" w:styleId="Header">
    <w:name w:val="header"/>
    <w:basedOn w:val="Normal"/>
    <w:link w:val="HeaderChar"/>
    <w:uiPriority w:val="99"/>
    <w:unhideWhenUsed/>
    <w:rsid w:val="001B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EF"/>
  </w:style>
  <w:style w:type="paragraph" w:styleId="Footer">
    <w:name w:val="footer"/>
    <w:basedOn w:val="Normal"/>
    <w:link w:val="FooterChar"/>
    <w:uiPriority w:val="99"/>
    <w:unhideWhenUsed/>
    <w:rsid w:val="001B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EF"/>
  </w:style>
  <w:style w:type="paragraph" w:styleId="BalloonText">
    <w:name w:val="Balloon Text"/>
    <w:basedOn w:val="Normal"/>
    <w:link w:val="BalloonTextChar"/>
    <w:uiPriority w:val="99"/>
    <w:semiHidden/>
    <w:unhideWhenUsed/>
    <w:rsid w:val="0091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18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10">
    <w:name w:val="normal10"/>
    <w:basedOn w:val="DefaultParagraphFont"/>
    <w:rsid w:val="00E01813"/>
  </w:style>
  <w:style w:type="paragraph" w:styleId="Header">
    <w:name w:val="header"/>
    <w:basedOn w:val="Normal"/>
    <w:link w:val="HeaderChar"/>
    <w:uiPriority w:val="99"/>
    <w:unhideWhenUsed/>
    <w:rsid w:val="001B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EF"/>
  </w:style>
  <w:style w:type="paragraph" w:styleId="Footer">
    <w:name w:val="footer"/>
    <w:basedOn w:val="Normal"/>
    <w:link w:val="FooterChar"/>
    <w:uiPriority w:val="99"/>
    <w:unhideWhenUsed/>
    <w:rsid w:val="001B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EF"/>
  </w:style>
  <w:style w:type="paragraph" w:styleId="BalloonText">
    <w:name w:val="Balloon Text"/>
    <w:basedOn w:val="Normal"/>
    <w:link w:val="BalloonTextChar"/>
    <w:uiPriority w:val="99"/>
    <w:semiHidden/>
    <w:unhideWhenUsed/>
    <w:rsid w:val="0091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5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Ainis</dc:creator>
  <cp:lastModifiedBy>Zane Pommere</cp:lastModifiedBy>
  <cp:revision>4</cp:revision>
  <dcterms:created xsi:type="dcterms:W3CDTF">2017-01-11T14:08:00Z</dcterms:created>
  <dcterms:modified xsi:type="dcterms:W3CDTF">2017-01-12T06:57:00Z</dcterms:modified>
</cp:coreProperties>
</file>