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1F5" w:rsidRDefault="005241F5" w:rsidP="00B812F7">
      <w:pPr>
        <w:ind w:firstLine="720"/>
        <w:jc w:val="center"/>
        <w:rPr>
          <w:b/>
          <w:sz w:val="28"/>
          <w:szCs w:val="28"/>
          <w:lang w:val="lv-LV"/>
        </w:rPr>
      </w:pPr>
      <w:bookmarkStart w:id="0" w:name="OLE_LINK3"/>
      <w:bookmarkStart w:id="1" w:name="OLE_LINK4"/>
      <w:bookmarkStart w:id="2" w:name="OLE_LINK5"/>
      <w:bookmarkStart w:id="3" w:name="OLE_LINK1"/>
      <w:bookmarkStart w:id="4" w:name="OLE_LINK2"/>
      <w:r w:rsidRPr="00A93F52">
        <w:rPr>
          <w:b/>
          <w:sz w:val="28"/>
          <w:szCs w:val="28"/>
          <w:lang w:val="lv-LV"/>
        </w:rPr>
        <w:t>Ministru kabineta noteikumu projekta</w:t>
      </w:r>
    </w:p>
    <w:p w:rsidR="005241F5" w:rsidRDefault="00B812F7" w:rsidP="00B812F7">
      <w:pPr>
        <w:jc w:val="center"/>
        <w:rPr>
          <w:b/>
          <w:bCs/>
          <w:sz w:val="28"/>
          <w:szCs w:val="28"/>
          <w:lang w:val="lv-LV"/>
        </w:rPr>
      </w:pPr>
      <w:r>
        <w:rPr>
          <w:b/>
          <w:sz w:val="28"/>
          <w:szCs w:val="28"/>
          <w:lang w:val="lv-LV"/>
        </w:rPr>
        <w:t xml:space="preserve">“Grozījumi Ministru kabineta 2015.gada 30.jūnija noteikumos Nr.332 </w:t>
      </w:r>
      <w:r w:rsidR="005241F5" w:rsidRPr="00A93F52">
        <w:rPr>
          <w:b/>
          <w:sz w:val="28"/>
          <w:szCs w:val="28"/>
          <w:lang w:val="lv-LV"/>
        </w:rPr>
        <w:t>„</w:t>
      </w:r>
      <w:r w:rsidR="005241F5" w:rsidRPr="00493C4B">
        <w:rPr>
          <w:b/>
          <w:sz w:val="28"/>
          <w:szCs w:val="28"/>
          <w:lang w:val="lv-LV"/>
        </w:rPr>
        <w:t xml:space="preserve">Noteikumi par Latvijas būvnormatīvu </w:t>
      </w:r>
      <w:r w:rsidR="005241F5" w:rsidRPr="00B5593F">
        <w:rPr>
          <w:b/>
          <w:sz w:val="28"/>
          <w:szCs w:val="28"/>
          <w:lang w:val="lv-LV"/>
        </w:rPr>
        <w:t>LBN 22</w:t>
      </w:r>
      <w:r w:rsidR="005241F5">
        <w:rPr>
          <w:b/>
          <w:sz w:val="28"/>
          <w:szCs w:val="28"/>
          <w:lang w:val="lv-LV"/>
        </w:rPr>
        <w:t>1</w:t>
      </w:r>
      <w:r w:rsidR="005241F5" w:rsidRPr="00B5593F">
        <w:rPr>
          <w:b/>
          <w:sz w:val="28"/>
          <w:szCs w:val="28"/>
          <w:lang w:val="lv-LV"/>
        </w:rPr>
        <w:t xml:space="preserve">-15 </w:t>
      </w:r>
      <w:r w:rsidR="005241F5" w:rsidRPr="00157951">
        <w:rPr>
          <w:b/>
          <w:sz w:val="28"/>
          <w:szCs w:val="28"/>
          <w:lang w:val="lv-LV"/>
        </w:rPr>
        <w:t>„</w:t>
      </w:r>
      <w:proofErr w:type="spellStart"/>
      <w:r w:rsidR="005241F5" w:rsidRPr="00157951">
        <w:rPr>
          <w:b/>
          <w:bCs/>
          <w:color w:val="000000" w:themeColor="text1"/>
          <w:sz w:val="28"/>
          <w:szCs w:val="28"/>
        </w:rPr>
        <w:t>Ēku</w:t>
      </w:r>
      <w:proofErr w:type="spellEnd"/>
      <w:r w:rsidR="005241F5" w:rsidRPr="00157951">
        <w:rPr>
          <w:b/>
          <w:bCs/>
          <w:color w:val="000000" w:themeColor="text1"/>
          <w:sz w:val="28"/>
          <w:szCs w:val="28"/>
        </w:rPr>
        <w:t xml:space="preserve"> </w:t>
      </w:r>
      <w:proofErr w:type="spellStart"/>
      <w:r w:rsidR="005241F5" w:rsidRPr="00157951">
        <w:rPr>
          <w:b/>
          <w:bCs/>
          <w:color w:val="000000" w:themeColor="text1"/>
          <w:sz w:val="28"/>
          <w:szCs w:val="28"/>
        </w:rPr>
        <w:t>iekšējais</w:t>
      </w:r>
      <w:proofErr w:type="spellEnd"/>
      <w:r w:rsidR="005241F5" w:rsidRPr="00157951">
        <w:rPr>
          <w:b/>
          <w:bCs/>
          <w:color w:val="000000" w:themeColor="text1"/>
          <w:sz w:val="28"/>
          <w:szCs w:val="28"/>
        </w:rPr>
        <w:t xml:space="preserve"> </w:t>
      </w:r>
      <w:proofErr w:type="spellStart"/>
      <w:r w:rsidR="005241F5" w:rsidRPr="00157951">
        <w:rPr>
          <w:b/>
          <w:bCs/>
          <w:color w:val="000000" w:themeColor="text1"/>
          <w:sz w:val="28"/>
          <w:szCs w:val="28"/>
        </w:rPr>
        <w:t>ūdensvads</w:t>
      </w:r>
      <w:proofErr w:type="spellEnd"/>
      <w:r w:rsidR="005241F5" w:rsidRPr="00157951">
        <w:rPr>
          <w:b/>
          <w:bCs/>
          <w:color w:val="000000" w:themeColor="text1"/>
          <w:sz w:val="28"/>
          <w:szCs w:val="28"/>
        </w:rPr>
        <w:t xml:space="preserve"> un </w:t>
      </w:r>
      <w:proofErr w:type="spellStart"/>
      <w:r w:rsidR="005241F5" w:rsidRPr="00157951">
        <w:rPr>
          <w:b/>
          <w:bCs/>
          <w:color w:val="000000" w:themeColor="text1"/>
          <w:sz w:val="28"/>
          <w:szCs w:val="28"/>
        </w:rPr>
        <w:t>kanalizācija</w:t>
      </w:r>
      <w:proofErr w:type="spellEnd"/>
      <w:r w:rsidR="005241F5" w:rsidRPr="00B5593F">
        <w:rPr>
          <w:b/>
          <w:sz w:val="28"/>
          <w:szCs w:val="28"/>
          <w:lang w:val="lv-LV"/>
        </w:rPr>
        <w:t>”</w:t>
      </w:r>
      <w:r>
        <w:rPr>
          <w:b/>
          <w:sz w:val="28"/>
          <w:szCs w:val="28"/>
          <w:lang w:val="lv-LV"/>
        </w:rPr>
        <w:t>””</w:t>
      </w:r>
      <w:r w:rsidR="005241F5" w:rsidRPr="00A93F52">
        <w:rPr>
          <w:b/>
          <w:sz w:val="28"/>
          <w:szCs w:val="28"/>
          <w:lang w:val="lv-LV"/>
        </w:rPr>
        <w:t xml:space="preserve">sākotnējās ietekmes novērtējuma </w:t>
      </w:r>
      <w:smartTag w:uri="schemas-tilde-lv/tildestengine" w:element="veidnes">
        <w:smartTagPr>
          <w:attr w:name="id" w:val="-1"/>
          <w:attr w:name="baseform" w:val="ziņojums"/>
          <w:attr w:name="text" w:val="ziņojums"/>
        </w:smartTagPr>
        <w:r w:rsidR="005241F5" w:rsidRPr="00A93F52">
          <w:rPr>
            <w:b/>
            <w:sz w:val="28"/>
            <w:szCs w:val="28"/>
            <w:lang w:val="lv-LV"/>
          </w:rPr>
          <w:t>ziņojums</w:t>
        </w:r>
      </w:smartTag>
      <w:r w:rsidR="005241F5" w:rsidRPr="00A93F52">
        <w:rPr>
          <w:b/>
          <w:sz w:val="28"/>
          <w:szCs w:val="28"/>
          <w:lang w:val="lv-LV"/>
        </w:rPr>
        <w:t xml:space="preserve"> (</w:t>
      </w:r>
      <w:r w:rsidR="005241F5" w:rsidRPr="00A93F52">
        <w:rPr>
          <w:b/>
          <w:bCs/>
          <w:sz w:val="28"/>
          <w:szCs w:val="28"/>
          <w:lang w:val="lv-LV"/>
        </w:rPr>
        <w:t>anotācija)</w:t>
      </w:r>
      <w:bookmarkEnd w:id="0"/>
      <w:bookmarkEnd w:id="1"/>
      <w:bookmarkEnd w:id="2"/>
      <w:bookmarkEnd w:id="3"/>
      <w:bookmarkEnd w:id="4"/>
    </w:p>
    <w:p w:rsidR="005241F5" w:rsidRPr="00A93F52" w:rsidRDefault="005241F5" w:rsidP="005241F5">
      <w:pPr>
        <w:tabs>
          <w:tab w:val="left" w:pos="7230"/>
        </w:tabs>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
        <w:gridCol w:w="3298"/>
        <w:gridCol w:w="5239"/>
      </w:tblGrid>
      <w:tr w:rsidR="005241F5" w:rsidRPr="00DF184D" w:rsidTr="00324D68">
        <w:tc>
          <w:tcPr>
            <w:tcW w:w="5000" w:type="pct"/>
            <w:gridSpan w:val="3"/>
            <w:vAlign w:val="center"/>
          </w:tcPr>
          <w:p w:rsidR="005241F5" w:rsidRPr="00A93F52" w:rsidRDefault="005241F5" w:rsidP="00324D68">
            <w:pPr>
              <w:contextualSpacing/>
              <w:jc w:val="center"/>
              <w:rPr>
                <w:sz w:val="28"/>
                <w:szCs w:val="28"/>
                <w:lang w:val="lv-LV"/>
              </w:rPr>
            </w:pPr>
            <w:r w:rsidRPr="00A93F52">
              <w:rPr>
                <w:b/>
                <w:sz w:val="28"/>
                <w:szCs w:val="28"/>
                <w:lang w:val="lv-LV"/>
              </w:rPr>
              <w:t>I. Tiesību akta projekta izstrādes nepieciešamība</w:t>
            </w:r>
          </w:p>
        </w:tc>
      </w:tr>
      <w:tr w:rsidR="005241F5" w:rsidRPr="00DF184D" w:rsidTr="00000ADC">
        <w:trPr>
          <w:trHeight w:val="439"/>
        </w:trPr>
        <w:tc>
          <w:tcPr>
            <w:tcW w:w="289" w:type="pct"/>
          </w:tcPr>
          <w:p w:rsidR="005241F5" w:rsidRPr="00CF5FBA" w:rsidRDefault="005241F5" w:rsidP="00324D68">
            <w:pPr>
              <w:ind w:left="57" w:right="57"/>
              <w:contextualSpacing/>
              <w:rPr>
                <w:sz w:val="26"/>
                <w:szCs w:val="26"/>
                <w:lang w:val="lv-LV"/>
              </w:rPr>
            </w:pPr>
            <w:r w:rsidRPr="00CF5FBA">
              <w:rPr>
                <w:sz w:val="26"/>
                <w:szCs w:val="26"/>
                <w:lang w:val="lv-LV"/>
              </w:rPr>
              <w:t> 1.</w:t>
            </w:r>
          </w:p>
        </w:tc>
        <w:tc>
          <w:tcPr>
            <w:tcW w:w="1820" w:type="pct"/>
          </w:tcPr>
          <w:p w:rsidR="005241F5" w:rsidRPr="00CF5FBA" w:rsidRDefault="005241F5" w:rsidP="00324D68">
            <w:pPr>
              <w:ind w:left="57" w:right="57"/>
              <w:contextualSpacing/>
              <w:rPr>
                <w:sz w:val="26"/>
                <w:szCs w:val="26"/>
                <w:lang w:val="lv-LV"/>
              </w:rPr>
            </w:pPr>
            <w:r w:rsidRPr="00CF5FBA">
              <w:rPr>
                <w:sz w:val="26"/>
                <w:szCs w:val="26"/>
                <w:lang w:val="lv-LV"/>
              </w:rPr>
              <w:t>Pamatojums</w:t>
            </w:r>
          </w:p>
        </w:tc>
        <w:tc>
          <w:tcPr>
            <w:tcW w:w="2891" w:type="pct"/>
          </w:tcPr>
          <w:p w:rsidR="005241F5" w:rsidRPr="00CF5FBA" w:rsidRDefault="005241F5" w:rsidP="00B812F7">
            <w:pPr>
              <w:shd w:val="clear" w:color="auto" w:fill="FFFFFF"/>
              <w:spacing w:before="100" w:beforeAutospacing="1" w:after="100" w:afterAutospacing="1"/>
              <w:jc w:val="both"/>
              <w:rPr>
                <w:sz w:val="26"/>
                <w:szCs w:val="26"/>
                <w:lang w:val="lv-LV"/>
              </w:rPr>
            </w:pPr>
            <w:r w:rsidRPr="00B812F7">
              <w:rPr>
                <w:sz w:val="26"/>
                <w:szCs w:val="26"/>
                <w:lang w:val="lv-LV"/>
              </w:rPr>
              <w:t xml:space="preserve">Ministru kabineta noteikumu </w:t>
            </w:r>
            <w:r w:rsidR="00B812F7">
              <w:rPr>
                <w:sz w:val="26"/>
                <w:szCs w:val="26"/>
                <w:lang w:val="lv-LV"/>
              </w:rPr>
              <w:t xml:space="preserve">projekts </w:t>
            </w:r>
            <w:r w:rsidR="00B812F7" w:rsidRPr="00B812F7">
              <w:rPr>
                <w:sz w:val="26"/>
                <w:szCs w:val="26"/>
                <w:lang w:val="lv-LV"/>
              </w:rPr>
              <w:t xml:space="preserve">“Grozījumi Ministru kabineta 2015.gada 30.jūnija noteikumos Nr.332 „Noteikumi par Latvijas būvnormatīvu LBN 221-15 „Ēku iekšējais ūdensvads un kanalizācija””” </w:t>
            </w:r>
            <w:r w:rsidRPr="00B812F7">
              <w:rPr>
                <w:sz w:val="26"/>
                <w:szCs w:val="26"/>
                <w:lang w:val="lv-LV"/>
              </w:rPr>
              <w:t>(turpmāk – noteikumu projekts) tiek izdots saskaņā ar Būvniecības likuma (turpmāk – likums) 5. panta pirmās daļas 3.punktu</w:t>
            </w:r>
            <w:r w:rsidR="00B812F7">
              <w:rPr>
                <w:rFonts w:eastAsia="SimSun"/>
                <w:sz w:val="26"/>
                <w:szCs w:val="26"/>
                <w:lang w:val="lv-LV" w:eastAsia="zh-CN"/>
              </w:rPr>
              <w:t>.</w:t>
            </w:r>
          </w:p>
        </w:tc>
      </w:tr>
      <w:tr w:rsidR="005241F5" w:rsidRPr="00DF184D" w:rsidTr="00000ADC">
        <w:trPr>
          <w:trHeight w:val="1544"/>
        </w:trPr>
        <w:tc>
          <w:tcPr>
            <w:tcW w:w="289" w:type="pct"/>
          </w:tcPr>
          <w:p w:rsidR="005241F5" w:rsidRPr="00CF5FBA" w:rsidRDefault="005241F5" w:rsidP="00324D68">
            <w:pPr>
              <w:ind w:left="57" w:right="57"/>
              <w:contextualSpacing/>
              <w:rPr>
                <w:sz w:val="26"/>
                <w:szCs w:val="26"/>
                <w:lang w:val="lv-LV"/>
              </w:rPr>
            </w:pPr>
            <w:r w:rsidRPr="00CF5FBA">
              <w:rPr>
                <w:sz w:val="26"/>
                <w:szCs w:val="26"/>
                <w:lang w:val="lv-LV"/>
              </w:rPr>
              <w:t> 2.</w:t>
            </w:r>
          </w:p>
        </w:tc>
        <w:tc>
          <w:tcPr>
            <w:tcW w:w="1820" w:type="pct"/>
          </w:tcPr>
          <w:p w:rsidR="004B7B70" w:rsidRDefault="004B7B70" w:rsidP="00324F4D">
            <w:pPr>
              <w:tabs>
                <w:tab w:val="left" w:pos="2220"/>
              </w:tabs>
              <w:rPr>
                <w:sz w:val="26"/>
                <w:szCs w:val="26"/>
                <w:lang w:val="lv-LV"/>
              </w:rPr>
            </w:pPr>
            <w:r w:rsidRPr="004B7B70">
              <w:rPr>
                <w:sz w:val="26"/>
                <w:szCs w:val="26"/>
                <w:lang w:val="lv-LV"/>
              </w:rPr>
              <w:t>Pašreizējā situācija un problēmas kuru risināšanai tiesību akta projekts izstrādāts, tiesiskā regulējuma mērķis un būtība</w:t>
            </w:r>
          </w:p>
          <w:p w:rsidR="00DB2967" w:rsidRDefault="00DB2967" w:rsidP="00324F4D">
            <w:pPr>
              <w:tabs>
                <w:tab w:val="left" w:pos="2220"/>
              </w:tabs>
              <w:rPr>
                <w:sz w:val="26"/>
                <w:szCs w:val="26"/>
                <w:lang w:val="lv-LV"/>
              </w:rPr>
            </w:pPr>
          </w:p>
          <w:p w:rsidR="00DB2967" w:rsidRDefault="00DB2967" w:rsidP="00324F4D">
            <w:pPr>
              <w:tabs>
                <w:tab w:val="left" w:pos="2220"/>
              </w:tabs>
              <w:rPr>
                <w:sz w:val="26"/>
                <w:szCs w:val="26"/>
                <w:lang w:val="lv-LV"/>
              </w:rPr>
            </w:pPr>
          </w:p>
          <w:p w:rsidR="004B7B70" w:rsidRPr="004B7B70" w:rsidRDefault="004B7B70" w:rsidP="004B7B70">
            <w:pPr>
              <w:rPr>
                <w:sz w:val="26"/>
                <w:szCs w:val="26"/>
                <w:lang w:val="lv-LV"/>
              </w:rPr>
            </w:pPr>
          </w:p>
          <w:p w:rsidR="004B7B70" w:rsidRPr="004B7B70" w:rsidRDefault="004B7B70" w:rsidP="004B7B70">
            <w:pPr>
              <w:rPr>
                <w:sz w:val="26"/>
                <w:szCs w:val="26"/>
                <w:lang w:val="lv-LV"/>
              </w:rPr>
            </w:pPr>
          </w:p>
          <w:p w:rsidR="004B7B70" w:rsidRPr="004B7B70" w:rsidRDefault="004B7B70" w:rsidP="004B7B70">
            <w:pPr>
              <w:rPr>
                <w:sz w:val="26"/>
                <w:szCs w:val="26"/>
                <w:lang w:val="lv-LV"/>
              </w:rPr>
            </w:pPr>
          </w:p>
          <w:p w:rsidR="004B7B70" w:rsidRPr="004B7B70" w:rsidRDefault="004B7B70" w:rsidP="004B7B70">
            <w:pPr>
              <w:rPr>
                <w:sz w:val="26"/>
                <w:szCs w:val="26"/>
                <w:lang w:val="lv-LV"/>
              </w:rPr>
            </w:pPr>
          </w:p>
          <w:p w:rsidR="004B7B70" w:rsidRPr="004B7B70" w:rsidRDefault="004B7B70" w:rsidP="004B7B70">
            <w:pPr>
              <w:rPr>
                <w:sz w:val="26"/>
                <w:szCs w:val="26"/>
                <w:lang w:val="lv-LV"/>
              </w:rPr>
            </w:pPr>
          </w:p>
          <w:p w:rsidR="004B7B70" w:rsidRPr="004B7B70" w:rsidRDefault="004B7B70" w:rsidP="004B7B70">
            <w:pPr>
              <w:rPr>
                <w:sz w:val="26"/>
                <w:szCs w:val="26"/>
                <w:lang w:val="lv-LV"/>
              </w:rPr>
            </w:pPr>
          </w:p>
          <w:p w:rsidR="004B7B70" w:rsidRPr="004B7B70" w:rsidRDefault="004B7B70" w:rsidP="004B7B70">
            <w:pPr>
              <w:rPr>
                <w:sz w:val="26"/>
                <w:szCs w:val="26"/>
                <w:lang w:val="lv-LV"/>
              </w:rPr>
            </w:pPr>
          </w:p>
          <w:p w:rsidR="004B7B70" w:rsidRDefault="004B7B70" w:rsidP="004B7B70">
            <w:pPr>
              <w:rPr>
                <w:sz w:val="26"/>
                <w:szCs w:val="26"/>
                <w:lang w:val="lv-LV"/>
              </w:rPr>
            </w:pPr>
          </w:p>
          <w:p w:rsidR="00E741B3" w:rsidRDefault="00E741B3" w:rsidP="004B7B70">
            <w:pPr>
              <w:jc w:val="right"/>
              <w:rPr>
                <w:sz w:val="26"/>
                <w:szCs w:val="26"/>
                <w:lang w:val="lv-LV"/>
              </w:rPr>
            </w:pPr>
          </w:p>
          <w:p w:rsidR="00E741B3" w:rsidRPr="00E741B3" w:rsidRDefault="00E741B3" w:rsidP="00E741B3">
            <w:pPr>
              <w:rPr>
                <w:sz w:val="26"/>
                <w:szCs w:val="26"/>
                <w:lang w:val="lv-LV"/>
              </w:rPr>
            </w:pPr>
          </w:p>
          <w:p w:rsidR="00E741B3" w:rsidRPr="00E741B3" w:rsidRDefault="00E741B3" w:rsidP="00E741B3">
            <w:pPr>
              <w:rPr>
                <w:sz w:val="26"/>
                <w:szCs w:val="26"/>
                <w:lang w:val="lv-LV"/>
              </w:rPr>
            </w:pPr>
          </w:p>
          <w:p w:rsidR="00E741B3" w:rsidRDefault="00E741B3" w:rsidP="00E741B3">
            <w:pPr>
              <w:rPr>
                <w:sz w:val="26"/>
                <w:szCs w:val="26"/>
                <w:lang w:val="lv-LV"/>
              </w:rPr>
            </w:pPr>
          </w:p>
          <w:p w:rsidR="00E741B3" w:rsidRPr="002B4FE0" w:rsidRDefault="00E741B3" w:rsidP="00E741B3">
            <w:pPr>
              <w:pStyle w:val="naiskr"/>
              <w:spacing w:before="0" w:after="0"/>
              <w:ind w:left="57" w:right="57"/>
              <w:contextualSpacing/>
              <w:jc w:val="both"/>
              <w:rPr>
                <w:sz w:val="26"/>
                <w:szCs w:val="26"/>
              </w:rPr>
            </w:pPr>
          </w:p>
          <w:p w:rsidR="00000ADC" w:rsidRDefault="00000ADC" w:rsidP="00E741B3">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000ADC" w:rsidRPr="00000ADC" w:rsidRDefault="00000ADC" w:rsidP="00000ADC">
            <w:pPr>
              <w:rPr>
                <w:sz w:val="26"/>
                <w:szCs w:val="26"/>
                <w:lang w:val="lv-LV"/>
              </w:rPr>
            </w:pPr>
          </w:p>
          <w:p w:rsidR="005241F5" w:rsidRPr="00000ADC" w:rsidRDefault="005241F5" w:rsidP="00967958">
            <w:pPr>
              <w:ind w:firstLine="720"/>
              <w:rPr>
                <w:sz w:val="26"/>
                <w:szCs w:val="26"/>
                <w:lang w:val="lv-LV"/>
              </w:rPr>
            </w:pPr>
          </w:p>
        </w:tc>
        <w:tc>
          <w:tcPr>
            <w:tcW w:w="2891" w:type="pct"/>
          </w:tcPr>
          <w:p w:rsidR="00AA16E5" w:rsidRPr="004467A4" w:rsidRDefault="00AA16E5" w:rsidP="00AA16E5">
            <w:pPr>
              <w:pStyle w:val="naiskr"/>
              <w:ind w:left="57" w:right="57"/>
              <w:contextualSpacing/>
              <w:jc w:val="both"/>
              <w:rPr>
                <w:sz w:val="26"/>
                <w:szCs w:val="26"/>
              </w:rPr>
            </w:pPr>
            <w:r w:rsidRPr="00AA16E5">
              <w:rPr>
                <w:sz w:val="26"/>
                <w:szCs w:val="26"/>
              </w:rPr>
              <w:t>Izvērtējot esošo būvnormatīvu tehniskos risinājumus un parametrus pēc būtības, tika apzināti kādi būvnormatīvi ir nozarei paši nepieciešamākie, kuri būtu jāpārstrādā. Latvijas būvniecības padome noteica, ka primāri pārstrādājami ir būvnormatīvi, kas saistīti ar būvju drošību, pēc tam jāpārstrādā arī ļoti novecojošos būvnorma</w:t>
            </w:r>
            <w:r w:rsidR="00933B0E">
              <w:rPr>
                <w:sz w:val="26"/>
                <w:szCs w:val="26"/>
              </w:rPr>
              <w:t>tīvus.</w:t>
            </w:r>
            <w:r w:rsidR="00933B0E">
              <w:t xml:space="preserve"> </w:t>
            </w:r>
            <w:r w:rsidR="00933B0E" w:rsidRPr="004467A4">
              <w:rPr>
                <w:sz w:val="26"/>
                <w:szCs w:val="26"/>
              </w:rPr>
              <w:t>Atbilstoši Latvijas būvniecības padomē nolemtajam</w:t>
            </w:r>
            <w:r w:rsidR="00D255CF">
              <w:rPr>
                <w:sz w:val="26"/>
                <w:szCs w:val="26"/>
              </w:rPr>
              <w:t>,</w:t>
            </w:r>
            <w:r w:rsidR="00933B0E" w:rsidRPr="004467A4">
              <w:rPr>
                <w:sz w:val="26"/>
                <w:szCs w:val="26"/>
              </w:rPr>
              <w:t xml:space="preserve"> ir pārstrādāti šādi būvnormatīvi:</w:t>
            </w:r>
          </w:p>
          <w:p w:rsidR="00AA16E5" w:rsidRPr="00AA16E5" w:rsidRDefault="00AA16E5" w:rsidP="00AA16E5">
            <w:pPr>
              <w:pStyle w:val="naiskr"/>
              <w:ind w:left="57" w:right="57"/>
              <w:contextualSpacing/>
              <w:jc w:val="both"/>
              <w:rPr>
                <w:sz w:val="26"/>
                <w:szCs w:val="26"/>
              </w:rPr>
            </w:pPr>
            <w:r w:rsidRPr="00AA16E5">
              <w:rPr>
                <w:sz w:val="26"/>
                <w:szCs w:val="26"/>
              </w:rPr>
              <w:t>Ministru kabineta 2015.gada 30.jūnija noteikumi Nr.327 „Noteikumi par Latvijas būvnormatīvu LBN 223</w:t>
            </w:r>
            <w:r w:rsidR="00E9444F">
              <w:rPr>
                <w:sz w:val="26"/>
                <w:szCs w:val="26"/>
              </w:rPr>
              <w:t>-15</w:t>
            </w:r>
            <w:r w:rsidRPr="00AA16E5">
              <w:rPr>
                <w:sz w:val="26"/>
                <w:szCs w:val="26"/>
              </w:rPr>
              <w:t xml:space="preserve"> „Kanalizācijas būves”;</w:t>
            </w:r>
          </w:p>
          <w:p w:rsidR="00AA16E5" w:rsidRPr="00AA16E5" w:rsidRDefault="00AA16E5" w:rsidP="00AA16E5">
            <w:pPr>
              <w:pStyle w:val="naiskr"/>
              <w:ind w:left="57" w:right="57"/>
              <w:contextualSpacing/>
              <w:jc w:val="both"/>
              <w:rPr>
                <w:sz w:val="26"/>
                <w:szCs w:val="26"/>
              </w:rPr>
            </w:pPr>
            <w:r w:rsidRPr="00AA16E5">
              <w:rPr>
                <w:sz w:val="26"/>
                <w:szCs w:val="26"/>
              </w:rPr>
              <w:t>Ministru kabineta 2015.gada 30.jūnija noteikumi Nr.326 „Noteikumi par Latvijas būvnormatīvu LBN 222</w:t>
            </w:r>
            <w:r w:rsidR="00E9444F">
              <w:rPr>
                <w:sz w:val="26"/>
                <w:szCs w:val="26"/>
              </w:rPr>
              <w:t>-15</w:t>
            </w:r>
            <w:r w:rsidRPr="00AA16E5">
              <w:rPr>
                <w:sz w:val="26"/>
                <w:szCs w:val="26"/>
              </w:rPr>
              <w:t xml:space="preserve"> „Ūdensapgādes būves” ;</w:t>
            </w:r>
          </w:p>
          <w:p w:rsidR="00AA16E5" w:rsidRPr="00AA16E5" w:rsidRDefault="00AA16E5" w:rsidP="00AA16E5">
            <w:pPr>
              <w:pStyle w:val="naiskr"/>
              <w:ind w:left="57" w:right="57"/>
              <w:contextualSpacing/>
              <w:jc w:val="both"/>
              <w:rPr>
                <w:sz w:val="26"/>
                <w:szCs w:val="26"/>
              </w:rPr>
            </w:pPr>
            <w:r w:rsidRPr="00AA16E5">
              <w:rPr>
                <w:sz w:val="26"/>
                <w:szCs w:val="26"/>
              </w:rPr>
              <w:t>Ministru kabineta 2015.gada 30.jūnija noteikumi Nr.332 „Noteikumi par Latvijas būvnormatīvu LBN 221-15 „Ēku iekšē</w:t>
            </w:r>
            <w:r w:rsidR="00933B0E">
              <w:rPr>
                <w:sz w:val="26"/>
                <w:szCs w:val="26"/>
              </w:rPr>
              <w:t>jais ūdensvads un kanalizācija”.</w:t>
            </w:r>
          </w:p>
          <w:p w:rsidR="00AA16E5" w:rsidRPr="00AA16E5" w:rsidRDefault="00AA16E5" w:rsidP="00D255CF">
            <w:pPr>
              <w:pStyle w:val="naiskr"/>
              <w:spacing w:before="0" w:after="0"/>
              <w:ind w:left="57" w:right="57"/>
              <w:contextualSpacing/>
              <w:jc w:val="both"/>
              <w:rPr>
                <w:sz w:val="26"/>
                <w:szCs w:val="26"/>
              </w:rPr>
            </w:pPr>
            <w:r w:rsidRPr="00AA16E5">
              <w:rPr>
                <w:sz w:val="26"/>
                <w:szCs w:val="26"/>
              </w:rPr>
              <w:t>Jaunais noteikumu projekts salīdzinājumā ar līdzšinējo normatīvo regulējumu,  precizē un papildina  prasības ūdensvada un kanalizācijas iekšējo inženiertīklu (izņemot ugunsdzēsības sistēmas, siltummezglu ūdensapgādes sistēmas,  karstā ūdens apstrādes iekārt</w:t>
            </w:r>
            <w:r w:rsidR="00B06A5E">
              <w:rPr>
                <w:sz w:val="26"/>
                <w:szCs w:val="26"/>
              </w:rPr>
              <w:t>u</w:t>
            </w:r>
            <w:r w:rsidRPr="00AA16E5">
              <w:rPr>
                <w:sz w:val="26"/>
                <w:szCs w:val="26"/>
              </w:rPr>
              <w:t xml:space="preserve">, ražošanas un tehnoloģisko iekārtu, arī medicīnas procedūru ūdensapgādes sistēmas) projektēšanai atbilstoši reālajai ekspluatācijas un projektēšanas praksei. </w:t>
            </w:r>
          </w:p>
          <w:p w:rsidR="00B06A5E" w:rsidRDefault="00AA16E5" w:rsidP="00C56E6E">
            <w:pPr>
              <w:pStyle w:val="naiskr"/>
              <w:spacing w:before="0" w:after="0"/>
              <w:ind w:left="57" w:right="57"/>
              <w:contextualSpacing/>
              <w:jc w:val="both"/>
              <w:rPr>
                <w:sz w:val="26"/>
                <w:szCs w:val="26"/>
              </w:rPr>
            </w:pPr>
            <w:r w:rsidRPr="00AA16E5">
              <w:rPr>
                <w:sz w:val="26"/>
                <w:szCs w:val="26"/>
              </w:rPr>
              <w:t>Noteikumu projekts sagatavots ar mērķi novērst atšķirīgas iepriekšējā regulējuma interpretācijas,</w:t>
            </w:r>
            <w:r w:rsidR="00C56E6E">
              <w:rPr>
                <w:sz w:val="26"/>
                <w:szCs w:val="26"/>
              </w:rPr>
              <w:t xml:space="preserve"> </w:t>
            </w:r>
            <w:r w:rsidRPr="00AA16E5">
              <w:rPr>
                <w:sz w:val="26"/>
                <w:szCs w:val="26"/>
              </w:rPr>
              <w:lastRenderedPageBreak/>
              <w:t>tādējādi  veicinot regulējuma subjektu izpratni par jaunā regulējuma būtību un tā izpildi.</w:t>
            </w:r>
          </w:p>
          <w:p w:rsidR="00AA16E5" w:rsidRPr="00AA16E5" w:rsidRDefault="00B06A5E" w:rsidP="00C56E6E">
            <w:pPr>
              <w:pStyle w:val="naiskr"/>
              <w:spacing w:before="0" w:after="0"/>
              <w:ind w:left="57" w:right="57"/>
              <w:contextualSpacing/>
              <w:jc w:val="both"/>
              <w:rPr>
                <w:sz w:val="26"/>
                <w:szCs w:val="26"/>
              </w:rPr>
            </w:pPr>
            <w:r>
              <w:rPr>
                <w:sz w:val="26"/>
                <w:szCs w:val="26"/>
              </w:rPr>
              <w:t xml:space="preserve">Noteikumu projektā paredzēts svītrot </w:t>
            </w:r>
            <w:r w:rsidRPr="00B06A5E">
              <w:rPr>
                <w:sz w:val="26"/>
                <w:szCs w:val="26"/>
              </w:rPr>
              <w:t>Ministru kabineta 2015.gada 30.jūnija noteikum</w:t>
            </w:r>
            <w:r>
              <w:rPr>
                <w:sz w:val="26"/>
                <w:szCs w:val="26"/>
              </w:rPr>
              <w:t>u</w:t>
            </w:r>
            <w:r w:rsidRPr="00B06A5E">
              <w:rPr>
                <w:sz w:val="26"/>
                <w:szCs w:val="26"/>
              </w:rPr>
              <w:t xml:space="preserve"> Nr.332 „Noteikumi par Latvijas būvnormatīvu LBN 221-15 „Ēku iekšējais ūdensvads un kanalizācija””</w:t>
            </w:r>
            <w:r>
              <w:rPr>
                <w:sz w:val="26"/>
                <w:szCs w:val="26"/>
              </w:rPr>
              <w:t xml:space="preserve"> 7. un 8.punktu par sauso tualešu vai notekūdeņu </w:t>
            </w:r>
            <w:proofErr w:type="spellStart"/>
            <w:r>
              <w:rPr>
                <w:sz w:val="26"/>
                <w:szCs w:val="26"/>
              </w:rPr>
              <w:t>krājtvertņu</w:t>
            </w:r>
            <w:proofErr w:type="spellEnd"/>
            <w:r>
              <w:rPr>
                <w:sz w:val="26"/>
                <w:szCs w:val="26"/>
              </w:rPr>
              <w:t xml:space="preserve"> ierīkošanu, </w:t>
            </w:r>
            <w:r w:rsidR="00E9444F">
              <w:rPr>
                <w:sz w:val="26"/>
                <w:szCs w:val="26"/>
              </w:rPr>
              <w:t xml:space="preserve">pārceļot šos punktus uz </w:t>
            </w:r>
            <w:r w:rsidR="00E9444F" w:rsidRPr="00E9444F">
              <w:rPr>
                <w:sz w:val="26"/>
                <w:szCs w:val="26"/>
              </w:rPr>
              <w:t>Ministru kabineta 2015.gada 30.jūnija noteikumi</w:t>
            </w:r>
            <w:r w:rsidR="00E9444F">
              <w:rPr>
                <w:sz w:val="26"/>
                <w:szCs w:val="26"/>
              </w:rPr>
              <w:t>em</w:t>
            </w:r>
            <w:r w:rsidR="00E9444F" w:rsidRPr="00E9444F">
              <w:rPr>
                <w:sz w:val="26"/>
                <w:szCs w:val="26"/>
              </w:rPr>
              <w:t xml:space="preserve"> Nr.327 „Noteikumi par Latvijas būvnormatīvu LBN 223</w:t>
            </w:r>
            <w:r w:rsidR="00E9444F">
              <w:rPr>
                <w:sz w:val="26"/>
                <w:szCs w:val="26"/>
              </w:rPr>
              <w:t>-15</w:t>
            </w:r>
            <w:r w:rsidR="00E9444F" w:rsidRPr="00E9444F">
              <w:rPr>
                <w:sz w:val="26"/>
                <w:szCs w:val="26"/>
              </w:rPr>
              <w:t xml:space="preserve"> „Kanalizācijas būves”</w:t>
            </w:r>
            <w:r w:rsidR="00E9444F">
              <w:rPr>
                <w:sz w:val="26"/>
                <w:szCs w:val="26"/>
              </w:rPr>
              <w:t>.</w:t>
            </w:r>
            <w:r>
              <w:rPr>
                <w:sz w:val="26"/>
                <w:szCs w:val="26"/>
              </w:rPr>
              <w:t xml:space="preserve"> </w:t>
            </w:r>
          </w:p>
          <w:p w:rsidR="00AA16E5" w:rsidRPr="00AA16E5" w:rsidRDefault="00AA16E5" w:rsidP="00C56E6E">
            <w:pPr>
              <w:pStyle w:val="naiskr"/>
              <w:spacing w:before="0" w:after="0"/>
              <w:ind w:left="57" w:right="57"/>
              <w:contextualSpacing/>
              <w:jc w:val="both"/>
              <w:rPr>
                <w:sz w:val="26"/>
                <w:szCs w:val="26"/>
              </w:rPr>
            </w:pPr>
            <w:r w:rsidRPr="00AA16E5">
              <w:rPr>
                <w:sz w:val="26"/>
                <w:szCs w:val="26"/>
              </w:rPr>
              <w:t>Salīdzinot ar esošo regulējumu, noteikumu projektā ir papildinātas prasības aukstā un karstā ūdens sistēmām saskaņā ar projektēšanas praksi Eiropā, ieviešot atsauci uz ugunsdrošības un sanitāri higiēniskām prasībām citos normatīvajos aktos.</w:t>
            </w:r>
            <w:r w:rsidR="00BC135C">
              <w:rPr>
                <w:sz w:val="26"/>
                <w:szCs w:val="26"/>
              </w:rPr>
              <w:t xml:space="preserve"> </w:t>
            </w:r>
            <w:r w:rsidR="00BC135C" w:rsidRPr="00BC135C">
              <w:rPr>
                <w:sz w:val="26"/>
                <w:szCs w:val="26"/>
              </w:rPr>
              <w:t>Aukstā ūdens izdales vietā 30 sekundes pēc ūdens izdales armatūras atvēršanas jāsaņem ūdens, kura</w:t>
            </w:r>
            <w:r w:rsidR="003C39AD">
              <w:rPr>
                <w:sz w:val="26"/>
                <w:szCs w:val="26"/>
              </w:rPr>
              <w:t xml:space="preserve"> temperatūra nav augstāka par 20</w:t>
            </w:r>
            <w:r w:rsidR="00BC135C" w:rsidRPr="00BC135C">
              <w:rPr>
                <w:sz w:val="26"/>
                <w:szCs w:val="26"/>
              </w:rPr>
              <w:t>°C. No tālākiem ūdens izdales punktiem, kurus nelieto ikdienā, minētais laiks var būt ilgāks. 30 sekundes ir maksimālais laiks,  kura ietvaros, atverot ūdens krānu jāsaņem paredzētā ūdens temperatūra saskaņā ar  LVS EN 806-2        “Ēku iekšējo dzeramā ūdens ietaišu specifikācijas - 2.daļa: Projektēšana”.</w:t>
            </w:r>
          </w:p>
          <w:p w:rsidR="00AA16E5" w:rsidRPr="00CB257D" w:rsidRDefault="00AA16E5" w:rsidP="00C56E6E">
            <w:pPr>
              <w:pStyle w:val="naiskr"/>
              <w:spacing w:before="0" w:after="0"/>
              <w:ind w:left="57" w:right="57"/>
              <w:contextualSpacing/>
              <w:jc w:val="both"/>
              <w:rPr>
                <w:sz w:val="26"/>
                <w:szCs w:val="26"/>
              </w:rPr>
            </w:pPr>
            <w:r w:rsidRPr="00AA16E5">
              <w:rPr>
                <w:sz w:val="26"/>
                <w:szCs w:val="26"/>
              </w:rPr>
              <w:t>Noteikumu projektā atspoguļota patlaban Eiropā un Latvijā vispārizplatītā prakse ugunsgrēku dzēšanā atbilstoši piemērojamo standartu LVS EN 671-1:2012, LVS EN 671-2:2012 prasībām.</w:t>
            </w:r>
            <w:r w:rsidR="00E54FF5">
              <w:rPr>
                <w:sz w:val="26"/>
                <w:szCs w:val="26"/>
              </w:rPr>
              <w:t xml:space="preserve"> Saskaņā ar izmaiņām 1. un 2.tabulā svītroti 60. un 61.punkt</w:t>
            </w:r>
            <w:r w:rsidR="00B06A5E">
              <w:rPr>
                <w:sz w:val="26"/>
                <w:szCs w:val="26"/>
              </w:rPr>
              <w:t>i</w:t>
            </w:r>
            <w:r w:rsidR="00E54FF5">
              <w:rPr>
                <w:sz w:val="26"/>
                <w:szCs w:val="26"/>
              </w:rPr>
              <w:t xml:space="preserve">. </w:t>
            </w:r>
            <w:r w:rsidR="00C746AA">
              <w:rPr>
                <w:sz w:val="26"/>
                <w:szCs w:val="26"/>
              </w:rPr>
              <w:t xml:space="preserve">Attiecībā uz nelielām sūkņu stacijām ar noteikumu projektu </w:t>
            </w:r>
            <w:r w:rsidR="00C746AA" w:rsidRPr="00C746AA">
              <w:rPr>
                <w:sz w:val="26"/>
                <w:szCs w:val="26"/>
              </w:rPr>
              <w:t>novērš potenciālus ierobežojumus iekārtu ražībām, paplašinot iespējamo tehnisko risinājumu loku</w:t>
            </w:r>
            <w:r w:rsidR="00C746AA">
              <w:rPr>
                <w:sz w:val="26"/>
                <w:szCs w:val="26"/>
              </w:rPr>
              <w:t xml:space="preserve"> </w:t>
            </w:r>
            <w:r w:rsidR="00C746AA" w:rsidRPr="00CB257D">
              <w:rPr>
                <w:sz w:val="26"/>
                <w:szCs w:val="26"/>
              </w:rPr>
              <w:t>(293. un 295.punkts).</w:t>
            </w:r>
          </w:p>
          <w:p w:rsidR="00AA16E5" w:rsidRPr="00AA16E5" w:rsidRDefault="00AA16E5" w:rsidP="00AA16E5">
            <w:pPr>
              <w:pStyle w:val="naiskr"/>
              <w:ind w:left="57" w:right="57"/>
              <w:contextualSpacing/>
              <w:jc w:val="both"/>
              <w:rPr>
                <w:sz w:val="26"/>
                <w:szCs w:val="26"/>
              </w:rPr>
            </w:pPr>
            <w:r w:rsidRPr="00AA16E5">
              <w:rPr>
                <w:sz w:val="26"/>
                <w:szCs w:val="26"/>
              </w:rPr>
              <w:t xml:space="preserve">Noteikumu projekts precizē iespējamos tehniskos risinājumus un prasības ūdensapgādes un kanalizācijas sistēmās, t.sk. arī augstceltnēm, kuru stāvu skaits ir 17 un lielāks, kā arī ievieš papildus prasības, pirms izbūvēto sistēmu nodošanas ekspluatācijā saskaņā ar pieņemto projektēšanas un būvniecības praksi Eiropā. </w:t>
            </w:r>
          </w:p>
          <w:p w:rsidR="00AA16E5" w:rsidRPr="00AA16E5" w:rsidRDefault="00AA16E5" w:rsidP="00AA16E5">
            <w:pPr>
              <w:pStyle w:val="naiskr"/>
              <w:ind w:left="57" w:right="57"/>
              <w:contextualSpacing/>
              <w:jc w:val="both"/>
              <w:rPr>
                <w:sz w:val="26"/>
                <w:szCs w:val="26"/>
              </w:rPr>
            </w:pPr>
            <w:r w:rsidRPr="00AA16E5">
              <w:rPr>
                <w:sz w:val="26"/>
                <w:szCs w:val="26"/>
              </w:rPr>
              <w:t xml:space="preserve">Papildus prasības ir ieviestas iekšējo ūdensapgādes sistēmu zemējumam, nodrošinot to </w:t>
            </w:r>
            <w:r w:rsidRPr="00AA16E5">
              <w:rPr>
                <w:sz w:val="26"/>
                <w:szCs w:val="26"/>
              </w:rPr>
              <w:lastRenderedPageBreak/>
              <w:t>drošību, saskaņā ar pieņemto projektēšanas un būvniecības praksi Eiropā.</w:t>
            </w:r>
          </w:p>
          <w:p w:rsidR="00443159" w:rsidRDefault="00AA16E5" w:rsidP="00AA16E5">
            <w:pPr>
              <w:pStyle w:val="naiskr"/>
              <w:spacing w:before="0" w:after="0"/>
              <w:ind w:left="57" w:right="57"/>
              <w:contextualSpacing/>
              <w:jc w:val="both"/>
              <w:rPr>
                <w:sz w:val="26"/>
                <w:szCs w:val="26"/>
              </w:rPr>
            </w:pPr>
            <w:r w:rsidRPr="00AA16E5">
              <w:rPr>
                <w:sz w:val="26"/>
                <w:szCs w:val="26"/>
              </w:rPr>
              <w:t>Noteikumu projekts precizē prasības roku mazgātņu un klozetpodu uzstādīšanas augstumam atbilstoši esošajiem apstākļiem un projektēšanas praksei bērnu uzraudzības pakalpojuma sniegšanas vietās un izglītības iestādes, kas īsteno pirmsskolas izglītības programmu, kā arī bērnu sociālās aprūpes iestādēs.</w:t>
            </w:r>
          </w:p>
          <w:p w:rsidR="00C56E6E" w:rsidRPr="00443159" w:rsidRDefault="00C56E6E" w:rsidP="00AA16E5">
            <w:pPr>
              <w:pStyle w:val="naiskr"/>
              <w:spacing w:before="0" w:after="0"/>
              <w:ind w:left="57" w:right="57"/>
              <w:contextualSpacing/>
              <w:jc w:val="both"/>
            </w:pPr>
          </w:p>
        </w:tc>
      </w:tr>
      <w:tr w:rsidR="005241F5" w:rsidRPr="00DF184D" w:rsidTr="00000ADC">
        <w:trPr>
          <w:trHeight w:val="706"/>
        </w:trPr>
        <w:tc>
          <w:tcPr>
            <w:tcW w:w="289" w:type="pct"/>
          </w:tcPr>
          <w:p w:rsidR="005241F5" w:rsidRPr="00CF5FBA" w:rsidRDefault="005241F5" w:rsidP="00324D68">
            <w:pPr>
              <w:ind w:left="57" w:right="57"/>
              <w:contextualSpacing/>
              <w:rPr>
                <w:sz w:val="26"/>
                <w:szCs w:val="26"/>
                <w:lang w:val="lv-LV"/>
              </w:rPr>
            </w:pPr>
            <w:r w:rsidRPr="00CF5FBA">
              <w:rPr>
                <w:sz w:val="26"/>
                <w:szCs w:val="26"/>
                <w:lang w:val="lv-LV"/>
              </w:rPr>
              <w:lastRenderedPageBreak/>
              <w:t> 3.</w:t>
            </w:r>
          </w:p>
        </w:tc>
        <w:tc>
          <w:tcPr>
            <w:tcW w:w="1820" w:type="pct"/>
          </w:tcPr>
          <w:p w:rsidR="005241F5" w:rsidRPr="00CF5FBA" w:rsidRDefault="005241F5" w:rsidP="00324D68">
            <w:pPr>
              <w:ind w:left="57" w:right="57"/>
              <w:contextualSpacing/>
              <w:rPr>
                <w:sz w:val="26"/>
                <w:szCs w:val="26"/>
                <w:lang w:val="lv-LV"/>
              </w:rPr>
            </w:pPr>
            <w:r w:rsidRPr="00CF5FBA">
              <w:rPr>
                <w:sz w:val="26"/>
                <w:szCs w:val="26"/>
                <w:lang w:val="lv-LV"/>
              </w:rPr>
              <w:t>Projekta izstrādē iesaistītās institūcijas</w:t>
            </w:r>
          </w:p>
        </w:tc>
        <w:tc>
          <w:tcPr>
            <w:tcW w:w="2891" w:type="pct"/>
          </w:tcPr>
          <w:p w:rsidR="005241F5" w:rsidRPr="00CF5FBA" w:rsidRDefault="005241F5" w:rsidP="00324D68">
            <w:pPr>
              <w:ind w:left="57" w:right="57"/>
              <w:contextualSpacing/>
              <w:jc w:val="both"/>
              <w:rPr>
                <w:sz w:val="26"/>
                <w:szCs w:val="26"/>
                <w:lang w:val="lv-LV"/>
              </w:rPr>
            </w:pPr>
            <w:r w:rsidRPr="00CF5FBA">
              <w:rPr>
                <w:sz w:val="26"/>
                <w:szCs w:val="26"/>
                <w:lang w:val="lv-LV"/>
              </w:rPr>
              <w:t>Noteikumu projekts šo jomu neskar.</w:t>
            </w:r>
          </w:p>
        </w:tc>
      </w:tr>
      <w:tr w:rsidR="005241F5" w:rsidRPr="00CF5FBA" w:rsidTr="00000ADC">
        <w:trPr>
          <w:trHeight w:val="384"/>
        </w:trPr>
        <w:tc>
          <w:tcPr>
            <w:tcW w:w="289" w:type="pct"/>
          </w:tcPr>
          <w:p w:rsidR="005241F5" w:rsidRPr="00CF5FBA" w:rsidRDefault="005241F5" w:rsidP="00324D68">
            <w:pPr>
              <w:ind w:left="57" w:right="57"/>
              <w:contextualSpacing/>
              <w:rPr>
                <w:sz w:val="26"/>
                <w:szCs w:val="26"/>
                <w:lang w:val="lv-LV"/>
              </w:rPr>
            </w:pPr>
            <w:r w:rsidRPr="00CF5FBA">
              <w:rPr>
                <w:sz w:val="26"/>
                <w:szCs w:val="26"/>
                <w:lang w:val="lv-LV"/>
              </w:rPr>
              <w:t> 4.</w:t>
            </w:r>
          </w:p>
        </w:tc>
        <w:tc>
          <w:tcPr>
            <w:tcW w:w="1820" w:type="pct"/>
          </w:tcPr>
          <w:p w:rsidR="005241F5" w:rsidRPr="00CF5FBA" w:rsidRDefault="005241F5" w:rsidP="00324D68">
            <w:pPr>
              <w:ind w:left="57" w:right="57"/>
              <w:contextualSpacing/>
              <w:rPr>
                <w:sz w:val="26"/>
                <w:szCs w:val="26"/>
                <w:lang w:val="lv-LV"/>
              </w:rPr>
            </w:pPr>
            <w:r w:rsidRPr="00CF5FBA">
              <w:rPr>
                <w:sz w:val="26"/>
                <w:szCs w:val="26"/>
                <w:lang w:val="lv-LV"/>
              </w:rPr>
              <w:t>Cita informācija</w:t>
            </w:r>
          </w:p>
        </w:tc>
        <w:tc>
          <w:tcPr>
            <w:tcW w:w="2891" w:type="pct"/>
          </w:tcPr>
          <w:p w:rsidR="005241F5" w:rsidRPr="00CF5FBA" w:rsidRDefault="005241F5" w:rsidP="00324D68">
            <w:pPr>
              <w:pStyle w:val="naiskr"/>
              <w:spacing w:before="0" w:after="0"/>
              <w:ind w:right="57"/>
              <w:contextualSpacing/>
              <w:jc w:val="both"/>
              <w:rPr>
                <w:sz w:val="26"/>
                <w:szCs w:val="26"/>
              </w:rPr>
            </w:pPr>
            <w:r w:rsidRPr="00CF5FBA">
              <w:rPr>
                <w:sz w:val="26"/>
                <w:szCs w:val="26"/>
              </w:rPr>
              <w:t>Nav</w:t>
            </w:r>
          </w:p>
        </w:tc>
      </w:tr>
    </w:tbl>
    <w:p w:rsidR="005241F5" w:rsidRPr="00A93F52" w:rsidRDefault="005241F5" w:rsidP="005241F5">
      <w:pPr>
        <w:ind w:left="57" w:right="57"/>
        <w:contextualSpacing/>
        <w:rPr>
          <w:sz w:val="28"/>
          <w:szCs w:val="28"/>
          <w:lang w:val="lv-LV"/>
        </w:rPr>
      </w:pPr>
    </w:p>
    <w:tbl>
      <w:tblPr>
        <w:tblW w:w="5000" w:type="pct"/>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524"/>
        <w:gridCol w:w="3153"/>
        <w:gridCol w:w="5384"/>
      </w:tblGrid>
      <w:tr w:rsidR="005241F5" w:rsidRPr="00DF184D" w:rsidTr="00324D68">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41F5" w:rsidRPr="00A93F52" w:rsidRDefault="005241F5" w:rsidP="00324D68">
            <w:pPr>
              <w:ind w:left="57" w:right="57"/>
              <w:contextualSpacing/>
              <w:jc w:val="center"/>
              <w:rPr>
                <w:b/>
                <w:sz w:val="28"/>
                <w:szCs w:val="28"/>
                <w:lang w:val="lv-LV"/>
              </w:rPr>
            </w:pPr>
            <w:r w:rsidRPr="00A93F52">
              <w:rPr>
                <w:b/>
                <w:sz w:val="28"/>
                <w:szCs w:val="28"/>
                <w:lang w:val="lv-LV"/>
              </w:rPr>
              <w:t>II. Tiesību akta projekta ietekme uz sabiedrību tautsaimniecības attīstību un administratīvo slogu</w:t>
            </w:r>
          </w:p>
        </w:tc>
      </w:tr>
      <w:tr w:rsidR="005241F5" w:rsidRPr="00CF5FBA" w:rsidTr="00324D68">
        <w:trPr>
          <w:trHeight w:val="467"/>
        </w:trPr>
        <w:tc>
          <w:tcPr>
            <w:tcW w:w="289"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1.</w:t>
            </w:r>
          </w:p>
        </w:tc>
        <w:tc>
          <w:tcPr>
            <w:tcW w:w="1740"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xml:space="preserve"> Sabiedrības </w:t>
            </w:r>
            <w:proofErr w:type="spellStart"/>
            <w:r w:rsidRPr="00CF5FBA">
              <w:rPr>
                <w:sz w:val="26"/>
                <w:szCs w:val="26"/>
                <w:lang w:val="lv-LV"/>
              </w:rPr>
              <w:t>mērķgrupas</w:t>
            </w:r>
            <w:proofErr w:type="spellEnd"/>
            <w:r w:rsidRPr="00CF5FBA">
              <w:rPr>
                <w:sz w:val="26"/>
                <w:szCs w:val="26"/>
                <w:lang w:val="lv-LV"/>
              </w:rPr>
              <w:t>, kuras tiesiskais regulējums  ietekmē vai varētu ietekmēt</w:t>
            </w:r>
          </w:p>
        </w:tc>
        <w:tc>
          <w:tcPr>
            <w:tcW w:w="2972" w:type="pct"/>
            <w:tcBorders>
              <w:top w:val="single" w:sz="4" w:space="0" w:color="auto"/>
              <w:left w:val="single" w:sz="4" w:space="0" w:color="auto"/>
              <w:bottom w:val="single" w:sz="4" w:space="0" w:color="auto"/>
              <w:right w:val="single" w:sz="4" w:space="0" w:color="auto"/>
            </w:tcBorders>
            <w:hideMark/>
          </w:tcPr>
          <w:p w:rsidR="005241F5" w:rsidRDefault="005241F5" w:rsidP="00324D68">
            <w:pPr>
              <w:ind w:left="57" w:right="57"/>
              <w:contextualSpacing/>
              <w:jc w:val="both"/>
              <w:rPr>
                <w:iCs/>
                <w:sz w:val="26"/>
                <w:szCs w:val="26"/>
                <w:lang w:val="lv-LV"/>
              </w:rPr>
            </w:pPr>
            <w:r w:rsidRPr="00CF5FBA">
              <w:rPr>
                <w:iCs/>
                <w:sz w:val="26"/>
                <w:szCs w:val="26"/>
                <w:lang w:val="lv-LV"/>
              </w:rPr>
              <w:t>Noteikumu projekta regulējums var ietekmēt jebkuru personu, kura ierosinās un veiks būvniecību, kā arī institūcijas, kuras iesaistītas būvniecības procesā. Tāpat arī ietekmēs būvniecības nozarē strādājošos būvdarbu veicējus.</w:t>
            </w:r>
          </w:p>
          <w:p w:rsidR="00C56E6E" w:rsidRPr="00CF5FBA" w:rsidRDefault="00C56E6E" w:rsidP="00324D68">
            <w:pPr>
              <w:ind w:left="57" w:right="57"/>
              <w:contextualSpacing/>
              <w:jc w:val="both"/>
              <w:rPr>
                <w:sz w:val="26"/>
                <w:szCs w:val="26"/>
                <w:lang w:val="lv-LV"/>
              </w:rPr>
            </w:pPr>
          </w:p>
        </w:tc>
      </w:tr>
      <w:tr w:rsidR="005241F5" w:rsidRPr="00DF184D" w:rsidTr="00324D68">
        <w:trPr>
          <w:trHeight w:val="523"/>
        </w:trPr>
        <w:tc>
          <w:tcPr>
            <w:tcW w:w="289"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2.</w:t>
            </w:r>
          </w:p>
        </w:tc>
        <w:tc>
          <w:tcPr>
            <w:tcW w:w="1740"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Tiesiskā regulējuma ietekme uz tautsaimniecību un administratīvo slogu</w:t>
            </w:r>
          </w:p>
        </w:tc>
        <w:tc>
          <w:tcPr>
            <w:tcW w:w="2972" w:type="pct"/>
            <w:tcBorders>
              <w:top w:val="single" w:sz="4" w:space="0" w:color="auto"/>
              <w:left w:val="single" w:sz="4" w:space="0" w:color="auto"/>
              <w:bottom w:val="single" w:sz="4" w:space="0" w:color="auto"/>
              <w:right w:val="single" w:sz="4" w:space="0" w:color="auto"/>
            </w:tcBorders>
            <w:hideMark/>
          </w:tcPr>
          <w:p w:rsidR="005241F5" w:rsidRDefault="005241F5" w:rsidP="00324D68">
            <w:pPr>
              <w:ind w:right="57"/>
              <w:contextualSpacing/>
              <w:jc w:val="both"/>
              <w:rPr>
                <w:sz w:val="26"/>
                <w:szCs w:val="26"/>
                <w:lang w:val="lv-LV"/>
              </w:rPr>
            </w:pPr>
            <w:r w:rsidRPr="00CF5FBA">
              <w:rPr>
                <w:sz w:val="26"/>
                <w:szCs w:val="26"/>
                <w:lang w:val="lv-LV"/>
              </w:rPr>
              <w:t xml:space="preserve">Šīs sadaļas 1. punktā minētajām sabiedrības </w:t>
            </w:r>
            <w:proofErr w:type="spellStart"/>
            <w:r w:rsidRPr="00CF5FBA">
              <w:rPr>
                <w:sz w:val="26"/>
                <w:szCs w:val="26"/>
                <w:lang w:val="lv-LV"/>
              </w:rPr>
              <w:t>mērķgrupām</w:t>
            </w:r>
            <w:proofErr w:type="spellEnd"/>
            <w:r w:rsidRPr="00CF5FBA">
              <w:rPr>
                <w:sz w:val="26"/>
                <w:szCs w:val="26"/>
                <w:lang w:val="lv-LV"/>
              </w:rPr>
              <w:t xml:space="preserve"> un institūcijām projekta tiesiskais regulējums nemaina tiesības un pienākumus, kā arī veicamās darbības salīdzinājumā ar līdzšinējo normatīvo regulējumu.</w:t>
            </w:r>
          </w:p>
          <w:p w:rsidR="00C56E6E" w:rsidRPr="00CF5FBA" w:rsidRDefault="00C56E6E" w:rsidP="00324D68">
            <w:pPr>
              <w:ind w:right="57"/>
              <w:contextualSpacing/>
              <w:jc w:val="both"/>
              <w:rPr>
                <w:sz w:val="26"/>
                <w:szCs w:val="26"/>
                <w:lang w:val="lv-LV"/>
              </w:rPr>
            </w:pPr>
          </w:p>
        </w:tc>
      </w:tr>
      <w:tr w:rsidR="005241F5" w:rsidRPr="00DF184D" w:rsidTr="00324D68">
        <w:trPr>
          <w:trHeight w:val="517"/>
        </w:trPr>
        <w:tc>
          <w:tcPr>
            <w:tcW w:w="289"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3.</w:t>
            </w:r>
          </w:p>
        </w:tc>
        <w:tc>
          <w:tcPr>
            <w:tcW w:w="1740"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Administratīvo izmaksu monetārs novērtējums</w:t>
            </w:r>
          </w:p>
        </w:tc>
        <w:tc>
          <w:tcPr>
            <w:tcW w:w="2972"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jc w:val="both"/>
              <w:rPr>
                <w:sz w:val="26"/>
                <w:szCs w:val="26"/>
                <w:lang w:val="lv-LV"/>
              </w:rPr>
            </w:pPr>
            <w:r w:rsidRPr="00CF5FBA">
              <w:rPr>
                <w:sz w:val="26"/>
                <w:szCs w:val="26"/>
                <w:lang w:val="lv-LV"/>
              </w:rPr>
              <w:t>Noteikumu projekts šo jomu neskar</w:t>
            </w:r>
          </w:p>
        </w:tc>
      </w:tr>
      <w:tr w:rsidR="005241F5" w:rsidRPr="00CF5FBA" w:rsidTr="00324D68">
        <w:tc>
          <w:tcPr>
            <w:tcW w:w="289"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4.</w:t>
            </w:r>
          </w:p>
        </w:tc>
        <w:tc>
          <w:tcPr>
            <w:tcW w:w="1740"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rPr>
                <w:sz w:val="26"/>
                <w:szCs w:val="26"/>
                <w:lang w:val="lv-LV"/>
              </w:rPr>
            </w:pPr>
            <w:r w:rsidRPr="00CF5FBA">
              <w:rPr>
                <w:sz w:val="26"/>
                <w:szCs w:val="26"/>
                <w:lang w:val="lv-LV"/>
              </w:rPr>
              <w:t> Cita informācija</w:t>
            </w:r>
          </w:p>
        </w:tc>
        <w:tc>
          <w:tcPr>
            <w:tcW w:w="2972" w:type="pct"/>
            <w:tcBorders>
              <w:top w:val="single" w:sz="4" w:space="0" w:color="auto"/>
              <w:left w:val="single" w:sz="4" w:space="0" w:color="auto"/>
              <w:bottom w:val="single" w:sz="4" w:space="0" w:color="auto"/>
              <w:right w:val="single" w:sz="4" w:space="0" w:color="auto"/>
            </w:tcBorders>
            <w:hideMark/>
          </w:tcPr>
          <w:p w:rsidR="005241F5" w:rsidRPr="00CF5FBA" w:rsidRDefault="005241F5" w:rsidP="00324D68">
            <w:pPr>
              <w:ind w:left="57" w:right="57"/>
              <w:contextualSpacing/>
              <w:jc w:val="both"/>
              <w:rPr>
                <w:sz w:val="26"/>
                <w:szCs w:val="26"/>
                <w:lang w:val="lv-LV"/>
              </w:rPr>
            </w:pPr>
            <w:r w:rsidRPr="00CF5FBA">
              <w:rPr>
                <w:sz w:val="26"/>
                <w:szCs w:val="26"/>
                <w:lang w:val="lv-LV"/>
              </w:rPr>
              <w:t>Nav</w:t>
            </w:r>
          </w:p>
        </w:tc>
      </w:tr>
    </w:tbl>
    <w:p w:rsidR="005241F5" w:rsidRPr="00A93F52" w:rsidRDefault="005241F5" w:rsidP="005241F5">
      <w:pPr>
        <w:ind w:left="57" w:right="57"/>
        <w:contextualSpacing/>
        <w:rPr>
          <w:sz w:val="28"/>
          <w:szCs w:val="28"/>
          <w:lang w:val="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9"/>
        <w:gridCol w:w="3122"/>
        <w:gridCol w:w="5380"/>
      </w:tblGrid>
      <w:tr w:rsidR="005241F5" w:rsidRPr="00DF184D" w:rsidTr="00324D68">
        <w:trPr>
          <w:jc w:val="center"/>
        </w:trPr>
        <w:tc>
          <w:tcPr>
            <w:tcW w:w="5000" w:type="pct"/>
            <w:gridSpan w:val="3"/>
          </w:tcPr>
          <w:p w:rsidR="005241F5" w:rsidRPr="00A93F52" w:rsidRDefault="005241F5" w:rsidP="00324D68">
            <w:pPr>
              <w:pStyle w:val="naisnod"/>
              <w:spacing w:before="0" w:after="0"/>
              <w:ind w:left="57" w:right="57"/>
              <w:contextualSpacing/>
              <w:rPr>
                <w:sz w:val="28"/>
                <w:szCs w:val="28"/>
              </w:rPr>
            </w:pPr>
            <w:r w:rsidRPr="00A93F52">
              <w:rPr>
                <w:sz w:val="28"/>
                <w:szCs w:val="28"/>
              </w:rPr>
              <w:t>VI. Sabiedrības līdzdalība un komunikācijas aktivitātes</w:t>
            </w:r>
          </w:p>
        </w:tc>
      </w:tr>
      <w:tr w:rsidR="005241F5" w:rsidRPr="00DF184D" w:rsidTr="00232BBD">
        <w:trPr>
          <w:trHeight w:val="553"/>
          <w:jc w:val="center"/>
        </w:trPr>
        <w:tc>
          <w:tcPr>
            <w:tcW w:w="308" w:type="pct"/>
          </w:tcPr>
          <w:p w:rsidR="005241F5" w:rsidRPr="00CF5FBA" w:rsidRDefault="005241F5" w:rsidP="00324D68">
            <w:pPr>
              <w:pStyle w:val="naiskr"/>
              <w:spacing w:before="0" w:after="0"/>
              <w:ind w:left="57" w:right="57"/>
              <w:contextualSpacing/>
              <w:rPr>
                <w:bCs/>
                <w:sz w:val="26"/>
                <w:szCs w:val="26"/>
              </w:rPr>
            </w:pPr>
            <w:r w:rsidRPr="00CF5FBA">
              <w:rPr>
                <w:bCs/>
                <w:sz w:val="26"/>
                <w:szCs w:val="26"/>
              </w:rPr>
              <w:t>1.</w:t>
            </w:r>
          </w:p>
        </w:tc>
        <w:tc>
          <w:tcPr>
            <w:tcW w:w="1723" w:type="pct"/>
          </w:tcPr>
          <w:p w:rsidR="005241F5" w:rsidRPr="00CF5FBA" w:rsidRDefault="005241F5" w:rsidP="00324D68">
            <w:pPr>
              <w:pStyle w:val="naiskr"/>
              <w:tabs>
                <w:tab w:val="left" w:pos="170"/>
              </w:tabs>
              <w:spacing w:before="0" w:after="0"/>
              <w:ind w:left="57" w:right="57"/>
              <w:contextualSpacing/>
              <w:rPr>
                <w:sz w:val="26"/>
                <w:szCs w:val="26"/>
              </w:rPr>
            </w:pPr>
            <w:r w:rsidRPr="00CF5FBA">
              <w:rPr>
                <w:sz w:val="26"/>
                <w:szCs w:val="26"/>
              </w:rPr>
              <w:t>Sabiedrības informēšana par projekta izstrādes uzsākšanu</w:t>
            </w:r>
          </w:p>
        </w:tc>
        <w:tc>
          <w:tcPr>
            <w:tcW w:w="2969" w:type="pct"/>
          </w:tcPr>
          <w:p w:rsidR="005241F5" w:rsidRDefault="0087120B" w:rsidP="00933B0E">
            <w:pPr>
              <w:pStyle w:val="naiskr"/>
              <w:spacing w:before="0" w:after="0"/>
              <w:ind w:left="57" w:right="57"/>
              <w:contextualSpacing/>
              <w:jc w:val="both"/>
              <w:rPr>
                <w:sz w:val="26"/>
                <w:szCs w:val="26"/>
                <w:lang w:eastAsia="en-US"/>
              </w:rPr>
            </w:pPr>
            <w:r>
              <w:rPr>
                <w:sz w:val="26"/>
                <w:szCs w:val="26"/>
                <w:lang w:eastAsia="en-US"/>
              </w:rPr>
              <w:t>Noteikumu projekts tika saska</w:t>
            </w:r>
            <w:r w:rsidR="00E21F7E">
              <w:rPr>
                <w:sz w:val="26"/>
                <w:szCs w:val="26"/>
                <w:lang w:eastAsia="en-US"/>
              </w:rPr>
              <w:t>ņots ar</w:t>
            </w:r>
            <w:r>
              <w:rPr>
                <w:sz w:val="26"/>
                <w:szCs w:val="26"/>
                <w:lang w:eastAsia="en-US"/>
              </w:rPr>
              <w:t xml:space="preserve"> Latvijas Siltuma, gāzes un ūdens tehnoloģijas inženieru savienīb</w:t>
            </w:r>
            <w:r w:rsidR="00E21F7E">
              <w:rPr>
                <w:sz w:val="26"/>
                <w:szCs w:val="26"/>
                <w:lang w:eastAsia="en-US"/>
              </w:rPr>
              <w:t xml:space="preserve">as </w:t>
            </w:r>
            <w:r w:rsidR="00E21F7E" w:rsidRPr="00E21F7E">
              <w:rPr>
                <w:sz w:val="26"/>
                <w:szCs w:val="26"/>
                <w:lang w:eastAsia="en-US"/>
              </w:rPr>
              <w:t xml:space="preserve">Standartizācijas </w:t>
            </w:r>
            <w:r w:rsidR="00E21F7E">
              <w:rPr>
                <w:sz w:val="26"/>
                <w:szCs w:val="26"/>
                <w:lang w:eastAsia="en-US"/>
              </w:rPr>
              <w:t xml:space="preserve">Tehnisko </w:t>
            </w:r>
            <w:r w:rsidR="00E21F7E" w:rsidRPr="00E21F7E">
              <w:rPr>
                <w:sz w:val="26"/>
                <w:szCs w:val="26"/>
                <w:lang w:eastAsia="en-US"/>
              </w:rPr>
              <w:t>komiteju</w:t>
            </w:r>
            <w:r w:rsidR="00FB3732">
              <w:rPr>
                <w:sz w:val="26"/>
                <w:szCs w:val="26"/>
                <w:lang w:eastAsia="en-US"/>
              </w:rPr>
              <w:t>,</w:t>
            </w:r>
            <w:r>
              <w:rPr>
                <w:sz w:val="26"/>
                <w:szCs w:val="26"/>
                <w:lang w:eastAsia="en-US"/>
              </w:rPr>
              <w:t xml:space="preserve"> </w:t>
            </w:r>
            <w:r w:rsidR="004A24F6">
              <w:rPr>
                <w:sz w:val="26"/>
                <w:szCs w:val="26"/>
                <w:lang w:eastAsia="en-US"/>
              </w:rPr>
              <w:t>Latvijas ū</w:t>
            </w:r>
            <w:r w:rsidR="00933B0E" w:rsidRPr="003C39AD">
              <w:rPr>
                <w:sz w:val="26"/>
                <w:szCs w:val="26"/>
                <w:lang w:eastAsia="en-US"/>
              </w:rPr>
              <w:t>densapgādes un kanalizācijas uzņēmumu asociāciju. Noteikumu projekts sabiedrībai publiski ir pieejams Ekonomikas ministrijas tīmekļvietnē.</w:t>
            </w:r>
          </w:p>
          <w:p w:rsidR="00C56E6E" w:rsidRPr="00CF5FBA" w:rsidRDefault="00C56E6E" w:rsidP="00933B0E">
            <w:pPr>
              <w:pStyle w:val="naiskr"/>
              <w:spacing w:before="0" w:after="0"/>
              <w:ind w:left="57" w:right="57"/>
              <w:contextualSpacing/>
              <w:jc w:val="both"/>
              <w:rPr>
                <w:sz w:val="26"/>
                <w:szCs w:val="26"/>
              </w:rPr>
            </w:pPr>
          </w:p>
        </w:tc>
      </w:tr>
      <w:tr w:rsidR="005241F5" w:rsidRPr="00DF184D" w:rsidTr="00232BBD">
        <w:trPr>
          <w:trHeight w:val="339"/>
          <w:jc w:val="center"/>
        </w:trPr>
        <w:tc>
          <w:tcPr>
            <w:tcW w:w="308" w:type="pct"/>
          </w:tcPr>
          <w:p w:rsidR="005241F5" w:rsidRPr="00CF5FBA" w:rsidRDefault="005241F5" w:rsidP="00324D68">
            <w:pPr>
              <w:pStyle w:val="naiskr"/>
              <w:spacing w:before="0" w:after="0"/>
              <w:ind w:left="57" w:right="57"/>
              <w:contextualSpacing/>
              <w:rPr>
                <w:bCs/>
                <w:sz w:val="26"/>
                <w:szCs w:val="26"/>
              </w:rPr>
            </w:pPr>
            <w:r w:rsidRPr="00CF5FBA">
              <w:rPr>
                <w:bCs/>
                <w:sz w:val="26"/>
                <w:szCs w:val="26"/>
              </w:rPr>
              <w:t>2.</w:t>
            </w:r>
          </w:p>
        </w:tc>
        <w:tc>
          <w:tcPr>
            <w:tcW w:w="1723" w:type="pct"/>
          </w:tcPr>
          <w:p w:rsidR="005241F5" w:rsidRPr="00CF5FBA" w:rsidRDefault="005241F5" w:rsidP="00324D68">
            <w:pPr>
              <w:pStyle w:val="naiskr"/>
              <w:spacing w:before="0" w:after="0"/>
              <w:ind w:left="57" w:right="57"/>
              <w:contextualSpacing/>
              <w:rPr>
                <w:sz w:val="26"/>
                <w:szCs w:val="26"/>
              </w:rPr>
            </w:pPr>
            <w:r w:rsidRPr="00CF5FBA">
              <w:rPr>
                <w:sz w:val="26"/>
                <w:szCs w:val="26"/>
              </w:rPr>
              <w:t xml:space="preserve">Sabiedrības līdzdalība projekta izstrādē </w:t>
            </w:r>
          </w:p>
        </w:tc>
        <w:tc>
          <w:tcPr>
            <w:tcW w:w="2969" w:type="pct"/>
          </w:tcPr>
          <w:p w:rsidR="005241F5" w:rsidRDefault="005241F5" w:rsidP="00324D68">
            <w:pPr>
              <w:pStyle w:val="naiskr"/>
              <w:spacing w:before="0" w:after="0"/>
              <w:ind w:left="57" w:right="57"/>
              <w:contextualSpacing/>
              <w:jc w:val="both"/>
              <w:rPr>
                <w:sz w:val="26"/>
                <w:szCs w:val="26"/>
                <w:lang w:eastAsia="en-US"/>
              </w:rPr>
            </w:pPr>
            <w:r w:rsidRPr="00CF5FBA">
              <w:rPr>
                <w:sz w:val="26"/>
                <w:szCs w:val="26"/>
                <w:lang w:eastAsia="en-US"/>
              </w:rPr>
              <w:t>Sabiedrības priekšlikumi vai iebildumi nav saņemti.</w:t>
            </w:r>
          </w:p>
          <w:p w:rsidR="00C56E6E" w:rsidRPr="00CF5FBA" w:rsidRDefault="00C56E6E" w:rsidP="00324D68">
            <w:pPr>
              <w:pStyle w:val="naiskr"/>
              <w:spacing w:before="0" w:after="0"/>
              <w:ind w:left="57" w:right="57"/>
              <w:contextualSpacing/>
              <w:jc w:val="both"/>
              <w:rPr>
                <w:sz w:val="26"/>
                <w:szCs w:val="26"/>
              </w:rPr>
            </w:pPr>
          </w:p>
        </w:tc>
      </w:tr>
      <w:tr w:rsidR="005241F5" w:rsidRPr="00DF184D" w:rsidTr="00232BBD">
        <w:trPr>
          <w:trHeight w:val="375"/>
          <w:jc w:val="center"/>
        </w:trPr>
        <w:tc>
          <w:tcPr>
            <w:tcW w:w="308" w:type="pct"/>
          </w:tcPr>
          <w:p w:rsidR="005241F5" w:rsidRPr="00CF5FBA" w:rsidRDefault="005241F5" w:rsidP="00324D68">
            <w:pPr>
              <w:pStyle w:val="naiskr"/>
              <w:spacing w:before="0" w:after="0"/>
              <w:ind w:left="57" w:right="57"/>
              <w:contextualSpacing/>
              <w:rPr>
                <w:bCs/>
                <w:sz w:val="26"/>
                <w:szCs w:val="26"/>
              </w:rPr>
            </w:pPr>
            <w:r w:rsidRPr="00CF5FBA">
              <w:rPr>
                <w:bCs/>
                <w:sz w:val="26"/>
                <w:szCs w:val="26"/>
              </w:rPr>
              <w:lastRenderedPageBreak/>
              <w:t>3.</w:t>
            </w:r>
          </w:p>
        </w:tc>
        <w:tc>
          <w:tcPr>
            <w:tcW w:w="1723" w:type="pct"/>
          </w:tcPr>
          <w:p w:rsidR="005241F5" w:rsidRPr="00CF5FBA" w:rsidRDefault="005241F5" w:rsidP="00324D68">
            <w:pPr>
              <w:pStyle w:val="naiskr"/>
              <w:spacing w:before="0" w:after="0"/>
              <w:ind w:left="57" w:right="57"/>
              <w:contextualSpacing/>
              <w:rPr>
                <w:sz w:val="26"/>
                <w:szCs w:val="26"/>
              </w:rPr>
            </w:pPr>
            <w:r w:rsidRPr="00CF5FBA">
              <w:rPr>
                <w:sz w:val="26"/>
                <w:szCs w:val="26"/>
              </w:rPr>
              <w:t xml:space="preserve">Sabiedrības līdzdalības rezultāti </w:t>
            </w:r>
          </w:p>
        </w:tc>
        <w:tc>
          <w:tcPr>
            <w:tcW w:w="2969" w:type="pct"/>
          </w:tcPr>
          <w:p w:rsidR="005241F5" w:rsidRDefault="005241F5" w:rsidP="00324D68">
            <w:pPr>
              <w:pStyle w:val="naiskr"/>
              <w:spacing w:before="0" w:after="0"/>
              <w:ind w:left="57" w:right="57"/>
              <w:contextualSpacing/>
              <w:jc w:val="both"/>
              <w:rPr>
                <w:sz w:val="26"/>
                <w:szCs w:val="26"/>
                <w:lang w:eastAsia="en-US"/>
              </w:rPr>
            </w:pPr>
            <w:r w:rsidRPr="00CF5FBA">
              <w:rPr>
                <w:sz w:val="26"/>
                <w:szCs w:val="26"/>
                <w:lang w:eastAsia="en-US"/>
              </w:rPr>
              <w:t>Sadaļa tiks precizēta atbilstoši saņemtajiem atzinumiem.</w:t>
            </w:r>
          </w:p>
          <w:p w:rsidR="00C56E6E" w:rsidRPr="00CF5FBA" w:rsidRDefault="00C56E6E" w:rsidP="00324D68">
            <w:pPr>
              <w:pStyle w:val="naiskr"/>
              <w:spacing w:before="0" w:after="0"/>
              <w:ind w:left="57" w:right="57"/>
              <w:contextualSpacing/>
              <w:jc w:val="both"/>
              <w:rPr>
                <w:sz w:val="26"/>
                <w:szCs w:val="26"/>
              </w:rPr>
            </w:pPr>
          </w:p>
        </w:tc>
      </w:tr>
      <w:tr w:rsidR="005241F5" w:rsidRPr="00CF5FBA" w:rsidTr="00232BBD">
        <w:trPr>
          <w:trHeight w:val="476"/>
          <w:jc w:val="center"/>
        </w:trPr>
        <w:tc>
          <w:tcPr>
            <w:tcW w:w="308" w:type="pct"/>
          </w:tcPr>
          <w:p w:rsidR="005241F5" w:rsidRPr="00CF5FBA" w:rsidRDefault="005241F5" w:rsidP="00324D68">
            <w:pPr>
              <w:pStyle w:val="naiskr"/>
              <w:spacing w:before="0" w:after="0"/>
              <w:ind w:left="57" w:right="57"/>
              <w:contextualSpacing/>
              <w:rPr>
                <w:bCs/>
                <w:sz w:val="26"/>
                <w:szCs w:val="26"/>
              </w:rPr>
            </w:pPr>
            <w:r w:rsidRPr="00CF5FBA">
              <w:rPr>
                <w:bCs/>
                <w:sz w:val="26"/>
                <w:szCs w:val="26"/>
              </w:rPr>
              <w:t>4.</w:t>
            </w:r>
          </w:p>
        </w:tc>
        <w:tc>
          <w:tcPr>
            <w:tcW w:w="1723" w:type="pct"/>
          </w:tcPr>
          <w:p w:rsidR="005241F5" w:rsidRPr="00CF5FBA" w:rsidRDefault="005241F5" w:rsidP="00324D68">
            <w:pPr>
              <w:pStyle w:val="naiskr"/>
              <w:spacing w:before="0" w:after="0"/>
              <w:ind w:left="57" w:right="57"/>
              <w:contextualSpacing/>
              <w:rPr>
                <w:sz w:val="26"/>
                <w:szCs w:val="26"/>
              </w:rPr>
            </w:pPr>
            <w:r w:rsidRPr="00CF5FBA">
              <w:rPr>
                <w:sz w:val="26"/>
                <w:szCs w:val="26"/>
              </w:rPr>
              <w:t>Cita informācija</w:t>
            </w:r>
          </w:p>
        </w:tc>
        <w:tc>
          <w:tcPr>
            <w:tcW w:w="2969" w:type="pct"/>
          </w:tcPr>
          <w:p w:rsidR="005241F5" w:rsidRPr="00CF5FBA" w:rsidRDefault="005241F5" w:rsidP="00324D68">
            <w:pPr>
              <w:pStyle w:val="naiskr"/>
              <w:spacing w:before="0" w:after="0"/>
              <w:ind w:left="57" w:right="57"/>
              <w:contextualSpacing/>
              <w:jc w:val="both"/>
              <w:rPr>
                <w:sz w:val="26"/>
                <w:szCs w:val="26"/>
              </w:rPr>
            </w:pPr>
            <w:r w:rsidRPr="00CF5FBA">
              <w:rPr>
                <w:sz w:val="26"/>
                <w:szCs w:val="26"/>
              </w:rPr>
              <w:t>Nav</w:t>
            </w:r>
          </w:p>
        </w:tc>
      </w:tr>
    </w:tbl>
    <w:p w:rsidR="005241F5" w:rsidRPr="00CF5FBA" w:rsidRDefault="005241F5" w:rsidP="005241F5">
      <w:pPr>
        <w:pStyle w:val="naisf"/>
        <w:tabs>
          <w:tab w:val="left" w:pos="6710"/>
        </w:tabs>
        <w:spacing w:before="120" w:after="240"/>
        <w:rPr>
          <w:i/>
          <w:sz w:val="28"/>
          <w:szCs w:val="28"/>
        </w:rPr>
      </w:pPr>
      <w:r w:rsidRPr="00CF5FBA">
        <w:rPr>
          <w:i/>
          <w:sz w:val="28"/>
          <w:szCs w:val="28"/>
        </w:rPr>
        <w:t>Anotācijas III, IV, V un VII sadaļa – projekts šīs jomas neskar.</w:t>
      </w:r>
    </w:p>
    <w:p w:rsidR="004B7B70" w:rsidRPr="00CF5FBA" w:rsidRDefault="004B7B70" w:rsidP="004B7B70">
      <w:pPr>
        <w:jc w:val="both"/>
        <w:rPr>
          <w:sz w:val="28"/>
          <w:szCs w:val="28"/>
          <w:lang w:val="lv-LV"/>
        </w:rPr>
      </w:pP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p>
    <w:p w:rsidR="004B7B70" w:rsidRPr="00CF5FBA" w:rsidRDefault="004B7B70" w:rsidP="004B7B70">
      <w:pPr>
        <w:jc w:val="both"/>
        <w:rPr>
          <w:sz w:val="28"/>
          <w:szCs w:val="28"/>
          <w:lang w:val="lv-LV"/>
        </w:rPr>
      </w:pPr>
      <w:r w:rsidRPr="00CF5FBA">
        <w:rPr>
          <w:sz w:val="28"/>
          <w:szCs w:val="28"/>
          <w:lang w:val="lv-LV"/>
        </w:rPr>
        <w:t>Iesniedzējs:</w:t>
      </w:r>
    </w:p>
    <w:p w:rsidR="004B7B70" w:rsidRPr="001C4EBA" w:rsidRDefault="004B7B70" w:rsidP="004B7B70">
      <w:pPr>
        <w:jc w:val="both"/>
        <w:rPr>
          <w:sz w:val="28"/>
          <w:szCs w:val="28"/>
          <w:lang w:val="lv-LV"/>
        </w:rPr>
      </w:pPr>
      <w:r w:rsidRPr="001C4EBA">
        <w:rPr>
          <w:sz w:val="28"/>
          <w:szCs w:val="28"/>
          <w:lang w:val="lv-LV"/>
        </w:rPr>
        <w:t xml:space="preserve">Ministru prezidenta biedrs, </w:t>
      </w:r>
    </w:p>
    <w:p w:rsidR="004B7B70" w:rsidRPr="00CF5FBA" w:rsidRDefault="004B7B70" w:rsidP="004B7B70">
      <w:pPr>
        <w:jc w:val="both"/>
        <w:rPr>
          <w:sz w:val="28"/>
          <w:szCs w:val="28"/>
          <w:lang w:val="lv-LV"/>
        </w:rPr>
      </w:pPr>
      <w:r w:rsidRPr="001C4EBA">
        <w:rPr>
          <w:sz w:val="28"/>
          <w:szCs w:val="28"/>
          <w:lang w:val="lv-LV"/>
        </w:rPr>
        <w:t>ekonomikas ministrs</w:t>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Pr>
          <w:sz w:val="28"/>
          <w:szCs w:val="28"/>
          <w:lang w:val="lv-LV"/>
        </w:rPr>
        <w:t xml:space="preserve">      </w:t>
      </w:r>
      <w:r w:rsidRPr="001C4EBA">
        <w:rPr>
          <w:sz w:val="28"/>
          <w:szCs w:val="28"/>
          <w:lang w:val="lv-LV"/>
        </w:rPr>
        <w:t>Arvils Ašeradens</w:t>
      </w:r>
    </w:p>
    <w:p w:rsidR="004B7B70" w:rsidRDefault="004B7B70" w:rsidP="004B7B70">
      <w:pPr>
        <w:rPr>
          <w:sz w:val="28"/>
          <w:szCs w:val="28"/>
          <w:lang w:val="lv-LV"/>
        </w:rPr>
      </w:pPr>
    </w:p>
    <w:p w:rsidR="004B7B70" w:rsidRPr="00CF5FBA" w:rsidRDefault="004B7B70" w:rsidP="004B7B70">
      <w:pPr>
        <w:rPr>
          <w:sz w:val="28"/>
          <w:szCs w:val="28"/>
          <w:lang w:val="lv-LV"/>
        </w:rPr>
      </w:pPr>
      <w:r w:rsidRPr="00CF5FBA">
        <w:rPr>
          <w:sz w:val="28"/>
          <w:szCs w:val="28"/>
          <w:lang w:val="lv-LV"/>
        </w:rPr>
        <w:t>Vīza:</w:t>
      </w:r>
    </w:p>
    <w:p w:rsidR="004B7B70" w:rsidRPr="00CF5FBA" w:rsidRDefault="004B7B70" w:rsidP="004B7B70">
      <w:pPr>
        <w:rPr>
          <w:sz w:val="28"/>
          <w:szCs w:val="28"/>
          <w:lang w:val="lv-LV"/>
        </w:rPr>
      </w:pPr>
      <w:r w:rsidRPr="00CF5FBA">
        <w:rPr>
          <w:sz w:val="28"/>
          <w:szCs w:val="28"/>
          <w:lang w:val="lv-LV"/>
        </w:rPr>
        <w:t>Valsts sekretārs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Juris </w:t>
      </w:r>
      <w:proofErr w:type="spellStart"/>
      <w:r>
        <w:rPr>
          <w:sz w:val="28"/>
          <w:szCs w:val="28"/>
          <w:lang w:val="lv-LV"/>
        </w:rPr>
        <w:t>Stinka</w:t>
      </w:r>
      <w:proofErr w:type="spellEnd"/>
    </w:p>
    <w:p w:rsidR="00860403" w:rsidRDefault="00860403" w:rsidP="004B7B70">
      <w:pPr>
        <w:rPr>
          <w:sz w:val="28"/>
          <w:szCs w:val="28"/>
          <w:lang w:val="lv-LV"/>
        </w:rPr>
      </w:pPr>
    </w:p>
    <w:p w:rsidR="00860403" w:rsidRDefault="00860403" w:rsidP="004B7B70">
      <w:pPr>
        <w:rPr>
          <w:sz w:val="28"/>
          <w:szCs w:val="28"/>
          <w:lang w:val="lv-LV"/>
        </w:rPr>
      </w:pPr>
    </w:p>
    <w:p w:rsidR="00860403" w:rsidRDefault="00860403" w:rsidP="004B7B70">
      <w:pPr>
        <w:rPr>
          <w:sz w:val="28"/>
          <w:szCs w:val="28"/>
          <w:lang w:val="lv-LV"/>
        </w:rPr>
      </w:pPr>
    </w:p>
    <w:p w:rsidR="00860403" w:rsidRDefault="00860403" w:rsidP="004B7B70">
      <w:pPr>
        <w:rPr>
          <w:sz w:val="28"/>
          <w:szCs w:val="28"/>
          <w:lang w:val="lv-LV"/>
        </w:rPr>
      </w:pPr>
    </w:p>
    <w:p w:rsidR="00860403" w:rsidRDefault="00860403" w:rsidP="004B7B70">
      <w:pPr>
        <w:rPr>
          <w:sz w:val="28"/>
          <w:szCs w:val="28"/>
          <w:lang w:val="lv-LV"/>
        </w:rPr>
      </w:pPr>
    </w:p>
    <w:p w:rsidR="00860403" w:rsidRDefault="00860403" w:rsidP="004B7B70">
      <w:pPr>
        <w:rPr>
          <w:sz w:val="28"/>
          <w:szCs w:val="28"/>
          <w:lang w:val="lv-LV"/>
        </w:rPr>
      </w:pPr>
    </w:p>
    <w:p w:rsidR="00860403" w:rsidRDefault="00860403" w:rsidP="004B7B70">
      <w:pPr>
        <w:rPr>
          <w:sz w:val="28"/>
          <w:szCs w:val="28"/>
          <w:lang w:val="lv-LV"/>
        </w:rPr>
      </w:pPr>
    </w:p>
    <w:p w:rsidR="00860403" w:rsidRDefault="00860403" w:rsidP="004B7B70">
      <w:pPr>
        <w:rPr>
          <w:sz w:val="28"/>
          <w:szCs w:val="28"/>
          <w:lang w:val="lv-LV"/>
        </w:rPr>
      </w:pPr>
    </w:p>
    <w:p w:rsidR="00860403" w:rsidRDefault="00860403" w:rsidP="004B7B70">
      <w:pPr>
        <w:rPr>
          <w:sz w:val="28"/>
          <w:szCs w:val="28"/>
          <w:lang w:val="lv-LV"/>
        </w:rPr>
      </w:pPr>
    </w:p>
    <w:p w:rsidR="004B7B70" w:rsidRPr="00CF5FBA" w:rsidRDefault="004B7B70" w:rsidP="004B7B70">
      <w:pPr>
        <w:rPr>
          <w:sz w:val="28"/>
          <w:szCs w:val="28"/>
          <w:lang w:val="lv-LV"/>
        </w:rPr>
      </w:pP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r w:rsidRPr="00CF5FBA">
        <w:rPr>
          <w:sz w:val="28"/>
          <w:szCs w:val="28"/>
          <w:lang w:val="lv-LV"/>
        </w:rPr>
        <w:tab/>
      </w:r>
    </w:p>
    <w:p w:rsidR="005241F5" w:rsidRPr="00CF5FBA" w:rsidRDefault="005241F5" w:rsidP="005241F5">
      <w:pPr>
        <w:tabs>
          <w:tab w:val="left" w:pos="1080"/>
        </w:tabs>
        <w:ind w:firstLine="720"/>
        <w:jc w:val="both"/>
        <w:rPr>
          <w:szCs w:val="28"/>
          <w:lang w:val="lv-LV"/>
        </w:rPr>
      </w:pPr>
    </w:p>
    <w:p w:rsidR="005241F5" w:rsidRPr="004B7B70" w:rsidRDefault="005241F5" w:rsidP="005241F5">
      <w:pPr>
        <w:rPr>
          <w:sz w:val="18"/>
          <w:szCs w:val="18"/>
          <w:lang w:val="de-DE"/>
        </w:rPr>
      </w:pPr>
      <w:r w:rsidRPr="004B7B70">
        <w:rPr>
          <w:sz w:val="18"/>
          <w:szCs w:val="18"/>
        </w:rPr>
        <w:fldChar w:fldCharType="begin"/>
      </w:r>
      <w:r w:rsidRPr="004B7B70">
        <w:rPr>
          <w:sz w:val="18"/>
          <w:szCs w:val="18"/>
        </w:rPr>
        <w:instrText xml:space="preserve"> DATE  \@ "dd.MM.yyyy HH:mm"  \* MERGEFORMAT </w:instrText>
      </w:r>
      <w:r w:rsidRPr="004B7B70">
        <w:rPr>
          <w:sz w:val="18"/>
          <w:szCs w:val="18"/>
        </w:rPr>
        <w:fldChar w:fldCharType="separate"/>
      </w:r>
      <w:r w:rsidR="00D85E9D">
        <w:rPr>
          <w:noProof/>
          <w:sz w:val="18"/>
          <w:szCs w:val="18"/>
        </w:rPr>
        <w:t>02.02.2017 13:39</w:t>
      </w:r>
      <w:r w:rsidRPr="004B7B70">
        <w:rPr>
          <w:sz w:val="18"/>
          <w:szCs w:val="18"/>
        </w:rPr>
        <w:fldChar w:fldCharType="end"/>
      </w:r>
    </w:p>
    <w:p w:rsidR="005241F5" w:rsidRPr="004B7B70" w:rsidRDefault="005241F5" w:rsidP="005241F5">
      <w:pPr>
        <w:rPr>
          <w:sz w:val="18"/>
          <w:szCs w:val="18"/>
          <w:lang w:val="de-DE"/>
        </w:rPr>
      </w:pPr>
      <w:r w:rsidRPr="004B7B70">
        <w:rPr>
          <w:sz w:val="18"/>
          <w:szCs w:val="18"/>
        </w:rPr>
        <w:fldChar w:fldCharType="begin"/>
      </w:r>
      <w:r w:rsidRPr="004B7B70">
        <w:rPr>
          <w:sz w:val="18"/>
          <w:szCs w:val="18"/>
          <w:lang w:val="de-DE"/>
        </w:rPr>
        <w:instrText xml:space="preserve"> NUMWORDS   \* MERGEFORMAT </w:instrText>
      </w:r>
      <w:r w:rsidRPr="004B7B70">
        <w:rPr>
          <w:sz w:val="18"/>
          <w:szCs w:val="18"/>
        </w:rPr>
        <w:fldChar w:fldCharType="separate"/>
      </w:r>
      <w:r w:rsidR="00D85E9D">
        <w:rPr>
          <w:noProof/>
          <w:sz w:val="18"/>
          <w:szCs w:val="18"/>
          <w:lang w:val="de-DE"/>
        </w:rPr>
        <w:t>744</w:t>
      </w:r>
      <w:r w:rsidRPr="004B7B70">
        <w:rPr>
          <w:sz w:val="18"/>
          <w:szCs w:val="18"/>
        </w:rPr>
        <w:fldChar w:fldCharType="end"/>
      </w:r>
      <w:bookmarkStart w:id="5" w:name="_GoBack"/>
      <w:bookmarkEnd w:id="5"/>
    </w:p>
    <w:p w:rsidR="004B7B70" w:rsidRPr="004B7B70" w:rsidRDefault="004B7B70" w:rsidP="004B7B70">
      <w:pPr>
        <w:rPr>
          <w:sz w:val="18"/>
          <w:szCs w:val="18"/>
          <w:lang w:val="de-DE"/>
        </w:rPr>
      </w:pPr>
      <w:r w:rsidRPr="004B7B70">
        <w:rPr>
          <w:sz w:val="18"/>
          <w:szCs w:val="18"/>
          <w:lang w:val="de-DE"/>
        </w:rPr>
        <w:t>Vīksna, 67013</w:t>
      </w:r>
      <w:r w:rsidR="00F6713F">
        <w:rPr>
          <w:sz w:val="18"/>
          <w:szCs w:val="18"/>
          <w:lang w:val="de-DE"/>
        </w:rPr>
        <w:t>140</w:t>
      </w:r>
      <w:r w:rsidRPr="004B7B70">
        <w:rPr>
          <w:sz w:val="18"/>
          <w:szCs w:val="18"/>
          <w:lang w:val="de-DE"/>
        </w:rPr>
        <w:t xml:space="preserve">, </w:t>
      </w:r>
    </w:p>
    <w:p w:rsidR="00F259AE" w:rsidRPr="004B7B70" w:rsidRDefault="004B7B70" w:rsidP="004B7B70">
      <w:pPr>
        <w:rPr>
          <w:sz w:val="18"/>
          <w:szCs w:val="18"/>
        </w:rPr>
      </w:pPr>
      <w:r w:rsidRPr="004B7B70">
        <w:rPr>
          <w:sz w:val="18"/>
          <w:szCs w:val="18"/>
          <w:lang w:val="de-DE"/>
        </w:rPr>
        <w:t>Marija.Viksna@em.gov.lv</w:t>
      </w:r>
    </w:p>
    <w:sectPr w:rsidR="00F259AE" w:rsidRPr="004B7B70" w:rsidSect="00FD2D53">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DD" w:rsidRDefault="006E66DD" w:rsidP="003440F0">
      <w:r>
        <w:separator/>
      </w:r>
    </w:p>
  </w:endnote>
  <w:endnote w:type="continuationSeparator" w:id="0">
    <w:p w:rsidR="006E66DD" w:rsidRDefault="006E66DD" w:rsidP="0034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94" w:rsidRDefault="00861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Pr="00D56441" w:rsidRDefault="00D56441" w:rsidP="00D56441">
    <w:pPr>
      <w:pStyle w:val="Footer"/>
    </w:pPr>
    <w:r w:rsidRPr="00D56441">
      <w:rPr>
        <w:sz w:val="20"/>
        <w:lang w:val="lv-LV"/>
      </w:rPr>
      <w:t>EManot_</w:t>
    </w:r>
    <w:r w:rsidR="00861094">
      <w:rPr>
        <w:sz w:val="20"/>
        <w:lang w:val="lv-LV"/>
      </w:rPr>
      <w:t>0102</w:t>
    </w:r>
    <w:r w:rsidR="004467A4">
      <w:rPr>
        <w:sz w:val="20"/>
        <w:lang w:val="lv-LV"/>
      </w:rPr>
      <w:t>17</w:t>
    </w:r>
    <w:r w:rsidRPr="00D56441">
      <w:rPr>
        <w:sz w:val="20"/>
        <w:lang w:val="lv-LV"/>
      </w:rPr>
      <w:t>_LBN221_groz; Ministru kabineta noteikumu projekta “Grozījumi Ministru kabineta 2015.gada 30.jūnija noteikumos Nr.332 „Noteikumi par Latvijas būvnormatīvu LBN 221-15 „Ēku iekšējais ūdensvads un kanalizācija”””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4" w:rsidRPr="00FE6462" w:rsidRDefault="00FE6462" w:rsidP="00FE6462">
    <w:pPr>
      <w:pStyle w:val="Footer"/>
    </w:pPr>
    <w:r w:rsidRPr="00FE6462">
      <w:rPr>
        <w:sz w:val="20"/>
        <w:lang w:val="lv-LV"/>
      </w:rPr>
      <w:t>EManot_</w:t>
    </w:r>
    <w:r w:rsidR="00861094">
      <w:rPr>
        <w:sz w:val="20"/>
        <w:lang w:val="lv-LV"/>
      </w:rPr>
      <w:t>0102</w:t>
    </w:r>
    <w:r w:rsidR="004467A4">
      <w:rPr>
        <w:sz w:val="20"/>
        <w:lang w:val="lv-LV"/>
      </w:rPr>
      <w:t>17</w:t>
    </w:r>
    <w:r w:rsidRPr="00FE6462">
      <w:rPr>
        <w:sz w:val="20"/>
        <w:lang w:val="lv-LV"/>
      </w:rPr>
      <w:t>_LBN221_groz; Ministru kabineta noteikumu projekta “Grozījumi Ministru kabineta 2015.gada 30.jūnija noteikumos Nr.332 „Noteikumi par Latvijas būvnormatīvu LBN 221-15 „Ēku iekšējais ūdensvads un kanalizācija”””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DD" w:rsidRDefault="006E66DD" w:rsidP="003440F0">
      <w:r>
        <w:separator/>
      </w:r>
    </w:p>
  </w:footnote>
  <w:footnote w:type="continuationSeparator" w:id="0">
    <w:p w:rsidR="006E66DD" w:rsidRDefault="006E66DD" w:rsidP="0034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94" w:rsidRDefault="00861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4B753D">
    <w:pPr>
      <w:pStyle w:val="Header"/>
      <w:jc w:val="center"/>
      <w:rPr>
        <w:sz w:val="24"/>
      </w:rPr>
    </w:pPr>
    <w:r>
      <w:rPr>
        <w:sz w:val="24"/>
      </w:rPr>
      <w:fldChar w:fldCharType="begin"/>
    </w:r>
    <w:r>
      <w:rPr>
        <w:sz w:val="24"/>
      </w:rPr>
      <w:instrText xml:space="preserve"> PAGE   \* MERGEFORMAT </w:instrText>
    </w:r>
    <w:r>
      <w:rPr>
        <w:sz w:val="24"/>
      </w:rPr>
      <w:fldChar w:fldCharType="separate"/>
    </w:r>
    <w:r w:rsidR="00D85E9D">
      <w:rPr>
        <w:noProof/>
        <w:sz w:val="24"/>
      </w:rPr>
      <w:t>3</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94" w:rsidRDefault="00861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F5"/>
    <w:rsid w:val="00000ADC"/>
    <w:rsid w:val="00075A7B"/>
    <w:rsid w:val="00121263"/>
    <w:rsid w:val="00131741"/>
    <w:rsid w:val="0015142B"/>
    <w:rsid w:val="001647D0"/>
    <w:rsid w:val="001B4822"/>
    <w:rsid w:val="002033A8"/>
    <w:rsid w:val="00211620"/>
    <w:rsid w:val="00216C28"/>
    <w:rsid w:val="00232BBD"/>
    <w:rsid w:val="002372AE"/>
    <w:rsid w:val="00290317"/>
    <w:rsid w:val="002B4FE0"/>
    <w:rsid w:val="002C2F9D"/>
    <w:rsid w:val="0031701D"/>
    <w:rsid w:val="00324F4D"/>
    <w:rsid w:val="0034357D"/>
    <w:rsid w:val="003440F0"/>
    <w:rsid w:val="00357067"/>
    <w:rsid w:val="00371E4E"/>
    <w:rsid w:val="00373511"/>
    <w:rsid w:val="003747C3"/>
    <w:rsid w:val="00374D80"/>
    <w:rsid w:val="003938EC"/>
    <w:rsid w:val="003C39AD"/>
    <w:rsid w:val="003F0BD1"/>
    <w:rsid w:val="003F5AF6"/>
    <w:rsid w:val="00443159"/>
    <w:rsid w:val="004467A4"/>
    <w:rsid w:val="00476BC7"/>
    <w:rsid w:val="004A24F6"/>
    <w:rsid w:val="004A3D79"/>
    <w:rsid w:val="004A5326"/>
    <w:rsid w:val="004B7399"/>
    <w:rsid w:val="004B753D"/>
    <w:rsid w:val="004B7B70"/>
    <w:rsid w:val="004E40CC"/>
    <w:rsid w:val="004E7D62"/>
    <w:rsid w:val="00513C21"/>
    <w:rsid w:val="00516BA0"/>
    <w:rsid w:val="00522AB4"/>
    <w:rsid w:val="005241F5"/>
    <w:rsid w:val="005262B7"/>
    <w:rsid w:val="005B7C37"/>
    <w:rsid w:val="005C52FF"/>
    <w:rsid w:val="005E0339"/>
    <w:rsid w:val="006675FC"/>
    <w:rsid w:val="0067718A"/>
    <w:rsid w:val="006D3D08"/>
    <w:rsid w:val="006E1E0D"/>
    <w:rsid w:val="006E66DD"/>
    <w:rsid w:val="007F0D19"/>
    <w:rsid w:val="00840251"/>
    <w:rsid w:val="0085136F"/>
    <w:rsid w:val="008525DB"/>
    <w:rsid w:val="00860403"/>
    <w:rsid w:val="00861094"/>
    <w:rsid w:val="0087120B"/>
    <w:rsid w:val="00874DA2"/>
    <w:rsid w:val="00876B62"/>
    <w:rsid w:val="008845BC"/>
    <w:rsid w:val="008E4538"/>
    <w:rsid w:val="00933B0E"/>
    <w:rsid w:val="00967958"/>
    <w:rsid w:val="00A062EA"/>
    <w:rsid w:val="00A10FFA"/>
    <w:rsid w:val="00A24054"/>
    <w:rsid w:val="00AA16E5"/>
    <w:rsid w:val="00AA6798"/>
    <w:rsid w:val="00AB0CC5"/>
    <w:rsid w:val="00AF0CB7"/>
    <w:rsid w:val="00B06A5E"/>
    <w:rsid w:val="00B5360A"/>
    <w:rsid w:val="00B64779"/>
    <w:rsid w:val="00B812F7"/>
    <w:rsid w:val="00B82BF7"/>
    <w:rsid w:val="00B8628F"/>
    <w:rsid w:val="00B920E7"/>
    <w:rsid w:val="00BC135C"/>
    <w:rsid w:val="00BD3B73"/>
    <w:rsid w:val="00C213A4"/>
    <w:rsid w:val="00C56E6E"/>
    <w:rsid w:val="00C660DE"/>
    <w:rsid w:val="00C746AA"/>
    <w:rsid w:val="00C95D2E"/>
    <w:rsid w:val="00CA7981"/>
    <w:rsid w:val="00CB257D"/>
    <w:rsid w:val="00CB2CF4"/>
    <w:rsid w:val="00CC28D9"/>
    <w:rsid w:val="00CD0248"/>
    <w:rsid w:val="00CF10DD"/>
    <w:rsid w:val="00D255CF"/>
    <w:rsid w:val="00D4285E"/>
    <w:rsid w:val="00D56441"/>
    <w:rsid w:val="00D85E9D"/>
    <w:rsid w:val="00DB2967"/>
    <w:rsid w:val="00DB4226"/>
    <w:rsid w:val="00DD49CC"/>
    <w:rsid w:val="00E03D81"/>
    <w:rsid w:val="00E21F7E"/>
    <w:rsid w:val="00E54FF5"/>
    <w:rsid w:val="00E741B3"/>
    <w:rsid w:val="00E9444F"/>
    <w:rsid w:val="00EC68BA"/>
    <w:rsid w:val="00EE4288"/>
    <w:rsid w:val="00F06E04"/>
    <w:rsid w:val="00F259AE"/>
    <w:rsid w:val="00F33103"/>
    <w:rsid w:val="00F4333B"/>
    <w:rsid w:val="00F45AD1"/>
    <w:rsid w:val="00F511D0"/>
    <w:rsid w:val="00F54BFF"/>
    <w:rsid w:val="00F6713F"/>
    <w:rsid w:val="00FB3732"/>
    <w:rsid w:val="00FE64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1A20459-8148-4E79-9B29-9845EB72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F5"/>
    <w:pPr>
      <w:spacing w:after="0" w:line="240" w:lineRule="auto"/>
    </w:pPr>
    <w:rPr>
      <w:rFonts w:ascii="Times New Roman" w:eastAsia="Times New Roman" w:hAnsi="Times New Roman" w:cs="Times New Roman"/>
      <w:sz w:val="24"/>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241F5"/>
    <w:pPr>
      <w:spacing w:before="100" w:after="100"/>
    </w:pPr>
    <w:rPr>
      <w:lang w:val="lv-LV"/>
    </w:rPr>
  </w:style>
  <w:style w:type="paragraph" w:styleId="Header">
    <w:name w:val="header"/>
    <w:basedOn w:val="Normal"/>
    <w:link w:val="HeaderChar"/>
    <w:uiPriority w:val="99"/>
    <w:rsid w:val="005241F5"/>
    <w:pPr>
      <w:tabs>
        <w:tab w:val="center" w:pos="4153"/>
        <w:tab w:val="right" w:pos="8306"/>
      </w:tabs>
      <w:spacing w:after="200" w:line="276" w:lineRule="auto"/>
    </w:pPr>
    <w:rPr>
      <w:sz w:val="22"/>
      <w:lang w:val="lv-LV"/>
    </w:rPr>
  </w:style>
  <w:style w:type="character" w:customStyle="1" w:styleId="HeaderChar">
    <w:name w:val="Header Char"/>
    <w:basedOn w:val="DefaultParagraphFont"/>
    <w:link w:val="Header"/>
    <w:uiPriority w:val="99"/>
    <w:rsid w:val="005241F5"/>
    <w:rPr>
      <w:rFonts w:ascii="Times New Roman" w:eastAsia="Times New Roman" w:hAnsi="Times New Roman" w:cs="Times New Roman"/>
      <w:szCs w:val="20"/>
      <w:lang w:eastAsia="lv-LV"/>
    </w:rPr>
  </w:style>
  <w:style w:type="paragraph" w:customStyle="1" w:styleId="naiskr">
    <w:name w:val="naiskr"/>
    <w:basedOn w:val="Normal"/>
    <w:rsid w:val="005241F5"/>
    <w:pPr>
      <w:spacing w:before="75" w:after="75"/>
    </w:pPr>
    <w:rPr>
      <w:szCs w:val="24"/>
      <w:lang w:val="lv-LV"/>
    </w:rPr>
  </w:style>
  <w:style w:type="paragraph" w:customStyle="1" w:styleId="naisnod">
    <w:name w:val="naisnod"/>
    <w:basedOn w:val="Normal"/>
    <w:rsid w:val="005241F5"/>
    <w:pPr>
      <w:spacing w:before="150" w:after="150"/>
      <w:jc w:val="center"/>
    </w:pPr>
    <w:rPr>
      <w:b/>
      <w:bCs/>
      <w:szCs w:val="24"/>
      <w:lang w:val="lv-LV"/>
    </w:rPr>
  </w:style>
  <w:style w:type="paragraph" w:styleId="Footer">
    <w:name w:val="footer"/>
    <w:basedOn w:val="Normal"/>
    <w:link w:val="FooterChar"/>
    <w:uiPriority w:val="99"/>
    <w:unhideWhenUsed/>
    <w:rsid w:val="005241F5"/>
    <w:pPr>
      <w:tabs>
        <w:tab w:val="center" w:pos="4153"/>
        <w:tab w:val="right" w:pos="8306"/>
      </w:tabs>
    </w:pPr>
  </w:style>
  <w:style w:type="character" w:customStyle="1" w:styleId="FooterChar">
    <w:name w:val="Footer Char"/>
    <w:basedOn w:val="DefaultParagraphFont"/>
    <w:link w:val="Footer"/>
    <w:uiPriority w:val="99"/>
    <w:rsid w:val="005241F5"/>
    <w:rPr>
      <w:rFonts w:ascii="Times New Roman" w:eastAsia="Times New Roman" w:hAnsi="Times New Roman" w:cs="Times New Roman"/>
      <w:sz w:val="24"/>
      <w:szCs w:val="20"/>
      <w:lang w:val="en-AU" w:eastAsia="lv-LV"/>
    </w:rPr>
  </w:style>
  <w:style w:type="character" w:styleId="Hyperlink">
    <w:name w:val="Hyperlink"/>
    <w:basedOn w:val="DefaultParagraphFont"/>
    <w:uiPriority w:val="99"/>
    <w:semiHidden/>
    <w:unhideWhenUsed/>
    <w:rsid w:val="005241F5"/>
    <w:rPr>
      <w:color w:val="0000FF"/>
      <w:u w:val="single"/>
    </w:rPr>
  </w:style>
  <w:style w:type="paragraph" w:customStyle="1" w:styleId="naislab">
    <w:name w:val="naislab"/>
    <w:basedOn w:val="Normal"/>
    <w:rsid w:val="00B812F7"/>
    <w:pPr>
      <w:spacing w:before="75" w:after="75"/>
      <w:jc w:val="right"/>
    </w:pPr>
    <w:rPr>
      <w:szCs w:val="24"/>
      <w:lang w:val="lv-LV"/>
    </w:rPr>
  </w:style>
  <w:style w:type="paragraph" w:styleId="BalloonText">
    <w:name w:val="Balloon Text"/>
    <w:basedOn w:val="Normal"/>
    <w:link w:val="BalloonTextChar"/>
    <w:uiPriority w:val="99"/>
    <w:semiHidden/>
    <w:unhideWhenUsed/>
    <w:rsid w:val="00C95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2E"/>
    <w:rPr>
      <w:rFonts w:ascii="Segoe UI" w:eastAsia="Times New Roman" w:hAnsi="Segoe UI" w:cs="Segoe UI"/>
      <w:sz w:val="18"/>
      <w:szCs w:val="18"/>
      <w:lang w:val="en-AU" w:eastAsia="lv-LV"/>
    </w:rPr>
  </w:style>
  <w:style w:type="character" w:styleId="Strong">
    <w:name w:val="Strong"/>
    <w:basedOn w:val="DefaultParagraphFont"/>
    <w:uiPriority w:val="22"/>
    <w:qFormat/>
    <w:rsid w:val="008E4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769</Words>
  <Characters>5644</Characters>
  <Application>Microsoft Office Word</Application>
  <DocSecurity>0</DocSecurity>
  <Lines>235</Lines>
  <Paragraphs>72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Marija Vīksna</cp:lastModifiedBy>
  <cp:revision>20</cp:revision>
  <cp:lastPrinted>2016-10-31T08:48:00Z</cp:lastPrinted>
  <dcterms:created xsi:type="dcterms:W3CDTF">2017-01-04T14:23:00Z</dcterms:created>
  <dcterms:modified xsi:type="dcterms:W3CDTF">2017-02-02T11:39:00Z</dcterms:modified>
</cp:coreProperties>
</file>