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BC" w:rsidRDefault="003F7EBC" w:rsidP="003F7EBC">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A93F52">
        <w:rPr>
          <w:b/>
          <w:sz w:val="28"/>
          <w:szCs w:val="28"/>
          <w:lang w:val="lv-LV"/>
        </w:rPr>
        <w:t>Ministru kabineta noteikumu projekta</w:t>
      </w:r>
    </w:p>
    <w:p w:rsidR="003F7EBC" w:rsidRDefault="003F7EBC" w:rsidP="003F7EBC">
      <w:pPr>
        <w:jc w:val="center"/>
        <w:rPr>
          <w:b/>
          <w:bCs/>
          <w:sz w:val="28"/>
          <w:szCs w:val="28"/>
          <w:lang w:val="lv-LV"/>
        </w:rPr>
      </w:pPr>
      <w:r>
        <w:rPr>
          <w:b/>
          <w:sz w:val="28"/>
          <w:szCs w:val="28"/>
          <w:lang w:val="lv-LV"/>
        </w:rPr>
        <w:t>“Grozījumi Ministru kabineta 2015.gada 30.jūnija noteikumos Nr.3</w:t>
      </w:r>
      <w:r w:rsidR="00113BA4">
        <w:rPr>
          <w:b/>
          <w:sz w:val="28"/>
          <w:szCs w:val="28"/>
          <w:lang w:val="lv-LV"/>
        </w:rPr>
        <w:t>26</w:t>
      </w:r>
      <w:r w:rsidR="001A029B">
        <w:rPr>
          <w:b/>
          <w:sz w:val="28"/>
          <w:szCs w:val="28"/>
          <w:lang w:val="lv-LV"/>
        </w:rPr>
        <w:t xml:space="preserve"> </w:t>
      </w:r>
      <w:r w:rsidRPr="00A93F52">
        <w:rPr>
          <w:b/>
          <w:sz w:val="28"/>
          <w:szCs w:val="28"/>
          <w:lang w:val="lv-LV"/>
        </w:rPr>
        <w:t>„</w:t>
      </w:r>
      <w:r w:rsidRPr="00493C4B">
        <w:rPr>
          <w:b/>
          <w:sz w:val="28"/>
          <w:szCs w:val="28"/>
          <w:lang w:val="lv-LV"/>
        </w:rPr>
        <w:t xml:space="preserve">Noteikumi par Latvijas būvnormatīvu </w:t>
      </w:r>
      <w:r w:rsidRPr="00B5593F">
        <w:rPr>
          <w:b/>
          <w:sz w:val="28"/>
          <w:szCs w:val="28"/>
          <w:lang w:val="lv-LV"/>
        </w:rPr>
        <w:t>LBN 22</w:t>
      </w:r>
      <w:r>
        <w:rPr>
          <w:b/>
          <w:sz w:val="28"/>
          <w:szCs w:val="28"/>
          <w:lang w:val="lv-LV"/>
        </w:rPr>
        <w:t>2</w:t>
      </w:r>
      <w:r w:rsidRPr="00B5593F">
        <w:rPr>
          <w:b/>
          <w:sz w:val="28"/>
          <w:szCs w:val="28"/>
          <w:lang w:val="lv-LV"/>
        </w:rPr>
        <w:t xml:space="preserve">-15 </w:t>
      </w:r>
      <w:r w:rsidRPr="00157951">
        <w:rPr>
          <w:b/>
          <w:sz w:val="28"/>
          <w:szCs w:val="28"/>
          <w:lang w:val="lv-LV"/>
        </w:rPr>
        <w:t>„</w:t>
      </w:r>
      <w:proofErr w:type="spellStart"/>
      <w:r>
        <w:rPr>
          <w:b/>
          <w:bCs/>
          <w:color w:val="000000" w:themeColor="text1"/>
          <w:sz w:val="28"/>
          <w:szCs w:val="28"/>
        </w:rPr>
        <w:t>Ūdensapgādes</w:t>
      </w:r>
      <w:proofErr w:type="spellEnd"/>
      <w:r>
        <w:rPr>
          <w:b/>
          <w:bCs/>
          <w:color w:val="000000" w:themeColor="text1"/>
          <w:sz w:val="28"/>
          <w:szCs w:val="28"/>
        </w:rPr>
        <w:t xml:space="preserve"> </w:t>
      </w:r>
      <w:proofErr w:type="spellStart"/>
      <w:r>
        <w:rPr>
          <w:b/>
          <w:bCs/>
          <w:color w:val="000000" w:themeColor="text1"/>
          <w:sz w:val="28"/>
          <w:szCs w:val="28"/>
        </w:rPr>
        <w:t>būves</w:t>
      </w:r>
      <w:proofErr w:type="spellEnd"/>
      <w:r w:rsidRPr="00B5593F">
        <w:rPr>
          <w:b/>
          <w:sz w:val="28"/>
          <w:szCs w:val="28"/>
          <w:lang w:val="lv-LV"/>
        </w:rPr>
        <w:t>”</w:t>
      </w:r>
      <w:r>
        <w:rPr>
          <w:b/>
          <w:sz w:val="28"/>
          <w:szCs w:val="28"/>
          <w:lang w:val="lv-LV"/>
        </w:rPr>
        <w:t>””</w:t>
      </w:r>
      <w:r w:rsidRPr="00A93F52">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Pr="00A93F52">
          <w:rPr>
            <w:b/>
            <w:sz w:val="28"/>
            <w:szCs w:val="28"/>
            <w:lang w:val="lv-LV"/>
          </w:rPr>
          <w:t>ziņojums</w:t>
        </w:r>
      </w:smartTag>
      <w:r w:rsidRPr="00A93F52">
        <w:rPr>
          <w:b/>
          <w:sz w:val="28"/>
          <w:szCs w:val="28"/>
          <w:lang w:val="lv-LV"/>
        </w:rPr>
        <w:t xml:space="preserve"> (</w:t>
      </w:r>
      <w:r w:rsidRPr="00A93F52">
        <w:rPr>
          <w:b/>
          <w:bCs/>
          <w:sz w:val="28"/>
          <w:szCs w:val="28"/>
          <w:lang w:val="lv-LV"/>
        </w:rPr>
        <w:t>anotācija)</w:t>
      </w:r>
      <w:bookmarkEnd w:id="0"/>
      <w:bookmarkEnd w:id="1"/>
      <w:bookmarkEnd w:id="2"/>
      <w:bookmarkEnd w:id="3"/>
      <w:bookmarkEnd w:id="4"/>
    </w:p>
    <w:p w:rsidR="003F7EBC" w:rsidRPr="00A93F52" w:rsidRDefault="003F7EBC" w:rsidP="003F7EBC">
      <w:pPr>
        <w:tabs>
          <w:tab w:val="left" w:pos="7230"/>
        </w:tabs>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
        <w:gridCol w:w="3298"/>
        <w:gridCol w:w="5239"/>
      </w:tblGrid>
      <w:tr w:rsidR="003F7EBC" w:rsidRPr="00DF184D" w:rsidTr="008C2C1A">
        <w:tc>
          <w:tcPr>
            <w:tcW w:w="5000" w:type="pct"/>
            <w:gridSpan w:val="3"/>
            <w:vAlign w:val="center"/>
          </w:tcPr>
          <w:p w:rsidR="003F7EBC" w:rsidRPr="00A93F52" w:rsidRDefault="003F7EBC" w:rsidP="008C2C1A">
            <w:pPr>
              <w:contextualSpacing/>
              <w:jc w:val="center"/>
              <w:rPr>
                <w:sz w:val="28"/>
                <w:szCs w:val="28"/>
                <w:lang w:val="lv-LV"/>
              </w:rPr>
            </w:pPr>
            <w:r w:rsidRPr="00A93F52">
              <w:rPr>
                <w:b/>
                <w:sz w:val="28"/>
                <w:szCs w:val="28"/>
                <w:lang w:val="lv-LV"/>
              </w:rPr>
              <w:t>I. Tiesību akta projekta izstrādes nepieciešamība</w:t>
            </w:r>
          </w:p>
        </w:tc>
      </w:tr>
      <w:tr w:rsidR="003F7EBC" w:rsidRPr="00DF184D" w:rsidTr="008C2C1A">
        <w:trPr>
          <w:trHeight w:val="439"/>
        </w:trPr>
        <w:tc>
          <w:tcPr>
            <w:tcW w:w="289" w:type="pct"/>
          </w:tcPr>
          <w:p w:rsidR="003F7EBC" w:rsidRPr="00CF5FBA" w:rsidRDefault="003F7EBC" w:rsidP="008C2C1A">
            <w:pPr>
              <w:ind w:left="57" w:right="57"/>
              <w:contextualSpacing/>
              <w:rPr>
                <w:sz w:val="26"/>
                <w:szCs w:val="26"/>
                <w:lang w:val="lv-LV"/>
              </w:rPr>
            </w:pPr>
            <w:r w:rsidRPr="00CF5FBA">
              <w:rPr>
                <w:sz w:val="26"/>
                <w:szCs w:val="26"/>
                <w:lang w:val="lv-LV"/>
              </w:rPr>
              <w:t> 1.</w:t>
            </w:r>
          </w:p>
        </w:tc>
        <w:tc>
          <w:tcPr>
            <w:tcW w:w="1820" w:type="pct"/>
          </w:tcPr>
          <w:p w:rsidR="003F7EBC" w:rsidRPr="00CF5FBA" w:rsidRDefault="003F7EBC" w:rsidP="008C2C1A">
            <w:pPr>
              <w:ind w:left="57" w:right="57"/>
              <w:contextualSpacing/>
              <w:rPr>
                <w:sz w:val="26"/>
                <w:szCs w:val="26"/>
                <w:lang w:val="lv-LV"/>
              </w:rPr>
            </w:pPr>
            <w:r w:rsidRPr="00CF5FBA">
              <w:rPr>
                <w:sz w:val="26"/>
                <w:szCs w:val="26"/>
                <w:lang w:val="lv-LV"/>
              </w:rPr>
              <w:t>Pamatojums</w:t>
            </w:r>
          </w:p>
        </w:tc>
        <w:tc>
          <w:tcPr>
            <w:tcW w:w="2890" w:type="pct"/>
          </w:tcPr>
          <w:p w:rsidR="003F7EBC" w:rsidRPr="00CF5FBA" w:rsidRDefault="003F7EBC" w:rsidP="00AD114F">
            <w:pPr>
              <w:shd w:val="clear" w:color="auto" w:fill="FFFFFF"/>
              <w:spacing w:before="100" w:beforeAutospacing="1" w:after="100" w:afterAutospacing="1"/>
              <w:jc w:val="both"/>
              <w:rPr>
                <w:sz w:val="26"/>
                <w:szCs w:val="26"/>
                <w:lang w:val="lv-LV"/>
              </w:rPr>
            </w:pPr>
            <w:r w:rsidRPr="00B812F7">
              <w:rPr>
                <w:sz w:val="26"/>
                <w:szCs w:val="26"/>
                <w:lang w:val="lv-LV"/>
              </w:rPr>
              <w:t xml:space="preserve">Ministru kabineta noteikumu </w:t>
            </w:r>
            <w:r>
              <w:rPr>
                <w:sz w:val="26"/>
                <w:szCs w:val="26"/>
                <w:lang w:val="lv-LV"/>
              </w:rPr>
              <w:t xml:space="preserve">projekts </w:t>
            </w:r>
            <w:r w:rsidRPr="00B812F7">
              <w:rPr>
                <w:sz w:val="26"/>
                <w:szCs w:val="26"/>
                <w:lang w:val="lv-LV"/>
              </w:rPr>
              <w:t>“Grozījumi Ministru kabineta 2015.gada 30.jūnija noteikumos Nr.3</w:t>
            </w:r>
            <w:r w:rsidR="00AD114F">
              <w:rPr>
                <w:sz w:val="26"/>
                <w:szCs w:val="26"/>
                <w:lang w:val="lv-LV"/>
              </w:rPr>
              <w:t>26</w:t>
            </w:r>
            <w:r w:rsidRPr="00B812F7">
              <w:rPr>
                <w:sz w:val="26"/>
                <w:szCs w:val="26"/>
                <w:lang w:val="lv-LV"/>
              </w:rPr>
              <w:t xml:space="preserve"> „Noteikumi par Latvijas būvnormatīvu LBN 22</w:t>
            </w:r>
            <w:r>
              <w:rPr>
                <w:sz w:val="26"/>
                <w:szCs w:val="26"/>
                <w:lang w:val="lv-LV"/>
              </w:rPr>
              <w:t>2</w:t>
            </w:r>
            <w:r w:rsidRPr="00B812F7">
              <w:rPr>
                <w:sz w:val="26"/>
                <w:szCs w:val="26"/>
                <w:lang w:val="lv-LV"/>
              </w:rPr>
              <w:t>-15 „</w:t>
            </w:r>
            <w:r>
              <w:rPr>
                <w:sz w:val="26"/>
                <w:szCs w:val="26"/>
                <w:lang w:val="lv-LV"/>
              </w:rPr>
              <w:t>Ūdensapgādes būves</w:t>
            </w:r>
            <w:r w:rsidRPr="00B812F7">
              <w:rPr>
                <w:sz w:val="26"/>
                <w:szCs w:val="26"/>
                <w:lang w:val="lv-LV"/>
              </w:rPr>
              <w:t>””” (turpmāk – noteikumu projekts) tiek izdots saskaņā ar Būvniecības likuma 5. panta pirmās daļas 3.punktu</w:t>
            </w:r>
            <w:r>
              <w:rPr>
                <w:rFonts w:eastAsia="SimSun"/>
                <w:sz w:val="26"/>
                <w:szCs w:val="26"/>
                <w:lang w:val="lv-LV" w:eastAsia="zh-CN"/>
              </w:rPr>
              <w:t>.</w:t>
            </w:r>
          </w:p>
        </w:tc>
      </w:tr>
      <w:tr w:rsidR="003F7EBC" w:rsidRPr="00DF184D" w:rsidTr="008C2C1A">
        <w:trPr>
          <w:trHeight w:val="841"/>
        </w:trPr>
        <w:tc>
          <w:tcPr>
            <w:tcW w:w="289" w:type="pct"/>
          </w:tcPr>
          <w:p w:rsidR="003F7EBC" w:rsidRPr="00CF5FBA" w:rsidRDefault="003F7EBC" w:rsidP="008C2C1A">
            <w:pPr>
              <w:ind w:left="57" w:right="57"/>
              <w:contextualSpacing/>
              <w:rPr>
                <w:sz w:val="26"/>
                <w:szCs w:val="26"/>
                <w:lang w:val="lv-LV"/>
              </w:rPr>
            </w:pPr>
            <w:r w:rsidRPr="00CF5FBA">
              <w:rPr>
                <w:sz w:val="26"/>
                <w:szCs w:val="26"/>
                <w:lang w:val="lv-LV"/>
              </w:rPr>
              <w:t> 2.</w:t>
            </w:r>
          </w:p>
        </w:tc>
        <w:tc>
          <w:tcPr>
            <w:tcW w:w="1820" w:type="pct"/>
          </w:tcPr>
          <w:p w:rsidR="003F7EBC" w:rsidRDefault="003F7EBC" w:rsidP="008C2C1A">
            <w:pPr>
              <w:ind w:left="57" w:right="57"/>
              <w:contextualSpacing/>
              <w:rPr>
                <w:sz w:val="26"/>
                <w:szCs w:val="26"/>
                <w:lang w:val="lv-LV"/>
              </w:rPr>
            </w:pPr>
            <w:r w:rsidRPr="00CF5FBA">
              <w:rPr>
                <w:sz w:val="26"/>
                <w:szCs w:val="26"/>
                <w:lang w:val="lv-LV"/>
              </w:rPr>
              <w:t>Pašreizējā situācija un problēmas kuru risināšanai tiesību akta projekts izstrādāts, tiesiskā regulējuma mērķis un būtība</w:t>
            </w: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Pr="00D222E0" w:rsidRDefault="003F7EBC" w:rsidP="008C2C1A">
            <w:pPr>
              <w:rPr>
                <w:sz w:val="26"/>
                <w:szCs w:val="26"/>
                <w:lang w:val="lv-LV"/>
              </w:rPr>
            </w:pPr>
          </w:p>
          <w:p w:rsidR="003F7EBC" w:rsidRDefault="003F7EBC" w:rsidP="008C2C1A">
            <w:pPr>
              <w:rPr>
                <w:sz w:val="26"/>
                <w:szCs w:val="26"/>
                <w:lang w:val="lv-LV"/>
              </w:rPr>
            </w:pPr>
          </w:p>
          <w:p w:rsidR="003F7EBC" w:rsidRDefault="003F7EBC" w:rsidP="008C2C1A">
            <w:pPr>
              <w:rPr>
                <w:sz w:val="26"/>
                <w:szCs w:val="26"/>
                <w:lang w:val="lv-LV"/>
              </w:rPr>
            </w:pPr>
          </w:p>
          <w:p w:rsidR="003F7EBC" w:rsidRPr="00D222E0" w:rsidRDefault="003F7EBC" w:rsidP="008C2C1A">
            <w:pPr>
              <w:rPr>
                <w:sz w:val="26"/>
                <w:szCs w:val="26"/>
                <w:lang w:val="lv-LV"/>
              </w:rPr>
            </w:pPr>
          </w:p>
        </w:tc>
        <w:tc>
          <w:tcPr>
            <w:tcW w:w="2890" w:type="pct"/>
          </w:tcPr>
          <w:p w:rsidR="003F7EBC" w:rsidRPr="00E202DE" w:rsidRDefault="003F7EBC" w:rsidP="008C2C1A">
            <w:pPr>
              <w:pStyle w:val="naiskr"/>
              <w:ind w:left="57" w:right="57"/>
              <w:contextualSpacing/>
              <w:jc w:val="both"/>
              <w:rPr>
                <w:color w:val="000000" w:themeColor="text1"/>
                <w:sz w:val="26"/>
                <w:szCs w:val="26"/>
              </w:rPr>
            </w:pPr>
            <w:r w:rsidRPr="006D7AE7">
              <w:rPr>
                <w:sz w:val="26"/>
                <w:szCs w:val="26"/>
              </w:rPr>
              <w:t>Izvērtējot esošo būvnormatīvu tehniskos risinājumus un parametrus pēc būtības, tika apzināti kādi būvnormatīvi ir nozarei paši nepieciešamākie, kuri būtu jāpārstrādā. Latvijas būvniecības padome noteica, ka primāri pārstrādājami ir būvnormatīvi, kas saistīti ar būvju drošību, pēc tam jāpārstrādā arī ļoti novecojošos būvnormatīvus</w:t>
            </w:r>
            <w:r w:rsidR="001D2094">
              <w:rPr>
                <w:sz w:val="26"/>
                <w:szCs w:val="26"/>
              </w:rPr>
              <w:t xml:space="preserve">. </w:t>
            </w:r>
            <w:r w:rsidR="00584F27" w:rsidRPr="00E202DE">
              <w:rPr>
                <w:color w:val="000000" w:themeColor="text1"/>
                <w:sz w:val="26"/>
                <w:szCs w:val="26"/>
              </w:rPr>
              <w:t>Atbilstoši Latvijas būvniecības padomē nolemtajam, ir pārstrādāti šādi būvnormatīvi:</w:t>
            </w:r>
          </w:p>
          <w:p w:rsidR="003F7EBC" w:rsidRPr="006D7AE7" w:rsidRDefault="003F7EBC" w:rsidP="008C2C1A">
            <w:pPr>
              <w:pStyle w:val="naiskr"/>
              <w:ind w:left="57" w:right="57"/>
              <w:contextualSpacing/>
              <w:jc w:val="both"/>
              <w:rPr>
                <w:sz w:val="26"/>
                <w:szCs w:val="26"/>
              </w:rPr>
            </w:pPr>
            <w:r w:rsidRPr="006D7AE7">
              <w:rPr>
                <w:sz w:val="26"/>
                <w:szCs w:val="26"/>
              </w:rPr>
              <w:t>Ministru kabineta 2015.gada 30.jūnija noteikumi Nr.327 „Noteikumi par Latvijas būvnormatīvu LBN 223</w:t>
            </w:r>
            <w:r w:rsidR="00267B68">
              <w:rPr>
                <w:sz w:val="26"/>
                <w:szCs w:val="26"/>
              </w:rPr>
              <w:t>-15</w:t>
            </w:r>
            <w:r w:rsidRPr="006D7AE7">
              <w:rPr>
                <w:sz w:val="26"/>
                <w:szCs w:val="26"/>
              </w:rPr>
              <w:t xml:space="preserve"> „Kanalizācijas būves”;</w:t>
            </w:r>
          </w:p>
          <w:p w:rsidR="003F7EBC" w:rsidRPr="006D7AE7" w:rsidRDefault="003F7EBC" w:rsidP="008C2C1A">
            <w:pPr>
              <w:pStyle w:val="naiskr"/>
              <w:ind w:left="57" w:right="57"/>
              <w:contextualSpacing/>
              <w:jc w:val="both"/>
              <w:rPr>
                <w:sz w:val="26"/>
                <w:szCs w:val="26"/>
              </w:rPr>
            </w:pPr>
            <w:r w:rsidRPr="006D7AE7">
              <w:rPr>
                <w:sz w:val="26"/>
                <w:szCs w:val="26"/>
              </w:rPr>
              <w:t>Ministru kabineta 2015.gada 30.jūnija noteikumi Nr.326 „Noteikumi par Latvijas būvnormatīvu LBN 222</w:t>
            </w:r>
            <w:r w:rsidR="00267B68">
              <w:rPr>
                <w:sz w:val="26"/>
                <w:szCs w:val="26"/>
              </w:rPr>
              <w:t>-15</w:t>
            </w:r>
            <w:r w:rsidRPr="006D7AE7">
              <w:rPr>
                <w:sz w:val="26"/>
                <w:szCs w:val="26"/>
              </w:rPr>
              <w:t xml:space="preserve"> „Ūdensapgādes būves” ;</w:t>
            </w:r>
          </w:p>
          <w:p w:rsidR="003F7EBC" w:rsidRPr="006D7AE7" w:rsidRDefault="003F7EBC" w:rsidP="008C2C1A">
            <w:pPr>
              <w:pStyle w:val="naiskr"/>
              <w:ind w:left="57" w:right="57"/>
              <w:contextualSpacing/>
              <w:jc w:val="both"/>
              <w:rPr>
                <w:sz w:val="26"/>
                <w:szCs w:val="26"/>
              </w:rPr>
            </w:pPr>
            <w:r w:rsidRPr="006D7AE7">
              <w:rPr>
                <w:sz w:val="26"/>
                <w:szCs w:val="26"/>
              </w:rPr>
              <w:t>Ministru kabineta 2015.gada 30.jūnija noteikumi Nr.332 „Noteikumi par Latvijas būvnormatīvu LBN 221-15 „Ēku iekšē</w:t>
            </w:r>
            <w:r w:rsidR="00297085">
              <w:rPr>
                <w:sz w:val="26"/>
                <w:szCs w:val="26"/>
              </w:rPr>
              <w:t>jais ūdensvads un kanalizācija”.</w:t>
            </w:r>
          </w:p>
          <w:p w:rsidR="003F7EBC" w:rsidRDefault="003F7EBC" w:rsidP="008C2C1A">
            <w:pPr>
              <w:pStyle w:val="naiskr"/>
              <w:spacing w:before="0" w:after="0"/>
              <w:ind w:left="57" w:right="57"/>
              <w:contextualSpacing/>
              <w:jc w:val="both"/>
              <w:rPr>
                <w:sz w:val="26"/>
                <w:szCs w:val="26"/>
              </w:rPr>
            </w:pPr>
            <w:r w:rsidRPr="00AE1125">
              <w:rPr>
                <w:sz w:val="26"/>
                <w:szCs w:val="26"/>
              </w:rPr>
              <w:t xml:space="preserve">Noteikumu projektā </w:t>
            </w:r>
            <w:r>
              <w:rPr>
                <w:sz w:val="26"/>
                <w:szCs w:val="26"/>
              </w:rPr>
              <w:t>salīdzinot ar esošo tiesisko regulējumu veikti precizējumi</w:t>
            </w:r>
            <w:r w:rsidRPr="005E7D42">
              <w:rPr>
                <w:sz w:val="26"/>
                <w:szCs w:val="26"/>
              </w:rPr>
              <w:t xml:space="preserve"> </w:t>
            </w:r>
            <w:r w:rsidRPr="00AE1125">
              <w:rPr>
                <w:sz w:val="26"/>
                <w:szCs w:val="26"/>
              </w:rPr>
              <w:t xml:space="preserve">atbilstoši </w:t>
            </w:r>
            <w:r w:rsidRPr="005E7D42">
              <w:rPr>
                <w:sz w:val="26"/>
                <w:szCs w:val="26"/>
              </w:rPr>
              <w:t xml:space="preserve">esošajai projektēšanas, ekspluatācijas </w:t>
            </w:r>
            <w:r>
              <w:rPr>
                <w:sz w:val="26"/>
                <w:szCs w:val="26"/>
              </w:rPr>
              <w:t xml:space="preserve">praksei </w:t>
            </w:r>
            <w:r w:rsidRPr="005E7D42">
              <w:rPr>
                <w:sz w:val="26"/>
                <w:szCs w:val="26"/>
              </w:rPr>
              <w:t>un pieņemtajiem normatīvajie</w:t>
            </w:r>
            <w:r>
              <w:rPr>
                <w:sz w:val="26"/>
                <w:szCs w:val="26"/>
              </w:rPr>
              <w:t>m aktiem ūdenssaimniecības jomā</w:t>
            </w:r>
            <w:r w:rsidRPr="00AE1125">
              <w:rPr>
                <w:sz w:val="26"/>
                <w:szCs w:val="26"/>
              </w:rPr>
              <w:t>, novēršot atšķirīgas prasības pielietojuma interpretācijai</w:t>
            </w:r>
            <w:r>
              <w:rPr>
                <w:sz w:val="26"/>
                <w:szCs w:val="26"/>
              </w:rPr>
              <w:t xml:space="preserve">, </w:t>
            </w:r>
            <w:r w:rsidRPr="00AF2DD4">
              <w:rPr>
                <w:sz w:val="26"/>
                <w:szCs w:val="26"/>
              </w:rPr>
              <w:t>tādējādi  veicinot regulējuma subjektu izpratni par jaunā regulējuma būtību un tā izpildi.</w:t>
            </w:r>
          </w:p>
          <w:p w:rsidR="003F7EBC" w:rsidRDefault="003F7EBC" w:rsidP="008C2C1A">
            <w:pPr>
              <w:pStyle w:val="naiskr"/>
              <w:spacing w:before="0" w:after="0"/>
              <w:ind w:left="57" w:right="57"/>
              <w:contextualSpacing/>
              <w:jc w:val="both"/>
              <w:rPr>
                <w:sz w:val="26"/>
                <w:szCs w:val="26"/>
              </w:rPr>
            </w:pPr>
            <w:r>
              <w:rPr>
                <w:sz w:val="26"/>
                <w:szCs w:val="26"/>
              </w:rPr>
              <w:t xml:space="preserve">Salīdzinot noteikumu projektu </w:t>
            </w:r>
            <w:r w:rsidRPr="00AF2DD4">
              <w:rPr>
                <w:sz w:val="26"/>
                <w:szCs w:val="26"/>
              </w:rPr>
              <w:t>ar esošo regulējumu</w:t>
            </w:r>
            <w:r>
              <w:rPr>
                <w:sz w:val="26"/>
                <w:szCs w:val="26"/>
              </w:rPr>
              <w:t xml:space="preserve"> ir </w:t>
            </w:r>
            <w:r w:rsidRPr="005E7D42">
              <w:rPr>
                <w:sz w:val="26"/>
                <w:szCs w:val="26"/>
              </w:rPr>
              <w:t>precizēta terminoloģija</w:t>
            </w:r>
            <w:r>
              <w:rPr>
                <w:sz w:val="26"/>
                <w:szCs w:val="26"/>
              </w:rPr>
              <w:t>, kā arī p</w:t>
            </w:r>
            <w:r w:rsidRPr="001B7955">
              <w:rPr>
                <w:sz w:val="26"/>
                <w:szCs w:val="26"/>
              </w:rPr>
              <w:t>recizē</w:t>
            </w:r>
            <w:r>
              <w:rPr>
                <w:sz w:val="26"/>
                <w:szCs w:val="26"/>
              </w:rPr>
              <w:t>ts regulējuma teksts</w:t>
            </w:r>
            <w:r w:rsidRPr="001B7955">
              <w:rPr>
                <w:sz w:val="26"/>
                <w:szCs w:val="26"/>
              </w:rPr>
              <w:t xml:space="preserve"> attiecībā uz būvniecības iecerē nosakāmajiem tehniskajiem parametriem</w:t>
            </w:r>
            <w:r>
              <w:rPr>
                <w:sz w:val="26"/>
                <w:szCs w:val="26"/>
              </w:rPr>
              <w:t xml:space="preserve">, </w:t>
            </w:r>
            <w:r w:rsidRPr="001B7955">
              <w:rPr>
                <w:sz w:val="26"/>
                <w:szCs w:val="26"/>
              </w:rPr>
              <w:t>precizēti</w:t>
            </w:r>
            <w:r>
              <w:rPr>
                <w:sz w:val="26"/>
                <w:szCs w:val="26"/>
              </w:rPr>
              <w:t xml:space="preserve"> nosacījumi</w:t>
            </w:r>
            <w:r w:rsidRPr="001B7955">
              <w:rPr>
                <w:sz w:val="26"/>
                <w:szCs w:val="26"/>
              </w:rPr>
              <w:t xml:space="preserve"> </w:t>
            </w:r>
            <w:proofErr w:type="spellStart"/>
            <w:r w:rsidRPr="001B7955">
              <w:rPr>
                <w:sz w:val="26"/>
                <w:szCs w:val="26"/>
              </w:rPr>
              <w:t>izzaru</w:t>
            </w:r>
            <w:proofErr w:type="spellEnd"/>
            <w:r>
              <w:rPr>
                <w:sz w:val="26"/>
                <w:szCs w:val="26"/>
              </w:rPr>
              <w:t xml:space="preserve"> </w:t>
            </w:r>
            <w:r>
              <w:rPr>
                <w:sz w:val="26"/>
                <w:szCs w:val="26"/>
              </w:rPr>
              <w:lastRenderedPageBreak/>
              <w:t>ierīkošanai</w:t>
            </w:r>
            <w:r w:rsidRPr="001B7955">
              <w:rPr>
                <w:sz w:val="26"/>
                <w:szCs w:val="26"/>
              </w:rPr>
              <w:t xml:space="preserve"> saskaņā ar spēkā esošo reg</w:t>
            </w:r>
            <w:r>
              <w:rPr>
                <w:sz w:val="26"/>
                <w:szCs w:val="26"/>
              </w:rPr>
              <w:t>ulējumu ūdenssaimniecības jomā.</w:t>
            </w:r>
          </w:p>
          <w:p w:rsidR="00256390" w:rsidRDefault="00256390" w:rsidP="008C2C1A">
            <w:pPr>
              <w:pStyle w:val="naiskr"/>
              <w:spacing w:before="0" w:after="0"/>
              <w:ind w:left="57" w:right="57"/>
              <w:contextualSpacing/>
              <w:jc w:val="both"/>
              <w:rPr>
                <w:sz w:val="26"/>
                <w:szCs w:val="26"/>
              </w:rPr>
            </w:pPr>
            <w:r>
              <w:rPr>
                <w:sz w:val="26"/>
                <w:szCs w:val="26"/>
              </w:rPr>
              <w:t>Noteikumu projekts</w:t>
            </w:r>
            <w:r w:rsidRPr="00256390">
              <w:rPr>
                <w:sz w:val="26"/>
                <w:szCs w:val="26"/>
              </w:rPr>
              <w:t xml:space="preserve"> paredz samazināt nepieciešamos ugunsdzēsības tilpumus, atbilstoši pastāvošajai ugunsdzēsības praksei. </w:t>
            </w:r>
          </w:p>
          <w:p w:rsidR="003F7EBC" w:rsidRDefault="003F7EBC" w:rsidP="008C2C1A">
            <w:pPr>
              <w:pStyle w:val="naiskr"/>
              <w:spacing w:before="0" w:after="0"/>
              <w:ind w:left="1" w:right="57"/>
              <w:contextualSpacing/>
              <w:jc w:val="both"/>
              <w:rPr>
                <w:sz w:val="26"/>
                <w:szCs w:val="26"/>
              </w:rPr>
            </w:pPr>
            <w:r w:rsidRPr="00EC5F46">
              <w:rPr>
                <w:sz w:val="26"/>
                <w:szCs w:val="26"/>
              </w:rPr>
              <w:t xml:space="preserve">Noteikumu projekts precizē lūku augstumu virs zemes virsmas un salāgo to ar Ministru kabineta 2015.gada 30.jūnija noteikumiem Nr. 327 “Noteikumi par Latvijas būvnormatīvu LBN 223-15 “Kanalizācijas būves”” prasībām. </w:t>
            </w:r>
            <w:r w:rsidR="00281BAD">
              <w:rPr>
                <w:sz w:val="26"/>
                <w:szCs w:val="26"/>
              </w:rPr>
              <w:t>Lai aizsargā</w:t>
            </w:r>
            <w:r w:rsidR="001F3E18">
              <w:rPr>
                <w:sz w:val="26"/>
                <w:szCs w:val="26"/>
              </w:rPr>
              <w:t xml:space="preserve">tu </w:t>
            </w:r>
            <w:proofErr w:type="spellStart"/>
            <w:r w:rsidR="001F3E18">
              <w:rPr>
                <w:sz w:val="26"/>
                <w:szCs w:val="26"/>
              </w:rPr>
              <w:t>skatakas</w:t>
            </w:r>
            <w:proofErr w:type="spellEnd"/>
            <w:r w:rsidR="001F3E18">
              <w:rPr>
                <w:sz w:val="26"/>
                <w:szCs w:val="26"/>
              </w:rPr>
              <w:t xml:space="preserve"> lūkas no bojājumiem</w:t>
            </w:r>
            <w:r w:rsidR="00281BAD">
              <w:rPr>
                <w:sz w:val="26"/>
                <w:szCs w:val="26"/>
              </w:rPr>
              <w:t xml:space="preserve"> ziemā tīrot sniegu,</w:t>
            </w:r>
            <w:r w:rsidR="001F3E18">
              <w:rPr>
                <w:sz w:val="26"/>
                <w:szCs w:val="26"/>
              </w:rPr>
              <w:t xml:space="preserve"> vasarā pļaujot zāli, </w:t>
            </w:r>
            <w:r w:rsidR="00281BAD">
              <w:rPr>
                <w:sz w:val="26"/>
                <w:szCs w:val="26"/>
              </w:rPr>
              <w:t xml:space="preserve"> </w:t>
            </w:r>
            <w:r w:rsidR="00281BAD" w:rsidRPr="00281BAD">
              <w:rPr>
                <w:sz w:val="26"/>
                <w:szCs w:val="26"/>
              </w:rPr>
              <w:t>atbilstoši esošajai praksei</w:t>
            </w:r>
            <w:r w:rsidR="00281BAD">
              <w:rPr>
                <w:sz w:val="26"/>
                <w:szCs w:val="26"/>
              </w:rPr>
              <w:t xml:space="preserve">, ir paredzēta 0.5m </w:t>
            </w:r>
            <w:proofErr w:type="spellStart"/>
            <w:r w:rsidR="00281BAD">
              <w:rPr>
                <w:sz w:val="26"/>
                <w:szCs w:val="26"/>
              </w:rPr>
              <w:t>aizsargapmale</w:t>
            </w:r>
            <w:proofErr w:type="spellEnd"/>
            <w:r w:rsidR="00281BAD">
              <w:rPr>
                <w:sz w:val="26"/>
                <w:szCs w:val="26"/>
              </w:rPr>
              <w:t xml:space="preserve"> ar slīpām malām. </w:t>
            </w:r>
            <w:r w:rsidRPr="00EC5F46">
              <w:rPr>
                <w:sz w:val="26"/>
                <w:szCs w:val="26"/>
              </w:rPr>
              <w:t xml:space="preserve">Ņemot vērā, ka uz ceļiem bez cietā seguma </w:t>
            </w:r>
            <w:proofErr w:type="spellStart"/>
            <w:r w:rsidRPr="00EC5F46">
              <w:rPr>
                <w:sz w:val="26"/>
                <w:szCs w:val="26"/>
              </w:rPr>
              <w:t>aizsargapmales</w:t>
            </w:r>
            <w:proofErr w:type="spellEnd"/>
            <w:r w:rsidRPr="00EC5F46">
              <w:rPr>
                <w:sz w:val="26"/>
                <w:szCs w:val="26"/>
              </w:rPr>
              <w:t xml:space="preserve"> konstrukcija atkarīga no ceļa ekspluatācijas, paredzēta iespēja, ka atbilstoši esošajai praksei šo konstrukciju nosaka ceļu </w:t>
            </w:r>
            <w:proofErr w:type="spellStart"/>
            <w:r w:rsidRPr="00EC5F46">
              <w:rPr>
                <w:sz w:val="26"/>
                <w:szCs w:val="26"/>
              </w:rPr>
              <w:t>apsaimniekotājs</w:t>
            </w:r>
            <w:proofErr w:type="spellEnd"/>
            <w:r w:rsidR="00281BAD">
              <w:rPr>
                <w:sz w:val="26"/>
                <w:szCs w:val="26"/>
              </w:rPr>
              <w:t>, izdodot tehniskos noteikumus</w:t>
            </w:r>
            <w:r w:rsidRPr="00EC5F46">
              <w:rPr>
                <w:sz w:val="26"/>
                <w:szCs w:val="26"/>
              </w:rPr>
              <w:t>.</w:t>
            </w:r>
          </w:p>
          <w:p w:rsidR="003F7EBC" w:rsidRPr="005E7D42" w:rsidRDefault="003F7EBC" w:rsidP="008C2C1A">
            <w:pPr>
              <w:jc w:val="both"/>
              <w:rPr>
                <w:sz w:val="26"/>
                <w:szCs w:val="26"/>
                <w:lang w:val="lv-LV"/>
              </w:rPr>
            </w:pPr>
            <w:r>
              <w:rPr>
                <w:sz w:val="26"/>
                <w:szCs w:val="26"/>
                <w:lang w:val="lv-LV"/>
              </w:rPr>
              <w:t>Lai novērstu n</w:t>
            </w:r>
            <w:r w:rsidRPr="002B1820">
              <w:rPr>
                <w:sz w:val="26"/>
                <w:szCs w:val="26"/>
                <w:lang w:val="lv-LV"/>
              </w:rPr>
              <w:t>evadām</w:t>
            </w:r>
            <w:r>
              <w:rPr>
                <w:sz w:val="26"/>
                <w:szCs w:val="26"/>
                <w:lang w:val="lv-LV"/>
              </w:rPr>
              <w:t>as</w:t>
            </w:r>
            <w:r w:rsidRPr="002B1820">
              <w:rPr>
                <w:sz w:val="26"/>
                <w:szCs w:val="26"/>
                <w:lang w:val="lv-LV"/>
              </w:rPr>
              <w:t xml:space="preserve"> pa </w:t>
            </w:r>
            <w:proofErr w:type="spellStart"/>
            <w:r w:rsidRPr="002B1820">
              <w:rPr>
                <w:sz w:val="26"/>
                <w:szCs w:val="26"/>
                <w:lang w:val="lv-LV"/>
              </w:rPr>
              <w:t>zemējumietaisi</w:t>
            </w:r>
            <w:proofErr w:type="spellEnd"/>
            <w:r w:rsidRPr="002B1820">
              <w:rPr>
                <w:sz w:val="26"/>
                <w:szCs w:val="26"/>
                <w:lang w:val="lv-LV"/>
              </w:rPr>
              <w:t xml:space="preserve"> vai citiem nejaušiem ceļiem zem</w:t>
            </w:r>
            <w:r>
              <w:rPr>
                <w:sz w:val="26"/>
                <w:szCs w:val="26"/>
                <w:lang w:val="lv-LV"/>
              </w:rPr>
              <w:t>ē</w:t>
            </w:r>
            <w:r w:rsidRPr="002B1820">
              <w:rPr>
                <w:sz w:val="26"/>
                <w:szCs w:val="26"/>
                <w:lang w:val="lv-LV"/>
              </w:rPr>
              <w:t xml:space="preserve"> noplūstošas strāvas</w:t>
            </w:r>
            <w:r>
              <w:rPr>
                <w:sz w:val="26"/>
                <w:szCs w:val="26"/>
                <w:lang w:val="lv-LV"/>
              </w:rPr>
              <w:t xml:space="preserve"> (</w:t>
            </w:r>
            <w:proofErr w:type="spellStart"/>
            <w:r>
              <w:rPr>
                <w:sz w:val="26"/>
                <w:szCs w:val="26"/>
                <w:lang w:val="lv-LV"/>
              </w:rPr>
              <w:t>klaidstrāvas</w:t>
            </w:r>
            <w:proofErr w:type="spellEnd"/>
            <w:r>
              <w:rPr>
                <w:sz w:val="26"/>
                <w:szCs w:val="26"/>
                <w:lang w:val="lv-LV"/>
              </w:rPr>
              <w:t>)</w:t>
            </w:r>
            <w:r w:rsidRPr="002B1820">
              <w:rPr>
                <w:sz w:val="26"/>
                <w:szCs w:val="26"/>
                <w:lang w:val="lv-LV"/>
              </w:rPr>
              <w:t>, kas tālāk plūst pa zemi, gan zemē guldītām</w:t>
            </w:r>
            <w:r>
              <w:rPr>
                <w:sz w:val="26"/>
                <w:szCs w:val="26"/>
                <w:lang w:val="lv-LV"/>
              </w:rPr>
              <w:t xml:space="preserve"> metāla caurulēm ir precizēti gadījumi, kādos ir nepieciešama cauruļvadu aizsardzība. Lai novērstu cauruļvadu koroziju, noteikumu projektā ir </w:t>
            </w:r>
            <w:r w:rsidRPr="00C20C2C">
              <w:rPr>
                <w:sz w:val="26"/>
                <w:szCs w:val="26"/>
                <w:lang w:val="lv-LV"/>
              </w:rPr>
              <w:t>precizē</w:t>
            </w:r>
            <w:r>
              <w:rPr>
                <w:sz w:val="26"/>
                <w:szCs w:val="26"/>
                <w:lang w:val="lv-LV"/>
              </w:rPr>
              <w:t>ti</w:t>
            </w:r>
            <w:r w:rsidRPr="00C20C2C">
              <w:rPr>
                <w:sz w:val="26"/>
                <w:szCs w:val="26"/>
                <w:lang w:val="lv-LV"/>
              </w:rPr>
              <w:t xml:space="preserve"> elektroķīmiskās korozijas aizsardzības pasākumu pielietošanas nosacījum</w:t>
            </w:r>
            <w:r>
              <w:rPr>
                <w:sz w:val="26"/>
                <w:szCs w:val="26"/>
                <w:lang w:val="lv-LV"/>
              </w:rPr>
              <w:t xml:space="preserve">i. Lai noteiktu </w:t>
            </w:r>
            <w:r w:rsidRPr="005E7D42">
              <w:rPr>
                <w:sz w:val="26"/>
                <w:szCs w:val="26"/>
                <w:lang w:val="lv-LV"/>
              </w:rPr>
              <w:t xml:space="preserve"> </w:t>
            </w:r>
            <w:r>
              <w:rPr>
                <w:sz w:val="26"/>
                <w:szCs w:val="26"/>
                <w:lang w:val="lv-LV"/>
              </w:rPr>
              <w:t>ā</w:t>
            </w:r>
            <w:r w:rsidRPr="00C20C2C">
              <w:rPr>
                <w:sz w:val="26"/>
                <w:szCs w:val="26"/>
                <w:lang w:val="lv-LV"/>
              </w:rPr>
              <w:t>rējās ugunsdzēsības ūdens patēriņ</w:t>
            </w:r>
            <w:r>
              <w:rPr>
                <w:sz w:val="26"/>
                <w:szCs w:val="26"/>
                <w:lang w:val="lv-LV"/>
              </w:rPr>
              <w:t>u</w:t>
            </w:r>
            <w:r w:rsidRPr="00C20C2C">
              <w:rPr>
                <w:sz w:val="26"/>
                <w:szCs w:val="26"/>
                <w:lang w:val="lv-LV"/>
              </w:rPr>
              <w:t xml:space="preserve"> ražošanas un noliktavu ēkām vai būvēm</w:t>
            </w:r>
            <w:r>
              <w:rPr>
                <w:sz w:val="26"/>
                <w:szCs w:val="26"/>
                <w:lang w:val="lv-LV"/>
              </w:rPr>
              <w:t xml:space="preserve">, </w:t>
            </w:r>
            <w:r w:rsidRPr="005E7D42">
              <w:rPr>
                <w:sz w:val="26"/>
                <w:szCs w:val="26"/>
                <w:lang w:val="lv-LV"/>
              </w:rPr>
              <w:t xml:space="preserve">papildināta 6.tabula ar prasībām U2 </w:t>
            </w:r>
            <w:proofErr w:type="spellStart"/>
            <w:r w:rsidRPr="005E7D42">
              <w:rPr>
                <w:sz w:val="26"/>
                <w:szCs w:val="26"/>
                <w:lang w:val="lv-LV"/>
              </w:rPr>
              <w:t>ugunsnoturības</w:t>
            </w:r>
            <w:proofErr w:type="spellEnd"/>
            <w:r w:rsidRPr="005E7D42">
              <w:rPr>
                <w:sz w:val="26"/>
                <w:szCs w:val="26"/>
                <w:lang w:val="lv-LV"/>
              </w:rPr>
              <w:t xml:space="preserve"> pakāpes būvēm ar </w:t>
            </w:r>
            <w:proofErr w:type="spellStart"/>
            <w:r w:rsidRPr="005E7D42">
              <w:rPr>
                <w:sz w:val="26"/>
                <w:szCs w:val="26"/>
                <w:lang w:val="lv-LV"/>
              </w:rPr>
              <w:t>ugunsslodzes</w:t>
            </w:r>
            <w:proofErr w:type="spellEnd"/>
            <w:r w:rsidRPr="005E7D42">
              <w:rPr>
                <w:sz w:val="26"/>
                <w:szCs w:val="26"/>
                <w:lang w:val="lv-LV"/>
              </w:rPr>
              <w:t xml:space="preserve"> blīvumu mazāku par 600 MJ/m</w:t>
            </w:r>
            <w:r w:rsidRPr="00C20C2C">
              <w:rPr>
                <w:sz w:val="26"/>
                <w:szCs w:val="26"/>
                <w:vertAlign w:val="superscript"/>
                <w:lang w:val="lv-LV"/>
              </w:rPr>
              <w:t>2</w:t>
            </w:r>
            <w:r w:rsidRPr="005E7D42">
              <w:rPr>
                <w:sz w:val="26"/>
                <w:szCs w:val="26"/>
                <w:lang w:val="lv-LV"/>
              </w:rPr>
              <w:t>.</w:t>
            </w:r>
          </w:p>
        </w:tc>
      </w:tr>
      <w:tr w:rsidR="003F7EBC" w:rsidRPr="00DF184D" w:rsidTr="008C2C1A">
        <w:trPr>
          <w:trHeight w:val="706"/>
        </w:trPr>
        <w:tc>
          <w:tcPr>
            <w:tcW w:w="289" w:type="pct"/>
          </w:tcPr>
          <w:p w:rsidR="003F7EBC" w:rsidRPr="00CF5FBA" w:rsidRDefault="003F7EBC" w:rsidP="008C2C1A">
            <w:pPr>
              <w:ind w:left="57" w:right="57"/>
              <w:contextualSpacing/>
              <w:rPr>
                <w:sz w:val="26"/>
                <w:szCs w:val="26"/>
                <w:lang w:val="lv-LV"/>
              </w:rPr>
            </w:pPr>
            <w:r w:rsidRPr="00CF5FBA">
              <w:rPr>
                <w:sz w:val="26"/>
                <w:szCs w:val="26"/>
                <w:lang w:val="lv-LV"/>
              </w:rPr>
              <w:lastRenderedPageBreak/>
              <w:t> 3.</w:t>
            </w:r>
          </w:p>
        </w:tc>
        <w:tc>
          <w:tcPr>
            <w:tcW w:w="1820" w:type="pct"/>
          </w:tcPr>
          <w:p w:rsidR="003F7EBC" w:rsidRPr="00CF5FBA" w:rsidRDefault="003F7EBC" w:rsidP="008C2C1A">
            <w:pPr>
              <w:ind w:left="57" w:right="57"/>
              <w:contextualSpacing/>
              <w:rPr>
                <w:sz w:val="26"/>
                <w:szCs w:val="26"/>
                <w:lang w:val="lv-LV"/>
              </w:rPr>
            </w:pPr>
            <w:r w:rsidRPr="00CF5FBA">
              <w:rPr>
                <w:sz w:val="26"/>
                <w:szCs w:val="26"/>
                <w:lang w:val="lv-LV"/>
              </w:rPr>
              <w:t>Projekta izstrādē iesaistītās institūcijas</w:t>
            </w:r>
          </w:p>
        </w:tc>
        <w:tc>
          <w:tcPr>
            <w:tcW w:w="2890" w:type="pct"/>
          </w:tcPr>
          <w:p w:rsidR="003F7EBC" w:rsidRPr="00CF5FBA" w:rsidRDefault="001D2094" w:rsidP="001D2094">
            <w:pPr>
              <w:ind w:left="57" w:right="57"/>
              <w:contextualSpacing/>
              <w:jc w:val="both"/>
              <w:rPr>
                <w:sz w:val="26"/>
                <w:szCs w:val="26"/>
                <w:lang w:val="lv-LV"/>
              </w:rPr>
            </w:pPr>
            <w:r>
              <w:rPr>
                <w:sz w:val="26"/>
                <w:szCs w:val="26"/>
                <w:lang w:val="lv-LV"/>
              </w:rPr>
              <w:t>Ekonomikas ministrija</w:t>
            </w:r>
          </w:p>
        </w:tc>
      </w:tr>
      <w:tr w:rsidR="003F7EBC" w:rsidRPr="00CF5FBA" w:rsidTr="008C2C1A">
        <w:trPr>
          <w:trHeight w:val="384"/>
        </w:trPr>
        <w:tc>
          <w:tcPr>
            <w:tcW w:w="289" w:type="pct"/>
          </w:tcPr>
          <w:p w:rsidR="003F7EBC" w:rsidRPr="00CF5FBA" w:rsidRDefault="003F7EBC" w:rsidP="008C2C1A">
            <w:pPr>
              <w:ind w:left="57" w:right="57"/>
              <w:contextualSpacing/>
              <w:rPr>
                <w:sz w:val="26"/>
                <w:szCs w:val="26"/>
                <w:lang w:val="lv-LV"/>
              </w:rPr>
            </w:pPr>
            <w:r w:rsidRPr="00CF5FBA">
              <w:rPr>
                <w:sz w:val="26"/>
                <w:szCs w:val="26"/>
                <w:lang w:val="lv-LV"/>
              </w:rPr>
              <w:t> 4.</w:t>
            </w:r>
          </w:p>
        </w:tc>
        <w:tc>
          <w:tcPr>
            <w:tcW w:w="1820" w:type="pct"/>
          </w:tcPr>
          <w:p w:rsidR="003F7EBC" w:rsidRPr="00CF5FBA" w:rsidRDefault="003F7EBC" w:rsidP="008C2C1A">
            <w:pPr>
              <w:ind w:left="57" w:right="57"/>
              <w:contextualSpacing/>
              <w:rPr>
                <w:sz w:val="26"/>
                <w:szCs w:val="26"/>
                <w:lang w:val="lv-LV"/>
              </w:rPr>
            </w:pPr>
            <w:r w:rsidRPr="00CF5FBA">
              <w:rPr>
                <w:sz w:val="26"/>
                <w:szCs w:val="26"/>
                <w:lang w:val="lv-LV"/>
              </w:rPr>
              <w:t>Cita informācija</w:t>
            </w:r>
          </w:p>
        </w:tc>
        <w:tc>
          <w:tcPr>
            <w:tcW w:w="2890" w:type="pct"/>
          </w:tcPr>
          <w:p w:rsidR="003F7EBC" w:rsidRPr="00CF5FBA" w:rsidRDefault="003F7EBC" w:rsidP="008C2C1A">
            <w:pPr>
              <w:pStyle w:val="naiskr"/>
              <w:spacing w:before="0" w:after="0"/>
              <w:ind w:right="57"/>
              <w:contextualSpacing/>
              <w:jc w:val="both"/>
              <w:rPr>
                <w:sz w:val="26"/>
                <w:szCs w:val="26"/>
              </w:rPr>
            </w:pPr>
            <w:r w:rsidRPr="00CF5FBA">
              <w:rPr>
                <w:sz w:val="26"/>
                <w:szCs w:val="26"/>
              </w:rPr>
              <w:t>Nav</w:t>
            </w:r>
          </w:p>
        </w:tc>
      </w:tr>
    </w:tbl>
    <w:p w:rsidR="003F7EBC" w:rsidRPr="00A93F52" w:rsidRDefault="003F7EBC" w:rsidP="003F7EBC">
      <w:pPr>
        <w:ind w:left="57" w:right="57"/>
        <w:contextualSpacing/>
        <w:rPr>
          <w:sz w:val="28"/>
          <w:szCs w:val="28"/>
          <w:lang w:val="lv-LV"/>
        </w:rPr>
      </w:pPr>
    </w:p>
    <w:tbl>
      <w:tblPr>
        <w:tblW w:w="5000"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4"/>
        <w:gridCol w:w="3153"/>
        <w:gridCol w:w="5384"/>
      </w:tblGrid>
      <w:tr w:rsidR="003F7EBC" w:rsidRPr="00DF184D" w:rsidTr="008C2C1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F7EBC" w:rsidRPr="00A93F52" w:rsidRDefault="003F7EBC" w:rsidP="008C2C1A">
            <w:pPr>
              <w:ind w:left="57" w:right="57"/>
              <w:contextualSpacing/>
              <w:jc w:val="center"/>
              <w:rPr>
                <w:b/>
                <w:sz w:val="28"/>
                <w:szCs w:val="28"/>
                <w:lang w:val="lv-LV"/>
              </w:rPr>
            </w:pPr>
            <w:r w:rsidRPr="00A93F52">
              <w:rPr>
                <w:b/>
                <w:sz w:val="28"/>
                <w:szCs w:val="28"/>
                <w:lang w:val="lv-LV"/>
              </w:rPr>
              <w:t>II. Tiesību akta projekta ietekme uz sabiedrību tautsaimniecības attīstību un administratīvo slogu</w:t>
            </w:r>
          </w:p>
        </w:tc>
      </w:tr>
      <w:tr w:rsidR="003F7EBC" w:rsidRPr="00CF5FBA" w:rsidTr="008C2C1A">
        <w:trPr>
          <w:trHeight w:val="467"/>
        </w:trPr>
        <w:tc>
          <w:tcPr>
            <w:tcW w:w="289"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t> 1.</w:t>
            </w:r>
          </w:p>
        </w:tc>
        <w:tc>
          <w:tcPr>
            <w:tcW w:w="1740"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t xml:space="preserve"> Sabiedrības </w:t>
            </w:r>
            <w:proofErr w:type="spellStart"/>
            <w:r w:rsidRPr="00CF5FBA">
              <w:rPr>
                <w:sz w:val="26"/>
                <w:szCs w:val="26"/>
                <w:lang w:val="lv-LV"/>
              </w:rPr>
              <w:t>mērķgrupas</w:t>
            </w:r>
            <w:proofErr w:type="spellEnd"/>
            <w:r w:rsidRPr="00CF5FBA">
              <w:rPr>
                <w:sz w:val="26"/>
                <w:szCs w:val="26"/>
                <w:lang w:val="lv-LV"/>
              </w:rPr>
              <w:t>, kuras tiesiskais regulējums  ietekmē vai varētu ietekmēt</w:t>
            </w:r>
          </w:p>
        </w:tc>
        <w:tc>
          <w:tcPr>
            <w:tcW w:w="2972"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jc w:val="both"/>
              <w:rPr>
                <w:sz w:val="26"/>
                <w:szCs w:val="26"/>
                <w:lang w:val="lv-LV"/>
              </w:rPr>
            </w:pPr>
            <w:r w:rsidRPr="00CF5FBA">
              <w:rPr>
                <w:iCs/>
                <w:sz w:val="26"/>
                <w:szCs w:val="26"/>
                <w:lang w:val="lv-LV"/>
              </w:rPr>
              <w:t>Noteikumu projekta regulējums var ietekmēt jebkuru personu, kura ierosinās un veiks būvniecību, kā arī institūcijas, kuras iesaistītas būvniecības procesā. Tāpat arī ietekmēs būvniecības nozarē strādājošos būvdarbu veicējus.</w:t>
            </w:r>
          </w:p>
        </w:tc>
      </w:tr>
      <w:tr w:rsidR="003F7EBC" w:rsidRPr="00DF184D" w:rsidTr="008C2C1A">
        <w:trPr>
          <w:trHeight w:val="523"/>
        </w:trPr>
        <w:tc>
          <w:tcPr>
            <w:tcW w:w="289"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t> 2.</w:t>
            </w:r>
          </w:p>
        </w:tc>
        <w:tc>
          <w:tcPr>
            <w:tcW w:w="1740"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t>Tiesiskā regulējuma ietekme uz tautsaimniecību un administratīvo slogu</w:t>
            </w:r>
          </w:p>
        </w:tc>
        <w:tc>
          <w:tcPr>
            <w:tcW w:w="2972"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right="57"/>
              <w:contextualSpacing/>
              <w:jc w:val="both"/>
              <w:rPr>
                <w:sz w:val="26"/>
                <w:szCs w:val="26"/>
                <w:lang w:val="lv-LV"/>
              </w:rPr>
            </w:pPr>
            <w:r w:rsidRPr="00CF5FBA">
              <w:rPr>
                <w:sz w:val="26"/>
                <w:szCs w:val="26"/>
                <w:lang w:val="lv-LV"/>
              </w:rPr>
              <w:t xml:space="preserve">Šīs sadaļas 1. punktā minētajām sabiedrības </w:t>
            </w:r>
            <w:proofErr w:type="spellStart"/>
            <w:r w:rsidRPr="00CF5FBA">
              <w:rPr>
                <w:sz w:val="26"/>
                <w:szCs w:val="26"/>
                <w:lang w:val="lv-LV"/>
              </w:rPr>
              <w:t>mērķgrupām</w:t>
            </w:r>
            <w:proofErr w:type="spellEnd"/>
            <w:r w:rsidRPr="00CF5FBA">
              <w:rPr>
                <w:sz w:val="26"/>
                <w:szCs w:val="26"/>
                <w:lang w:val="lv-LV"/>
              </w:rPr>
              <w:t xml:space="preserve"> un institūcijām projekta tiesiskais regulējums nemaina tiesības un pienākumus, kā arī veicamās darbības salīdzinājumā ar līdzšinējo normatīvo regulējumu.</w:t>
            </w:r>
          </w:p>
        </w:tc>
      </w:tr>
      <w:tr w:rsidR="003F7EBC" w:rsidRPr="00DF184D" w:rsidTr="008C2C1A">
        <w:trPr>
          <w:trHeight w:val="517"/>
        </w:trPr>
        <w:tc>
          <w:tcPr>
            <w:tcW w:w="289"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lastRenderedPageBreak/>
              <w:t> 3.</w:t>
            </w:r>
          </w:p>
        </w:tc>
        <w:tc>
          <w:tcPr>
            <w:tcW w:w="1740"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t>Administratīvo izmaksu monetārs novērtējums</w:t>
            </w:r>
          </w:p>
        </w:tc>
        <w:tc>
          <w:tcPr>
            <w:tcW w:w="2972"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jc w:val="both"/>
              <w:rPr>
                <w:sz w:val="26"/>
                <w:szCs w:val="26"/>
                <w:lang w:val="lv-LV"/>
              </w:rPr>
            </w:pPr>
            <w:r w:rsidRPr="00CF5FBA">
              <w:rPr>
                <w:sz w:val="26"/>
                <w:szCs w:val="26"/>
                <w:lang w:val="lv-LV"/>
              </w:rPr>
              <w:t>Noteikumu projekts šo jomu neskar</w:t>
            </w:r>
          </w:p>
        </w:tc>
      </w:tr>
      <w:tr w:rsidR="003F7EBC" w:rsidRPr="00CF5FBA" w:rsidTr="008C2C1A">
        <w:tc>
          <w:tcPr>
            <w:tcW w:w="289"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t> 4.</w:t>
            </w:r>
          </w:p>
        </w:tc>
        <w:tc>
          <w:tcPr>
            <w:tcW w:w="1740"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rPr>
                <w:sz w:val="26"/>
                <w:szCs w:val="26"/>
                <w:lang w:val="lv-LV"/>
              </w:rPr>
            </w:pPr>
            <w:r w:rsidRPr="00CF5FBA">
              <w:rPr>
                <w:sz w:val="26"/>
                <w:szCs w:val="26"/>
                <w:lang w:val="lv-LV"/>
              </w:rPr>
              <w:t> Cita informācija</w:t>
            </w:r>
          </w:p>
        </w:tc>
        <w:tc>
          <w:tcPr>
            <w:tcW w:w="2972" w:type="pct"/>
            <w:tcBorders>
              <w:top w:val="single" w:sz="4" w:space="0" w:color="auto"/>
              <w:left w:val="single" w:sz="4" w:space="0" w:color="auto"/>
              <w:bottom w:val="single" w:sz="4" w:space="0" w:color="auto"/>
              <w:right w:val="single" w:sz="4" w:space="0" w:color="auto"/>
            </w:tcBorders>
            <w:hideMark/>
          </w:tcPr>
          <w:p w:rsidR="003F7EBC" w:rsidRPr="00CF5FBA" w:rsidRDefault="003F7EBC" w:rsidP="008C2C1A">
            <w:pPr>
              <w:ind w:left="57" w:right="57"/>
              <w:contextualSpacing/>
              <w:jc w:val="both"/>
              <w:rPr>
                <w:sz w:val="26"/>
                <w:szCs w:val="26"/>
                <w:lang w:val="lv-LV"/>
              </w:rPr>
            </w:pPr>
            <w:r w:rsidRPr="00CF5FBA">
              <w:rPr>
                <w:sz w:val="26"/>
                <w:szCs w:val="26"/>
                <w:lang w:val="lv-LV"/>
              </w:rPr>
              <w:t>Nav</w:t>
            </w:r>
          </w:p>
        </w:tc>
      </w:tr>
    </w:tbl>
    <w:p w:rsidR="003F7EBC" w:rsidRPr="00A93F52" w:rsidRDefault="003F7EBC" w:rsidP="003F7EBC">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2885"/>
        <w:gridCol w:w="5618"/>
      </w:tblGrid>
      <w:tr w:rsidR="003F7EBC" w:rsidRPr="00DF184D" w:rsidTr="008C2C1A">
        <w:trPr>
          <w:jc w:val="center"/>
        </w:trPr>
        <w:tc>
          <w:tcPr>
            <w:tcW w:w="5000" w:type="pct"/>
            <w:gridSpan w:val="3"/>
          </w:tcPr>
          <w:p w:rsidR="003F7EBC" w:rsidRPr="00A93F52" w:rsidRDefault="003F7EBC" w:rsidP="008C2C1A">
            <w:pPr>
              <w:pStyle w:val="naisnod"/>
              <w:spacing w:before="0" w:after="0"/>
              <w:ind w:left="57" w:right="57"/>
              <w:contextualSpacing/>
              <w:rPr>
                <w:sz w:val="28"/>
                <w:szCs w:val="28"/>
              </w:rPr>
            </w:pPr>
            <w:r w:rsidRPr="00A93F52">
              <w:rPr>
                <w:sz w:val="28"/>
                <w:szCs w:val="28"/>
              </w:rPr>
              <w:t>VI. Sabiedrības līdzdalība un komunikācijas aktivitātes</w:t>
            </w:r>
          </w:p>
        </w:tc>
      </w:tr>
      <w:tr w:rsidR="003F7EBC" w:rsidRPr="00DF184D" w:rsidTr="008C2C1A">
        <w:trPr>
          <w:trHeight w:val="553"/>
          <w:jc w:val="center"/>
        </w:trPr>
        <w:tc>
          <w:tcPr>
            <w:tcW w:w="308" w:type="pct"/>
          </w:tcPr>
          <w:p w:rsidR="003F7EBC" w:rsidRPr="00CF5FBA" w:rsidRDefault="003F7EBC" w:rsidP="008C2C1A">
            <w:pPr>
              <w:pStyle w:val="naiskr"/>
              <w:spacing w:before="0" w:after="0"/>
              <w:ind w:left="57" w:right="57"/>
              <w:contextualSpacing/>
              <w:rPr>
                <w:bCs/>
                <w:sz w:val="26"/>
                <w:szCs w:val="26"/>
              </w:rPr>
            </w:pPr>
            <w:r w:rsidRPr="00CF5FBA">
              <w:rPr>
                <w:bCs/>
                <w:sz w:val="26"/>
                <w:szCs w:val="26"/>
              </w:rPr>
              <w:t>1.</w:t>
            </w:r>
          </w:p>
        </w:tc>
        <w:tc>
          <w:tcPr>
            <w:tcW w:w="1592" w:type="pct"/>
          </w:tcPr>
          <w:p w:rsidR="003F7EBC" w:rsidRPr="00CF5FBA" w:rsidRDefault="003F7EBC" w:rsidP="008C2C1A">
            <w:pPr>
              <w:pStyle w:val="naiskr"/>
              <w:tabs>
                <w:tab w:val="left" w:pos="170"/>
              </w:tabs>
              <w:spacing w:before="0" w:after="0"/>
              <w:ind w:left="57" w:right="57"/>
              <w:contextualSpacing/>
              <w:rPr>
                <w:sz w:val="26"/>
                <w:szCs w:val="26"/>
              </w:rPr>
            </w:pPr>
            <w:r w:rsidRPr="00CF5FBA">
              <w:rPr>
                <w:sz w:val="26"/>
                <w:szCs w:val="26"/>
              </w:rPr>
              <w:t>Sabiedrības informēšana par projekta izstrādes uzsākšanu</w:t>
            </w:r>
          </w:p>
        </w:tc>
        <w:tc>
          <w:tcPr>
            <w:tcW w:w="3100" w:type="pct"/>
          </w:tcPr>
          <w:p w:rsidR="003F7EBC" w:rsidRPr="00CF5FBA" w:rsidRDefault="003F7EBC" w:rsidP="00267B68">
            <w:pPr>
              <w:pStyle w:val="naiskr"/>
              <w:spacing w:before="0" w:after="0"/>
              <w:ind w:left="57" w:right="57"/>
              <w:contextualSpacing/>
              <w:jc w:val="both"/>
              <w:rPr>
                <w:sz w:val="26"/>
                <w:szCs w:val="26"/>
              </w:rPr>
            </w:pPr>
            <w:r w:rsidRPr="004F3D17">
              <w:rPr>
                <w:sz w:val="26"/>
                <w:szCs w:val="26"/>
                <w:lang w:eastAsia="en-US"/>
              </w:rPr>
              <w:t>Noteikumu projekts tika saskaņots ar Latvijas Siltuma, gāzes un ūdens tehnoloģijas inženieru savienības Standartizācijas Tehnisko komiteju</w:t>
            </w:r>
            <w:r w:rsidR="00740FDC">
              <w:rPr>
                <w:sz w:val="26"/>
                <w:szCs w:val="26"/>
                <w:lang w:eastAsia="en-US"/>
              </w:rPr>
              <w:t>,</w:t>
            </w:r>
            <w:r w:rsidR="00496A28">
              <w:rPr>
                <w:sz w:val="26"/>
                <w:szCs w:val="26"/>
                <w:lang w:eastAsia="en-US"/>
              </w:rPr>
              <w:t xml:space="preserve"> </w:t>
            </w:r>
            <w:r w:rsidRPr="004F3D17">
              <w:rPr>
                <w:sz w:val="26"/>
                <w:szCs w:val="26"/>
                <w:lang w:eastAsia="en-US"/>
              </w:rPr>
              <w:t xml:space="preserve"> </w:t>
            </w:r>
            <w:r w:rsidR="00EC553B">
              <w:rPr>
                <w:color w:val="000000" w:themeColor="text1"/>
                <w:sz w:val="26"/>
                <w:szCs w:val="26"/>
                <w:lang w:eastAsia="en-US"/>
              </w:rPr>
              <w:t>Latvijas ū</w:t>
            </w:r>
            <w:r w:rsidR="00496A28" w:rsidRPr="00E202DE">
              <w:rPr>
                <w:color w:val="000000" w:themeColor="text1"/>
                <w:sz w:val="26"/>
                <w:szCs w:val="26"/>
                <w:lang w:eastAsia="en-US"/>
              </w:rPr>
              <w:t>densapgādes un ka</w:t>
            </w:r>
            <w:r w:rsidR="00740FDC" w:rsidRPr="00E202DE">
              <w:rPr>
                <w:color w:val="000000" w:themeColor="text1"/>
                <w:sz w:val="26"/>
                <w:szCs w:val="26"/>
                <w:lang w:eastAsia="en-US"/>
              </w:rPr>
              <w:t>nalizācijas uzņēmumu asociāciju</w:t>
            </w:r>
            <w:r w:rsidR="00496A28" w:rsidRPr="00E202DE">
              <w:rPr>
                <w:color w:val="000000" w:themeColor="text1"/>
                <w:sz w:val="26"/>
                <w:szCs w:val="26"/>
                <w:lang w:eastAsia="en-US"/>
              </w:rPr>
              <w:t xml:space="preserve">. </w:t>
            </w:r>
            <w:r w:rsidRPr="00E202DE">
              <w:rPr>
                <w:color w:val="000000" w:themeColor="text1"/>
                <w:sz w:val="26"/>
                <w:szCs w:val="26"/>
                <w:lang w:eastAsia="en-US"/>
              </w:rPr>
              <w:t xml:space="preserve">Noteikumu projekts sabiedrībai publiski ir pieejams Ekonomikas ministrijas </w:t>
            </w:r>
            <w:r w:rsidR="001D2094" w:rsidRPr="00E202DE">
              <w:rPr>
                <w:color w:val="000000" w:themeColor="text1"/>
                <w:sz w:val="26"/>
                <w:szCs w:val="26"/>
                <w:lang w:eastAsia="en-US"/>
              </w:rPr>
              <w:t>tīmekļvietnē</w:t>
            </w:r>
            <w:r w:rsidRPr="00E202DE">
              <w:rPr>
                <w:color w:val="000000" w:themeColor="text1"/>
                <w:sz w:val="26"/>
                <w:szCs w:val="26"/>
                <w:lang w:eastAsia="en-US"/>
              </w:rPr>
              <w:t>.</w:t>
            </w:r>
          </w:p>
        </w:tc>
      </w:tr>
      <w:tr w:rsidR="003F7EBC" w:rsidRPr="00DF184D" w:rsidTr="008C2C1A">
        <w:trPr>
          <w:trHeight w:val="339"/>
          <w:jc w:val="center"/>
        </w:trPr>
        <w:tc>
          <w:tcPr>
            <w:tcW w:w="308" w:type="pct"/>
          </w:tcPr>
          <w:p w:rsidR="003F7EBC" w:rsidRPr="00CF5FBA" w:rsidRDefault="003F7EBC" w:rsidP="008C2C1A">
            <w:pPr>
              <w:pStyle w:val="naiskr"/>
              <w:spacing w:before="0" w:after="0"/>
              <w:ind w:left="57" w:right="57"/>
              <w:contextualSpacing/>
              <w:rPr>
                <w:bCs/>
                <w:sz w:val="26"/>
                <w:szCs w:val="26"/>
              </w:rPr>
            </w:pPr>
            <w:r w:rsidRPr="00CF5FBA">
              <w:rPr>
                <w:bCs/>
                <w:sz w:val="26"/>
                <w:szCs w:val="26"/>
              </w:rPr>
              <w:t>2.</w:t>
            </w:r>
          </w:p>
        </w:tc>
        <w:tc>
          <w:tcPr>
            <w:tcW w:w="1592" w:type="pct"/>
          </w:tcPr>
          <w:p w:rsidR="003F7EBC" w:rsidRPr="00CF5FBA" w:rsidRDefault="003F7EBC" w:rsidP="008C2C1A">
            <w:pPr>
              <w:pStyle w:val="naiskr"/>
              <w:spacing w:before="0" w:after="0"/>
              <w:ind w:left="57" w:right="57"/>
              <w:contextualSpacing/>
              <w:rPr>
                <w:sz w:val="26"/>
                <w:szCs w:val="26"/>
              </w:rPr>
            </w:pPr>
            <w:r w:rsidRPr="00CF5FBA">
              <w:rPr>
                <w:sz w:val="26"/>
                <w:szCs w:val="26"/>
              </w:rPr>
              <w:t xml:space="preserve">Sabiedrības līdzdalība projekta izstrādē </w:t>
            </w:r>
          </w:p>
        </w:tc>
        <w:tc>
          <w:tcPr>
            <w:tcW w:w="3100" w:type="pct"/>
          </w:tcPr>
          <w:p w:rsidR="003F7EBC" w:rsidRPr="00CF5FBA" w:rsidRDefault="003F7EBC" w:rsidP="008C2C1A">
            <w:pPr>
              <w:pStyle w:val="naiskr"/>
              <w:spacing w:before="0" w:after="0"/>
              <w:ind w:left="57" w:right="57"/>
              <w:contextualSpacing/>
              <w:jc w:val="both"/>
              <w:rPr>
                <w:sz w:val="26"/>
                <w:szCs w:val="26"/>
              </w:rPr>
            </w:pPr>
            <w:r w:rsidRPr="00CF5FBA">
              <w:rPr>
                <w:sz w:val="26"/>
                <w:szCs w:val="26"/>
                <w:lang w:eastAsia="en-US"/>
              </w:rPr>
              <w:t>Sabiedrības priekšlikumi vai iebildumi nav saņemti.</w:t>
            </w:r>
          </w:p>
        </w:tc>
      </w:tr>
      <w:tr w:rsidR="003F7EBC" w:rsidRPr="00DF184D" w:rsidTr="008C2C1A">
        <w:trPr>
          <w:trHeight w:val="375"/>
          <w:jc w:val="center"/>
        </w:trPr>
        <w:tc>
          <w:tcPr>
            <w:tcW w:w="308" w:type="pct"/>
          </w:tcPr>
          <w:p w:rsidR="003F7EBC" w:rsidRPr="00CF5FBA" w:rsidRDefault="003F7EBC" w:rsidP="008C2C1A">
            <w:pPr>
              <w:pStyle w:val="naiskr"/>
              <w:spacing w:before="0" w:after="0"/>
              <w:ind w:left="57" w:right="57"/>
              <w:contextualSpacing/>
              <w:rPr>
                <w:bCs/>
                <w:sz w:val="26"/>
                <w:szCs w:val="26"/>
              </w:rPr>
            </w:pPr>
            <w:r w:rsidRPr="00CF5FBA">
              <w:rPr>
                <w:bCs/>
                <w:sz w:val="26"/>
                <w:szCs w:val="26"/>
              </w:rPr>
              <w:t>3.</w:t>
            </w:r>
          </w:p>
        </w:tc>
        <w:tc>
          <w:tcPr>
            <w:tcW w:w="1592" w:type="pct"/>
          </w:tcPr>
          <w:p w:rsidR="003F7EBC" w:rsidRPr="00CF5FBA" w:rsidRDefault="003F7EBC" w:rsidP="008C2C1A">
            <w:pPr>
              <w:pStyle w:val="naiskr"/>
              <w:spacing w:before="0" w:after="0"/>
              <w:ind w:left="57" w:right="57"/>
              <w:contextualSpacing/>
              <w:rPr>
                <w:sz w:val="26"/>
                <w:szCs w:val="26"/>
              </w:rPr>
            </w:pPr>
            <w:r w:rsidRPr="00CF5FBA">
              <w:rPr>
                <w:sz w:val="26"/>
                <w:szCs w:val="26"/>
              </w:rPr>
              <w:t xml:space="preserve">Sabiedrības līdzdalības rezultāti </w:t>
            </w:r>
          </w:p>
        </w:tc>
        <w:tc>
          <w:tcPr>
            <w:tcW w:w="3100" w:type="pct"/>
          </w:tcPr>
          <w:p w:rsidR="003F7EBC" w:rsidRPr="00CF5FBA" w:rsidRDefault="003F7EBC" w:rsidP="008C2C1A">
            <w:pPr>
              <w:pStyle w:val="naiskr"/>
              <w:spacing w:before="0" w:after="0"/>
              <w:ind w:left="57" w:right="57"/>
              <w:contextualSpacing/>
              <w:jc w:val="both"/>
              <w:rPr>
                <w:sz w:val="26"/>
                <w:szCs w:val="26"/>
              </w:rPr>
            </w:pPr>
            <w:r w:rsidRPr="00CF5FBA">
              <w:rPr>
                <w:sz w:val="26"/>
                <w:szCs w:val="26"/>
                <w:lang w:eastAsia="en-US"/>
              </w:rPr>
              <w:t>Sadaļa tiks precizēta atbilstoši saņemtajiem atzinumiem.</w:t>
            </w:r>
          </w:p>
        </w:tc>
      </w:tr>
      <w:tr w:rsidR="003F7EBC" w:rsidRPr="00CF5FBA" w:rsidTr="008C2C1A">
        <w:trPr>
          <w:trHeight w:val="476"/>
          <w:jc w:val="center"/>
        </w:trPr>
        <w:tc>
          <w:tcPr>
            <w:tcW w:w="308" w:type="pct"/>
          </w:tcPr>
          <w:p w:rsidR="003F7EBC" w:rsidRPr="00CF5FBA" w:rsidRDefault="003F7EBC" w:rsidP="008C2C1A">
            <w:pPr>
              <w:pStyle w:val="naiskr"/>
              <w:spacing w:before="0" w:after="0"/>
              <w:ind w:left="57" w:right="57"/>
              <w:contextualSpacing/>
              <w:rPr>
                <w:bCs/>
                <w:sz w:val="26"/>
                <w:szCs w:val="26"/>
              </w:rPr>
            </w:pPr>
            <w:r w:rsidRPr="00CF5FBA">
              <w:rPr>
                <w:bCs/>
                <w:sz w:val="26"/>
                <w:szCs w:val="26"/>
              </w:rPr>
              <w:t>4.</w:t>
            </w:r>
          </w:p>
        </w:tc>
        <w:tc>
          <w:tcPr>
            <w:tcW w:w="1592" w:type="pct"/>
          </w:tcPr>
          <w:p w:rsidR="003F7EBC" w:rsidRPr="00CF5FBA" w:rsidRDefault="003F7EBC" w:rsidP="008C2C1A">
            <w:pPr>
              <w:pStyle w:val="naiskr"/>
              <w:spacing w:before="0" w:after="0"/>
              <w:ind w:left="57" w:right="57"/>
              <w:contextualSpacing/>
              <w:rPr>
                <w:sz w:val="26"/>
                <w:szCs w:val="26"/>
              </w:rPr>
            </w:pPr>
            <w:r w:rsidRPr="00CF5FBA">
              <w:rPr>
                <w:sz w:val="26"/>
                <w:szCs w:val="26"/>
              </w:rPr>
              <w:t>Cita informācija</w:t>
            </w:r>
          </w:p>
        </w:tc>
        <w:tc>
          <w:tcPr>
            <w:tcW w:w="3100" w:type="pct"/>
          </w:tcPr>
          <w:p w:rsidR="003F7EBC" w:rsidRPr="00CF5FBA" w:rsidRDefault="003F7EBC" w:rsidP="008C2C1A">
            <w:pPr>
              <w:pStyle w:val="naiskr"/>
              <w:spacing w:before="0" w:after="0"/>
              <w:ind w:left="57" w:right="57"/>
              <w:contextualSpacing/>
              <w:jc w:val="both"/>
              <w:rPr>
                <w:sz w:val="26"/>
                <w:szCs w:val="26"/>
              </w:rPr>
            </w:pPr>
            <w:r w:rsidRPr="00CF5FBA">
              <w:rPr>
                <w:sz w:val="26"/>
                <w:szCs w:val="26"/>
              </w:rPr>
              <w:t>Nav</w:t>
            </w:r>
          </w:p>
        </w:tc>
      </w:tr>
    </w:tbl>
    <w:p w:rsidR="003F7EBC" w:rsidRPr="00CF5FBA" w:rsidRDefault="003F7EBC" w:rsidP="003F7EBC">
      <w:pPr>
        <w:pStyle w:val="naisf"/>
        <w:tabs>
          <w:tab w:val="left" w:pos="6710"/>
        </w:tabs>
        <w:spacing w:before="120" w:after="240"/>
        <w:rPr>
          <w:i/>
          <w:sz w:val="28"/>
          <w:szCs w:val="28"/>
        </w:rPr>
      </w:pPr>
      <w:r w:rsidRPr="00CF5FBA">
        <w:rPr>
          <w:i/>
          <w:sz w:val="28"/>
          <w:szCs w:val="28"/>
        </w:rPr>
        <w:t>Anotācijas III, IV, V un VII sadaļa – projekts šīs jomas neskar.</w:t>
      </w:r>
    </w:p>
    <w:p w:rsidR="003F7EBC" w:rsidRPr="00CF5FBA" w:rsidRDefault="003F7EBC" w:rsidP="003F7EBC">
      <w:pPr>
        <w:jc w:val="both"/>
        <w:rPr>
          <w:sz w:val="28"/>
          <w:szCs w:val="28"/>
          <w:lang w:val="lv-LV"/>
        </w:rPr>
      </w:pP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p>
    <w:p w:rsidR="003F7EBC" w:rsidRPr="00CF5FBA" w:rsidRDefault="003F7EBC" w:rsidP="003F7EBC">
      <w:pPr>
        <w:jc w:val="both"/>
        <w:rPr>
          <w:sz w:val="28"/>
          <w:szCs w:val="28"/>
          <w:lang w:val="lv-LV"/>
        </w:rPr>
      </w:pPr>
      <w:r w:rsidRPr="00CF5FBA">
        <w:rPr>
          <w:sz w:val="28"/>
          <w:szCs w:val="28"/>
          <w:lang w:val="lv-LV"/>
        </w:rPr>
        <w:t>Iesniedzējs:</w:t>
      </w:r>
    </w:p>
    <w:p w:rsidR="003F7EBC" w:rsidRPr="001C4EBA" w:rsidRDefault="003F7EBC" w:rsidP="003F7EBC">
      <w:pPr>
        <w:jc w:val="both"/>
        <w:rPr>
          <w:sz w:val="28"/>
          <w:szCs w:val="28"/>
          <w:lang w:val="lv-LV"/>
        </w:rPr>
      </w:pPr>
      <w:r w:rsidRPr="001C4EBA">
        <w:rPr>
          <w:sz w:val="28"/>
          <w:szCs w:val="28"/>
          <w:lang w:val="lv-LV"/>
        </w:rPr>
        <w:t xml:space="preserve">Ministru prezidenta biedrs, </w:t>
      </w:r>
    </w:p>
    <w:p w:rsidR="003F7EBC" w:rsidRPr="00CF5FBA" w:rsidRDefault="003F7EBC" w:rsidP="003F7EBC">
      <w:pPr>
        <w:jc w:val="both"/>
        <w:rPr>
          <w:sz w:val="28"/>
          <w:szCs w:val="28"/>
          <w:lang w:val="lv-LV"/>
        </w:rPr>
      </w:pPr>
      <w:r w:rsidRPr="001C4EBA">
        <w:rPr>
          <w:sz w:val="28"/>
          <w:szCs w:val="28"/>
          <w:lang w:val="lv-LV"/>
        </w:rPr>
        <w:t>ekonomikas ministrs</w:t>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Pr>
          <w:sz w:val="28"/>
          <w:szCs w:val="28"/>
          <w:lang w:val="lv-LV"/>
        </w:rPr>
        <w:t xml:space="preserve">      </w:t>
      </w:r>
      <w:r w:rsidRPr="001C4EBA">
        <w:rPr>
          <w:sz w:val="28"/>
          <w:szCs w:val="28"/>
          <w:lang w:val="lv-LV"/>
        </w:rPr>
        <w:t>Arvils Ašeradens</w:t>
      </w:r>
    </w:p>
    <w:p w:rsidR="003F7EBC" w:rsidRDefault="003F7EBC" w:rsidP="003F7EBC">
      <w:pPr>
        <w:rPr>
          <w:sz w:val="28"/>
          <w:szCs w:val="28"/>
          <w:lang w:val="lv-LV"/>
        </w:rPr>
      </w:pPr>
    </w:p>
    <w:p w:rsidR="003F7EBC" w:rsidRPr="00CF5FBA" w:rsidRDefault="003F7EBC" w:rsidP="003F7EBC">
      <w:pPr>
        <w:rPr>
          <w:sz w:val="28"/>
          <w:szCs w:val="28"/>
          <w:lang w:val="lv-LV"/>
        </w:rPr>
      </w:pPr>
      <w:r w:rsidRPr="00CF5FBA">
        <w:rPr>
          <w:sz w:val="28"/>
          <w:szCs w:val="28"/>
          <w:lang w:val="lv-LV"/>
        </w:rPr>
        <w:t>Vīza:</w:t>
      </w:r>
    </w:p>
    <w:p w:rsidR="003F7EBC" w:rsidRPr="00CF5FBA" w:rsidRDefault="003F7EBC" w:rsidP="003F7EBC">
      <w:pPr>
        <w:rPr>
          <w:sz w:val="28"/>
          <w:szCs w:val="28"/>
          <w:lang w:val="lv-LV"/>
        </w:rPr>
      </w:pPr>
      <w:r w:rsidRPr="00CF5FBA">
        <w:rPr>
          <w:sz w:val="28"/>
          <w:szCs w:val="28"/>
          <w:lang w:val="lv-LV"/>
        </w:rPr>
        <w:t>Valsts sekretārs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Juris </w:t>
      </w:r>
      <w:proofErr w:type="spellStart"/>
      <w:r>
        <w:rPr>
          <w:sz w:val="28"/>
          <w:szCs w:val="28"/>
          <w:lang w:val="lv-LV"/>
        </w:rPr>
        <w:t>Stinka</w:t>
      </w:r>
      <w:proofErr w:type="spellEnd"/>
    </w:p>
    <w:p w:rsidR="003F7EBC" w:rsidRPr="00CF5FBA" w:rsidRDefault="003F7EBC" w:rsidP="003F7EBC">
      <w:pPr>
        <w:rPr>
          <w:sz w:val="28"/>
          <w:szCs w:val="28"/>
          <w:lang w:val="lv-LV"/>
        </w:rPr>
      </w:pP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p>
    <w:p w:rsidR="003F7EBC" w:rsidRDefault="003F7EBC" w:rsidP="003F7EBC">
      <w:pPr>
        <w:tabs>
          <w:tab w:val="left" w:pos="1080"/>
        </w:tabs>
        <w:ind w:firstLine="720"/>
        <w:jc w:val="both"/>
        <w:rPr>
          <w:szCs w:val="28"/>
          <w:lang w:val="lv-LV"/>
        </w:rPr>
      </w:pPr>
    </w:p>
    <w:p w:rsidR="00D222E0" w:rsidRDefault="00D222E0" w:rsidP="005241F5">
      <w:pPr>
        <w:tabs>
          <w:tab w:val="left" w:pos="1080"/>
        </w:tabs>
        <w:ind w:firstLine="720"/>
        <w:jc w:val="both"/>
        <w:rPr>
          <w:szCs w:val="28"/>
          <w:lang w:val="lv-LV"/>
        </w:rPr>
      </w:pPr>
    </w:p>
    <w:p w:rsidR="00D222E0" w:rsidRDefault="00D222E0" w:rsidP="005241F5">
      <w:pPr>
        <w:tabs>
          <w:tab w:val="left" w:pos="1080"/>
        </w:tabs>
        <w:ind w:firstLine="720"/>
        <w:jc w:val="both"/>
        <w:rPr>
          <w:szCs w:val="28"/>
          <w:lang w:val="lv-LV"/>
        </w:rPr>
      </w:pPr>
    </w:p>
    <w:p w:rsidR="00D222E0" w:rsidRDefault="00D222E0" w:rsidP="005241F5">
      <w:pPr>
        <w:tabs>
          <w:tab w:val="left" w:pos="1080"/>
        </w:tabs>
        <w:ind w:firstLine="720"/>
        <w:jc w:val="both"/>
        <w:rPr>
          <w:szCs w:val="28"/>
          <w:lang w:val="lv-LV"/>
        </w:rPr>
      </w:pPr>
    </w:p>
    <w:p w:rsidR="00D222E0" w:rsidRDefault="00D222E0" w:rsidP="005241F5">
      <w:pPr>
        <w:tabs>
          <w:tab w:val="left" w:pos="1080"/>
        </w:tabs>
        <w:ind w:firstLine="720"/>
        <w:jc w:val="both"/>
        <w:rPr>
          <w:szCs w:val="28"/>
          <w:lang w:val="lv-LV"/>
        </w:rPr>
      </w:pPr>
    </w:p>
    <w:p w:rsidR="00D222E0" w:rsidRDefault="00D222E0" w:rsidP="005241F5">
      <w:pPr>
        <w:tabs>
          <w:tab w:val="left" w:pos="1080"/>
        </w:tabs>
        <w:ind w:firstLine="720"/>
        <w:jc w:val="both"/>
        <w:rPr>
          <w:szCs w:val="28"/>
          <w:lang w:val="lv-LV"/>
        </w:rPr>
      </w:pPr>
    </w:p>
    <w:p w:rsidR="00D222E0" w:rsidRDefault="00D222E0" w:rsidP="005241F5">
      <w:pPr>
        <w:tabs>
          <w:tab w:val="left" w:pos="1080"/>
        </w:tabs>
        <w:ind w:firstLine="720"/>
        <w:jc w:val="both"/>
        <w:rPr>
          <w:szCs w:val="28"/>
          <w:lang w:val="lv-LV"/>
        </w:rPr>
      </w:pPr>
    </w:p>
    <w:p w:rsidR="00D222E0" w:rsidRPr="00CF5FBA" w:rsidRDefault="00D222E0" w:rsidP="005241F5">
      <w:pPr>
        <w:tabs>
          <w:tab w:val="left" w:pos="1080"/>
        </w:tabs>
        <w:ind w:firstLine="720"/>
        <w:jc w:val="both"/>
        <w:rPr>
          <w:szCs w:val="28"/>
          <w:lang w:val="lv-LV"/>
        </w:rPr>
      </w:pPr>
    </w:p>
    <w:p w:rsidR="005241F5" w:rsidRPr="00266B20" w:rsidRDefault="005241F5" w:rsidP="005241F5">
      <w:pPr>
        <w:rPr>
          <w:sz w:val="18"/>
          <w:szCs w:val="18"/>
          <w:lang w:val="de-DE"/>
        </w:rPr>
      </w:pPr>
      <w:r w:rsidRPr="00266B20">
        <w:rPr>
          <w:sz w:val="18"/>
          <w:szCs w:val="18"/>
        </w:rPr>
        <w:fldChar w:fldCharType="begin"/>
      </w:r>
      <w:r w:rsidRPr="00266B20">
        <w:rPr>
          <w:sz w:val="18"/>
          <w:szCs w:val="18"/>
        </w:rPr>
        <w:instrText xml:space="preserve"> DATE  \@ "dd.MM.yyyy HH:mm"  \* MERGEFORMAT </w:instrText>
      </w:r>
      <w:r w:rsidRPr="00266B20">
        <w:rPr>
          <w:sz w:val="18"/>
          <w:szCs w:val="18"/>
        </w:rPr>
        <w:fldChar w:fldCharType="separate"/>
      </w:r>
      <w:r w:rsidR="00E7791F">
        <w:rPr>
          <w:noProof/>
          <w:sz w:val="18"/>
          <w:szCs w:val="18"/>
        </w:rPr>
        <w:t>02.02.2017 14:07</w:t>
      </w:r>
      <w:r w:rsidRPr="00266B20">
        <w:rPr>
          <w:sz w:val="18"/>
          <w:szCs w:val="18"/>
        </w:rPr>
        <w:fldChar w:fldCharType="end"/>
      </w:r>
    </w:p>
    <w:p w:rsidR="005241F5" w:rsidRPr="00266B20" w:rsidRDefault="005241F5" w:rsidP="005241F5">
      <w:pPr>
        <w:rPr>
          <w:sz w:val="18"/>
          <w:szCs w:val="18"/>
          <w:lang w:val="de-DE"/>
        </w:rPr>
      </w:pPr>
      <w:r w:rsidRPr="00266B20">
        <w:rPr>
          <w:sz w:val="18"/>
          <w:szCs w:val="18"/>
        </w:rPr>
        <w:fldChar w:fldCharType="begin"/>
      </w:r>
      <w:r w:rsidRPr="00266B20">
        <w:rPr>
          <w:sz w:val="18"/>
          <w:szCs w:val="18"/>
          <w:lang w:val="de-DE"/>
        </w:rPr>
        <w:instrText xml:space="preserve"> NUMWORDS   \* MERGEFORMAT </w:instrText>
      </w:r>
      <w:r w:rsidRPr="00266B20">
        <w:rPr>
          <w:sz w:val="18"/>
          <w:szCs w:val="18"/>
        </w:rPr>
        <w:fldChar w:fldCharType="separate"/>
      </w:r>
      <w:r w:rsidR="00E7791F">
        <w:rPr>
          <w:noProof/>
          <w:sz w:val="18"/>
          <w:szCs w:val="18"/>
          <w:lang w:val="de-DE"/>
        </w:rPr>
        <w:t>613</w:t>
      </w:r>
      <w:r w:rsidRPr="00266B20">
        <w:rPr>
          <w:sz w:val="18"/>
          <w:szCs w:val="18"/>
        </w:rPr>
        <w:fldChar w:fldCharType="end"/>
      </w:r>
    </w:p>
    <w:p w:rsidR="001C4EBA" w:rsidRPr="00266B20" w:rsidRDefault="001C4EBA">
      <w:pPr>
        <w:rPr>
          <w:sz w:val="18"/>
          <w:szCs w:val="18"/>
          <w:lang w:val="de-DE"/>
        </w:rPr>
      </w:pPr>
      <w:r w:rsidRPr="00266B20">
        <w:rPr>
          <w:sz w:val="18"/>
          <w:szCs w:val="18"/>
          <w:lang w:val="de-DE"/>
        </w:rPr>
        <w:t>Vīksna</w:t>
      </w:r>
      <w:r w:rsidR="005241F5" w:rsidRPr="00266B20">
        <w:rPr>
          <w:sz w:val="18"/>
          <w:szCs w:val="18"/>
          <w:lang w:val="de-DE"/>
        </w:rPr>
        <w:t>,</w:t>
      </w:r>
      <w:r w:rsidRPr="00266B20">
        <w:rPr>
          <w:sz w:val="18"/>
          <w:szCs w:val="18"/>
          <w:lang w:val="de-DE"/>
        </w:rPr>
        <w:t xml:space="preserve"> </w:t>
      </w:r>
      <w:r w:rsidR="005241F5" w:rsidRPr="00266B20">
        <w:rPr>
          <w:sz w:val="18"/>
          <w:szCs w:val="18"/>
          <w:lang w:val="de-DE"/>
        </w:rPr>
        <w:t>67013</w:t>
      </w:r>
      <w:r w:rsidR="003F14FB">
        <w:rPr>
          <w:sz w:val="18"/>
          <w:szCs w:val="18"/>
          <w:lang w:val="de-DE"/>
        </w:rPr>
        <w:t>140</w:t>
      </w:r>
      <w:r w:rsidR="005241F5" w:rsidRPr="00266B20">
        <w:rPr>
          <w:sz w:val="18"/>
          <w:szCs w:val="18"/>
          <w:lang w:val="de-DE"/>
        </w:rPr>
        <w:t xml:space="preserve">, </w:t>
      </w:r>
    </w:p>
    <w:p w:rsidR="00F259AE" w:rsidRPr="001C4EBA" w:rsidRDefault="001C4EBA" w:rsidP="00267B68">
      <w:pPr>
        <w:tabs>
          <w:tab w:val="left" w:pos="3468"/>
        </w:tabs>
      </w:pPr>
      <w:r w:rsidRPr="00266B20">
        <w:rPr>
          <w:sz w:val="18"/>
          <w:szCs w:val="18"/>
          <w:lang w:val="de-DE"/>
        </w:rPr>
        <w:t>Marija.Viksna</w:t>
      </w:r>
      <w:hyperlink r:id="rId8" w:history="1">
        <w:r w:rsidR="005241F5" w:rsidRPr="00266B20">
          <w:rPr>
            <w:rStyle w:val="Hyperlink"/>
            <w:color w:val="auto"/>
            <w:sz w:val="18"/>
            <w:szCs w:val="18"/>
            <w:u w:val="none"/>
            <w:lang w:val="de-DE"/>
          </w:rPr>
          <w:t>@em.gov.lv</w:t>
        </w:r>
      </w:hyperlink>
      <w:r w:rsidR="00267B68">
        <w:rPr>
          <w:rStyle w:val="Hyperlink"/>
          <w:color w:val="auto"/>
          <w:sz w:val="18"/>
          <w:szCs w:val="18"/>
          <w:u w:val="none"/>
          <w:lang w:val="de-DE"/>
        </w:rPr>
        <w:tab/>
      </w:r>
      <w:bookmarkStart w:id="5" w:name="_GoBack"/>
      <w:bookmarkEnd w:id="5"/>
    </w:p>
    <w:sectPr w:rsidR="00F259AE" w:rsidRPr="001C4EBA" w:rsidSect="00FD2D5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E1" w:rsidRDefault="00F957E1" w:rsidP="003440F0">
      <w:r>
        <w:separator/>
      </w:r>
    </w:p>
  </w:endnote>
  <w:endnote w:type="continuationSeparator" w:id="0">
    <w:p w:rsidR="00F957E1" w:rsidRDefault="00F957E1" w:rsidP="0034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2A" w:rsidRDefault="00315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Pr="00686140" w:rsidRDefault="00266B20" w:rsidP="00315E2A">
    <w:pPr>
      <w:pStyle w:val="Footer"/>
      <w:jc w:val="both"/>
    </w:pPr>
    <w:r>
      <w:rPr>
        <w:sz w:val="20"/>
        <w:lang w:val="lv-LV"/>
      </w:rPr>
      <w:t>EManot_</w:t>
    </w:r>
    <w:r w:rsidR="00E75744">
      <w:rPr>
        <w:sz w:val="20"/>
        <w:lang w:val="lv-LV"/>
      </w:rPr>
      <w:t>0102</w:t>
    </w:r>
    <w:r w:rsidR="00267B68">
      <w:rPr>
        <w:sz w:val="20"/>
        <w:lang w:val="lv-LV"/>
      </w:rPr>
      <w:t>17</w:t>
    </w:r>
    <w:r w:rsidR="00686140" w:rsidRPr="00686140">
      <w:rPr>
        <w:sz w:val="20"/>
        <w:lang w:val="lv-LV"/>
      </w:rPr>
      <w:t>_LBN222</w:t>
    </w:r>
    <w:r w:rsidR="00EA48FE">
      <w:rPr>
        <w:sz w:val="20"/>
        <w:lang w:val="lv-LV"/>
      </w:rPr>
      <w:t>_groz</w:t>
    </w:r>
    <w:r w:rsidR="00D24E67">
      <w:rPr>
        <w:sz w:val="20"/>
        <w:lang w:val="lv-LV"/>
      </w:rPr>
      <w:t xml:space="preserve">; </w:t>
    </w:r>
    <w:r w:rsidR="00686140" w:rsidRPr="00686140">
      <w:rPr>
        <w:sz w:val="20"/>
        <w:lang w:val="lv-LV"/>
      </w:rPr>
      <w:t>Ministru kabineta noteikumu projekta “Grozījumi Ministru kabineta 2015.gada 30.jūnija noteikumos Nr.3</w:t>
    </w:r>
    <w:r w:rsidR="006A1CF9">
      <w:rPr>
        <w:sz w:val="20"/>
        <w:lang w:val="lv-LV"/>
      </w:rPr>
      <w:t>26</w:t>
    </w:r>
    <w:r w:rsidR="00584F27">
      <w:rPr>
        <w:sz w:val="20"/>
        <w:lang w:val="lv-LV"/>
      </w:rPr>
      <w:t xml:space="preserve"> </w:t>
    </w:r>
    <w:r w:rsidR="00686140" w:rsidRPr="00686140">
      <w:rPr>
        <w:sz w:val="20"/>
        <w:lang w:val="lv-LV"/>
      </w:rPr>
      <w:t>„Noteikumi par Latvijas būvnormatīvu LBN 222-15 „Ūdensapgādes būves”””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4" w:rsidRPr="001622EA" w:rsidRDefault="004B753D" w:rsidP="00D222E0">
    <w:pPr>
      <w:jc w:val="both"/>
      <w:rPr>
        <w:lang w:val="lv-LV"/>
      </w:rPr>
    </w:pPr>
    <w:r w:rsidRPr="001622EA">
      <w:rPr>
        <w:sz w:val="20"/>
        <w:lang w:val="lv-LV"/>
      </w:rPr>
      <w:fldChar w:fldCharType="begin"/>
    </w:r>
    <w:r w:rsidRPr="001622EA">
      <w:rPr>
        <w:sz w:val="20"/>
        <w:lang w:val="lv-LV"/>
      </w:rPr>
      <w:instrText xml:space="preserve"> FILENAME   \* MERGEFORMAT </w:instrText>
    </w:r>
    <w:r w:rsidRPr="001622EA">
      <w:rPr>
        <w:sz w:val="20"/>
        <w:lang w:val="lv-LV"/>
      </w:rPr>
      <w:fldChar w:fldCharType="separate"/>
    </w:r>
    <w:r w:rsidR="002700FF">
      <w:rPr>
        <w:noProof/>
        <w:sz w:val="20"/>
        <w:lang w:val="lv-LV"/>
      </w:rPr>
      <w:t>EManot_</w:t>
    </w:r>
    <w:r w:rsidR="00E75744">
      <w:rPr>
        <w:noProof/>
        <w:sz w:val="20"/>
        <w:lang w:val="lv-LV"/>
      </w:rPr>
      <w:t>0102</w:t>
    </w:r>
    <w:r w:rsidR="006813FD">
      <w:rPr>
        <w:noProof/>
        <w:sz w:val="20"/>
        <w:lang w:val="lv-LV"/>
      </w:rPr>
      <w:t>17_LBN222_groz</w:t>
    </w:r>
    <w:r w:rsidRPr="001622EA">
      <w:rPr>
        <w:noProof/>
        <w:sz w:val="20"/>
        <w:lang w:val="lv-LV"/>
      </w:rPr>
      <w:fldChar w:fldCharType="end"/>
    </w:r>
    <w:r w:rsidR="00315E2A">
      <w:rPr>
        <w:noProof/>
        <w:sz w:val="20"/>
        <w:lang w:val="lv-LV"/>
      </w:rPr>
      <w:t>;</w:t>
    </w:r>
    <w:r w:rsidR="00D24E67">
      <w:rPr>
        <w:sz w:val="20"/>
        <w:lang w:val="lv-LV"/>
      </w:rPr>
      <w:t xml:space="preserve"> </w:t>
    </w:r>
    <w:r w:rsidR="00D222E0" w:rsidRPr="00D222E0">
      <w:rPr>
        <w:sz w:val="20"/>
        <w:lang w:val="lv-LV"/>
      </w:rPr>
      <w:t>Ministru kabineta noteikumu projekta</w:t>
    </w:r>
    <w:r w:rsidR="00D222E0">
      <w:rPr>
        <w:sz w:val="20"/>
        <w:lang w:val="lv-LV"/>
      </w:rPr>
      <w:t xml:space="preserve"> </w:t>
    </w:r>
    <w:r w:rsidR="00D222E0" w:rsidRPr="00D222E0">
      <w:rPr>
        <w:sz w:val="20"/>
        <w:lang w:val="lv-LV"/>
      </w:rPr>
      <w:t>“Grozījumi Ministru kabineta 2015.gada 30.jūnija noteikumos Nr.3</w:t>
    </w:r>
    <w:r w:rsidR="00113BA4">
      <w:rPr>
        <w:sz w:val="20"/>
        <w:lang w:val="lv-LV"/>
      </w:rPr>
      <w:t>26</w:t>
    </w:r>
    <w:r w:rsidR="00D222E0" w:rsidRPr="00D222E0">
      <w:rPr>
        <w:sz w:val="20"/>
        <w:lang w:val="lv-LV"/>
      </w:rPr>
      <w:t>„Noteikumi par Latvijas būvnormatīvu LBN 222-15 „Ūdensapgādes būves”””</w:t>
    </w:r>
    <w:r w:rsidR="00D222E0">
      <w:rPr>
        <w:sz w:val="20"/>
        <w:lang w:val="lv-LV"/>
      </w:rPr>
      <w:t xml:space="preserve"> </w:t>
    </w:r>
    <w:r w:rsidR="00D222E0" w:rsidRPr="00D222E0">
      <w:rPr>
        <w:sz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E1" w:rsidRDefault="00F957E1" w:rsidP="003440F0">
      <w:r>
        <w:separator/>
      </w:r>
    </w:p>
  </w:footnote>
  <w:footnote w:type="continuationSeparator" w:id="0">
    <w:p w:rsidR="00F957E1" w:rsidRDefault="00F957E1" w:rsidP="0034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2A" w:rsidRDefault="00315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4B753D">
    <w:pPr>
      <w:pStyle w:val="Header"/>
      <w:jc w:val="center"/>
      <w:rPr>
        <w:sz w:val="24"/>
      </w:rPr>
    </w:pPr>
    <w:r>
      <w:rPr>
        <w:sz w:val="24"/>
      </w:rPr>
      <w:fldChar w:fldCharType="begin"/>
    </w:r>
    <w:r>
      <w:rPr>
        <w:sz w:val="24"/>
      </w:rPr>
      <w:instrText xml:space="preserve"> PAGE   \* MERGEFORMAT </w:instrText>
    </w:r>
    <w:r>
      <w:rPr>
        <w:sz w:val="24"/>
      </w:rPr>
      <w:fldChar w:fldCharType="separate"/>
    </w:r>
    <w:r w:rsidR="00E7791F">
      <w:rPr>
        <w:noProof/>
        <w:sz w:val="24"/>
      </w:rPr>
      <w:t>2</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2A" w:rsidRDefault="00315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B2142"/>
    <w:multiLevelType w:val="hybridMultilevel"/>
    <w:tmpl w:val="AC861E88"/>
    <w:lvl w:ilvl="0" w:tplc="D8B6808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5"/>
    <w:rsid w:val="00021F2B"/>
    <w:rsid w:val="00061A9E"/>
    <w:rsid w:val="0007624C"/>
    <w:rsid w:val="000C6714"/>
    <w:rsid w:val="000D7725"/>
    <w:rsid w:val="000E2C16"/>
    <w:rsid w:val="00113BA4"/>
    <w:rsid w:val="0015590B"/>
    <w:rsid w:val="001778F9"/>
    <w:rsid w:val="001A029B"/>
    <w:rsid w:val="001B4822"/>
    <w:rsid w:val="001B7955"/>
    <w:rsid w:val="001C4EBA"/>
    <w:rsid w:val="001D2094"/>
    <w:rsid w:val="001F3E18"/>
    <w:rsid w:val="00211EEB"/>
    <w:rsid w:val="002372AE"/>
    <w:rsid w:val="00256390"/>
    <w:rsid w:val="00266B20"/>
    <w:rsid w:val="00267B68"/>
    <w:rsid w:val="002700FF"/>
    <w:rsid w:val="00281BAD"/>
    <w:rsid w:val="00297085"/>
    <w:rsid w:val="002B1820"/>
    <w:rsid w:val="002B4FE0"/>
    <w:rsid w:val="002D7D37"/>
    <w:rsid w:val="002E0A01"/>
    <w:rsid w:val="002F0E62"/>
    <w:rsid w:val="00315E2A"/>
    <w:rsid w:val="00336659"/>
    <w:rsid w:val="003440F0"/>
    <w:rsid w:val="00394437"/>
    <w:rsid w:val="003C2799"/>
    <w:rsid w:val="003E04A2"/>
    <w:rsid w:val="003F14FB"/>
    <w:rsid w:val="003F7EBC"/>
    <w:rsid w:val="004173E3"/>
    <w:rsid w:val="00443159"/>
    <w:rsid w:val="004575F5"/>
    <w:rsid w:val="00496A28"/>
    <w:rsid w:val="004B753D"/>
    <w:rsid w:val="004C1E0C"/>
    <w:rsid w:val="004F3D17"/>
    <w:rsid w:val="004F6145"/>
    <w:rsid w:val="004F6A60"/>
    <w:rsid w:val="005241F5"/>
    <w:rsid w:val="00584F27"/>
    <w:rsid w:val="005E2950"/>
    <w:rsid w:val="005E4215"/>
    <w:rsid w:val="005E7D42"/>
    <w:rsid w:val="006178CD"/>
    <w:rsid w:val="00626625"/>
    <w:rsid w:val="006813FD"/>
    <w:rsid w:val="00686140"/>
    <w:rsid w:val="006942E6"/>
    <w:rsid w:val="006A1CF9"/>
    <w:rsid w:val="006D09DC"/>
    <w:rsid w:val="006D7AE7"/>
    <w:rsid w:val="00740FDC"/>
    <w:rsid w:val="00776F72"/>
    <w:rsid w:val="00791667"/>
    <w:rsid w:val="007B2A8D"/>
    <w:rsid w:val="00842665"/>
    <w:rsid w:val="00861290"/>
    <w:rsid w:val="00866FBA"/>
    <w:rsid w:val="008F0735"/>
    <w:rsid w:val="009074C5"/>
    <w:rsid w:val="009103C1"/>
    <w:rsid w:val="009B189B"/>
    <w:rsid w:val="009D6150"/>
    <w:rsid w:val="00A52E2D"/>
    <w:rsid w:val="00AB79C6"/>
    <w:rsid w:val="00AD114F"/>
    <w:rsid w:val="00AE1125"/>
    <w:rsid w:val="00AF1530"/>
    <w:rsid w:val="00AF2DD4"/>
    <w:rsid w:val="00B506BA"/>
    <w:rsid w:val="00B812F7"/>
    <w:rsid w:val="00B837B2"/>
    <w:rsid w:val="00BB0E49"/>
    <w:rsid w:val="00BD373A"/>
    <w:rsid w:val="00BF096B"/>
    <w:rsid w:val="00C01ACE"/>
    <w:rsid w:val="00C20C2C"/>
    <w:rsid w:val="00C549A0"/>
    <w:rsid w:val="00C60D43"/>
    <w:rsid w:val="00C6741F"/>
    <w:rsid w:val="00C85452"/>
    <w:rsid w:val="00CC21AA"/>
    <w:rsid w:val="00CE6DEE"/>
    <w:rsid w:val="00D12760"/>
    <w:rsid w:val="00D222E0"/>
    <w:rsid w:val="00D24E67"/>
    <w:rsid w:val="00D31622"/>
    <w:rsid w:val="00D469FB"/>
    <w:rsid w:val="00DA7AE0"/>
    <w:rsid w:val="00DB4226"/>
    <w:rsid w:val="00DD004C"/>
    <w:rsid w:val="00DD49CC"/>
    <w:rsid w:val="00E15D1D"/>
    <w:rsid w:val="00E202DE"/>
    <w:rsid w:val="00E75744"/>
    <w:rsid w:val="00E7791F"/>
    <w:rsid w:val="00E8507E"/>
    <w:rsid w:val="00EA48FE"/>
    <w:rsid w:val="00EC553B"/>
    <w:rsid w:val="00EC5F46"/>
    <w:rsid w:val="00F00907"/>
    <w:rsid w:val="00F259AE"/>
    <w:rsid w:val="00F67D14"/>
    <w:rsid w:val="00F816D2"/>
    <w:rsid w:val="00F957E1"/>
    <w:rsid w:val="00FD5094"/>
    <w:rsid w:val="00FE62DF"/>
    <w:rsid w:val="00FF3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31A20459-8148-4E79-9B29-9845EB7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F5"/>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241F5"/>
    <w:pPr>
      <w:spacing w:before="100" w:after="100"/>
    </w:pPr>
    <w:rPr>
      <w:lang w:val="lv-LV"/>
    </w:rPr>
  </w:style>
  <w:style w:type="paragraph" w:styleId="Header">
    <w:name w:val="header"/>
    <w:basedOn w:val="Normal"/>
    <w:link w:val="HeaderChar"/>
    <w:uiPriority w:val="99"/>
    <w:rsid w:val="005241F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5241F5"/>
    <w:rPr>
      <w:rFonts w:ascii="Times New Roman" w:eastAsia="Times New Roman" w:hAnsi="Times New Roman" w:cs="Times New Roman"/>
      <w:szCs w:val="20"/>
      <w:lang w:eastAsia="lv-LV"/>
    </w:rPr>
  </w:style>
  <w:style w:type="paragraph" w:customStyle="1" w:styleId="naiskr">
    <w:name w:val="naiskr"/>
    <w:basedOn w:val="Normal"/>
    <w:rsid w:val="005241F5"/>
    <w:pPr>
      <w:spacing w:before="75" w:after="75"/>
    </w:pPr>
    <w:rPr>
      <w:szCs w:val="24"/>
      <w:lang w:val="lv-LV"/>
    </w:rPr>
  </w:style>
  <w:style w:type="paragraph" w:customStyle="1" w:styleId="naisnod">
    <w:name w:val="naisnod"/>
    <w:basedOn w:val="Normal"/>
    <w:rsid w:val="005241F5"/>
    <w:pPr>
      <w:spacing w:before="150" w:after="150"/>
      <w:jc w:val="center"/>
    </w:pPr>
    <w:rPr>
      <w:b/>
      <w:bCs/>
      <w:szCs w:val="24"/>
      <w:lang w:val="lv-LV"/>
    </w:rPr>
  </w:style>
  <w:style w:type="paragraph" w:styleId="Footer">
    <w:name w:val="footer"/>
    <w:basedOn w:val="Normal"/>
    <w:link w:val="FooterChar"/>
    <w:uiPriority w:val="99"/>
    <w:unhideWhenUsed/>
    <w:rsid w:val="005241F5"/>
    <w:pPr>
      <w:tabs>
        <w:tab w:val="center" w:pos="4153"/>
        <w:tab w:val="right" w:pos="8306"/>
      </w:tabs>
    </w:pPr>
  </w:style>
  <w:style w:type="character" w:customStyle="1" w:styleId="FooterChar">
    <w:name w:val="Footer Char"/>
    <w:basedOn w:val="DefaultParagraphFont"/>
    <w:link w:val="Footer"/>
    <w:uiPriority w:val="99"/>
    <w:rsid w:val="005241F5"/>
    <w:rPr>
      <w:rFonts w:ascii="Times New Roman" w:eastAsia="Times New Roman" w:hAnsi="Times New Roman" w:cs="Times New Roman"/>
      <w:sz w:val="24"/>
      <w:szCs w:val="20"/>
      <w:lang w:val="en-AU" w:eastAsia="lv-LV"/>
    </w:rPr>
  </w:style>
  <w:style w:type="character" w:styleId="Hyperlink">
    <w:name w:val="Hyperlink"/>
    <w:basedOn w:val="DefaultParagraphFont"/>
    <w:uiPriority w:val="99"/>
    <w:semiHidden/>
    <w:unhideWhenUsed/>
    <w:rsid w:val="005241F5"/>
    <w:rPr>
      <w:color w:val="0000FF"/>
      <w:u w:val="single"/>
    </w:rPr>
  </w:style>
  <w:style w:type="paragraph" w:customStyle="1" w:styleId="naislab">
    <w:name w:val="naislab"/>
    <w:basedOn w:val="Normal"/>
    <w:rsid w:val="00B812F7"/>
    <w:pPr>
      <w:spacing w:before="75" w:after="75"/>
      <w:jc w:val="right"/>
    </w:pPr>
    <w:rPr>
      <w:szCs w:val="24"/>
      <w:lang w:val="lv-LV"/>
    </w:rPr>
  </w:style>
  <w:style w:type="paragraph" w:styleId="BalloonText">
    <w:name w:val="Balloon Text"/>
    <w:basedOn w:val="Normal"/>
    <w:link w:val="BalloonTextChar"/>
    <w:uiPriority w:val="99"/>
    <w:semiHidden/>
    <w:unhideWhenUsed/>
    <w:rsid w:val="00C01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CE"/>
    <w:rPr>
      <w:rFonts w:ascii="Segoe UI" w:eastAsia="Times New Roman" w:hAnsi="Segoe UI" w:cs="Segoe UI"/>
      <w:sz w:val="18"/>
      <w:szCs w:val="18"/>
      <w:lang w:val="en-AU" w:eastAsia="lv-LV"/>
    </w:rPr>
  </w:style>
  <w:style w:type="character" w:styleId="SubtleEmphasis">
    <w:name w:val="Subtle Emphasis"/>
    <w:basedOn w:val="DefaultParagraphFont"/>
    <w:uiPriority w:val="19"/>
    <w:qFormat/>
    <w:rsid w:val="006942E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6890-093F-4309-83A3-678954BD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640</Words>
  <Characters>4781</Characters>
  <Application>Microsoft Office Word</Application>
  <DocSecurity>0</DocSecurity>
  <Lines>199</Lines>
  <Paragraphs>69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Marija Vīksna</cp:lastModifiedBy>
  <cp:revision>7</cp:revision>
  <cp:lastPrinted>2016-10-21T12:14:00Z</cp:lastPrinted>
  <dcterms:created xsi:type="dcterms:W3CDTF">2017-01-30T13:38:00Z</dcterms:created>
  <dcterms:modified xsi:type="dcterms:W3CDTF">2017-02-02T12:08:00Z</dcterms:modified>
</cp:coreProperties>
</file>