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424C5" w14:textId="5F9264A1" w:rsidR="001A3F49" w:rsidRPr="001A3F49" w:rsidRDefault="00193E45" w:rsidP="00144005">
      <w:pPr>
        <w:jc w:val="center"/>
        <w:rPr>
          <w:b/>
          <w:bCs/>
          <w:sz w:val="28"/>
          <w:szCs w:val="28"/>
        </w:rPr>
      </w:pPr>
      <w:bookmarkStart w:id="0" w:name="OLE_LINK3"/>
      <w:bookmarkStart w:id="1" w:name="OLE_LINK4"/>
      <w:bookmarkStart w:id="2" w:name="OLE_LINK5"/>
      <w:bookmarkStart w:id="3" w:name="OLE_LINK1"/>
      <w:bookmarkStart w:id="4" w:name="OLE_LINK2"/>
      <w:r w:rsidRPr="00E52C93">
        <w:rPr>
          <w:b/>
          <w:sz w:val="28"/>
          <w:szCs w:val="28"/>
        </w:rPr>
        <w:t>Ministru kabineta noteikumu projekta „</w:t>
      </w:r>
      <w:r w:rsidR="00532411">
        <w:rPr>
          <w:b/>
          <w:sz w:val="28"/>
          <w:szCs w:val="28"/>
        </w:rPr>
        <w:t xml:space="preserve">Grozījumi </w:t>
      </w:r>
      <w:r w:rsidR="00144005" w:rsidRPr="00C24CC1">
        <w:rPr>
          <w:b/>
          <w:sz w:val="28"/>
          <w:szCs w:val="28"/>
        </w:rPr>
        <w:t xml:space="preserve">Ministru kabineta 2011.gada 19.aprīļa noteikumos Nr.312 </w:t>
      </w:r>
      <w:r w:rsidR="000B2EDC" w:rsidRPr="00E52C93">
        <w:rPr>
          <w:b/>
          <w:sz w:val="28"/>
          <w:szCs w:val="28"/>
        </w:rPr>
        <w:t>„</w:t>
      </w:r>
      <w:r w:rsidR="00144005" w:rsidRPr="00755A23">
        <w:rPr>
          <w:b/>
          <w:sz w:val="28"/>
          <w:szCs w:val="28"/>
        </w:rPr>
        <w:t>Enerģijas lietotāju apgādes un kurināmā pārdošanas kārtība izsludinātas enerģētiskās krīzes laikā un valsts apdraudējuma gadījumā</w:t>
      </w:r>
      <w:r w:rsidR="00144005">
        <w:rPr>
          <w:b/>
          <w:sz w:val="28"/>
          <w:szCs w:val="28"/>
        </w:rPr>
        <w:t>”</w:t>
      </w:r>
      <w:r w:rsidRPr="00E52C93">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E52C93">
          <w:rPr>
            <w:b/>
            <w:sz w:val="28"/>
            <w:szCs w:val="28"/>
          </w:rPr>
          <w:t>ziņojums</w:t>
        </w:r>
      </w:smartTag>
      <w:r w:rsidRPr="00E52C93">
        <w:rPr>
          <w:b/>
          <w:sz w:val="28"/>
          <w:szCs w:val="28"/>
        </w:rPr>
        <w:t xml:space="preserve"> (</w:t>
      </w:r>
      <w:r w:rsidRPr="00E52C93">
        <w:rPr>
          <w:b/>
          <w:bCs/>
          <w:sz w:val="28"/>
          <w:szCs w:val="28"/>
        </w:rPr>
        <w:t>anotācija)</w:t>
      </w:r>
      <w:bookmarkEnd w:id="0"/>
      <w:bookmarkEnd w:id="1"/>
      <w:bookmarkEnd w:id="2"/>
      <w:bookmarkEnd w:id="3"/>
      <w:bookmarkEnd w:id="4"/>
    </w:p>
    <w:tbl>
      <w:tblPr>
        <w:tblW w:w="93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000"/>
        <w:gridCol w:w="5812"/>
      </w:tblGrid>
      <w:tr w:rsidR="00193E45" w:rsidRPr="00912A6D" w14:paraId="1101719D" w14:textId="77777777" w:rsidTr="00EA4D18">
        <w:tc>
          <w:tcPr>
            <w:tcW w:w="9336" w:type="dxa"/>
            <w:gridSpan w:val="3"/>
            <w:vAlign w:val="center"/>
          </w:tcPr>
          <w:p w14:paraId="26EA9922" w14:textId="77777777" w:rsidR="00193E45" w:rsidRPr="00912A6D" w:rsidRDefault="00193E45" w:rsidP="00912A6D">
            <w:pPr>
              <w:jc w:val="center"/>
              <w:rPr>
                <w:sz w:val="28"/>
                <w:szCs w:val="28"/>
              </w:rPr>
            </w:pPr>
            <w:r w:rsidRPr="00912A6D">
              <w:rPr>
                <w:b/>
                <w:sz w:val="28"/>
                <w:szCs w:val="28"/>
              </w:rPr>
              <w:t>I. Tiesību akta projekta izstrādes nepieciešamība</w:t>
            </w:r>
          </w:p>
        </w:tc>
      </w:tr>
      <w:tr w:rsidR="00193E45" w:rsidRPr="00912A6D" w14:paraId="41A8FA4D" w14:textId="77777777" w:rsidTr="00EA4D18">
        <w:trPr>
          <w:trHeight w:val="439"/>
        </w:trPr>
        <w:tc>
          <w:tcPr>
            <w:tcW w:w="524" w:type="dxa"/>
          </w:tcPr>
          <w:p w14:paraId="7F7059B7" w14:textId="77777777" w:rsidR="00193E45" w:rsidRPr="00912A6D" w:rsidRDefault="00193E45" w:rsidP="00912A6D">
            <w:pPr>
              <w:ind w:left="57" w:right="57"/>
              <w:rPr>
                <w:sz w:val="28"/>
                <w:szCs w:val="28"/>
              </w:rPr>
            </w:pPr>
            <w:r w:rsidRPr="00912A6D">
              <w:rPr>
                <w:sz w:val="28"/>
                <w:szCs w:val="28"/>
              </w:rPr>
              <w:t> 1.</w:t>
            </w:r>
          </w:p>
        </w:tc>
        <w:tc>
          <w:tcPr>
            <w:tcW w:w="3000" w:type="dxa"/>
          </w:tcPr>
          <w:p w14:paraId="142EBED7" w14:textId="77777777" w:rsidR="00193E45" w:rsidRPr="00912A6D" w:rsidRDefault="00193E45" w:rsidP="00F22A3C">
            <w:pPr>
              <w:ind w:left="57" w:right="57"/>
              <w:jc w:val="both"/>
              <w:rPr>
                <w:sz w:val="28"/>
                <w:szCs w:val="28"/>
              </w:rPr>
            </w:pPr>
            <w:r w:rsidRPr="00912A6D">
              <w:rPr>
                <w:sz w:val="28"/>
                <w:szCs w:val="28"/>
              </w:rPr>
              <w:t>Pamatojums</w:t>
            </w:r>
          </w:p>
        </w:tc>
        <w:tc>
          <w:tcPr>
            <w:tcW w:w="5812" w:type="dxa"/>
          </w:tcPr>
          <w:p w14:paraId="605BED3C" w14:textId="090D7C83" w:rsidR="00193E45" w:rsidRPr="00912A6D" w:rsidRDefault="00C424CF" w:rsidP="00701AB6">
            <w:pPr>
              <w:ind w:right="151"/>
              <w:jc w:val="both"/>
              <w:rPr>
                <w:sz w:val="28"/>
                <w:szCs w:val="28"/>
              </w:rPr>
            </w:pPr>
            <w:r>
              <w:rPr>
                <w:sz w:val="28"/>
                <w:szCs w:val="28"/>
              </w:rPr>
              <w:t xml:space="preserve">      </w:t>
            </w:r>
            <w:r w:rsidR="00193E45" w:rsidRPr="00912A6D">
              <w:rPr>
                <w:sz w:val="28"/>
                <w:szCs w:val="28"/>
              </w:rPr>
              <w:t xml:space="preserve">Ministru kabineta noteikumu projekts </w:t>
            </w:r>
            <w:r w:rsidR="0003048F" w:rsidRPr="0003048F">
              <w:rPr>
                <w:sz w:val="28"/>
                <w:szCs w:val="28"/>
              </w:rPr>
              <w:t>„</w:t>
            </w:r>
            <w:r w:rsidR="00532411" w:rsidRPr="0003048F">
              <w:rPr>
                <w:sz w:val="28"/>
                <w:szCs w:val="28"/>
              </w:rPr>
              <w:t>Grozījum</w:t>
            </w:r>
            <w:r w:rsidR="00532411">
              <w:rPr>
                <w:sz w:val="28"/>
                <w:szCs w:val="28"/>
              </w:rPr>
              <w:t>i</w:t>
            </w:r>
            <w:r w:rsidR="00532411" w:rsidRPr="0003048F">
              <w:rPr>
                <w:sz w:val="28"/>
                <w:szCs w:val="28"/>
              </w:rPr>
              <w:t xml:space="preserve"> </w:t>
            </w:r>
            <w:r w:rsidR="0003048F" w:rsidRPr="0003048F">
              <w:rPr>
                <w:sz w:val="28"/>
                <w:szCs w:val="28"/>
              </w:rPr>
              <w:t>Ministru kabineta 2011.gada 19.aprīļa noteikumos Nr.312 „Enerģijas lietotāju apgādes un kurināmā pārdošanas kārtība izsludinātas enerģētiskās krīzes laikā un valsts apdraudējuma gadījumā””</w:t>
            </w:r>
            <w:r w:rsidR="0032711D" w:rsidRPr="00912A6D">
              <w:rPr>
                <w:sz w:val="28"/>
                <w:szCs w:val="28"/>
              </w:rPr>
              <w:t xml:space="preserve"> </w:t>
            </w:r>
            <w:r w:rsidR="00193E45" w:rsidRPr="00912A6D">
              <w:rPr>
                <w:sz w:val="28"/>
                <w:szCs w:val="28"/>
              </w:rPr>
              <w:t xml:space="preserve">(turpmāk – </w:t>
            </w:r>
            <w:r w:rsidR="00CA2D4F" w:rsidRPr="00912A6D">
              <w:rPr>
                <w:sz w:val="28"/>
                <w:szCs w:val="28"/>
              </w:rPr>
              <w:t>noteikum</w:t>
            </w:r>
            <w:r w:rsidR="00CA2D4F">
              <w:rPr>
                <w:sz w:val="28"/>
                <w:szCs w:val="28"/>
              </w:rPr>
              <w:t>u projekts</w:t>
            </w:r>
            <w:r w:rsidR="00193E45" w:rsidRPr="00912A6D">
              <w:rPr>
                <w:sz w:val="28"/>
                <w:szCs w:val="28"/>
              </w:rPr>
              <w:t xml:space="preserve">) tiek </w:t>
            </w:r>
            <w:r w:rsidR="00D97223" w:rsidRPr="00912A6D">
              <w:rPr>
                <w:sz w:val="28"/>
                <w:szCs w:val="28"/>
              </w:rPr>
              <w:t>izdot</w:t>
            </w:r>
            <w:r w:rsidR="00CA2D4F">
              <w:rPr>
                <w:sz w:val="28"/>
                <w:szCs w:val="28"/>
              </w:rPr>
              <w:t>s</w:t>
            </w:r>
            <w:r w:rsidR="00D97223" w:rsidRPr="00912A6D">
              <w:rPr>
                <w:sz w:val="28"/>
                <w:szCs w:val="28"/>
              </w:rPr>
              <w:t xml:space="preserve"> </w:t>
            </w:r>
            <w:r w:rsidR="00193E45" w:rsidRPr="00912A6D">
              <w:rPr>
                <w:sz w:val="28"/>
                <w:szCs w:val="28"/>
              </w:rPr>
              <w:t xml:space="preserve">saskaņā </w:t>
            </w:r>
            <w:r w:rsidR="0003048F" w:rsidRPr="00E94581">
              <w:rPr>
                <w:sz w:val="28"/>
                <w:szCs w:val="28"/>
              </w:rPr>
              <w:t>ar Enerģētikas likuma 64.panta pirmo daļu</w:t>
            </w:r>
            <w:r w:rsidR="00701AB6" w:rsidRPr="009F1CDE">
              <w:rPr>
                <w:sz w:val="28"/>
                <w:szCs w:val="28"/>
              </w:rPr>
              <w:t xml:space="preserve"> un 73.pantu</w:t>
            </w:r>
            <w:r w:rsidR="00701AB6">
              <w:rPr>
                <w:sz w:val="28"/>
                <w:szCs w:val="28"/>
              </w:rPr>
              <w:t>.</w:t>
            </w:r>
          </w:p>
        </w:tc>
      </w:tr>
      <w:tr w:rsidR="00193E45" w:rsidRPr="00912A6D" w14:paraId="35DE8E50" w14:textId="77777777" w:rsidTr="00EA4D18">
        <w:trPr>
          <w:trHeight w:val="977"/>
        </w:trPr>
        <w:tc>
          <w:tcPr>
            <w:tcW w:w="524" w:type="dxa"/>
          </w:tcPr>
          <w:p w14:paraId="0A973E35" w14:textId="77777777" w:rsidR="00193E45" w:rsidRPr="00912A6D" w:rsidRDefault="00193E45" w:rsidP="00912A6D">
            <w:pPr>
              <w:ind w:left="57" w:right="57"/>
              <w:rPr>
                <w:sz w:val="28"/>
                <w:szCs w:val="28"/>
              </w:rPr>
            </w:pPr>
            <w:r w:rsidRPr="00912A6D">
              <w:rPr>
                <w:sz w:val="28"/>
                <w:szCs w:val="28"/>
              </w:rPr>
              <w:t> 2.</w:t>
            </w:r>
          </w:p>
        </w:tc>
        <w:tc>
          <w:tcPr>
            <w:tcW w:w="3000" w:type="dxa"/>
          </w:tcPr>
          <w:p w14:paraId="673A2FBF" w14:textId="2B5F5541" w:rsidR="007A3099" w:rsidRDefault="00193E45" w:rsidP="00F22A3C">
            <w:pPr>
              <w:ind w:left="57" w:right="57"/>
              <w:jc w:val="both"/>
              <w:rPr>
                <w:sz w:val="28"/>
                <w:szCs w:val="28"/>
              </w:rPr>
            </w:pPr>
            <w:r w:rsidRPr="00912A6D">
              <w:rPr>
                <w:sz w:val="28"/>
                <w:szCs w:val="28"/>
              </w:rPr>
              <w:t>Pašreizējā situācija un problēmas, kuru risināšanai tiesību akta projekts izstrādāts, tiesiskā regulējuma mērķis un būtība</w:t>
            </w:r>
          </w:p>
          <w:p w14:paraId="15F02CBB" w14:textId="77777777" w:rsidR="007A3099" w:rsidRPr="007A3099" w:rsidRDefault="007A3099" w:rsidP="007A3099">
            <w:pPr>
              <w:rPr>
                <w:sz w:val="28"/>
                <w:szCs w:val="28"/>
              </w:rPr>
            </w:pPr>
          </w:p>
          <w:p w14:paraId="6183794A" w14:textId="77777777" w:rsidR="007A3099" w:rsidRPr="007A3099" w:rsidRDefault="007A3099" w:rsidP="007A3099">
            <w:pPr>
              <w:rPr>
                <w:sz w:val="28"/>
                <w:szCs w:val="28"/>
              </w:rPr>
            </w:pPr>
          </w:p>
          <w:p w14:paraId="6C006E39" w14:textId="77777777" w:rsidR="007A3099" w:rsidRPr="007A3099" w:rsidRDefault="007A3099" w:rsidP="007A3099">
            <w:pPr>
              <w:rPr>
                <w:sz w:val="28"/>
                <w:szCs w:val="28"/>
              </w:rPr>
            </w:pPr>
          </w:p>
          <w:p w14:paraId="546FD7F0" w14:textId="77777777" w:rsidR="007A3099" w:rsidRPr="007A3099" w:rsidRDefault="007A3099" w:rsidP="007A3099">
            <w:pPr>
              <w:rPr>
                <w:sz w:val="28"/>
                <w:szCs w:val="28"/>
              </w:rPr>
            </w:pPr>
          </w:p>
          <w:p w14:paraId="04C19308" w14:textId="77777777" w:rsidR="007A3099" w:rsidRPr="007A3099" w:rsidRDefault="007A3099" w:rsidP="007A3099">
            <w:pPr>
              <w:rPr>
                <w:sz w:val="28"/>
                <w:szCs w:val="28"/>
              </w:rPr>
            </w:pPr>
          </w:p>
          <w:p w14:paraId="54563D2D" w14:textId="77777777" w:rsidR="007A3099" w:rsidRPr="007A3099" w:rsidRDefault="007A3099" w:rsidP="007A3099">
            <w:pPr>
              <w:rPr>
                <w:sz w:val="28"/>
                <w:szCs w:val="28"/>
              </w:rPr>
            </w:pPr>
          </w:p>
          <w:p w14:paraId="3E75CC23" w14:textId="77777777" w:rsidR="007A3099" w:rsidRPr="007A3099" w:rsidRDefault="007A3099" w:rsidP="007A3099">
            <w:pPr>
              <w:rPr>
                <w:sz w:val="28"/>
                <w:szCs w:val="28"/>
              </w:rPr>
            </w:pPr>
          </w:p>
          <w:p w14:paraId="03566A38" w14:textId="482533BB" w:rsidR="007A3099" w:rsidRDefault="007A3099" w:rsidP="007A3099">
            <w:pPr>
              <w:rPr>
                <w:sz w:val="28"/>
                <w:szCs w:val="28"/>
              </w:rPr>
            </w:pPr>
          </w:p>
          <w:p w14:paraId="563E5EAE" w14:textId="6A3878F0" w:rsidR="00CF0E64" w:rsidRDefault="00CF0E64" w:rsidP="007A3099">
            <w:pPr>
              <w:rPr>
                <w:sz w:val="28"/>
                <w:szCs w:val="28"/>
              </w:rPr>
            </w:pPr>
          </w:p>
          <w:p w14:paraId="083AA99C" w14:textId="77777777" w:rsidR="00CF0E64" w:rsidRPr="00CF0E64" w:rsidRDefault="00CF0E64" w:rsidP="00CF0E64">
            <w:pPr>
              <w:rPr>
                <w:sz w:val="28"/>
                <w:szCs w:val="28"/>
              </w:rPr>
            </w:pPr>
          </w:p>
          <w:p w14:paraId="2E4714FC" w14:textId="77777777" w:rsidR="00CF0E64" w:rsidRPr="00CF0E64" w:rsidRDefault="00CF0E64" w:rsidP="00CF0E64">
            <w:pPr>
              <w:rPr>
                <w:sz w:val="28"/>
                <w:szCs w:val="28"/>
              </w:rPr>
            </w:pPr>
          </w:p>
          <w:p w14:paraId="3BE0BED1" w14:textId="77777777" w:rsidR="00CF0E64" w:rsidRPr="00CF0E64" w:rsidRDefault="00CF0E64" w:rsidP="00CF0E64">
            <w:pPr>
              <w:rPr>
                <w:sz w:val="28"/>
                <w:szCs w:val="28"/>
              </w:rPr>
            </w:pPr>
          </w:p>
          <w:p w14:paraId="3B38F388" w14:textId="77777777" w:rsidR="00CF0E64" w:rsidRPr="00CF0E64" w:rsidRDefault="00CF0E64" w:rsidP="00CF0E64">
            <w:pPr>
              <w:rPr>
                <w:sz w:val="28"/>
                <w:szCs w:val="28"/>
              </w:rPr>
            </w:pPr>
          </w:p>
          <w:p w14:paraId="398D64A6" w14:textId="77777777" w:rsidR="00CF0E64" w:rsidRPr="00CF0E64" w:rsidRDefault="00CF0E64" w:rsidP="00CF0E64">
            <w:pPr>
              <w:rPr>
                <w:sz w:val="28"/>
                <w:szCs w:val="28"/>
              </w:rPr>
            </w:pPr>
          </w:p>
          <w:p w14:paraId="41E3DFF9" w14:textId="77777777" w:rsidR="00CF0E64" w:rsidRPr="00CF0E64" w:rsidRDefault="00CF0E64" w:rsidP="00CF0E64">
            <w:pPr>
              <w:rPr>
                <w:sz w:val="28"/>
                <w:szCs w:val="28"/>
              </w:rPr>
            </w:pPr>
          </w:p>
          <w:p w14:paraId="479ED6B8" w14:textId="77777777" w:rsidR="00CF0E64" w:rsidRPr="00CF0E64" w:rsidRDefault="00CF0E64" w:rsidP="00CF0E64">
            <w:pPr>
              <w:rPr>
                <w:sz w:val="28"/>
                <w:szCs w:val="28"/>
              </w:rPr>
            </w:pPr>
          </w:p>
          <w:p w14:paraId="221F526C" w14:textId="77777777" w:rsidR="00CF0E64" w:rsidRPr="00CF0E64" w:rsidRDefault="00CF0E64" w:rsidP="00CF0E64">
            <w:pPr>
              <w:rPr>
                <w:sz w:val="28"/>
                <w:szCs w:val="28"/>
              </w:rPr>
            </w:pPr>
          </w:p>
          <w:p w14:paraId="57F740E8" w14:textId="77777777" w:rsidR="00CF0E64" w:rsidRPr="00CF0E64" w:rsidRDefault="00CF0E64" w:rsidP="00CF0E64">
            <w:pPr>
              <w:rPr>
                <w:sz w:val="28"/>
                <w:szCs w:val="28"/>
              </w:rPr>
            </w:pPr>
          </w:p>
          <w:p w14:paraId="69F388C2" w14:textId="77777777" w:rsidR="00CF0E64" w:rsidRPr="00CF0E64" w:rsidRDefault="00CF0E64" w:rsidP="00CF0E64">
            <w:pPr>
              <w:rPr>
                <w:sz w:val="28"/>
                <w:szCs w:val="28"/>
              </w:rPr>
            </w:pPr>
          </w:p>
          <w:p w14:paraId="274CA9D7" w14:textId="77777777" w:rsidR="00CF0E64" w:rsidRPr="00CF0E64" w:rsidRDefault="00CF0E64" w:rsidP="00CF0E64">
            <w:pPr>
              <w:rPr>
                <w:sz w:val="28"/>
                <w:szCs w:val="28"/>
              </w:rPr>
            </w:pPr>
          </w:p>
          <w:p w14:paraId="3218211C" w14:textId="77777777" w:rsidR="00CF0E64" w:rsidRPr="00CF0E64" w:rsidRDefault="00CF0E64" w:rsidP="00CF0E64">
            <w:pPr>
              <w:rPr>
                <w:sz w:val="28"/>
                <w:szCs w:val="28"/>
              </w:rPr>
            </w:pPr>
          </w:p>
          <w:p w14:paraId="3B3056F4" w14:textId="77777777" w:rsidR="00CF0E64" w:rsidRPr="00CF0E64" w:rsidRDefault="00CF0E64" w:rsidP="00CF0E64">
            <w:pPr>
              <w:rPr>
                <w:sz w:val="28"/>
                <w:szCs w:val="28"/>
              </w:rPr>
            </w:pPr>
          </w:p>
          <w:p w14:paraId="13848A73" w14:textId="4884A662" w:rsidR="00193E45" w:rsidRPr="00CF0E64" w:rsidRDefault="00CF0E64" w:rsidP="00CF0E64">
            <w:pPr>
              <w:tabs>
                <w:tab w:val="left" w:pos="914"/>
              </w:tabs>
              <w:rPr>
                <w:sz w:val="28"/>
                <w:szCs w:val="28"/>
              </w:rPr>
            </w:pPr>
            <w:r>
              <w:rPr>
                <w:sz w:val="28"/>
                <w:szCs w:val="28"/>
              </w:rPr>
              <w:tab/>
            </w:r>
          </w:p>
        </w:tc>
        <w:tc>
          <w:tcPr>
            <w:tcW w:w="5812" w:type="dxa"/>
          </w:tcPr>
          <w:p w14:paraId="3E46B0F1" w14:textId="5D62C9A0" w:rsidR="00801848" w:rsidRDefault="006343A4" w:rsidP="007A3099">
            <w:pPr>
              <w:ind w:right="151"/>
              <w:jc w:val="both"/>
              <w:rPr>
                <w:color w:val="000000" w:themeColor="text1"/>
                <w:sz w:val="28"/>
                <w:szCs w:val="28"/>
              </w:rPr>
            </w:pPr>
            <w:r>
              <w:rPr>
                <w:color w:val="000000" w:themeColor="text1"/>
                <w:sz w:val="28"/>
                <w:szCs w:val="28"/>
              </w:rPr>
              <w:t xml:space="preserve">      </w:t>
            </w:r>
            <w:r w:rsidR="00AF4E8A">
              <w:rPr>
                <w:color w:val="000000" w:themeColor="text1"/>
                <w:sz w:val="28"/>
                <w:szCs w:val="28"/>
              </w:rPr>
              <w:t>D</w:t>
            </w:r>
            <w:r w:rsidR="00AF4E8A" w:rsidRPr="00554A5F">
              <w:rPr>
                <w:color w:val="000000" w:themeColor="text1"/>
                <w:sz w:val="28"/>
                <w:szCs w:val="28"/>
              </w:rPr>
              <w:t>abasgāzes drošības rezerv</w:t>
            </w:r>
            <w:r w:rsidR="00AF4E8A">
              <w:rPr>
                <w:color w:val="000000" w:themeColor="text1"/>
                <w:sz w:val="28"/>
                <w:szCs w:val="28"/>
              </w:rPr>
              <w:t xml:space="preserve">e (turpmāk - rezerve) tiek </w:t>
            </w:r>
            <w:r w:rsidR="00F1526F">
              <w:rPr>
                <w:color w:val="000000" w:themeColor="text1"/>
                <w:sz w:val="28"/>
                <w:szCs w:val="28"/>
              </w:rPr>
              <w:t>veidota</w:t>
            </w:r>
            <w:r w:rsidR="00AF4E8A" w:rsidRPr="00554A5F">
              <w:rPr>
                <w:color w:val="000000" w:themeColor="text1"/>
                <w:sz w:val="28"/>
                <w:szCs w:val="28"/>
              </w:rPr>
              <w:t xml:space="preserve">, </w:t>
            </w:r>
            <w:r w:rsidR="00AF4E8A">
              <w:rPr>
                <w:color w:val="000000" w:themeColor="text1"/>
                <w:sz w:val="28"/>
                <w:szCs w:val="28"/>
              </w:rPr>
              <w:t>lai</w:t>
            </w:r>
            <w:r w:rsidR="00AF4E8A" w:rsidRPr="00554A5F">
              <w:rPr>
                <w:color w:val="000000" w:themeColor="text1"/>
                <w:sz w:val="28"/>
                <w:szCs w:val="28"/>
              </w:rPr>
              <w:t>, ievērojot 2010.gada 20.oktobr</w:t>
            </w:r>
            <w:r w:rsidR="00AF4E8A">
              <w:rPr>
                <w:color w:val="000000" w:themeColor="text1"/>
                <w:sz w:val="28"/>
                <w:szCs w:val="28"/>
              </w:rPr>
              <w:t>a</w:t>
            </w:r>
            <w:r w:rsidR="00AF4E8A" w:rsidRPr="00554A5F">
              <w:rPr>
                <w:color w:val="000000" w:themeColor="text1"/>
                <w:sz w:val="28"/>
                <w:szCs w:val="28"/>
              </w:rPr>
              <w:t xml:space="preserve"> Eiropas Parlamenta un Padomes regulu Nr. </w:t>
            </w:r>
            <w:hyperlink r:id="rId8" w:tgtFrame="_blank" w:history="1">
              <w:r w:rsidR="00AF4E8A" w:rsidRPr="00554A5F">
                <w:rPr>
                  <w:color w:val="000000" w:themeColor="text1"/>
                  <w:sz w:val="28"/>
                  <w:szCs w:val="28"/>
                </w:rPr>
                <w:t>994/2010</w:t>
              </w:r>
            </w:hyperlink>
            <w:r w:rsidR="00AF4E8A" w:rsidRPr="00554A5F">
              <w:rPr>
                <w:color w:val="000000" w:themeColor="text1"/>
                <w:sz w:val="28"/>
                <w:szCs w:val="28"/>
              </w:rPr>
              <w:t xml:space="preserve"> par gāzes piegādes drošības aizsardzības pasākumiem un Padomes Direktīvas 2004/67/EK atcelšanu, enerģētiskās</w:t>
            </w:r>
            <w:r w:rsidR="00AF4E8A" w:rsidRPr="00C206F0">
              <w:rPr>
                <w:color w:val="000000" w:themeColor="text1"/>
                <w:sz w:val="28"/>
                <w:szCs w:val="28"/>
              </w:rPr>
              <w:t xml:space="preserve"> krīzes laikā traucētas dabasgāzes piegādes gadījumā, </w:t>
            </w:r>
            <w:r w:rsidR="00F1526F">
              <w:rPr>
                <w:color w:val="000000" w:themeColor="text1"/>
                <w:sz w:val="28"/>
                <w:szCs w:val="28"/>
              </w:rPr>
              <w:t xml:space="preserve">tā </w:t>
            </w:r>
            <w:r w:rsidR="00AF4E8A" w:rsidRPr="00C206F0">
              <w:rPr>
                <w:color w:val="000000" w:themeColor="text1"/>
                <w:sz w:val="28"/>
                <w:szCs w:val="28"/>
              </w:rPr>
              <w:t>tik</w:t>
            </w:r>
            <w:r w:rsidR="00AF4E8A">
              <w:rPr>
                <w:color w:val="000000" w:themeColor="text1"/>
                <w:sz w:val="28"/>
                <w:szCs w:val="28"/>
              </w:rPr>
              <w:t>tu</w:t>
            </w:r>
            <w:r w:rsidR="00AF4E8A" w:rsidRPr="00C206F0">
              <w:rPr>
                <w:color w:val="000000" w:themeColor="text1"/>
                <w:sz w:val="28"/>
                <w:szCs w:val="28"/>
              </w:rPr>
              <w:t xml:space="preserve"> izmantota nodrošināmo lietotāju apgādei</w:t>
            </w:r>
            <w:r w:rsidR="00AF4E8A">
              <w:rPr>
                <w:color w:val="000000" w:themeColor="text1"/>
                <w:sz w:val="28"/>
                <w:szCs w:val="28"/>
              </w:rPr>
              <w:t xml:space="preserve"> ar dabasgāzi</w:t>
            </w:r>
            <w:r w:rsidR="00AF4E8A" w:rsidRPr="00C206F0">
              <w:rPr>
                <w:color w:val="000000" w:themeColor="text1"/>
                <w:sz w:val="28"/>
                <w:szCs w:val="28"/>
              </w:rPr>
              <w:t>.</w:t>
            </w:r>
            <w:r w:rsidR="0031774C">
              <w:rPr>
                <w:color w:val="000000" w:themeColor="text1"/>
                <w:sz w:val="28"/>
                <w:szCs w:val="28"/>
              </w:rPr>
              <w:t xml:space="preserve"> </w:t>
            </w:r>
          </w:p>
          <w:p w14:paraId="204F81B3" w14:textId="2A563F39" w:rsidR="007A3EA0" w:rsidRDefault="008304D7" w:rsidP="007A3099">
            <w:pPr>
              <w:ind w:right="151"/>
              <w:jc w:val="both"/>
              <w:rPr>
                <w:color w:val="000000" w:themeColor="text1"/>
                <w:sz w:val="28"/>
                <w:szCs w:val="28"/>
              </w:rPr>
            </w:pPr>
            <w:r>
              <w:rPr>
                <w:color w:val="000000" w:themeColor="text1"/>
                <w:sz w:val="28"/>
                <w:szCs w:val="28"/>
              </w:rPr>
              <w:t>Apskatot citu</w:t>
            </w:r>
            <w:r w:rsidR="007A3099">
              <w:rPr>
                <w:color w:val="000000" w:themeColor="text1"/>
                <w:sz w:val="28"/>
                <w:szCs w:val="28"/>
              </w:rPr>
              <w:t xml:space="preserve"> Eiropas </w:t>
            </w:r>
            <w:r w:rsidR="00532411">
              <w:rPr>
                <w:color w:val="000000" w:themeColor="text1"/>
                <w:sz w:val="28"/>
                <w:szCs w:val="28"/>
              </w:rPr>
              <w:t xml:space="preserve">Savienības </w:t>
            </w:r>
            <w:r w:rsidR="007A3099">
              <w:rPr>
                <w:color w:val="000000" w:themeColor="text1"/>
                <w:sz w:val="28"/>
                <w:szCs w:val="28"/>
              </w:rPr>
              <w:t>dalīb</w:t>
            </w:r>
            <w:r>
              <w:rPr>
                <w:color w:val="000000" w:themeColor="text1"/>
                <w:sz w:val="28"/>
                <w:szCs w:val="28"/>
              </w:rPr>
              <w:t>valstu pieredzi, redzams, ka pilnīgu paļaušanos vienīgi uz brīva tirgus spēju sniegt apgādes drošību izvēlas valstis, kurām ir sava gāzes ieguve</w:t>
            </w:r>
            <w:r w:rsidR="007A3099">
              <w:rPr>
                <w:color w:val="000000" w:themeColor="text1"/>
                <w:sz w:val="28"/>
                <w:szCs w:val="28"/>
              </w:rPr>
              <w:t>, piemēram, Lielbritānija un Nīderlande</w:t>
            </w:r>
            <w:r>
              <w:rPr>
                <w:color w:val="000000" w:themeColor="text1"/>
                <w:sz w:val="28"/>
                <w:szCs w:val="28"/>
              </w:rPr>
              <w:t xml:space="preserve">. </w:t>
            </w:r>
          </w:p>
          <w:p w14:paraId="68EFE6DB" w14:textId="77777777" w:rsidR="00061138" w:rsidRDefault="008304D7" w:rsidP="007A3099">
            <w:pPr>
              <w:ind w:right="151"/>
              <w:jc w:val="both"/>
              <w:rPr>
                <w:color w:val="000000" w:themeColor="text1"/>
                <w:sz w:val="28"/>
                <w:szCs w:val="28"/>
              </w:rPr>
            </w:pPr>
            <w:r>
              <w:rPr>
                <w:color w:val="000000" w:themeColor="text1"/>
                <w:sz w:val="28"/>
                <w:szCs w:val="28"/>
              </w:rPr>
              <w:t xml:space="preserve">Latvijā vismaz tuvākajos gados arī kopēja </w:t>
            </w:r>
            <w:r w:rsidR="00794885">
              <w:rPr>
                <w:color w:val="000000" w:themeColor="text1"/>
                <w:sz w:val="28"/>
                <w:szCs w:val="28"/>
              </w:rPr>
              <w:t xml:space="preserve">brīva </w:t>
            </w:r>
            <w:r>
              <w:rPr>
                <w:color w:val="000000" w:themeColor="text1"/>
                <w:sz w:val="28"/>
                <w:szCs w:val="28"/>
              </w:rPr>
              <w:t>dabasgāzes tirgus sākuma periodā</w:t>
            </w:r>
            <w:r w:rsidR="006E11CB">
              <w:rPr>
                <w:color w:val="000000" w:themeColor="text1"/>
                <w:sz w:val="28"/>
                <w:szCs w:val="28"/>
              </w:rPr>
              <w:t xml:space="preserve">, tāpat kā šobrīd, </w:t>
            </w:r>
            <w:r w:rsidR="00794885">
              <w:rPr>
                <w:color w:val="000000" w:themeColor="text1"/>
                <w:sz w:val="28"/>
                <w:szCs w:val="28"/>
              </w:rPr>
              <w:t xml:space="preserve">dabasgāzes apgāde </w:t>
            </w:r>
            <w:r w:rsidR="006E11CB">
              <w:rPr>
                <w:color w:val="000000" w:themeColor="text1"/>
                <w:sz w:val="28"/>
                <w:szCs w:val="28"/>
              </w:rPr>
              <w:t>pārsvarā</w:t>
            </w:r>
            <w:r w:rsidR="00794885">
              <w:rPr>
                <w:color w:val="000000" w:themeColor="text1"/>
                <w:sz w:val="28"/>
                <w:szCs w:val="28"/>
              </w:rPr>
              <w:t xml:space="preserve"> tiks realizēta no </w:t>
            </w:r>
            <w:r w:rsidR="007A3EA0">
              <w:rPr>
                <w:color w:val="000000" w:themeColor="text1"/>
                <w:sz w:val="28"/>
                <w:szCs w:val="28"/>
              </w:rPr>
              <w:t xml:space="preserve">pazemes </w:t>
            </w:r>
            <w:r w:rsidR="00794885">
              <w:rPr>
                <w:color w:val="000000" w:themeColor="text1"/>
                <w:sz w:val="28"/>
                <w:szCs w:val="28"/>
              </w:rPr>
              <w:t xml:space="preserve">gāzes krātuves. </w:t>
            </w:r>
            <w:r w:rsidR="00A20A72">
              <w:rPr>
                <w:color w:val="000000" w:themeColor="text1"/>
                <w:sz w:val="28"/>
                <w:szCs w:val="28"/>
              </w:rPr>
              <w:t xml:space="preserve">Tāpēc izveidotās rezerves uzglabāšanu paredzēts nodot uzglabāšanas sistēmas operatoram, uzglabāšanai </w:t>
            </w:r>
            <w:r w:rsidR="00A20A72" w:rsidRPr="00801848">
              <w:rPr>
                <w:color w:val="000000" w:themeColor="text1"/>
                <w:sz w:val="28"/>
                <w:szCs w:val="28"/>
              </w:rPr>
              <w:t>Inčukalna pazemes gāzes krātuvē</w:t>
            </w:r>
            <w:r w:rsidR="00A20A72">
              <w:rPr>
                <w:color w:val="000000" w:themeColor="text1"/>
                <w:sz w:val="28"/>
                <w:szCs w:val="28"/>
              </w:rPr>
              <w:t xml:space="preserve">. </w:t>
            </w:r>
          </w:p>
          <w:p w14:paraId="22A43C10" w14:textId="569505D6" w:rsidR="00061138" w:rsidRDefault="00A20A72" w:rsidP="007A3099">
            <w:pPr>
              <w:ind w:right="151"/>
              <w:jc w:val="both"/>
              <w:rPr>
                <w:color w:val="000000" w:themeColor="text1"/>
                <w:sz w:val="28"/>
                <w:szCs w:val="28"/>
              </w:rPr>
            </w:pPr>
            <w:r>
              <w:rPr>
                <w:color w:val="000000" w:themeColor="text1"/>
                <w:sz w:val="28"/>
                <w:szCs w:val="28"/>
              </w:rPr>
              <w:t>U</w:t>
            </w:r>
            <w:r w:rsidR="00794885">
              <w:rPr>
                <w:color w:val="000000" w:themeColor="text1"/>
                <w:sz w:val="28"/>
                <w:szCs w:val="28"/>
              </w:rPr>
              <w:t>zliekot par  pienākumu tirgotājam nodrošināt rezerves izveidošanu un uzglabāšanu, kas prasītu tirgotāja</w:t>
            </w:r>
            <w:r w:rsidR="0031774C">
              <w:rPr>
                <w:color w:val="000000" w:themeColor="text1"/>
                <w:sz w:val="28"/>
                <w:szCs w:val="28"/>
              </w:rPr>
              <w:t>m</w:t>
            </w:r>
            <w:r w:rsidR="00794885">
              <w:rPr>
                <w:color w:val="000000" w:themeColor="text1"/>
                <w:sz w:val="28"/>
                <w:szCs w:val="28"/>
              </w:rPr>
              <w:t xml:space="preserve"> </w:t>
            </w:r>
            <w:r w:rsidR="0031774C">
              <w:rPr>
                <w:color w:val="000000" w:themeColor="text1"/>
                <w:sz w:val="28"/>
                <w:szCs w:val="28"/>
              </w:rPr>
              <w:t xml:space="preserve">zināmas daļas savu </w:t>
            </w:r>
            <w:r w:rsidR="00794885">
              <w:rPr>
                <w:color w:val="000000" w:themeColor="text1"/>
                <w:sz w:val="28"/>
                <w:szCs w:val="28"/>
              </w:rPr>
              <w:t>apgrozāmo līdzekļu</w:t>
            </w:r>
            <w:r w:rsidR="0031774C">
              <w:rPr>
                <w:color w:val="000000" w:themeColor="text1"/>
                <w:sz w:val="28"/>
                <w:szCs w:val="28"/>
              </w:rPr>
              <w:t xml:space="preserve"> iesaldēšanu,</w:t>
            </w:r>
            <w:r w:rsidR="00061138">
              <w:rPr>
                <w:color w:val="000000" w:themeColor="text1"/>
                <w:sz w:val="28"/>
                <w:szCs w:val="28"/>
              </w:rPr>
              <w:t xml:space="preserve"> turklāt, ņemot vērā, ka tirgojot dabasgāzi citā valstī šāda prasība par dabasgāzes rezerves iesūknēšanu netiks uzstādīta, </w:t>
            </w:r>
            <w:r w:rsidR="0031774C">
              <w:rPr>
                <w:color w:val="000000" w:themeColor="text1"/>
                <w:sz w:val="28"/>
                <w:szCs w:val="28"/>
              </w:rPr>
              <w:t xml:space="preserve"> mazinātu jaunu tirgotā</w:t>
            </w:r>
            <w:r w:rsidR="00061138">
              <w:rPr>
                <w:color w:val="000000" w:themeColor="text1"/>
                <w:sz w:val="28"/>
                <w:szCs w:val="28"/>
              </w:rPr>
              <w:t>ju interesi ienākt kopējā tirgū.</w:t>
            </w:r>
          </w:p>
          <w:p w14:paraId="38FEDF60" w14:textId="61E59C55" w:rsidR="008304D7" w:rsidRDefault="008304D7" w:rsidP="007A3099">
            <w:pPr>
              <w:ind w:right="151"/>
              <w:jc w:val="both"/>
              <w:rPr>
                <w:color w:val="000000" w:themeColor="text1"/>
                <w:sz w:val="28"/>
                <w:szCs w:val="28"/>
              </w:rPr>
            </w:pPr>
          </w:p>
          <w:p w14:paraId="46FACC17" w14:textId="59411C6F" w:rsidR="00F22A3C" w:rsidRDefault="00061138" w:rsidP="007A3099">
            <w:pPr>
              <w:ind w:right="151"/>
              <w:jc w:val="both"/>
              <w:rPr>
                <w:color w:val="000000" w:themeColor="text1"/>
                <w:sz w:val="28"/>
                <w:szCs w:val="28"/>
              </w:rPr>
            </w:pPr>
            <w:r>
              <w:rPr>
                <w:color w:val="000000" w:themeColor="text1"/>
                <w:sz w:val="28"/>
                <w:szCs w:val="28"/>
              </w:rPr>
              <w:t>N</w:t>
            </w:r>
            <w:r w:rsidR="0031774C">
              <w:rPr>
                <w:color w:val="000000" w:themeColor="text1"/>
                <w:sz w:val="28"/>
                <w:szCs w:val="28"/>
              </w:rPr>
              <w:t xml:space="preserve">oteikumu projekts paredz, ka rezervi </w:t>
            </w:r>
            <w:r w:rsidR="00801848">
              <w:rPr>
                <w:color w:val="000000" w:themeColor="text1"/>
                <w:sz w:val="28"/>
                <w:szCs w:val="28"/>
              </w:rPr>
              <w:t xml:space="preserve">nodrošina pārvades sistēmas operators. </w:t>
            </w:r>
          </w:p>
          <w:p w14:paraId="7AD51089" w14:textId="5AE8592B" w:rsidR="00645D64" w:rsidRPr="007A3099" w:rsidRDefault="00645D64" w:rsidP="00645D64">
            <w:pPr>
              <w:ind w:right="151"/>
              <w:jc w:val="right"/>
              <w:rPr>
                <w:color w:val="000000" w:themeColor="text1"/>
                <w:sz w:val="28"/>
                <w:szCs w:val="28"/>
              </w:rPr>
            </w:pPr>
            <w:r>
              <w:rPr>
                <w:color w:val="000000" w:themeColor="text1"/>
                <w:sz w:val="28"/>
                <w:szCs w:val="28"/>
              </w:rPr>
              <w:t>1.tabula</w:t>
            </w:r>
          </w:p>
          <w:p w14:paraId="3A7FA598" w14:textId="4E73CDEF" w:rsidR="004E3968" w:rsidRPr="004E0CF3" w:rsidRDefault="00735023" w:rsidP="00735023">
            <w:pPr>
              <w:pStyle w:val="naiskr"/>
              <w:ind w:right="57"/>
              <w:rPr>
                <w:sz w:val="28"/>
                <w:szCs w:val="28"/>
                <w:lang w:eastAsia="en-US"/>
              </w:rPr>
            </w:pPr>
            <w:r w:rsidRPr="004E0CF3">
              <w:rPr>
                <w:sz w:val="28"/>
                <w:szCs w:val="28"/>
                <w:lang w:eastAsia="en-US"/>
              </w:rPr>
              <w:t>Dabasgāzes patēriņš un patēriņa īpatsvars pa lietotāju grupām</w:t>
            </w:r>
          </w:p>
          <w:tbl>
            <w:tblPr>
              <w:tblStyle w:val="TableGrid"/>
              <w:tblW w:w="0" w:type="auto"/>
              <w:tblLayout w:type="fixed"/>
              <w:tblLook w:val="04A0" w:firstRow="1" w:lastRow="0" w:firstColumn="1" w:lastColumn="0" w:noHBand="0" w:noVBand="1"/>
            </w:tblPr>
            <w:tblGrid>
              <w:gridCol w:w="2086"/>
              <w:gridCol w:w="851"/>
              <w:gridCol w:w="850"/>
              <w:gridCol w:w="851"/>
              <w:gridCol w:w="1027"/>
            </w:tblGrid>
            <w:tr w:rsidR="004E3968" w14:paraId="22B289D7" w14:textId="77777777" w:rsidTr="00EA4D18">
              <w:tc>
                <w:tcPr>
                  <w:tcW w:w="2086" w:type="dxa"/>
                  <w:vMerge w:val="restart"/>
                </w:tcPr>
                <w:p w14:paraId="4E00908F" w14:textId="77777777" w:rsidR="004E3968" w:rsidRPr="00EA4D18" w:rsidRDefault="004E3968" w:rsidP="004E3968">
                  <w:pPr>
                    <w:pStyle w:val="naiskr"/>
                    <w:spacing w:before="0" w:after="0"/>
                    <w:ind w:right="57"/>
                    <w:rPr>
                      <w:sz w:val="22"/>
                      <w:szCs w:val="22"/>
                      <w:lang w:eastAsia="en-US"/>
                    </w:rPr>
                  </w:pPr>
                  <w:r w:rsidRPr="00EA4D18">
                    <w:rPr>
                      <w:color w:val="000000" w:themeColor="text1"/>
                      <w:sz w:val="22"/>
                      <w:szCs w:val="22"/>
                      <w:lang w:eastAsia="en-US"/>
                    </w:rPr>
                    <w:t>Lietotāju grupa</w:t>
                  </w:r>
                </w:p>
              </w:tc>
              <w:tc>
                <w:tcPr>
                  <w:tcW w:w="1701" w:type="dxa"/>
                  <w:gridSpan w:val="2"/>
                </w:tcPr>
                <w:p w14:paraId="06B69DB6" w14:textId="77777777" w:rsidR="004E3968" w:rsidRPr="00EA4D18" w:rsidRDefault="004E3968" w:rsidP="004E3968">
                  <w:pPr>
                    <w:pStyle w:val="naiskr"/>
                    <w:spacing w:before="0" w:after="0"/>
                    <w:ind w:right="57"/>
                    <w:jc w:val="center"/>
                    <w:rPr>
                      <w:b/>
                      <w:sz w:val="22"/>
                      <w:szCs w:val="22"/>
                      <w:lang w:eastAsia="en-US"/>
                    </w:rPr>
                  </w:pPr>
                  <w:r w:rsidRPr="00EA4D18">
                    <w:rPr>
                      <w:b/>
                      <w:sz w:val="22"/>
                      <w:szCs w:val="22"/>
                      <w:lang w:eastAsia="en-US"/>
                    </w:rPr>
                    <w:t>2014.gads</w:t>
                  </w:r>
                </w:p>
              </w:tc>
              <w:tc>
                <w:tcPr>
                  <w:tcW w:w="1878" w:type="dxa"/>
                  <w:gridSpan w:val="2"/>
                </w:tcPr>
                <w:p w14:paraId="26CD07D7" w14:textId="77777777" w:rsidR="004E3968" w:rsidRPr="00EA4D18" w:rsidRDefault="004E3968" w:rsidP="004E3968">
                  <w:pPr>
                    <w:pStyle w:val="naiskr"/>
                    <w:spacing w:before="0" w:after="0"/>
                    <w:ind w:right="57"/>
                    <w:jc w:val="center"/>
                    <w:rPr>
                      <w:b/>
                      <w:sz w:val="22"/>
                      <w:szCs w:val="22"/>
                      <w:lang w:eastAsia="en-US"/>
                    </w:rPr>
                  </w:pPr>
                  <w:r w:rsidRPr="00EA4D18">
                    <w:rPr>
                      <w:b/>
                      <w:sz w:val="22"/>
                      <w:szCs w:val="22"/>
                      <w:lang w:eastAsia="en-US"/>
                    </w:rPr>
                    <w:t>2015.gads</w:t>
                  </w:r>
                </w:p>
              </w:tc>
            </w:tr>
            <w:tr w:rsidR="004E3968" w14:paraId="6520DE53" w14:textId="77777777" w:rsidTr="00EA4D18">
              <w:tc>
                <w:tcPr>
                  <w:tcW w:w="2086" w:type="dxa"/>
                  <w:vMerge/>
                </w:tcPr>
                <w:p w14:paraId="365EC291" w14:textId="77777777" w:rsidR="004E3968" w:rsidRPr="00EA4D18" w:rsidRDefault="004E3968" w:rsidP="004E3968">
                  <w:pPr>
                    <w:pStyle w:val="naiskr"/>
                    <w:spacing w:before="0" w:after="0"/>
                    <w:ind w:right="57"/>
                    <w:rPr>
                      <w:sz w:val="22"/>
                      <w:szCs w:val="22"/>
                      <w:lang w:eastAsia="en-US"/>
                    </w:rPr>
                  </w:pPr>
                </w:p>
              </w:tc>
              <w:tc>
                <w:tcPr>
                  <w:tcW w:w="851" w:type="dxa"/>
                </w:tcPr>
                <w:p w14:paraId="6C5AF6C3" w14:textId="77777777" w:rsidR="004E3968" w:rsidRPr="00EA4D18" w:rsidRDefault="004E3968" w:rsidP="004E3968">
                  <w:pPr>
                    <w:pStyle w:val="naiskr"/>
                    <w:spacing w:before="0" w:after="0"/>
                    <w:ind w:left="-92" w:right="57" w:firstLine="7"/>
                    <w:jc w:val="center"/>
                    <w:rPr>
                      <w:color w:val="000000" w:themeColor="text1"/>
                      <w:sz w:val="22"/>
                      <w:szCs w:val="22"/>
                      <w:lang w:eastAsia="en-US"/>
                    </w:rPr>
                  </w:pPr>
                  <w:r w:rsidRPr="00EA4D18">
                    <w:rPr>
                      <w:color w:val="000000" w:themeColor="text1"/>
                      <w:sz w:val="22"/>
                      <w:szCs w:val="22"/>
                      <w:lang w:eastAsia="en-US"/>
                    </w:rPr>
                    <w:t>milj.m</w:t>
                  </w:r>
                  <w:r w:rsidRPr="00EA4D18">
                    <w:rPr>
                      <w:color w:val="000000" w:themeColor="text1"/>
                      <w:sz w:val="22"/>
                      <w:szCs w:val="22"/>
                      <w:vertAlign w:val="superscript"/>
                      <w:lang w:eastAsia="en-US"/>
                    </w:rPr>
                    <w:t>3</w:t>
                  </w:r>
                </w:p>
              </w:tc>
              <w:tc>
                <w:tcPr>
                  <w:tcW w:w="850" w:type="dxa"/>
                </w:tcPr>
                <w:p w14:paraId="78B9789E" w14:textId="77777777" w:rsidR="004E3968" w:rsidRPr="00EA4D18" w:rsidRDefault="004E3968" w:rsidP="004E3968">
                  <w:pPr>
                    <w:pStyle w:val="naiskr"/>
                    <w:spacing w:before="0" w:after="0"/>
                    <w:ind w:right="57"/>
                    <w:jc w:val="center"/>
                    <w:rPr>
                      <w:color w:val="000000" w:themeColor="text1"/>
                      <w:sz w:val="22"/>
                      <w:szCs w:val="22"/>
                      <w:lang w:eastAsia="en-US"/>
                    </w:rPr>
                  </w:pPr>
                  <w:r w:rsidRPr="00EA4D18">
                    <w:rPr>
                      <w:color w:val="000000" w:themeColor="text1"/>
                      <w:sz w:val="22"/>
                      <w:szCs w:val="22"/>
                      <w:lang w:eastAsia="en-US"/>
                    </w:rPr>
                    <w:t>%</w:t>
                  </w:r>
                </w:p>
              </w:tc>
              <w:tc>
                <w:tcPr>
                  <w:tcW w:w="851" w:type="dxa"/>
                </w:tcPr>
                <w:p w14:paraId="7E55473F" w14:textId="77777777" w:rsidR="004E3968" w:rsidRPr="00EA4D18" w:rsidRDefault="004E3968" w:rsidP="004E3968">
                  <w:pPr>
                    <w:pStyle w:val="naiskr"/>
                    <w:spacing w:before="0" w:after="0"/>
                    <w:ind w:left="-92" w:right="57" w:firstLine="7"/>
                    <w:jc w:val="center"/>
                    <w:rPr>
                      <w:color w:val="000000" w:themeColor="text1"/>
                      <w:sz w:val="22"/>
                      <w:szCs w:val="22"/>
                      <w:lang w:eastAsia="en-US"/>
                    </w:rPr>
                  </w:pPr>
                  <w:r w:rsidRPr="00EA4D18">
                    <w:rPr>
                      <w:color w:val="000000" w:themeColor="text1"/>
                      <w:sz w:val="22"/>
                      <w:szCs w:val="22"/>
                      <w:lang w:eastAsia="en-US"/>
                    </w:rPr>
                    <w:t>milj.m</w:t>
                  </w:r>
                  <w:r w:rsidRPr="00EA4D18">
                    <w:rPr>
                      <w:color w:val="000000" w:themeColor="text1"/>
                      <w:sz w:val="22"/>
                      <w:szCs w:val="22"/>
                      <w:vertAlign w:val="superscript"/>
                      <w:lang w:eastAsia="en-US"/>
                    </w:rPr>
                    <w:t>3</w:t>
                  </w:r>
                </w:p>
              </w:tc>
              <w:tc>
                <w:tcPr>
                  <w:tcW w:w="1027" w:type="dxa"/>
                </w:tcPr>
                <w:p w14:paraId="289B33D9" w14:textId="77777777" w:rsidR="004E3968" w:rsidRPr="00EA4D18" w:rsidRDefault="004E3968" w:rsidP="004E3968">
                  <w:pPr>
                    <w:pStyle w:val="naiskr"/>
                    <w:spacing w:before="0" w:after="0"/>
                    <w:ind w:right="57"/>
                    <w:jc w:val="center"/>
                    <w:rPr>
                      <w:color w:val="000000" w:themeColor="text1"/>
                      <w:sz w:val="22"/>
                      <w:szCs w:val="22"/>
                      <w:lang w:eastAsia="en-US"/>
                    </w:rPr>
                  </w:pPr>
                  <w:r w:rsidRPr="00EA4D18">
                    <w:rPr>
                      <w:color w:val="000000" w:themeColor="text1"/>
                      <w:sz w:val="22"/>
                      <w:szCs w:val="22"/>
                      <w:lang w:eastAsia="en-US"/>
                    </w:rPr>
                    <w:t>%</w:t>
                  </w:r>
                </w:p>
              </w:tc>
            </w:tr>
            <w:tr w:rsidR="004E3968" w14:paraId="0B0FA6E9" w14:textId="77777777" w:rsidTr="00EA4D18">
              <w:tc>
                <w:tcPr>
                  <w:tcW w:w="2086" w:type="dxa"/>
                </w:tcPr>
                <w:p w14:paraId="38FE15D5" w14:textId="77777777" w:rsidR="004E3968" w:rsidRPr="00EA4D18" w:rsidRDefault="004E3968" w:rsidP="004E3968">
                  <w:pPr>
                    <w:pStyle w:val="naiskr"/>
                    <w:spacing w:before="0" w:after="0"/>
                    <w:ind w:right="57"/>
                    <w:jc w:val="both"/>
                    <w:rPr>
                      <w:color w:val="000000" w:themeColor="text1"/>
                      <w:sz w:val="22"/>
                      <w:szCs w:val="22"/>
                      <w:lang w:eastAsia="en-US"/>
                    </w:rPr>
                  </w:pPr>
                  <w:r w:rsidRPr="00EA4D18">
                    <w:rPr>
                      <w:color w:val="000000" w:themeColor="text1"/>
                      <w:sz w:val="22"/>
                      <w:szCs w:val="22"/>
                      <w:lang w:eastAsia="en-US"/>
                    </w:rPr>
                    <w:t>Mājsaimniecības</w:t>
                  </w:r>
                </w:p>
              </w:tc>
              <w:tc>
                <w:tcPr>
                  <w:tcW w:w="851" w:type="dxa"/>
                </w:tcPr>
                <w:p w14:paraId="069853A4" w14:textId="77777777" w:rsidR="004E3968" w:rsidRPr="00EA4D18" w:rsidRDefault="004E3968" w:rsidP="004E3968">
                  <w:pPr>
                    <w:pStyle w:val="naiskr"/>
                    <w:spacing w:before="0" w:after="0"/>
                    <w:ind w:right="57"/>
                    <w:jc w:val="right"/>
                    <w:rPr>
                      <w:color w:val="000000" w:themeColor="text1"/>
                      <w:sz w:val="22"/>
                      <w:szCs w:val="22"/>
                      <w:lang w:eastAsia="en-US"/>
                    </w:rPr>
                  </w:pPr>
                  <w:r w:rsidRPr="00EA4D18">
                    <w:rPr>
                      <w:color w:val="000000" w:themeColor="text1"/>
                      <w:sz w:val="22"/>
                      <w:szCs w:val="22"/>
                      <w:lang w:eastAsia="en-US"/>
                    </w:rPr>
                    <w:t>125</w:t>
                  </w:r>
                </w:p>
              </w:tc>
              <w:tc>
                <w:tcPr>
                  <w:tcW w:w="850" w:type="dxa"/>
                </w:tcPr>
                <w:p w14:paraId="1CCD6417" w14:textId="77777777" w:rsidR="004E3968" w:rsidRPr="00EA4D18" w:rsidRDefault="004E3968" w:rsidP="004E3968">
                  <w:pPr>
                    <w:pStyle w:val="naiskr"/>
                    <w:spacing w:before="0" w:after="0"/>
                    <w:ind w:right="57"/>
                    <w:jc w:val="right"/>
                    <w:rPr>
                      <w:color w:val="000000" w:themeColor="text1"/>
                      <w:sz w:val="22"/>
                      <w:szCs w:val="22"/>
                      <w:lang w:eastAsia="en-US"/>
                    </w:rPr>
                  </w:pPr>
                  <w:r w:rsidRPr="00EA4D18">
                    <w:rPr>
                      <w:color w:val="000000" w:themeColor="text1"/>
                      <w:sz w:val="22"/>
                      <w:szCs w:val="22"/>
                      <w:lang w:eastAsia="en-US"/>
                    </w:rPr>
                    <w:t>9,7</w:t>
                  </w:r>
                </w:p>
              </w:tc>
              <w:tc>
                <w:tcPr>
                  <w:tcW w:w="851" w:type="dxa"/>
                </w:tcPr>
                <w:p w14:paraId="0E8591F6" w14:textId="77777777" w:rsidR="004E3968" w:rsidRPr="00EA4D18" w:rsidRDefault="004E3968" w:rsidP="004E3968">
                  <w:pPr>
                    <w:rPr>
                      <w:bCs/>
                      <w:color w:val="000000" w:themeColor="text1"/>
                      <w:sz w:val="22"/>
                      <w:szCs w:val="22"/>
                      <w:lang w:eastAsia="en-US"/>
                    </w:rPr>
                  </w:pPr>
                  <w:r w:rsidRPr="00EA4D18">
                    <w:rPr>
                      <w:bCs/>
                      <w:color w:val="000000" w:themeColor="text1"/>
                      <w:sz w:val="22"/>
                      <w:szCs w:val="22"/>
                    </w:rPr>
                    <w:t>120</w:t>
                  </w:r>
                </w:p>
              </w:tc>
              <w:tc>
                <w:tcPr>
                  <w:tcW w:w="1027" w:type="dxa"/>
                </w:tcPr>
                <w:p w14:paraId="353D4869" w14:textId="77777777" w:rsidR="004E3968" w:rsidRPr="00EA4D18" w:rsidRDefault="004E3968" w:rsidP="004E3968">
                  <w:pPr>
                    <w:rPr>
                      <w:color w:val="000000" w:themeColor="text1"/>
                      <w:sz w:val="22"/>
                      <w:szCs w:val="22"/>
                    </w:rPr>
                  </w:pPr>
                  <w:r w:rsidRPr="00EA4D18">
                    <w:rPr>
                      <w:color w:val="000000" w:themeColor="text1"/>
                      <w:sz w:val="22"/>
                      <w:szCs w:val="22"/>
                    </w:rPr>
                    <w:t>9,1</w:t>
                  </w:r>
                </w:p>
              </w:tc>
            </w:tr>
            <w:tr w:rsidR="004E3968" w14:paraId="7CFA767B" w14:textId="77777777" w:rsidTr="00EA4D18">
              <w:tc>
                <w:tcPr>
                  <w:tcW w:w="2086" w:type="dxa"/>
                </w:tcPr>
                <w:p w14:paraId="7282E60C" w14:textId="77777777" w:rsidR="004E3968" w:rsidRPr="00EA4D18" w:rsidRDefault="004E3968" w:rsidP="004E3968">
                  <w:pPr>
                    <w:pStyle w:val="naiskr"/>
                    <w:spacing w:before="0" w:after="0"/>
                    <w:ind w:right="57"/>
                    <w:jc w:val="both"/>
                    <w:rPr>
                      <w:color w:val="000000" w:themeColor="text1"/>
                      <w:sz w:val="22"/>
                      <w:szCs w:val="22"/>
                      <w:lang w:eastAsia="en-US"/>
                    </w:rPr>
                  </w:pPr>
                  <w:r w:rsidRPr="00EA4D18">
                    <w:rPr>
                      <w:color w:val="000000" w:themeColor="text1"/>
                      <w:sz w:val="22"/>
                      <w:szCs w:val="22"/>
                      <w:lang w:eastAsia="en-US"/>
                    </w:rPr>
                    <w:t>Sociālo pakalpojumu sniedzēji</w:t>
                  </w:r>
                </w:p>
              </w:tc>
              <w:tc>
                <w:tcPr>
                  <w:tcW w:w="851" w:type="dxa"/>
                </w:tcPr>
                <w:p w14:paraId="22C05D69" w14:textId="77777777" w:rsidR="004E3968" w:rsidRPr="00EA4D18" w:rsidRDefault="004E3968" w:rsidP="004E3968">
                  <w:pPr>
                    <w:pStyle w:val="naiskr"/>
                    <w:spacing w:before="0" w:after="0"/>
                    <w:ind w:right="57"/>
                    <w:jc w:val="right"/>
                    <w:rPr>
                      <w:color w:val="000000" w:themeColor="text1"/>
                      <w:sz w:val="22"/>
                      <w:szCs w:val="22"/>
                      <w:lang w:eastAsia="en-US"/>
                    </w:rPr>
                  </w:pPr>
                  <w:r w:rsidRPr="00EA4D18">
                    <w:rPr>
                      <w:color w:val="000000" w:themeColor="text1"/>
                      <w:sz w:val="22"/>
                      <w:szCs w:val="22"/>
                      <w:lang w:eastAsia="en-US"/>
                    </w:rPr>
                    <w:t>131</w:t>
                  </w:r>
                </w:p>
              </w:tc>
              <w:tc>
                <w:tcPr>
                  <w:tcW w:w="850" w:type="dxa"/>
                </w:tcPr>
                <w:p w14:paraId="48CC5325" w14:textId="77777777" w:rsidR="004E3968" w:rsidRPr="00EA4D18" w:rsidRDefault="004E3968" w:rsidP="004E3968">
                  <w:pPr>
                    <w:pStyle w:val="naiskr"/>
                    <w:spacing w:before="0" w:after="0"/>
                    <w:ind w:right="57"/>
                    <w:jc w:val="right"/>
                    <w:rPr>
                      <w:color w:val="000000" w:themeColor="text1"/>
                      <w:sz w:val="22"/>
                      <w:szCs w:val="22"/>
                      <w:lang w:eastAsia="en-US"/>
                    </w:rPr>
                  </w:pPr>
                  <w:r w:rsidRPr="00EA4D18">
                    <w:rPr>
                      <w:color w:val="000000" w:themeColor="text1"/>
                      <w:sz w:val="22"/>
                      <w:szCs w:val="22"/>
                      <w:lang w:eastAsia="en-US"/>
                    </w:rPr>
                    <w:t>10,1</w:t>
                  </w:r>
                </w:p>
              </w:tc>
              <w:tc>
                <w:tcPr>
                  <w:tcW w:w="851" w:type="dxa"/>
                </w:tcPr>
                <w:p w14:paraId="619E8FA7" w14:textId="77777777" w:rsidR="004E3968" w:rsidRPr="00EA4D18" w:rsidRDefault="004E3968" w:rsidP="004E3968">
                  <w:pPr>
                    <w:rPr>
                      <w:bCs/>
                      <w:color w:val="000000" w:themeColor="text1"/>
                      <w:sz w:val="22"/>
                      <w:szCs w:val="22"/>
                      <w:lang w:eastAsia="en-US"/>
                    </w:rPr>
                  </w:pPr>
                  <w:r w:rsidRPr="00EA4D18">
                    <w:rPr>
                      <w:bCs/>
                      <w:color w:val="000000" w:themeColor="text1"/>
                      <w:sz w:val="22"/>
                      <w:szCs w:val="22"/>
                    </w:rPr>
                    <w:t>125</w:t>
                  </w:r>
                </w:p>
              </w:tc>
              <w:tc>
                <w:tcPr>
                  <w:tcW w:w="1027" w:type="dxa"/>
                </w:tcPr>
                <w:p w14:paraId="1AF9D203" w14:textId="77777777" w:rsidR="004E3968" w:rsidRPr="00EA4D18" w:rsidRDefault="004E3968" w:rsidP="004E3968">
                  <w:pPr>
                    <w:rPr>
                      <w:color w:val="000000" w:themeColor="text1"/>
                      <w:sz w:val="22"/>
                      <w:szCs w:val="22"/>
                    </w:rPr>
                  </w:pPr>
                  <w:r w:rsidRPr="00EA4D18">
                    <w:rPr>
                      <w:color w:val="000000" w:themeColor="text1"/>
                      <w:sz w:val="22"/>
                      <w:szCs w:val="22"/>
                    </w:rPr>
                    <w:t>9,5</w:t>
                  </w:r>
                </w:p>
              </w:tc>
            </w:tr>
            <w:tr w:rsidR="004E3968" w14:paraId="651AF9FA" w14:textId="77777777" w:rsidTr="00EA4D18">
              <w:tc>
                <w:tcPr>
                  <w:tcW w:w="2086" w:type="dxa"/>
                </w:tcPr>
                <w:p w14:paraId="2FA05222" w14:textId="77777777" w:rsidR="004E3968" w:rsidRPr="00EA4D18" w:rsidRDefault="004E3968" w:rsidP="004E3968">
                  <w:pPr>
                    <w:pStyle w:val="naiskr"/>
                    <w:spacing w:before="0" w:after="0"/>
                    <w:ind w:right="57"/>
                    <w:jc w:val="both"/>
                    <w:rPr>
                      <w:color w:val="000000" w:themeColor="text1"/>
                      <w:sz w:val="22"/>
                      <w:szCs w:val="22"/>
                      <w:lang w:eastAsia="en-US"/>
                    </w:rPr>
                  </w:pPr>
                  <w:r w:rsidRPr="00EA4D18">
                    <w:rPr>
                      <w:color w:val="000000" w:themeColor="text1"/>
                      <w:sz w:val="22"/>
                      <w:szCs w:val="22"/>
                      <w:lang w:eastAsia="en-US"/>
                    </w:rPr>
                    <w:t>Pārējie lietotāji</w:t>
                  </w:r>
                </w:p>
              </w:tc>
              <w:tc>
                <w:tcPr>
                  <w:tcW w:w="851" w:type="dxa"/>
                </w:tcPr>
                <w:p w14:paraId="347BA929" w14:textId="77777777" w:rsidR="004E3968" w:rsidRPr="00EA4D18" w:rsidRDefault="004E3968" w:rsidP="004E3968">
                  <w:pPr>
                    <w:pStyle w:val="naiskr"/>
                    <w:spacing w:before="0" w:after="0"/>
                    <w:ind w:right="57"/>
                    <w:jc w:val="right"/>
                    <w:rPr>
                      <w:color w:val="000000" w:themeColor="text1"/>
                      <w:sz w:val="22"/>
                      <w:szCs w:val="22"/>
                      <w:lang w:eastAsia="en-US"/>
                    </w:rPr>
                  </w:pPr>
                  <w:r w:rsidRPr="00EA4D18">
                    <w:rPr>
                      <w:color w:val="000000" w:themeColor="text1"/>
                      <w:sz w:val="22"/>
                      <w:szCs w:val="22"/>
                      <w:lang w:eastAsia="en-US"/>
                    </w:rPr>
                    <w:t>1038</w:t>
                  </w:r>
                </w:p>
              </w:tc>
              <w:tc>
                <w:tcPr>
                  <w:tcW w:w="850" w:type="dxa"/>
                </w:tcPr>
                <w:p w14:paraId="07155653" w14:textId="77777777" w:rsidR="004E3968" w:rsidRPr="00EA4D18" w:rsidRDefault="004E3968" w:rsidP="004E3968">
                  <w:pPr>
                    <w:pStyle w:val="naiskr"/>
                    <w:spacing w:before="0" w:after="0"/>
                    <w:ind w:right="57"/>
                    <w:jc w:val="right"/>
                    <w:rPr>
                      <w:color w:val="000000" w:themeColor="text1"/>
                      <w:sz w:val="22"/>
                      <w:szCs w:val="22"/>
                      <w:lang w:eastAsia="en-US"/>
                    </w:rPr>
                  </w:pPr>
                  <w:r w:rsidRPr="00EA4D18">
                    <w:rPr>
                      <w:color w:val="000000" w:themeColor="text1"/>
                      <w:sz w:val="22"/>
                      <w:szCs w:val="22"/>
                      <w:lang w:eastAsia="en-US"/>
                    </w:rPr>
                    <w:t>80,2</w:t>
                  </w:r>
                </w:p>
              </w:tc>
              <w:tc>
                <w:tcPr>
                  <w:tcW w:w="851" w:type="dxa"/>
                </w:tcPr>
                <w:p w14:paraId="589D6C1E" w14:textId="77777777" w:rsidR="004E3968" w:rsidRPr="00EA4D18" w:rsidRDefault="004E3968" w:rsidP="004E3968">
                  <w:pPr>
                    <w:pStyle w:val="naiskr"/>
                    <w:spacing w:before="0" w:after="0"/>
                    <w:ind w:right="57"/>
                    <w:rPr>
                      <w:bCs/>
                      <w:color w:val="000000" w:themeColor="text1"/>
                      <w:sz w:val="22"/>
                      <w:szCs w:val="22"/>
                      <w:lang w:eastAsia="en-US"/>
                    </w:rPr>
                  </w:pPr>
                  <w:r w:rsidRPr="00EA4D18">
                    <w:rPr>
                      <w:bCs/>
                      <w:color w:val="000000" w:themeColor="text1"/>
                      <w:sz w:val="22"/>
                      <w:szCs w:val="22"/>
                      <w:lang w:eastAsia="en-US"/>
                    </w:rPr>
                    <w:t>1073</w:t>
                  </w:r>
                </w:p>
              </w:tc>
              <w:tc>
                <w:tcPr>
                  <w:tcW w:w="1027" w:type="dxa"/>
                </w:tcPr>
                <w:p w14:paraId="2A499D0E" w14:textId="77777777" w:rsidR="004E3968" w:rsidRPr="00EA4D18" w:rsidRDefault="004E3968" w:rsidP="004E3968">
                  <w:pPr>
                    <w:pStyle w:val="naiskr"/>
                    <w:spacing w:before="0" w:after="0"/>
                    <w:ind w:right="57"/>
                    <w:rPr>
                      <w:color w:val="000000" w:themeColor="text1"/>
                      <w:sz w:val="22"/>
                      <w:szCs w:val="22"/>
                      <w:lang w:eastAsia="en-US"/>
                    </w:rPr>
                  </w:pPr>
                  <w:r w:rsidRPr="00EA4D18">
                    <w:rPr>
                      <w:color w:val="000000" w:themeColor="text1"/>
                      <w:sz w:val="22"/>
                      <w:szCs w:val="22"/>
                      <w:lang w:eastAsia="en-US"/>
                    </w:rPr>
                    <w:t>81,4</w:t>
                  </w:r>
                </w:p>
              </w:tc>
            </w:tr>
            <w:tr w:rsidR="004E3968" w14:paraId="44CD6AD9" w14:textId="77777777" w:rsidTr="00EA4D18">
              <w:trPr>
                <w:trHeight w:val="77"/>
              </w:trPr>
              <w:tc>
                <w:tcPr>
                  <w:tcW w:w="2086" w:type="dxa"/>
                </w:tcPr>
                <w:p w14:paraId="56F4C822" w14:textId="77777777" w:rsidR="004E3968" w:rsidRPr="00EA4D18" w:rsidRDefault="004E3968" w:rsidP="004E3968">
                  <w:pPr>
                    <w:pStyle w:val="naiskr"/>
                    <w:spacing w:before="0" w:after="0"/>
                    <w:ind w:right="57"/>
                    <w:jc w:val="both"/>
                    <w:rPr>
                      <w:b/>
                      <w:bCs/>
                      <w:color w:val="000000" w:themeColor="text1"/>
                      <w:sz w:val="22"/>
                      <w:szCs w:val="22"/>
                      <w:lang w:eastAsia="en-US"/>
                    </w:rPr>
                  </w:pPr>
                  <w:r w:rsidRPr="00EA4D18">
                    <w:rPr>
                      <w:b/>
                      <w:bCs/>
                      <w:color w:val="000000" w:themeColor="text1"/>
                      <w:sz w:val="22"/>
                      <w:szCs w:val="22"/>
                      <w:lang w:eastAsia="en-US"/>
                    </w:rPr>
                    <w:t>KOPĀ</w:t>
                  </w:r>
                </w:p>
                <w:p w14:paraId="07AE91CD" w14:textId="77777777" w:rsidR="004E3968" w:rsidRPr="00EA4D18" w:rsidRDefault="004E3968" w:rsidP="004E3968">
                  <w:pPr>
                    <w:pStyle w:val="naiskr"/>
                    <w:spacing w:before="0" w:after="0"/>
                    <w:ind w:right="57"/>
                    <w:jc w:val="both"/>
                    <w:rPr>
                      <w:b/>
                      <w:bCs/>
                      <w:color w:val="000000" w:themeColor="text1"/>
                      <w:sz w:val="22"/>
                      <w:szCs w:val="22"/>
                      <w:lang w:eastAsia="en-US"/>
                    </w:rPr>
                  </w:pPr>
                </w:p>
              </w:tc>
              <w:tc>
                <w:tcPr>
                  <w:tcW w:w="851" w:type="dxa"/>
                </w:tcPr>
                <w:p w14:paraId="4F1C29F5" w14:textId="77777777" w:rsidR="004E3968" w:rsidRPr="00EA4D18" w:rsidRDefault="004E3968" w:rsidP="004E3968">
                  <w:pPr>
                    <w:pStyle w:val="naiskr"/>
                    <w:spacing w:before="0" w:after="0"/>
                    <w:ind w:right="57"/>
                    <w:jc w:val="right"/>
                    <w:rPr>
                      <w:b/>
                      <w:bCs/>
                      <w:color w:val="000000" w:themeColor="text1"/>
                      <w:sz w:val="22"/>
                      <w:szCs w:val="22"/>
                      <w:lang w:eastAsia="en-US"/>
                    </w:rPr>
                  </w:pPr>
                  <w:r w:rsidRPr="00EA4D18">
                    <w:rPr>
                      <w:b/>
                      <w:bCs/>
                      <w:color w:val="000000" w:themeColor="text1"/>
                      <w:sz w:val="22"/>
                      <w:szCs w:val="22"/>
                      <w:lang w:eastAsia="en-US"/>
                    </w:rPr>
                    <w:t>1294</w:t>
                  </w:r>
                </w:p>
              </w:tc>
              <w:tc>
                <w:tcPr>
                  <w:tcW w:w="850" w:type="dxa"/>
                </w:tcPr>
                <w:p w14:paraId="06827699" w14:textId="77777777" w:rsidR="004E3968" w:rsidRPr="00EA4D18" w:rsidRDefault="004E3968" w:rsidP="004E3968">
                  <w:pPr>
                    <w:pStyle w:val="naiskr"/>
                    <w:spacing w:before="0" w:after="0"/>
                    <w:ind w:right="57"/>
                    <w:jc w:val="right"/>
                    <w:rPr>
                      <w:b/>
                      <w:bCs/>
                      <w:color w:val="000000" w:themeColor="text1"/>
                      <w:sz w:val="22"/>
                      <w:szCs w:val="22"/>
                      <w:lang w:eastAsia="en-US"/>
                    </w:rPr>
                  </w:pPr>
                  <w:r w:rsidRPr="00EA4D18">
                    <w:rPr>
                      <w:b/>
                      <w:bCs/>
                      <w:color w:val="000000" w:themeColor="text1"/>
                      <w:sz w:val="22"/>
                      <w:szCs w:val="22"/>
                      <w:lang w:eastAsia="en-US"/>
                    </w:rPr>
                    <w:t>100,0</w:t>
                  </w:r>
                </w:p>
              </w:tc>
              <w:tc>
                <w:tcPr>
                  <w:tcW w:w="851" w:type="dxa"/>
                </w:tcPr>
                <w:p w14:paraId="560C6FD9" w14:textId="77777777" w:rsidR="004E3968" w:rsidRPr="00EA4D18" w:rsidRDefault="004E3968" w:rsidP="004E3968">
                  <w:pPr>
                    <w:rPr>
                      <w:b/>
                      <w:bCs/>
                      <w:color w:val="000000" w:themeColor="text1"/>
                      <w:sz w:val="22"/>
                      <w:szCs w:val="22"/>
                    </w:rPr>
                  </w:pPr>
                  <w:r w:rsidRPr="00EA4D18">
                    <w:rPr>
                      <w:b/>
                      <w:bCs/>
                      <w:color w:val="000000" w:themeColor="text1"/>
                      <w:sz w:val="22"/>
                      <w:szCs w:val="22"/>
                    </w:rPr>
                    <w:t>1318</w:t>
                  </w:r>
                </w:p>
              </w:tc>
              <w:tc>
                <w:tcPr>
                  <w:tcW w:w="1027" w:type="dxa"/>
                </w:tcPr>
                <w:p w14:paraId="362BAE60" w14:textId="77777777" w:rsidR="004E3968" w:rsidRPr="00EA4D18" w:rsidRDefault="004E3968" w:rsidP="004E3968">
                  <w:pPr>
                    <w:rPr>
                      <w:b/>
                      <w:bCs/>
                      <w:color w:val="000000" w:themeColor="text1"/>
                      <w:sz w:val="22"/>
                      <w:szCs w:val="22"/>
                    </w:rPr>
                  </w:pPr>
                  <w:r w:rsidRPr="00EA4D18">
                    <w:rPr>
                      <w:b/>
                      <w:bCs/>
                      <w:color w:val="000000" w:themeColor="text1"/>
                      <w:sz w:val="22"/>
                      <w:szCs w:val="22"/>
                      <w:lang w:eastAsia="en-US"/>
                    </w:rPr>
                    <w:t>100,0</w:t>
                  </w:r>
                </w:p>
              </w:tc>
            </w:tr>
          </w:tbl>
          <w:p w14:paraId="1788D5BC" w14:textId="77777777" w:rsidR="00735023" w:rsidRPr="00735023" w:rsidRDefault="00735023" w:rsidP="00735023">
            <w:pPr>
              <w:pStyle w:val="naiskr"/>
              <w:ind w:right="57"/>
              <w:rPr>
                <w:sz w:val="20"/>
                <w:szCs w:val="20"/>
                <w:lang w:eastAsia="en-US"/>
              </w:rPr>
            </w:pPr>
            <w:r w:rsidRPr="00735023">
              <w:rPr>
                <w:sz w:val="20"/>
                <w:szCs w:val="20"/>
                <w:lang w:eastAsia="en-US"/>
              </w:rPr>
              <w:t>Avots: Ekonomikas ministrija</w:t>
            </w:r>
          </w:p>
          <w:p w14:paraId="777C4B09" w14:textId="57490CA8" w:rsidR="000B4A0E" w:rsidRPr="00CF0E64" w:rsidRDefault="00012BB8" w:rsidP="00F8714E">
            <w:pPr>
              <w:pStyle w:val="Normal1"/>
              <w:spacing w:before="120" w:beforeAutospacing="0" w:after="0" w:afterAutospacing="0"/>
              <w:jc w:val="both"/>
              <w:rPr>
                <w:sz w:val="28"/>
                <w:szCs w:val="28"/>
              </w:rPr>
            </w:pPr>
            <w:r>
              <w:rPr>
                <w:sz w:val="28"/>
                <w:szCs w:val="28"/>
              </w:rPr>
              <w:t xml:space="preserve">       </w:t>
            </w:r>
            <w:r w:rsidR="007271A5" w:rsidRPr="00CF0E64">
              <w:rPr>
                <w:sz w:val="28"/>
                <w:szCs w:val="28"/>
              </w:rPr>
              <w:t>Skatoties pēc 2015.gada Latvijas dabasgāzes patēriņa (</w:t>
            </w:r>
            <w:r w:rsidR="007271A5" w:rsidRPr="00CF0E64">
              <w:rPr>
                <w:bCs/>
                <w:color w:val="000000" w:themeColor="text1"/>
                <w:sz w:val="28"/>
                <w:szCs w:val="28"/>
              </w:rPr>
              <w:t>1318 milj.</w:t>
            </w:r>
            <w:r w:rsidR="00A54E16">
              <w:rPr>
                <w:color w:val="000000" w:themeColor="text1"/>
                <w:sz w:val="28"/>
                <w:szCs w:val="28"/>
                <w:lang w:eastAsia="en-US"/>
              </w:rPr>
              <w:t xml:space="preserve"> </w:t>
            </w:r>
            <w:r w:rsidR="007271A5" w:rsidRPr="00CF0E64">
              <w:rPr>
                <w:color w:val="000000" w:themeColor="text1"/>
                <w:sz w:val="28"/>
                <w:szCs w:val="28"/>
                <w:lang w:eastAsia="en-US"/>
              </w:rPr>
              <w:t>m</w:t>
            </w:r>
            <w:r w:rsidR="007271A5" w:rsidRPr="00CF0E64">
              <w:rPr>
                <w:color w:val="000000" w:themeColor="text1"/>
                <w:sz w:val="28"/>
                <w:szCs w:val="28"/>
                <w:vertAlign w:val="superscript"/>
                <w:lang w:eastAsia="en-US"/>
              </w:rPr>
              <w:t>3</w:t>
            </w:r>
            <w:r w:rsidR="007271A5" w:rsidRPr="00CF0E64">
              <w:rPr>
                <w:sz w:val="28"/>
                <w:szCs w:val="28"/>
              </w:rPr>
              <w:t>), rezerve</w:t>
            </w:r>
            <w:r w:rsidR="00BF59CC" w:rsidRPr="00CF0E64">
              <w:rPr>
                <w:sz w:val="28"/>
                <w:szCs w:val="28"/>
              </w:rPr>
              <w:t>, kas būtu  uzglabājama Inčukalna</w:t>
            </w:r>
            <w:r w:rsidR="00BF59CC" w:rsidRPr="00CF0E64">
              <w:rPr>
                <w:color w:val="000000" w:themeColor="text1"/>
                <w:sz w:val="28"/>
                <w:szCs w:val="28"/>
              </w:rPr>
              <w:t xml:space="preserve"> pazemes gāzes krātuvē pēc attiecīgo nodrošināmo lietotāju iepriekšējā kalendārā gada patēriņa</w:t>
            </w:r>
            <w:r w:rsidR="007F4588" w:rsidRPr="00CF0E64">
              <w:rPr>
                <w:color w:val="000000" w:themeColor="text1"/>
                <w:sz w:val="28"/>
                <w:szCs w:val="28"/>
              </w:rPr>
              <w:t>,</w:t>
            </w:r>
            <w:r w:rsidR="007271A5" w:rsidRPr="00CF0E64">
              <w:rPr>
                <w:sz w:val="28"/>
                <w:szCs w:val="28"/>
              </w:rPr>
              <w:t xml:space="preserve"> indikatīvi būtu aptuveni </w:t>
            </w:r>
            <w:r w:rsidR="007F4588" w:rsidRPr="00CF0E64">
              <w:rPr>
                <w:sz w:val="28"/>
                <w:szCs w:val="28"/>
              </w:rPr>
              <w:t>245</w:t>
            </w:r>
            <w:r w:rsidR="007271A5" w:rsidRPr="00CF0E64">
              <w:rPr>
                <w:sz w:val="28"/>
                <w:szCs w:val="28"/>
              </w:rPr>
              <w:t xml:space="preserve"> </w:t>
            </w:r>
            <w:r w:rsidR="007271A5" w:rsidRPr="00CF0E64">
              <w:rPr>
                <w:bCs/>
                <w:color w:val="000000" w:themeColor="text1"/>
                <w:sz w:val="28"/>
                <w:szCs w:val="28"/>
              </w:rPr>
              <w:t>milj.</w:t>
            </w:r>
            <w:r w:rsidR="007271A5" w:rsidRPr="00CF0E64">
              <w:rPr>
                <w:color w:val="000000" w:themeColor="text1"/>
                <w:sz w:val="28"/>
                <w:szCs w:val="28"/>
                <w:lang w:eastAsia="en-US"/>
              </w:rPr>
              <w:t xml:space="preserve"> m</w:t>
            </w:r>
            <w:r w:rsidR="007271A5" w:rsidRPr="00CF0E64">
              <w:rPr>
                <w:color w:val="000000" w:themeColor="text1"/>
                <w:sz w:val="28"/>
                <w:szCs w:val="28"/>
                <w:vertAlign w:val="superscript"/>
                <w:lang w:eastAsia="en-US"/>
              </w:rPr>
              <w:t xml:space="preserve">3 </w:t>
            </w:r>
            <w:r w:rsidR="007271A5" w:rsidRPr="00CF0E64">
              <w:rPr>
                <w:sz w:val="28"/>
                <w:szCs w:val="28"/>
              </w:rPr>
              <w:t>dabasgāzes</w:t>
            </w:r>
            <w:r w:rsidR="007F4588" w:rsidRPr="00CF0E64">
              <w:rPr>
                <w:sz w:val="28"/>
                <w:szCs w:val="28"/>
              </w:rPr>
              <w:t>. Tas būtu daudzums, kas būtu nepieciešams nodrošināmo apgādei veselu gadu, taču</w:t>
            </w:r>
            <w:r w:rsidR="00812AE0" w:rsidRPr="00CF0E64">
              <w:rPr>
                <w:sz w:val="28"/>
                <w:szCs w:val="28"/>
              </w:rPr>
              <w:t>,</w:t>
            </w:r>
            <w:r w:rsidR="007F4588" w:rsidRPr="00CF0E64">
              <w:rPr>
                <w:sz w:val="28"/>
                <w:szCs w:val="28"/>
              </w:rPr>
              <w:t xml:space="preserve"> </w:t>
            </w:r>
            <w:r w:rsidR="00103196">
              <w:rPr>
                <w:sz w:val="28"/>
                <w:szCs w:val="28"/>
              </w:rPr>
              <w:t xml:space="preserve">veidojot rezervi būtu jāņem vērā to, ka dabasgāzes patēriņa apjomam ir sezonāls raksturs. </w:t>
            </w:r>
            <w:r w:rsidR="00F8714E" w:rsidRPr="00CF0E64">
              <w:rPr>
                <w:sz w:val="28"/>
                <w:szCs w:val="28"/>
              </w:rPr>
              <w:t xml:space="preserve">Pamatojoties uz </w:t>
            </w:r>
            <w:r w:rsidR="00575FBA" w:rsidRPr="00CF0E64">
              <w:rPr>
                <w:sz w:val="28"/>
                <w:szCs w:val="28"/>
              </w:rPr>
              <w:t xml:space="preserve">Eiropas Parlamenta un Padomes 2010.gada 20.oktobra Regulā (ES) Nr. 994/2010 par gāzes piegādes drošības aizsardzības pasākumiem un Padomes Direktīvas 2004/67/EK atcelšanu, </w:t>
            </w:r>
            <w:r w:rsidR="00F8714E" w:rsidRPr="00CF0E64">
              <w:rPr>
                <w:sz w:val="28"/>
                <w:szCs w:val="28"/>
              </w:rPr>
              <w:t>iekļautajām prasībām, ja vienotas lielākās gāzes piegādes infrastruktūras traucējumi rodas vidējos ziemas apstākļos,   aizsargājamiem patērētājiem dabasgāze jānodrošina uz vismaz 30 dienām.</w:t>
            </w:r>
            <w:r w:rsidR="00103196">
              <w:rPr>
                <w:sz w:val="28"/>
                <w:szCs w:val="28"/>
              </w:rPr>
              <w:t xml:space="preserve"> Vienlaikus dabasgāzes pārvades sistēmas operatoram, veidojot rezervi, jāņem vērā gāzes apgādes pārtraukumu riska novērtējuma rezultātā noteikto iespējamo pārtraukumu ilgumu un varbūtību.</w:t>
            </w:r>
          </w:p>
          <w:p w14:paraId="179E416F" w14:textId="0A1FAB3C" w:rsidR="00000B59" w:rsidRDefault="002F3CD8" w:rsidP="002F3CD8">
            <w:pPr>
              <w:ind w:left="10"/>
              <w:jc w:val="both"/>
              <w:rPr>
                <w:sz w:val="28"/>
                <w:szCs w:val="28"/>
              </w:rPr>
            </w:pPr>
            <w:r>
              <w:rPr>
                <w:color w:val="000000" w:themeColor="text1"/>
                <w:sz w:val="28"/>
                <w:szCs w:val="28"/>
              </w:rPr>
              <w:t>D</w:t>
            </w:r>
            <w:r w:rsidRPr="002F3CD8">
              <w:rPr>
                <w:color w:val="000000" w:themeColor="text1"/>
                <w:sz w:val="28"/>
                <w:szCs w:val="28"/>
              </w:rPr>
              <w:t xml:space="preserve">abasgāzes pārvades sistēmas operators, saskaņā ar dabasgāzes pārvades sistēmas lietošanas noteikumiem, </w:t>
            </w:r>
            <w:r>
              <w:rPr>
                <w:color w:val="000000" w:themeColor="text1"/>
                <w:sz w:val="28"/>
                <w:szCs w:val="28"/>
              </w:rPr>
              <w:t>pievadīs</w:t>
            </w:r>
            <w:r w:rsidRPr="002F3CD8">
              <w:rPr>
                <w:color w:val="000000" w:themeColor="text1"/>
                <w:sz w:val="28"/>
                <w:szCs w:val="28"/>
              </w:rPr>
              <w:t xml:space="preserve"> rezervi dabasgāzes sadales sistēmas operatoram</w:t>
            </w:r>
            <w:r>
              <w:rPr>
                <w:color w:val="000000" w:themeColor="text1"/>
                <w:sz w:val="28"/>
                <w:szCs w:val="28"/>
              </w:rPr>
              <w:t>, kurš nodrošinās</w:t>
            </w:r>
            <w:r w:rsidRPr="002F3CD8">
              <w:rPr>
                <w:color w:val="000000" w:themeColor="text1"/>
                <w:sz w:val="28"/>
                <w:szCs w:val="28"/>
              </w:rPr>
              <w:t xml:space="preserve"> rezerves piegādi</w:t>
            </w:r>
            <w:r>
              <w:rPr>
                <w:color w:val="000000" w:themeColor="text1"/>
                <w:sz w:val="28"/>
                <w:szCs w:val="28"/>
              </w:rPr>
              <w:t xml:space="preserve"> </w:t>
            </w:r>
            <w:r w:rsidR="00630EC3">
              <w:rPr>
                <w:color w:val="000000" w:themeColor="text1"/>
                <w:sz w:val="28"/>
                <w:szCs w:val="28"/>
              </w:rPr>
              <w:t>mājsaimniecībām</w:t>
            </w:r>
            <w:r>
              <w:rPr>
                <w:color w:val="000000" w:themeColor="text1"/>
                <w:sz w:val="28"/>
                <w:szCs w:val="28"/>
              </w:rPr>
              <w:t>,</w:t>
            </w:r>
            <w:r w:rsidR="00000B59" w:rsidRPr="00000B59">
              <w:rPr>
                <w:color w:val="000000" w:themeColor="text1"/>
                <w:sz w:val="28"/>
                <w:szCs w:val="28"/>
              </w:rPr>
              <w:t xml:space="preserve"> </w:t>
            </w:r>
            <w:r w:rsidR="00000B59" w:rsidRPr="00000B59">
              <w:rPr>
                <w:sz w:val="28"/>
                <w:szCs w:val="28"/>
              </w:rPr>
              <w:t>skolām, pirmsskolas izglītības iestādēm, slimnīcām, valsts un pašvaldību ilgstošas sociālās aprūpes un sociālās rehabilitācijas institūcijām, krīzes centriem, sociālās rehabilitācijas institūcijas personām, kurām izveidojusies atkarība no narkotiskajām, toksiskajām vai citām apreibinošām vielām, avārijas dienestiem, telekomunikāciju mezgliem, Neatliekamās medicīniskās palīdzības dienestam, Valsts ugunsdzēsības un glābšanas dienestam, Nacionālajiem bruņotajiem spēkiem, Valsts policijai, Valsts robežsardzei, valsts drošības iestādēm, ūdensapgādes un kanalizācijas stacijām, brīvības atņemšanas iestādēm, mobilizējamiem civilās aizsardzības formējumiem.</w:t>
            </w:r>
          </w:p>
          <w:p w14:paraId="2D40FB32" w14:textId="3DD73028" w:rsidR="006E28C3" w:rsidRPr="00700531" w:rsidRDefault="00012BB8" w:rsidP="007A3099">
            <w:pPr>
              <w:ind w:right="57"/>
              <w:jc w:val="both"/>
              <w:rPr>
                <w:sz w:val="28"/>
                <w:szCs w:val="28"/>
              </w:rPr>
            </w:pPr>
            <w:r>
              <w:rPr>
                <w:sz w:val="28"/>
                <w:szCs w:val="28"/>
              </w:rPr>
              <w:t xml:space="preserve">     </w:t>
            </w:r>
            <w:r w:rsidR="006E28C3" w:rsidRPr="00700531">
              <w:rPr>
                <w:sz w:val="28"/>
                <w:szCs w:val="28"/>
              </w:rPr>
              <w:t>Šobrīd dabasgāzes uzglabāšanas izmaksas veido</w:t>
            </w:r>
            <w:r w:rsidR="005F4699">
              <w:rPr>
                <w:sz w:val="28"/>
                <w:szCs w:val="28"/>
              </w:rPr>
              <w:t>jas no sekojošām komponentēm</w:t>
            </w:r>
            <w:r w:rsidR="006E28C3" w:rsidRPr="00700531">
              <w:rPr>
                <w:sz w:val="28"/>
                <w:szCs w:val="28"/>
              </w:rPr>
              <w:t>:</w:t>
            </w:r>
          </w:p>
          <w:p w14:paraId="30F165A9" w14:textId="77777777" w:rsidR="00700531" w:rsidRPr="00700531" w:rsidRDefault="006E28C3" w:rsidP="007A3099">
            <w:pPr>
              <w:ind w:right="57"/>
              <w:jc w:val="both"/>
              <w:rPr>
                <w:sz w:val="28"/>
                <w:szCs w:val="28"/>
              </w:rPr>
            </w:pPr>
            <w:r w:rsidRPr="00700531">
              <w:rPr>
                <w:sz w:val="28"/>
                <w:szCs w:val="28"/>
              </w:rPr>
              <w:t>- Iesūknēšanas pakalpojuma bāzes tarifs - 5,28 EUR/tūkst</w:t>
            </w:r>
            <w:r w:rsidR="00700531" w:rsidRPr="00700531">
              <w:rPr>
                <w:sz w:val="28"/>
                <w:szCs w:val="28"/>
              </w:rPr>
              <w:t xml:space="preserve"> </w:t>
            </w:r>
            <w:r w:rsidRPr="00700531">
              <w:rPr>
                <w:sz w:val="28"/>
                <w:szCs w:val="28"/>
              </w:rPr>
              <w:t>nm</w:t>
            </w:r>
            <w:r w:rsidR="00700531" w:rsidRPr="00700531">
              <w:rPr>
                <w:sz w:val="28"/>
                <w:szCs w:val="28"/>
              </w:rPr>
              <w:t>³</w:t>
            </w:r>
            <w:r w:rsidRPr="00700531">
              <w:rPr>
                <w:sz w:val="28"/>
                <w:szCs w:val="28"/>
              </w:rPr>
              <w:t> (bez PVN)</w:t>
            </w:r>
            <w:r w:rsidR="00700531" w:rsidRPr="00700531">
              <w:rPr>
                <w:sz w:val="28"/>
                <w:szCs w:val="28"/>
              </w:rPr>
              <w:t>;</w:t>
            </w:r>
          </w:p>
          <w:p w14:paraId="37D5DC96" w14:textId="77777777" w:rsidR="00700531" w:rsidRPr="00700531" w:rsidRDefault="006E28C3" w:rsidP="007A3099">
            <w:pPr>
              <w:ind w:right="57"/>
              <w:jc w:val="both"/>
              <w:rPr>
                <w:sz w:val="28"/>
                <w:szCs w:val="28"/>
              </w:rPr>
            </w:pPr>
            <w:r w:rsidRPr="00700531">
              <w:rPr>
                <w:sz w:val="28"/>
                <w:szCs w:val="28"/>
              </w:rPr>
              <w:t>- Glabāšanas pakalpojuma bāzes tarifs - 10,52 EUR/tūkst nm</w:t>
            </w:r>
            <w:r w:rsidR="00700531" w:rsidRPr="00700531">
              <w:rPr>
                <w:sz w:val="28"/>
                <w:szCs w:val="28"/>
              </w:rPr>
              <w:t>³</w:t>
            </w:r>
            <w:r w:rsidRPr="00700531">
              <w:rPr>
                <w:sz w:val="28"/>
                <w:szCs w:val="28"/>
              </w:rPr>
              <w:t> sezonā (bez PVN)</w:t>
            </w:r>
            <w:r w:rsidR="00700531" w:rsidRPr="00700531">
              <w:rPr>
                <w:sz w:val="28"/>
                <w:szCs w:val="28"/>
              </w:rPr>
              <w:t>;</w:t>
            </w:r>
          </w:p>
          <w:p w14:paraId="227C3851" w14:textId="77777777" w:rsidR="006E28C3" w:rsidRPr="00700531" w:rsidRDefault="006E28C3" w:rsidP="007A3099">
            <w:pPr>
              <w:ind w:right="57"/>
              <w:jc w:val="both"/>
              <w:rPr>
                <w:sz w:val="28"/>
                <w:szCs w:val="28"/>
              </w:rPr>
            </w:pPr>
            <w:r w:rsidRPr="00700531">
              <w:rPr>
                <w:sz w:val="28"/>
                <w:szCs w:val="28"/>
              </w:rPr>
              <w:t>- Izņemšanas pakalpojuma bāzes tarifs - 0,04 EUR/tūkst nm</w:t>
            </w:r>
            <w:r w:rsidR="00700531" w:rsidRPr="00700531">
              <w:rPr>
                <w:sz w:val="28"/>
                <w:szCs w:val="28"/>
              </w:rPr>
              <w:t>³</w:t>
            </w:r>
            <w:r w:rsidRPr="00700531">
              <w:rPr>
                <w:sz w:val="28"/>
                <w:szCs w:val="28"/>
              </w:rPr>
              <w:t> (bez PVN)</w:t>
            </w:r>
            <w:r w:rsidR="00700531" w:rsidRPr="00700531">
              <w:rPr>
                <w:sz w:val="28"/>
                <w:szCs w:val="28"/>
              </w:rPr>
              <w:t>.</w:t>
            </w:r>
            <w:r w:rsidR="00700531">
              <w:rPr>
                <w:rStyle w:val="FootnoteReference"/>
                <w:sz w:val="28"/>
                <w:szCs w:val="28"/>
              </w:rPr>
              <w:footnoteReference w:id="1"/>
            </w:r>
          </w:p>
          <w:p w14:paraId="12893C64" w14:textId="77777777" w:rsidR="00766B4F" w:rsidRPr="001278E9" w:rsidRDefault="00630EC3" w:rsidP="00630EC3">
            <w:pPr>
              <w:ind w:right="57"/>
              <w:jc w:val="both"/>
              <w:rPr>
                <w:sz w:val="28"/>
                <w:szCs w:val="28"/>
              </w:rPr>
            </w:pPr>
            <w:r>
              <w:rPr>
                <w:color w:val="000000" w:themeColor="text1"/>
                <w:sz w:val="28"/>
                <w:szCs w:val="28"/>
              </w:rPr>
              <w:t>Vienlaikus j</w:t>
            </w:r>
            <w:r w:rsidR="006E28C3">
              <w:rPr>
                <w:color w:val="000000" w:themeColor="text1"/>
                <w:sz w:val="28"/>
                <w:szCs w:val="28"/>
              </w:rPr>
              <w:t>āmin, ka k</w:t>
            </w:r>
            <w:r w:rsidR="00D8445D">
              <w:rPr>
                <w:color w:val="000000" w:themeColor="text1"/>
                <w:sz w:val="28"/>
                <w:szCs w:val="28"/>
              </w:rPr>
              <w:t xml:space="preserve">opš Latvijas Republikas </w:t>
            </w:r>
            <w:r w:rsidR="00C12A42">
              <w:rPr>
                <w:color w:val="000000" w:themeColor="text1"/>
                <w:sz w:val="28"/>
                <w:szCs w:val="28"/>
              </w:rPr>
              <w:t xml:space="preserve">neatkarības atjaunošanas </w:t>
            </w:r>
            <w:r w:rsidR="00D8445D">
              <w:rPr>
                <w:color w:val="000000" w:themeColor="text1"/>
                <w:sz w:val="28"/>
                <w:szCs w:val="28"/>
              </w:rPr>
              <w:t>1990.gada 4.maijā</w:t>
            </w:r>
            <w:r w:rsidR="00C12A42">
              <w:rPr>
                <w:color w:val="000000" w:themeColor="text1"/>
                <w:sz w:val="28"/>
                <w:szCs w:val="28"/>
              </w:rPr>
              <w:t xml:space="preserve"> Latvijā nav tikusi izsludināta enerģētiskā krīze, kas būtu saistīta ar dabasgāzes </w:t>
            </w:r>
            <w:bookmarkStart w:id="5" w:name="_GoBack"/>
            <w:bookmarkEnd w:id="5"/>
            <w:r w:rsidR="00C12A42">
              <w:rPr>
                <w:color w:val="000000" w:themeColor="text1"/>
                <w:sz w:val="28"/>
                <w:szCs w:val="28"/>
              </w:rPr>
              <w:t>apgādi.</w:t>
            </w:r>
          </w:p>
        </w:tc>
      </w:tr>
      <w:tr w:rsidR="00193E45" w:rsidRPr="00912A6D" w14:paraId="34B71005" w14:textId="77777777" w:rsidTr="00EA4D18">
        <w:trPr>
          <w:trHeight w:val="706"/>
        </w:trPr>
        <w:tc>
          <w:tcPr>
            <w:tcW w:w="524" w:type="dxa"/>
          </w:tcPr>
          <w:p w14:paraId="36065F91" w14:textId="77777777" w:rsidR="00193E45" w:rsidRPr="00912A6D" w:rsidRDefault="00193E45" w:rsidP="00912A6D">
            <w:pPr>
              <w:ind w:left="57" w:right="57"/>
              <w:rPr>
                <w:sz w:val="28"/>
                <w:szCs w:val="28"/>
              </w:rPr>
            </w:pPr>
            <w:r w:rsidRPr="00912A6D">
              <w:rPr>
                <w:sz w:val="28"/>
                <w:szCs w:val="28"/>
              </w:rPr>
              <w:t> 3.</w:t>
            </w:r>
          </w:p>
        </w:tc>
        <w:tc>
          <w:tcPr>
            <w:tcW w:w="3000" w:type="dxa"/>
          </w:tcPr>
          <w:p w14:paraId="2D8D029C" w14:textId="77777777" w:rsidR="00193E45" w:rsidRPr="00912A6D" w:rsidRDefault="00193E45" w:rsidP="00912A6D">
            <w:pPr>
              <w:ind w:left="57" w:right="57"/>
              <w:jc w:val="both"/>
              <w:rPr>
                <w:sz w:val="28"/>
                <w:szCs w:val="28"/>
              </w:rPr>
            </w:pPr>
            <w:r w:rsidRPr="00912A6D">
              <w:rPr>
                <w:sz w:val="28"/>
                <w:szCs w:val="28"/>
              </w:rPr>
              <w:t>Projekta izstrādē iesaistītās institūcijas</w:t>
            </w:r>
          </w:p>
        </w:tc>
        <w:tc>
          <w:tcPr>
            <w:tcW w:w="5812" w:type="dxa"/>
          </w:tcPr>
          <w:p w14:paraId="15A9F8B6" w14:textId="77777777" w:rsidR="00193E45" w:rsidRPr="00290056" w:rsidRDefault="00766B4F" w:rsidP="00967EF4">
            <w:pPr>
              <w:ind w:left="57" w:right="57" w:firstLine="284"/>
              <w:jc w:val="both"/>
              <w:rPr>
                <w:sz w:val="28"/>
                <w:szCs w:val="28"/>
              </w:rPr>
            </w:pPr>
            <w:r>
              <w:rPr>
                <w:sz w:val="28"/>
                <w:szCs w:val="28"/>
              </w:rPr>
              <w:t>Nav.</w:t>
            </w:r>
          </w:p>
        </w:tc>
      </w:tr>
      <w:tr w:rsidR="00193E45" w:rsidRPr="00912A6D" w14:paraId="05AC291F" w14:textId="77777777" w:rsidTr="00EA4D18">
        <w:trPr>
          <w:trHeight w:val="384"/>
        </w:trPr>
        <w:tc>
          <w:tcPr>
            <w:tcW w:w="524" w:type="dxa"/>
          </w:tcPr>
          <w:p w14:paraId="6DEE689B" w14:textId="77777777" w:rsidR="00193E45" w:rsidRPr="00912A6D" w:rsidRDefault="00193E45" w:rsidP="00912A6D">
            <w:pPr>
              <w:ind w:left="57" w:right="57"/>
              <w:rPr>
                <w:sz w:val="28"/>
                <w:szCs w:val="28"/>
              </w:rPr>
            </w:pPr>
            <w:r w:rsidRPr="00912A6D">
              <w:rPr>
                <w:sz w:val="28"/>
                <w:szCs w:val="28"/>
              </w:rPr>
              <w:t> 4.</w:t>
            </w:r>
          </w:p>
        </w:tc>
        <w:tc>
          <w:tcPr>
            <w:tcW w:w="3000" w:type="dxa"/>
          </w:tcPr>
          <w:p w14:paraId="6E2FE583" w14:textId="77777777" w:rsidR="00193E45" w:rsidRPr="00912A6D" w:rsidRDefault="00193E45" w:rsidP="00912A6D">
            <w:pPr>
              <w:ind w:left="57" w:right="57"/>
              <w:jc w:val="both"/>
              <w:rPr>
                <w:sz w:val="28"/>
                <w:szCs w:val="28"/>
              </w:rPr>
            </w:pPr>
            <w:r w:rsidRPr="00912A6D">
              <w:rPr>
                <w:sz w:val="28"/>
                <w:szCs w:val="28"/>
              </w:rPr>
              <w:t>Cita informācija</w:t>
            </w:r>
          </w:p>
        </w:tc>
        <w:tc>
          <w:tcPr>
            <w:tcW w:w="5812" w:type="dxa"/>
          </w:tcPr>
          <w:p w14:paraId="3E84BF50" w14:textId="77777777" w:rsidR="00193E45" w:rsidRPr="00912A6D" w:rsidRDefault="00193E45" w:rsidP="00912A6D">
            <w:pPr>
              <w:pStyle w:val="naiskr"/>
              <w:spacing w:before="0" w:after="0"/>
              <w:ind w:left="57" w:right="57" w:firstLine="284"/>
              <w:rPr>
                <w:sz w:val="28"/>
                <w:szCs w:val="28"/>
              </w:rPr>
            </w:pPr>
            <w:r w:rsidRPr="00912A6D">
              <w:rPr>
                <w:sz w:val="28"/>
                <w:szCs w:val="28"/>
              </w:rPr>
              <w:t>Nav</w:t>
            </w:r>
            <w:r w:rsidR="001803AF">
              <w:rPr>
                <w:sz w:val="28"/>
                <w:szCs w:val="28"/>
              </w:rPr>
              <w:t>.</w:t>
            </w:r>
          </w:p>
        </w:tc>
      </w:tr>
    </w:tbl>
    <w:p w14:paraId="38B2418F" w14:textId="77777777" w:rsidR="00193E45" w:rsidRPr="00912A6D" w:rsidRDefault="00193E45" w:rsidP="00912A6D">
      <w:pPr>
        <w:ind w:left="57" w:right="57"/>
        <w:rPr>
          <w:color w:val="FF0000"/>
          <w:sz w:val="28"/>
          <w:szCs w:val="28"/>
        </w:rPr>
      </w:pPr>
    </w:p>
    <w:tbl>
      <w:tblPr>
        <w:tblW w:w="9336"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718"/>
        <w:gridCol w:w="6095"/>
      </w:tblGrid>
      <w:tr w:rsidR="00193E45" w:rsidRPr="00912A6D" w14:paraId="2A65A7B2" w14:textId="77777777" w:rsidTr="004A1917">
        <w:tc>
          <w:tcPr>
            <w:tcW w:w="9336" w:type="dxa"/>
            <w:gridSpan w:val="3"/>
            <w:tcBorders>
              <w:top w:val="single" w:sz="4" w:space="0" w:color="auto"/>
              <w:left w:val="single" w:sz="4" w:space="0" w:color="auto"/>
              <w:bottom w:val="single" w:sz="4" w:space="0" w:color="auto"/>
              <w:right w:val="single" w:sz="4" w:space="0" w:color="auto"/>
            </w:tcBorders>
            <w:vAlign w:val="center"/>
            <w:hideMark/>
          </w:tcPr>
          <w:p w14:paraId="2989E6BD" w14:textId="77777777" w:rsidR="00193E45" w:rsidRPr="00912A6D" w:rsidRDefault="00193E45" w:rsidP="00912A6D">
            <w:pPr>
              <w:ind w:left="57" w:right="57"/>
              <w:jc w:val="center"/>
              <w:rPr>
                <w:b/>
                <w:sz w:val="28"/>
                <w:szCs w:val="28"/>
              </w:rPr>
            </w:pPr>
            <w:r w:rsidRPr="00912A6D">
              <w:rPr>
                <w:b/>
                <w:sz w:val="28"/>
                <w:szCs w:val="28"/>
              </w:rPr>
              <w:t>II. Tiesību akta projekta ietekme uz sabiedrību tautsaimniecības attīstību un administratīvo slogu</w:t>
            </w:r>
          </w:p>
        </w:tc>
      </w:tr>
      <w:tr w:rsidR="00193E45" w:rsidRPr="00912A6D" w14:paraId="3BB7E795" w14:textId="77777777" w:rsidTr="004A1917">
        <w:trPr>
          <w:trHeight w:val="467"/>
        </w:trPr>
        <w:tc>
          <w:tcPr>
            <w:tcW w:w="523" w:type="dxa"/>
            <w:tcBorders>
              <w:top w:val="single" w:sz="4" w:space="0" w:color="auto"/>
              <w:left w:val="single" w:sz="4" w:space="0" w:color="auto"/>
              <w:bottom w:val="single" w:sz="4" w:space="0" w:color="auto"/>
              <w:right w:val="single" w:sz="4" w:space="0" w:color="auto"/>
            </w:tcBorders>
            <w:hideMark/>
          </w:tcPr>
          <w:p w14:paraId="18DF12A3" w14:textId="77777777" w:rsidR="00193E45" w:rsidRPr="00912A6D" w:rsidRDefault="00193E45" w:rsidP="00912A6D">
            <w:pPr>
              <w:ind w:left="57" w:right="57"/>
              <w:rPr>
                <w:sz w:val="28"/>
                <w:szCs w:val="28"/>
              </w:rPr>
            </w:pPr>
            <w:r w:rsidRPr="00912A6D">
              <w:rPr>
                <w:sz w:val="28"/>
                <w:szCs w:val="28"/>
              </w:rPr>
              <w:t> 1.</w:t>
            </w:r>
          </w:p>
        </w:tc>
        <w:tc>
          <w:tcPr>
            <w:tcW w:w="2718" w:type="dxa"/>
            <w:tcBorders>
              <w:top w:val="single" w:sz="4" w:space="0" w:color="auto"/>
              <w:left w:val="single" w:sz="4" w:space="0" w:color="auto"/>
              <w:bottom w:val="single" w:sz="4" w:space="0" w:color="auto"/>
              <w:right w:val="single" w:sz="4" w:space="0" w:color="auto"/>
            </w:tcBorders>
            <w:hideMark/>
          </w:tcPr>
          <w:p w14:paraId="40DAA8D1" w14:textId="77777777" w:rsidR="00193E45" w:rsidRPr="00912A6D" w:rsidRDefault="00193E45" w:rsidP="00912A6D">
            <w:pPr>
              <w:ind w:left="57" w:right="57"/>
              <w:jc w:val="both"/>
              <w:rPr>
                <w:sz w:val="28"/>
                <w:szCs w:val="28"/>
              </w:rPr>
            </w:pPr>
            <w:r w:rsidRPr="00912A6D">
              <w:rPr>
                <w:sz w:val="28"/>
                <w:szCs w:val="28"/>
              </w:rPr>
              <w:t> 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hideMark/>
          </w:tcPr>
          <w:p w14:paraId="1F8B3D35" w14:textId="33A7DAD9" w:rsidR="00193E45" w:rsidRPr="0043016A" w:rsidRDefault="00F52175" w:rsidP="0043016A">
            <w:pPr>
              <w:spacing w:before="100" w:beforeAutospacing="1" w:after="100" w:afterAutospacing="1"/>
              <w:ind w:firstLine="502"/>
              <w:jc w:val="both"/>
              <w:rPr>
                <w:sz w:val="28"/>
                <w:szCs w:val="28"/>
                <w:u w:val="single"/>
              </w:rPr>
            </w:pPr>
            <w:r w:rsidRPr="00912A6D">
              <w:rPr>
                <w:iCs/>
                <w:sz w:val="28"/>
                <w:szCs w:val="28"/>
              </w:rPr>
              <w:t>Noteikum</w:t>
            </w:r>
            <w:r w:rsidR="002D3EAC">
              <w:rPr>
                <w:iCs/>
                <w:sz w:val="28"/>
                <w:szCs w:val="28"/>
              </w:rPr>
              <w:t xml:space="preserve">u projekts attiecas uz </w:t>
            </w:r>
            <w:r w:rsidR="001803AF" w:rsidRPr="00C206F0">
              <w:rPr>
                <w:color w:val="000000" w:themeColor="text1"/>
                <w:sz w:val="28"/>
                <w:szCs w:val="28"/>
              </w:rPr>
              <w:t>dabasgāzes pārvades sistēmas operator</w:t>
            </w:r>
            <w:r w:rsidR="001803AF">
              <w:rPr>
                <w:color w:val="000000" w:themeColor="text1"/>
                <w:sz w:val="28"/>
                <w:szCs w:val="28"/>
              </w:rPr>
              <w:t>u</w:t>
            </w:r>
            <w:r w:rsidR="00D0325F">
              <w:rPr>
                <w:color w:val="000000" w:themeColor="text1"/>
                <w:sz w:val="28"/>
                <w:szCs w:val="28"/>
              </w:rPr>
              <w:t>, publisko tirgotāju</w:t>
            </w:r>
            <w:r w:rsidR="0043016A">
              <w:rPr>
                <w:color w:val="000000" w:themeColor="text1"/>
                <w:sz w:val="28"/>
                <w:szCs w:val="28"/>
              </w:rPr>
              <w:t>,</w:t>
            </w:r>
            <w:r w:rsidR="001803AF">
              <w:rPr>
                <w:color w:val="000000" w:themeColor="text1"/>
                <w:sz w:val="28"/>
                <w:szCs w:val="28"/>
              </w:rPr>
              <w:t xml:space="preserve"> dabasgāzes tirgotājiem</w:t>
            </w:r>
            <w:r w:rsidR="0043016A">
              <w:rPr>
                <w:color w:val="000000" w:themeColor="text1"/>
                <w:sz w:val="28"/>
                <w:szCs w:val="28"/>
              </w:rPr>
              <w:t xml:space="preserve">, kā arī dabasgāzes galapatērētājiem uz kuriem </w:t>
            </w:r>
            <w:r w:rsidR="00AB6C60">
              <w:rPr>
                <w:iCs/>
                <w:sz w:val="28"/>
                <w:szCs w:val="28"/>
              </w:rPr>
              <w:t xml:space="preserve"> </w:t>
            </w:r>
            <w:r w:rsidR="0043016A" w:rsidRPr="00554A5F">
              <w:rPr>
                <w:color w:val="000000" w:themeColor="text1"/>
                <w:sz w:val="28"/>
                <w:szCs w:val="28"/>
              </w:rPr>
              <w:t>enerģētiskās</w:t>
            </w:r>
            <w:r w:rsidR="0043016A" w:rsidRPr="00C206F0">
              <w:rPr>
                <w:color w:val="000000" w:themeColor="text1"/>
                <w:sz w:val="28"/>
                <w:szCs w:val="28"/>
              </w:rPr>
              <w:t xml:space="preserve"> krīzes laikā, traucētas dabasgāzes piegādes gadījumā</w:t>
            </w:r>
            <w:r w:rsidR="0043016A">
              <w:rPr>
                <w:color w:val="000000" w:themeColor="text1"/>
                <w:sz w:val="28"/>
                <w:szCs w:val="28"/>
              </w:rPr>
              <w:t xml:space="preserve"> attieksies patēriņa </w:t>
            </w:r>
            <w:r w:rsidR="0043016A" w:rsidRPr="0043016A">
              <w:rPr>
                <w:sz w:val="28"/>
                <w:szCs w:val="28"/>
              </w:rPr>
              <w:t>ierobežojumi.</w:t>
            </w:r>
          </w:p>
        </w:tc>
      </w:tr>
      <w:tr w:rsidR="00193E45" w:rsidRPr="00912A6D" w14:paraId="60CBBFAB" w14:textId="77777777" w:rsidTr="004A1917">
        <w:trPr>
          <w:trHeight w:val="523"/>
        </w:trPr>
        <w:tc>
          <w:tcPr>
            <w:tcW w:w="523" w:type="dxa"/>
            <w:tcBorders>
              <w:top w:val="single" w:sz="4" w:space="0" w:color="auto"/>
              <w:left w:val="single" w:sz="4" w:space="0" w:color="auto"/>
              <w:bottom w:val="single" w:sz="4" w:space="0" w:color="auto"/>
              <w:right w:val="single" w:sz="4" w:space="0" w:color="auto"/>
            </w:tcBorders>
            <w:hideMark/>
          </w:tcPr>
          <w:p w14:paraId="193C03FE" w14:textId="77777777" w:rsidR="00193E45" w:rsidRPr="00912A6D" w:rsidRDefault="00193E45" w:rsidP="00912A6D">
            <w:pPr>
              <w:ind w:left="57" w:right="57"/>
              <w:rPr>
                <w:sz w:val="28"/>
                <w:szCs w:val="28"/>
              </w:rPr>
            </w:pPr>
            <w:r w:rsidRPr="00912A6D">
              <w:rPr>
                <w:sz w:val="28"/>
                <w:szCs w:val="28"/>
              </w:rPr>
              <w:t> 2.</w:t>
            </w:r>
          </w:p>
        </w:tc>
        <w:tc>
          <w:tcPr>
            <w:tcW w:w="2718" w:type="dxa"/>
            <w:tcBorders>
              <w:top w:val="single" w:sz="4" w:space="0" w:color="auto"/>
              <w:left w:val="single" w:sz="4" w:space="0" w:color="auto"/>
              <w:bottom w:val="single" w:sz="4" w:space="0" w:color="auto"/>
              <w:right w:val="single" w:sz="4" w:space="0" w:color="auto"/>
            </w:tcBorders>
            <w:hideMark/>
          </w:tcPr>
          <w:p w14:paraId="2E71D7FA" w14:textId="77777777" w:rsidR="00193E45" w:rsidRPr="00912A6D" w:rsidRDefault="00193E45" w:rsidP="00912A6D">
            <w:pPr>
              <w:ind w:left="57" w:right="57"/>
              <w:jc w:val="both"/>
              <w:rPr>
                <w:sz w:val="28"/>
                <w:szCs w:val="28"/>
              </w:rPr>
            </w:pPr>
            <w:r w:rsidRPr="00912A6D">
              <w:rPr>
                <w:sz w:val="28"/>
                <w:szCs w:val="28"/>
              </w:rPr>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hideMark/>
          </w:tcPr>
          <w:p w14:paraId="60776E35" w14:textId="05DA2DE8" w:rsidR="00193E45" w:rsidRPr="00912A6D" w:rsidRDefault="002E6C58" w:rsidP="00575FBA">
            <w:pPr>
              <w:ind w:left="57" w:right="57" w:firstLine="284"/>
              <w:jc w:val="both"/>
              <w:rPr>
                <w:sz w:val="28"/>
                <w:szCs w:val="28"/>
              </w:rPr>
            </w:pPr>
            <w:r>
              <w:rPr>
                <w:color w:val="000000" w:themeColor="text1"/>
                <w:sz w:val="28"/>
                <w:szCs w:val="28"/>
              </w:rPr>
              <w:t xml:space="preserve">Noteikumu projekts paredzēs kārtību, kā tiks </w:t>
            </w:r>
            <w:r w:rsidRPr="00554A5F">
              <w:rPr>
                <w:color w:val="000000" w:themeColor="text1"/>
                <w:sz w:val="28"/>
                <w:szCs w:val="28"/>
              </w:rPr>
              <w:t>nodrošin</w:t>
            </w:r>
            <w:r>
              <w:rPr>
                <w:color w:val="000000" w:themeColor="text1"/>
                <w:sz w:val="28"/>
                <w:szCs w:val="28"/>
              </w:rPr>
              <w:t>āta</w:t>
            </w:r>
            <w:r w:rsidRPr="00554A5F">
              <w:rPr>
                <w:color w:val="000000" w:themeColor="text1"/>
                <w:sz w:val="28"/>
                <w:szCs w:val="28"/>
              </w:rPr>
              <w:t xml:space="preserve"> dabasgāzes drošības rezerv</w:t>
            </w:r>
            <w:r>
              <w:rPr>
                <w:color w:val="000000" w:themeColor="text1"/>
                <w:sz w:val="28"/>
                <w:szCs w:val="28"/>
              </w:rPr>
              <w:t>e</w:t>
            </w:r>
            <w:r w:rsidR="00F8714E">
              <w:rPr>
                <w:color w:val="000000" w:themeColor="text1"/>
                <w:sz w:val="28"/>
                <w:szCs w:val="28"/>
              </w:rPr>
              <w:t xml:space="preserve">, </w:t>
            </w:r>
            <w:r w:rsidRPr="00554A5F">
              <w:rPr>
                <w:color w:val="000000" w:themeColor="text1"/>
                <w:sz w:val="28"/>
                <w:szCs w:val="28"/>
              </w:rPr>
              <w:t xml:space="preserve">kas, ievērojot </w:t>
            </w:r>
            <w:r w:rsidR="00575FBA" w:rsidRPr="00295128">
              <w:rPr>
                <w:sz w:val="28"/>
                <w:szCs w:val="28"/>
              </w:rPr>
              <w:t>Eiropas Parlamenta un Padomes 2010.gada 20.oktobra Regul</w:t>
            </w:r>
            <w:r w:rsidR="00575FBA">
              <w:rPr>
                <w:sz w:val="28"/>
                <w:szCs w:val="28"/>
              </w:rPr>
              <w:t>u</w:t>
            </w:r>
            <w:r w:rsidR="00575FBA" w:rsidRPr="00295128">
              <w:rPr>
                <w:sz w:val="28"/>
                <w:szCs w:val="28"/>
              </w:rPr>
              <w:t xml:space="preserve"> (ES) Nr. 994/2010 par gāzes piegādes drošības aizsardzības pasākumiem un Padomes Direktīvas 2004/67/EK</w:t>
            </w:r>
            <w:r w:rsidR="00575FBA">
              <w:rPr>
                <w:sz w:val="28"/>
                <w:szCs w:val="28"/>
              </w:rPr>
              <w:t xml:space="preserve"> atcelšanu</w:t>
            </w:r>
            <w:r w:rsidR="00004BA5">
              <w:rPr>
                <w:sz w:val="28"/>
                <w:szCs w:val="28"/>
              </w:rPr>
              <w:t>,</w:t>
            </w:r>
            <w:r w:rsidR="00004BA5">
              <w:rPr>
                <w:color w:val="000000" w:themeColor="text1"/>
                <w:sz w:val="28"/>
                <w:szCs w:val="28"/>
              </w:rPr>
              <w:t xml:space="preserve"> </w:t>
            </w:r>
            <w:r w:rsidRPr="00554A5F">
              <w:rPr>
                <w:color w:val="000000" w:themeColor="text1"/>
                <w:sz w:val="28"/>
                <w:szCs w:val="28"/>
              </w:rPr>
              <w:t>enerģētiskās</w:t>
            </w:r>
            <w:r w:rsidRPr="00C206F0">
              <w:rPr>
                <w:color w:val="000000" w:themeColor="text1"/>
                <w:sz w:val="28"/>
                <w:szCs w:val="28"/>
              </w:rPr>
              <w:t xml:space="preserve"> krīzes laikā, traucētas dabasgāzes piegādes gadījumā, tiks izmantota nodrošināmo lietotāju apgādei</w:t>
            </w:r>
            <w:r>
              <w:rPr>
                <w:color w:val="000000" w:themeColor="text1"/>
                <w:sz w:val="28"/>
                <w:szCs w:val="28"/>
              </w:rPr>
              <w:t xml:space="preserve">, pēc iespējas </w:t>
            </w:r>
            <w:r w:rsidR="00D008F5">
              <w:rPr>
                <w:color w:val="000000" w:themeColor="text1"/>
                <w:sz w:val="28"/>
                <w:szCs w:val="28"/>
              </w:rPr>
              <w:t>samazinot negatīvo ietekmi uz tautsaimniecību.</w:t>
            </w:r>
          </w:p>
        </w:tc>
      </w:tr>
      <w:tr w:rsidR="00193E45" w:rsidRPr="00912A6D" w14:paraId="126D9F49" w14:textId="77777777" w:rsidTr="004A1917">
        <w:trPr>
          <w:trHeight w:val="517"/>
        </w:trPr>
        <w:tc>
          <w:tcPr>
            <w:tcW w:w="523" w:type="dxa"/>
            <w:tcBorders>
              <w:top w:val="single" w:sz="4" w:space="0" w:color="auto"/>
              <w:left w:val="single" w:sz="4" w:space="0" w:color="auto"/>
              <w:bottom w:val="single" w:sz="4" w:space="0" w:color="auto"/>
              <w:right w:val="single" w:sz="4" w:space="0" w:color="auto"/>
            </w:tcBorders>
            <w:hideMark/>
          </w:tcPr>
          <w:p w14:paraId="0384E9DA" w14:textId="77777777" w:rsidR="00193E45" w:rsidRPr="00912A6D" w:rsidRDefault="00193E45" w:rsidP="00912A6D">
            <w:pPr>
              <w:ind w:left="57" w:right="57"/>
              <w:rPr>
                <w:sz w:val="28"/>
                <w:szCs w:val="28"/>
              </w:rPr>
            </w:pPr>
            <w:r w:rsidRPr="00912A6D">
              <w:rPr>
                <w:sz w:val="28"/>
                <w:szCs w:val="28"/>
              </w:rPr>
              <w:t> 3.</w:t>
            </w:r>
          </w:p>
        </w:tc>
        <w:tc>
          <w:tcPr>
            <w:tcW w:w="2718" w:type="dxa"/>
            <w:tcBorders>
              <w:top w:val="single" w:sz="4" w:space="0" w:color="auto"/>
              <w:left w:val="single" w:sz="4" w:space="0" w:color="auto"/>
              <w:bottom w:val="single" w:sz="4" w:space="0" w:color="auto"/>
              <w:right w:val="single" w:sz="4" w:space="0" w:color="auto"/>
            </w:tcBorders>
            <w:hideMark/>
          </w:tcPr>
          <w:p w14:paraId="1D0C04CC" w14:textId="77777777" w:rsidR="00193E45" w:rsidRPr="00912A6D" w:rsidRDefault="00193E45" w:rsidP="00912A6D">
            <w:pPr>
              <w:ind w:left="57" w:right="57"/>
              <w:jc w:val="both"/>
              <w:rPr>
                <w:sz w:val="28"/>
                <w:szCs w:val="28"/>
              </w:rPr>
            </w:pPr>
            <w:r w:rsidRPr="00912A6D">
              <w:rPr>
                <w:sz w:val="28"/>
                <w:szCs w:val="28"/>
              </w:rPr>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hideMark/>
          </w:tcPr>
          <w:p w14:paraId="7120CD37" w14:textId="77777777" w:rsidR="00193E45" w:rsidRPr="00967EF4" w:rsidRDefault="00727E79" w:rsidP="00F64E50">
            <w:pPr>
              <w:ind w:left="57" w:right="57" w:firstLine="284"/>
              <w:jc w:val="both"/>
              <w:rPr>
                <w:sz w:val="28"/>
                <w:szCs w:val="28"/>
              </w:rPr>
            </w:pPr>
            <w:r w:rsidRPr="00596363">
              <w:rPr>
                <w:sz w:val="28"/>
                <w:szCs w:val="28"/>
              </w:rPr>
              <w:t>Projekts šo jomu neskar.</w:t>
            </w:r>
          </w:p>
        </w:tc>
      </w:tr>
      <w:tr w:rsidR="00193E45" w:rsidRPr="00912A6D" w14:paraId="738E666E" w14:textId="77777777" w:rsidTr="004A1917">
        <w:tc>
          <w:tcPr>
            <w:tcW w:w="523" w:type="dxa"/>
            <w:tcBorders>
              <w:top w:val="single" w:sz="4" w:space="0" w:color="auto"/>
              <w:left w:val="single" w:sz="4" w:space="0" w:color="auto"/>
              <w:bottom w:val="single" w:sz="4" w:space="0" w:color="auto"/>
              <w:right w:val="single" w:sz="4" w:space="0" w:color="auto"/>
            </w:tcBorders>
            <w:hideMark/>
          </w:tcPr>
          <w:p w14:paraId="12846101" w14:textId="77777777" w:rsidR="00193E45" w:rsidRPr="00912A6D" w:rsidRDefault="00193E45" w:rsidP="00912A6D">
            <w:pPr>
              <w:ind w:left="57" w:right="57"/>
              <w:rPr>
                <w:sz w:val="28"/>
                <w:szCs w:val="28"/>
              </w:rPr>
            </w:pPr>
            <w:r w:rsidRPr="00912A6D">
              <w:rPr>
                <w:sz w:val="28"/>
                <w:szCs w:val="28"/>
              </w:rPr>
              <w:t> 4.</w:t>
            </w:r>
          </w:p>
        </w:tc>
        <w:tc>
          <w:tcPr>
            <w:tcW w:w="2718" w:type="dxa"/>
            <w:tcBorders>
              <w:top w:val="single" w:sz="4" w:space="0" w:color="auto"/>
              <w:left w:val="single" w:sz="4" w:space="0" w:color="auto"/>
              <w:bottom w:val="single" w:sz="4" w:space="0" w:color="auto"/>
              <w:right w:val="single" w:sz="4" w:space="0" w:color="auto"/>
            </w:tcBorders>
            <w:hideMark/>
          </w:tcPr>
          <w:p w14:paraId="7B8A20A7" w14:textId="77777777" w:rsidR="00193E45" w:rsidRPr="00912A6D" w:rsidRDefault="00193E45" w:rsidP="00912A6D">
            <w:pPr>
              <w:ind w:left="57" w:right="57"/>
              <w:jc w:val="both"/>
              <w:rPr>
                <w:sz w:val="28"/>
                <w:szCs w:val="28"/>
              </w:rPr>
            </w:pPr>
            <w:r w:rsidRPr="00912A6D">
              <w:rPr>
                <w:sz w:val="28"/>
                <w:szCs w:val="28"/>
              </w:rPr>
              <w:t> Cita informācija</w:t>
            </w:r>
          </w:p>
        </w:tc>
        <w:tc>
          <w:tcPr>
            <w:tcW w:w="6095" w:type="dxa"/>
            <w:tcBorders>
              <w:top w:val="single" w:sz="4" w:space="0" w:color="auto"/>
              <w:left w:val="single" w:sz="4" w:space="0" w:color="auto"/>
              <w:bottom w:val="single" w:sz="4" w:space="0" w:color="auto"/>
              <w:right w:val="single" w:sz="4" w:space="0" w:color="auto"/>
            </w:tcBorders>
            <w:hideMark/>
          </w:tcPr>
          <w:p w14:paraId="7D1396D5" w14:textId="77777777" w:rsidR="00193E45" w:rsidRPr="00912A6D" w:rsidRDefault="00193E45" w:rsidP="00912A6D">
            <w:pPr>
              <w:ind w:left="57" w:right="57" w:firstLine="284"/>
              <w:rPr>
                <w:sz w:val="28"/>
                <w:szCs w:val="28"/>
              </w:rPr>
            </w:pPr>
            <w:r w:rsidRPr="00912A6D">
              <w:rPr>
                <w:sz w:val="28"/>
                <w:szCs w:val="28"/>
              </w:rPr>
              <w:t>Nav</w:t>
            </w:r>
          </w:p>
        </w:tc>
      </w:tr>
    </w:tbl>
    <w:p w14:paraId="42EFE4A8" w14:textId="77777777" w:rsidR="004A1917" w:rsidRDefault="004A1917"/>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09"/>
        <w:gridCol w:w="6179"/>
      </w:tblGrid>
      <w:tr w:rsidR="00BE2C01" w:rsidRPr="00295128" w14:paraId="328ABFE0" w14:textId="77777777" w:rsidTr="00F01485">
        <w:tc>
          <w:tcPr>
            <w:tcW w:w="9356" w:type="dxa"/>
            <w:gridSpan w:val="3"/>
            <w:shd w:val="clear" w:color="auto" w:fill="auto"/>
            <w:hideMark/>
          </w:tcPr>
          <w:p w14:paraId="1F76FB13" w14:textId="77777777" w:rsidR="00BE2C01" w:rsidRPr="00295128" w:rsidRDefault="00BE2C01" w:rsidP="00315148">
            <w:pPr>
              <w:jc w:val="center"/>
              <w:rPr>
                <w:b/>
                <w:bCs/>
                <w:sz w:val="28"/>
                <w:szCs w:val="28"/>
              </w:rPr>
            </w:pPr>
            <w:r w:rsidRPr="00295128">
              <w:rPr>
                <w:b/>
                <w:bCs/>
                <w:sz w:val="28"/>
                <w:szCs w:val="28"/>
              </w:rPr>
              <w:t>V. Tiesību akta projekta atbilstība Latvijas Republikas starptautiskajām saistībām</w:t>
            </w:r>
          </w:p>
        </w:tc>
      </w:tr>
      <w:tr w:rsidR="00BE2C01" w:rsidRPr="00295128" w14:paraId="7E4C5843" w14:textId="77777777" w:rsidTr="00F01485">
        <w:tc>
          <w:tcPr>
            <w:tcW w:w="568" w:type="dxa"/>
            <w:shd w:val="clear" w:color="auto" w:fill="auto"/>
            <w:hideMark/>
          </w:tcPr>
          <w:p w14:paraId="0FEFC227" w14:textId="77777777" w:rsidR="00BE2C01" w:rsidRPr="00295128" w:rsidRDefault="00BE2C01" w:rsidP="00315148">
            <w:pPr>
              <w:rPr>
                <w:sz w:val="22"/>
              </w:rPr>
            </w:pPr>
            <w:r w:rsidRPr="00295128">
              <w:rPr>
                <w:sz w:val="22"/>
              </w:rPr>
              <w:t>1.</w:t>
            </w:r>
          </w:p>
        </w:tc>
        <w:tc>
          <w:tcPr>
            <w:tcW w:w="2609" w:type="dxa"/>
            <w:shd w:val="clear" w:color="auto" w:fill="auto"/>
            <w:hideMark/>
          </w:tcPr>
          <w:p w14:paraId="7BF81A78" w14:textId="77777777" w:rsidR="00BE2C01" w:rsidRPr="00295128" w:rsidRDefault="00BE2C01" w:rsidP="00315148">
            <w:pPr>
              <w:rPr>
                <w:sz w:val="28"/>
                <w:szCs w:val="28"/>
              </w:rPr>
            </w:pPr>
            <w:r w:rsidRPr="00295128">
              <w:rPr>
                <w:sz w:val="28"/>
                <w:szCs w:val="28"/>
              </w:rPr>
              <w:t>Saistības pret Eiropas Savienību</w:t>
            </w:r>
          </w:p>
        </w:tc>
        <w:tc>
          <w:tcPr>
            <w:tcW w:w="6179" w:type="dxa"/>
            <w:shd w:val="clear" w:color="auto" w:fill="auto"/>
            <w:hideMark/>
          </w:tcPr>
          <w:p w14:paraId="781C78A8" w14:textId="3F4FC141" w:rsidR="00BE2C01" w:rsidRPr="00295128" w:rsidRDefault="00012BB8" w:rsidP="00315148">
            <w:pPr>
              <w:pStyle w:val="doc-ti"/>
              <w:spacing w:before="0" w:after="0"/>
              <w:jc w:val="both"/>
              <w:rPr>
                <w:b w:val="0"/>
                <w:sz w:val="28"/>
                <w:szCs w:val="28"/>
              </w:rPr>
            </w:pPr>
            <w:r>
              <w:rPr>
                <w:b w:val="0"/>
                <w:sz w:val="28"/>
                <w:szCs w:val="28"/>
              </w:rPr>
              <w:t xml:space="preserve">   </w:t>
            </w:r>
            <w:r w:rsidR="00BE2C01" w:rsidRPr="00295128">
              <w:rPr>
                <w:b w:val="0"/>
                <w:sz w:val="28"/>
                <w:szCs w:val="28"/>
              </w:rPr>
              <w:t>Eiropas Parlamenta un Padomes 2010.gada 20.oktobra Regula (ES) Nr. 994/2010 par gāzes piegādes drošības aizsardzības pasākumiem un Padomes Direktīvas 2004/67/EK</w:t>
            </w:r>
            <w:r w:rsidR="00004BA5">
              <w:rPr>
                <w:b w:val="0"/>
                <w:sz w:val="28"/>
                <w:szCs w:val="28"/>
              </w:rPr>
              <w:t xml:space="preserve"> atcelšanu</w:t>
            </w:r>
            <w:r w:rsidR="00BE2C01" w:rsidRPr="00295128">
              <w:rPr>
                <w:b w:val="0"/>
                <w:sz w:val="28"/>
                <w:szCs w:val="28"/>
              </w:rPr>
              <w:t>.</w:t>
            </w:r>
          </w:p>
          <w:p w14:paraId="774DCA07" w14:textId="77777777" w:rsidR="00BE2C01" w:rsidRPr="00295128" w:rsidRDefault="00BE2C01" w:rsidP="00315148">
            <w:pPr>
              <w:pStyle w:val="doc-ti"/>
              <w:spacing w:before="0" w:after="0"/>
              <w:jc w:val="both"/>
              <w:rPr>
                <w:b w:val="0"/>
                <w:color w:val="000000"/>
                <w:sz w:val="28"/>
                <w:szCs w:val="28"/>
              </w:rPr>
            </w:pPr>
            <w:r w:rsidRPr="00295128">
              <w:rPr>
                <w:b w:val="0"/>
                <w:color w:val="000000"/>
                <w:sz w:val="28"/>
                <w:szCs w:val="28"/>
              </w:rPr>
              <w:t>Publicēta “Eiropas Savienības Oficiālajā Vēstnesī” L 295, 12.11.2010., 1.-22. lpp.</w:t>
            </w:r>
          </w:p>
        </w:tc>
      </w:tr>
      <w:tr w:rsidR="00BE2C01" w:rsidRPr="00295128" w14:paraId="49BFE907" w14:textId="77777777" w:rsidTr="00F01485">
        <w:tc>
          <w:tcPr>
            <w:tcW w:w="568" w:type="dxa"/>
            <w:shd w:val="clear" w:color="auto" w:fill="auto"/>
            <w:hideMark/>
          </w:tcPr>
          <w:p w14:paraId="51E30DEE" w14:textId="77777777" w:rsidR="00BE2C01" w:rsidRPr="00295128" w:rsidRDefault="00BE2C01" w:rsidP="00315148">
            <w:pPr>
              <w:rPr>
                <w:sz w:val="22"/>
              </w:rPr>
            </w:pPr>
            <w:r w:rsidRPr="00295128">
              <w:rPr>
                <w:sz w:val="22"/>
              </w:rPr>
              <w:t>2.</w:t>
            </w:r>
          </w:p>
        </w:tc>
        <w:tc>
          <w:tcPr>
            <w:tcW w:w="2609" w:type="dxa"/>
            <w:shd w:val="clear" w:color="auto" w:fill="auto"/>
            <w:hideMark/>
          </w:tcPr>
          <w:p w14:paraId="0E9A4C97" w14:textId="77777777" w:rsidR="00BE2C01" w:rsidRPr="00295128" w:rsidRDefault="00BE2C01" w:rsidP="00315148">
            <w:pPr>
              <w:rPr>
                <w:sz w:val="28"/>
                <w:szCs w:val="28"/>
              </w:rPr>
            </w:pPr>
            <w:r w:rsidRPr="00295128">
              <w:rPr>
                <w:sz w:val="28"/>
                <w:szCs w:val="28"/>
              </w:rPr>
              <w:t>Citas starptautiskās saistības</w:t>
            </w:r>
          </w:p>
        </w:tc>
        <w:tc>
          <w:tcPr>
            <w:tcW w:w="6179" w:type="dxa"/>
            <w:shd w:val="clear" w:color="auto" w:fill="auto"/>
            <w:hideMark/>
          </w:tcPr>
          <w:p w14:paraId="5078EA43" w14:textId="77777777" w:rsidR="00BE2C01" w:rsidRPr="00295128" w:rsidRDefault="00BE2C01" w:rsidP="00315148">
            <w:pPr>
              <w:jc w:val="both"/>
              <w:rPr>
                <w:sz w:val="28"/>
                <w:szCs w:val="28"/>
              </w:rPr>
            </w:pPr>
            <w:r w:rsidRPr="00295128">
              <w:rPr>
                <w:sz w:val="28"/>
                <w:szCs w:val="28"/>
              </w:rPr>
              <w:t>Projekts šo jomu neskar.</w:t>
            </w:r>
          </w:p>
        </w:tc>
      </w:tr>
      <w:tr w:rsidR="00BE2C01" w:rsidRPr="00295128" w14:paraId="343BB46D" w14:textId="77777777" w:rsidTr="00F01485">
        <w:trPr>
          <w:trHeight w:val="333"/>
        </w:trPr>
        <w:tc>
          <w:tcPr>
            <w:tcW w:w="568" w:type="dxa"/>
            <w:shd w:val="clear" w:color="auto" w:fill="auto"/>
            <w:hideMark/>
          </w:tcPr>
          <w:p w14:paraId="625B7F77" w14:textId="77777777" w:rsidR="00BE2C01" w:rsidRPr="00295128" w:rsidRDefault="00BE2C01" w:rsidP="00315148">
            <w:pPr>
              <w:rPr>
                <w:sz w:val="22"/>
              </w:rPr>
            </w:pPr>
            <w:r w:rsidRPr="00295128">
              <w:rPr>
                <w:sz w:val="22"/>
              </w:rPr>
              <w:t>3.</w:t>
            </w:r>
          </w:p>
        </w:tc>
        <w:tc>
          <w:tcPr>
            <w:tcW w:w="2609" w:type="dxa"/>
            <w:shd w:val="clear" w:color="auto" w:fill="auto"/>
            <w:hideMark/>
          </w:tcPr>
          <w:p w14:paraId="6B35F4D5" w14:textId="77777777" w:rsidR="00BE2C01" w:rsidRPr="00295128" w:rsidRDefault="00BE2C01" w:rsidP="00315148">
            <w:pPr>
              <w:rPr>
                <w:sz w:val="28"/>
                <w:szCs w:val="28"/>
              </w:rPr>
            </w:pPr>
            <w:r w:rsidRPr="00295128">
              <w:rPr>
                <w:sz w:val="28"/>
                <w:szCs w:val="28"/>
              </w:rPr>
              <w:t>Cita informācija</w:t>
            </w:r>
          </w:p>
        </w:tc>
        <w:tc>
          <w:tcPr>
            <w:tcW w:w="6179" w:type="dxa"/>
            <w:shd w:val="clear" w:color="auto" w:fill="auto"/>
            <w:hideMark/>
          </w:tcPr>
          <w:p w14:paraId="0FFE9235" w14:textId="77777777" w:rsidR="00BE2C01" w:rsidRPr="00295128" w:rsidRDefault="00BE2C01" w:rsidP="00315148">
            <w:pPr>
              <w:rPr>
                <w:sz w:val="28"/>
                <w:szCs w:val="28"/>
              </w:rPr>
            </w:pPr>
            <w:r w:rsidRPr="00295128">
              <w:rPr>
                <w:sz w:val="28"/>
                <w:szCs w:val="28"/>
              </w:rPr>
              <w:t>Nav.</w:t>
            </w:r>
          </w:p>
        </w:tc>
      </w:tr>
    </w:tbl>
    <w:p w14:paraId="718583C6" w14:textId="77777777" w:rsidR="00BE2C01" w:rsidRPr="00295128" w:rsidRDefault="00BE2C01" w:rsidP="00BE2C01"/>
    <w:tbl>
      <w:tblPr>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424"/>
        <w:gridCol w:w="642"/>
        <w:gridCol w:w="1964"/>
        <w:gridCol w:w="580"/>
        <w:gridCol w:w="2954"/>
      </w:tblGrid>
      <w:tr w:rsidR="00BE2C01" w:rsidRPr="00295128" w14:paraId="3EA28CBD" w14:textId="77777777" w:rsidTr="00B40300">
        <w:tc>
          <w:tcPr>
            <w:tcW w:w="5000" w:type="pct"/>
            <w:gridSpan w:val="6"/>
            <w:shd w:val="clear" w:color="auto" w:fill="auto"/>
          </w:tcPr>
          <w:p w14:paraId="2A1D3C64" w14:textId="77777777" w:rsidR="00BE2C01" w:rsidRPr="00B60B88" w:rsidRDefault="00BE2C01" w:rsidP="00315148">
            <w:pPr>
              <w:jc w:val="center"/>
              <w:rPr>
                <w:sz w:val="28"/>
                <w:szCs w:val="28"/>
              </w:rPr>
            </w:pPr>
            <w:r w:rsidRPr="00B60B88">
              <w:rPr>
                <w:b/>
                <w:bCs/>
                <w:sz w:val="28"/>
                <w:szCs w:val="28"/>
              </w:rPr>
              <w:t>1. tabula</w:t>
            </w:r>
            <w:r w:rsidRPr="00B60B88">
              <w:rPr>
                <w:b/>
                <w:bCs/>
                <w:sz w:val="28"/>
                <w:szCs w:val="28"/>
              </w:rPr>
              <w:br/>
              <w:t>Tiesību akta projekta atbilstība ES tiesību aktiem</w:t>
            </w:r>
          </w:p>
        </w:tc>
      </w:tr>
      <w:tr w:rsidR="00BE2C01" w:rsidRPr="00295128" w14:paraId="2D8C4525" w14:textId="77777777" w:rsidTr="00B40300">
        <w:tc>
          <w:tcPr>
            <w:tcW w:w="1006" w:type="pct"/>
            <w:shd w:val="clear" w:color="auto" w:fill="auto"/>
          </w:tcPr>
          <w:p w14:paraId="7CFE0247" w14:textId="77777777" w:rsidR="00BE2C01" w:rsidRPr="00B60B88" w:rsidRDefault="00BE2C01" w:rsidP="00315148">
            <w:pPr>
              <w:rPr>
                <w:sz w:val="28"/>
                <w:szCs w:val="28"/>
              </w:rPr>
            </w:pPr>
            <w:r w:rsidRPr="00B60B88">
              <w:rPr>
                <w:sz w:val="28"/>
                <w:szCs w:val="28"/>
              </w:rPr>
              <w:t>Attiecīgā ES tiesību akta datums, numurs un nosaukums</w:t>
            </w:r>
          </w:p>
        </w:tc>
        <w:tc>
          <w:tcPr>
            <w:tcW w:w="3994" w:type="pct"/>
            <w:gridSpan w:val="5"/>
            <w:shd w:val="clear" w:color="auto" w:fill="auto"/>
          </w:tcPr>
          <w:p w14:paraId="37AA52E8" w14:textId="71B5A4DD" w:rsidR="00BE2C01" w:rsidRPr="00B60B88" w:rsidRDefault="00012BB8" w:rsidP="00315148">
            <w:pPr>
              <w:jc w:val="both"/>
              <w:rPr>
                <w:sz w:val="28"/>
                <w:szCs w:val="28"/>
              </w:rPr>
            </w:pPr>
            <w:r>
              <w:rPr>
                <w:sz w:val="28"/>
                <w:szCs w:val="28"/>
              </w:rPr>
              <w:t xml:space="preserve">     </w:t>
            </w:r>
            <w:r w:rsidR="00BE2C01" w:rsidRPr="00B60B88">
              <w:rPr>
                <w:sz w:val="28"/>
                <w:szCs w:val="28"/>
              </w:rPr>
              <w:t>Eiropas Parlamenta un Padomes 2010. gada 20. oktobra Regula (ES) Nr. 994/2010 par gāzes piegādes drošības aizsardzības pasākumiem un Padomes Direktīvas 2004/67/EK</w:t>
            </w:r>
            <w:r w:rsidR="00004BA5">
              <w:rPr>
                <w:sz w:val="28"/>
                <w:szCs w:val="28"/>
              </w:rPr>
              <w:t xml:space="preserve"> atcelšanu</w:t>
            </w:r>
            <w:r w:rsidR="00BE2C01" w:rsidRPr="00B60B88">
              <w:rPr>
                <w:sz w:val="28"/>
                <w:szCs w:val="28"/>
              </w:rPr>
              <w:t>.</w:t>
            </w:r>
          </w:p>
          <w:p w14:paraId="1C3B6487" w14:textId="77777777" w:rsidR="00BE2C01" w:rsidRPr="00B60B88" w:rsidRDefault="00BE2C01" w:rsidP="00315148">
            <w:pPr>
              <w:jc w:val="both"/>
              <w:rPr>
                <w:sz w:val="28"/>
                <w:szCs w:val="28"/>
              </w:rPr>
            </w:pPr>
            <w:r w:rsidRPr="00B60B88">
              <w:rPr>
                <w:sz w:val="28"/>
                <w:szCs w:val="28"/>
              </w:rPr>
              <w:t>Publicēta “Eiropas Savienības Oficiālajā Vēstnesī” L 295, 12.11.2010., 1.-22. lpp.</w:t>
            </w:r>
          </w:p>
        </w:tc>
      </w:tr>
      <w:tr w:rsidR="00BE2C01" w:rsidRPr="00295128" w14:paraId="6A733BBA" w14:textId="77777777" w:rsidTr="00B40300">
        <w:tc>
          <w:tcPr>
            <w:tcW w:w="1006" w:type="pct"/>
            <w:shd w:val="clear" w:color="auto" w:fill="auto"/>
            <w:hideMark/>
          </w:tcPr>
          <w:p w14:paraId="79455575" w14:textId="77777777" w:rsidR="00BE2C01" w:rsidRPr="00B60B88" w:rsidRDefault="00BE2C01" w:rsidP="00315148">
            <w:pPr>
              <w:jc w:val="center"/>
              <w:rPr>
                <w:sz w:val="28"/>
                <w:szCs w:val="28"/>
              </w:rPr>
            </w:pPr>
            <w:r w:rsidRPr="00B60B88">
              <w:rPr>
                <w:sz w:val="28"/>
                <w:szCs w:val="28"/>
              </w:rPr>
              <w:t>A</w:t>
            </w:r>
          </w:p>
        </w:tc>
        <w:tc>
          <w:tcPr>
            <w:tcW w:w="1090" w:type="pct"/>
            <w:gridSpan w:val="2"/>
            <w:shd w:val="clear" w:color="auto" w:fill="auto"/>
            <w:hideMark/>
          </w:tcPr>
          <w:p w14:paraId="73EC7278" w14:textId="77777777" w:rsidR="00BE2C01" w:rsidRPr="00B60B88" w:rsidRDefault="00BE2C01" w:rsidP="00315148">
            <w:pPr>
              <w:jc w:val="center"/>
              <w:rPr>
                <w:sz w:val="28"/>
                <w:szCs w:val="28"/>
              </w:rPr>
            </w:pPr>
            <w:r w:rsidRPr="00B60B88">
              <w:rPr>
                <w:sz w:val="28"/>
                <w:szCs w:val="28"/>
              </w:rPr>
              <w:t>B</w:t>
            </w:r>
          </w:p>
        </w:tc>
        <w:tc>
          <w:tcPr>
            <w:tcW w:w="1343" w:type="pct"/>
            <w:gridSpan w:val="2"/>
            <w:shd w:val="clear" w:color="auto" w:fill="auto"/>
            <w:hideMark/>
          </w:tcPr>
          <w:p w14:paraId="50F0674B" w14:textId="77777777" w:rsidR="00BE2C01" w:rsidRPr="00B60B88" w:rsidRDefault="00BE2C01" w:rsidP="00315148">
            <w:pPr>
              <w:jc w:val="center"/>
              <w:rPr>
                <w:sz w:val="28"/>
                <w:szCs w:val="28"/>
              </w:rPr>
            </w:pPr>
            <w:r w:rsidRPr="00B60B88">
              <w:rPr>
                <w:sz w:val="28"/>
                <w:szCs w:val="28"/>
              </w:rPr>
              <w:t>C</w:t>
            </w:r>
          </w:p>
        </w:tc>
        <w:tc>
          <w:tcPr>
            <w:tcW w:w="1560" w:type="pct"/>
            <w:shd w:val="clear" w:color="auto" w:fill="auto"/>
            <w:hideMark/>
          </w:tcPr>
          <w:p w14:paraId="31B79245" w14:textId="77777777" w:rsidR="00BE2C01" w:rsidRPr="00B60B88" w:rsidRDefault="00BE2C01" w:rsidP="00315148">
            <w:pPr>
              <w:jc w:val="center"/>
              <w:rPr>
                <w:sz w:val="28"/>
                <w:szCs w:val="28"/>
              </w:rPr>
            </w:pPr>
            <w:r w:rsidRPr="00B60B88">
              <w:rPr>
                <w:sz w:val="28"/>
                <w:szCs w:val="28"/>
              </w:rPr>
              <w:t>D</w:t>
            </w:r>
          </w:p>
        </w:tc>
      </w:tr>
      <w:tr w:rsidR="00BE2C01" w:rsidRPr="00295128" w14:paraId="704F8F40" w14:textId="77777777" w:rsidTr="00B40300">
        <w:tc>
          <w:tcPr>
            <w:tcW w:w="1006" w:type="pct"/>
            <w:tcBorders>
              <w:top w:val="single" w:sz="4" w:space="0" w:color="auto"/>
              <w:left w:val="single" w:sz="4" w:space="0" w:color="auto"/>
              <w:bottom w:val="single" w:sz="4" w:space="0" w:color="auto"/>
              <w:right w:val="single" w:sz="4" w:space="0" w:color="auto"/>
            </w:tcBorders>
            <w:shd w:val="clear" w:color="auto" w:fill="auto"/>
            <w:hideMark/>
          </w:tcPr>
          <w:p w14:paraId="61C74687" w14:textId="77777777" w:rsidR="00BE2C01" w:rsidRPr="00B60B88" w:rsidRDefault="00BE2C01" w:rsidP="00315148">
            <w:pPr>
              <w:jc w:val="center"/>
              <w:rPr>
                <w:sz w:val="28"/>
                <w:szCs w:val="28"/>
              </w:rPr>
            </w:pPr>
            <w:r w:rsidRPr="00B60B88">
              <w:rPr>
                <w:sz w:val="28"/>
                <w:szCs w:val="28"/>
              </w:rPr>
              <w:t>Attiecīgā ES tiesību akta panta numurs (uzskaitot katru tiesību akta vienību – pantu, daļu, punktu, apakšpunktu)</w:t>
            </w:r>
          </w:p>
        </w:tc>
        <w:tc>
          <w:tcPr>
            <w:tcW w:w="109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4E9A1D4" w14:textId="77777777" w:rsidR="00BE2C01" w:rsidRPr="00B60B88" w:rsidRDefault="00BE2C01" w:rsidP="00315148">
            <w:pPr>
              <w:jc w:val="center"/>
              <w:rPr>
                <w:sz w:val="28"/>
                <w:szCs w:val="28"/>
              </w:rPr>
            </w:pPr>
            <w:r w:rsidRPr="00B60B88">
              <w:rPr>
                <w:sz w:val="28"/>
                <w:szCs w:val="28"/>
              </w:rPr>
              <w:t>Projekta vienība, kas pārņem vai ievieš katru šīs tabulas A ailē minēto ES tiesību akta vienību, vai tiesību akts, kur attiecīgā ES tiesību akta vienība pārņemta vai ieviesta</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hideMark/>
          </w:tcPr>
          <w:p w14:paraId="01F2145E" w14:textId="77777777" w:rsidR="00BE2C01" w:rsidRPr="00B60B88" w:rsidRDefault="00BE2C01" w:rsidP="00315148">
            <w:pPr>
              <w:jc w:val="center"/>
              <w:rPr>
                <w:sz w:val="28"/>
                <w:szCs w:val="28"/>
              </w:rPr>
            </w:pPr>
            <w:r w:rsidRPr="00B60B88">
              <w:rPr>
                <w:sz w:val="28"/>
                <w:szCs w:val="28"/>
              </w:rPr>
              <w:t>Informācija par to, vai šīs tabulas A ailē minētās ES tiesību akta vienības tiek pārņemtas vai ieviestas pilnībā vai daļēji.</w:t>
            </w:r>
          </w:p>
          <w:p w14:paraId="3F03FF2A" w14:textId="77777777" w:rsidR="00BE2C01" w:rsidRPr="00B60B88" w:rsidRDefault="00BE2C01" w:rsidP="00315148">
            <w:pPr>
              <w:jc w:val="center"/>
              <w:rPr>
                <w:sz w:val="28"/>
                <w:szCs w:val="28"/>
              </w:rPr>
            </w:pPr>
            <w:r w:rsidRPr="00B60B88">
              <w:rPr>
                <w:sz w:val="28"/>
                <w:szCs w:val="28"/>
              </w:rPr>
              <w:t>Ja attiecīgā ES tiesību akta vienība tiek pārņemta vai ieviesta daļēji, sniedz attiecīgu skaidrojumu, kā arī precīzi norāda, kad un kādā veidā ES tiesību akta vienība tiks pārņemta vai ieviesta pilnībā.</w:t>
            </w:r>
          </w:p>
          <w:p w14:paraId="1760BDC3" w14:textId="77777777" w:rsidR="00BE2C01" w:rsidRPr="00B60B88" w:rsidRDefault="00BE2C01" w:rsidP="00315148">
            <w:pPr>
              <w:jc w:val="center"/>
              <w:rPr>
                <w:sz w:val="28"/>
                <w:szCs w:val="28"/>
              </w:rPr>
            </w:pPr>
            <w:r w:rsidRPr="00B60B88">
              <w:rPr>
                <w:sz w:val="28"/>
                <w:szCs w:val="28"/>
              </w:rPr>
              <w:t>Norāda institūciju, kas ir atbildīga par šo saistību izpildi pilnībā</w:t>
            </w:r>
          </w:p>
        </w:tc>
        <w:tc>
          <w:tcPr>
            <w:tcW w:w="1560" w:type="pct"/>
            <w:tcBorders>
              <w:top w:val="single" w:sz="4" w:space="0" w:color="auto"/>
              <w:left w:val="single" w:sz="4" w:space="0" w:color="auto"/>
              <w:bottom w:val="single" w:sz="4" w:space="0" w:color="auto"/>
              <w:right w:val="single" w:sz="4" w:space="0" w:color="auto"/>
            </w:tcBorders>
            <w:shd w:val="clear" w:color="auto" w:fill="auto"/>
            <w:hideMark/>
          </w:tcPr>
          <w:p w14:paraId="755CA19A" w14:textId="77777777" w:rsidR="00BE2C01" w:rsidRPr="00B60B88" w:rsidRDefault="00BE2C01" w:rsidP="00315148">
            <w:pPr>
              <w:jc w:val="center"/>
              <w:rPr>
                <w:sz w:val="28"/>
                <w:szCs w:val="28"/>
              </w:rPr>
            </w:pPr>
            <w:r w:rsidRPr="00B60B88">
              <w:rPr>
                <w:sz w:val="28"/>
                <w:szCs w:val="28"/>
              </w:rPr>
              <w:t>Informācija par to, vai šīs tabulas B ailē minētās projekta vienības paredz stingrākas prasības nekā šīs tabulas A ailē minētās ES tiesību akta vienības.</w:t>
            </w:r>
          </w:p>
          <w:p w14:paraId="7DB080E2" w14:textId="77777777" w:rsidR="00BE2C01" w:rsidRPr="00B60B88" w:rsidRDefault="00BE2C01" w:rsidP="00315148">
            <w:pPr>
              <w:jc w:val="center"/>
              <w:rPr>
                <w:sz w:val="28"/>
                <w:szCs w:val="28"/>
              </w:rPr>
            </w:pPr>
            <w:r w:rsidRPr="00B60B88">
              <w:rPr>
                <w:sz w:val="28"/>
                <w:szCs w:val="28"/>
              </w:rPr>
              <w:t>Ja projekts satur stingrākas prasības nekā attiecīgais ES tiesību akts, norāda pamatojumu un samērīgumu.</w:t>
            </w:r>
          </w:p>
          <w:p w14:paraId="774D6CB0" w14:textId="77777777" w:rsidR="00BE2C01" w:rsidRPr="00B60B88" w:rsidRDefault="00BE2C01" w:rsidP="00315148">
            <w:pPr>
              <w:jc w:val="center"/>
              <w:rPr>
                <w:sz w:val="28"/>
                <w:szCs w:val="28"/>
              </w:rPr>
            </w:pPr>
            <w:r w:rsidRPr="00B60B88">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BE2C01" w:rsidRPr="00295128" w14:paraId="3E408778" w14:textId="77777777" w:rsidTr="00B40300">
        <w:tc>
          <w:tcPr>
            <w:tcW w:w="1006" w:type="pct"/>
            <w:tcBorders>
              <w:top w:val="single" w:sz="4" w:space="0" w:color="auto"/>
              <w:left w:val="single" w:sz="4" w:space="0" w:color="auto"/>
              <w:bottom w:val="single" w:sz="4" w:space="0" w:color="auto"/>
              <w:right w:val="single" w:sz="4" w:space="0" w:color="auto"/>
            </w:tcBorders>
            <w:shd w:val="clear" w:color="auto" w:fill="auto"/>
          </w:tcPr>
          <w:p w14:paraId="37377912" w14:textId="703F3600" w:rsidR="00BE2C01" w:rsidRPr="00B60B88" w:rsidRDefault="00BE2C01" w:rsidP="00315148">
            <w:pPr>
              <w:jc w:val="center"/>
              <w:rPr>
                <w:sz w:val="28"/>
                <w:szCs w:val="28"/>
              </w:rPr>
            </w:pPr>
          </w:p>
        </w:tc>
        <w:tc>
          <w:tcPr>
            <w:tcW w:w="1090" w:type="pct"/>
            <w:gridSpan w:val="2"/>
            <w:tcBorders>
              <w:top w:val="single" w:sz="4" w:space="0" w:color="auto"/>
              <w:left w:val="single" w:sz="4" w:space="0" w:color="auto"/>
              <w:bottom w:val="single" w:sz="4" w:space="0" w:color="auto"/>
              <w:right w:val="single" w:sz="4" w:space="0" w:color="auto"/>
            </w:tcBorders>
            <w:shd w:val="clear" w:color="auto" w:fill="auto"/>
          </w:tcPr>
          <w:p w14:paraId="662C73E4" w14:textId="588B3A0F" w:rsidR="00BE2C01" w:rsidRPr="00F01485" w:rsidRDefault="00BE2C01" w:rsidP="00F01485">
            <w:pPr>
              <w:jc w:val="both"/>
              <w:rPr>
                <w:color w:val="000000" w:themeColor="text1"/>
                <w:sz w:val="28"/>
                <w:szCs w:val="28"/>
              </w:rPr>
            </w:pP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tcPr>
          <w:p w14:paraId="4D274AB7" w14:textId="498398D7" w:rsidR="00BE2C01" w:rsidRPr="00BE154E" w:rsidRDefault="00BE2C01" w:rsidP="00315148">
            <w:pPr>
              <w:jc w:val="both"/>
              <w:rPr>
                <w:sz w:val="28"/>
                <w:szCs w:val="28"/>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776A25FE" w14:textId="7704B9A6" w:rsidR="00BE2C01" w:rsidRPr="00B60B88" w:rsidRDefault="00004BA5" w:rsidP="00315148">
            <w:pPr>
              <w:jc w:val="center"/>
              <w:rPr>
                <w:sz w:val="28"/>
                <w:szCs w:val="28"/>
              </w:rPr>
            </w:pPr>
            <w:r w:rsidRPr="00B60B88">
              <w:rPr>
                <w:sz w:val="28"/>
                <w:szCs w:val="28"/>
              </w:rPr>
              <w:t>Normatīvā akta projekta vienība neparedz stingrākas prasības</w:t>
            </w:r>
          </w:p>
        </w:tc>
      </w:tr>
      <w:tr w:rsidR="00BE2C01" w:rsidRPr="00295128" w14:paraId="64971C6C" w14:textId="77777777" w:rsidTr="00B40300">
        <w:tc>
          <w:tcPr>
            <w:tcW w:w="1006" w:type="pct"/>
            <w:tcBorders>
              <w:top w:val="single" w:sz="4" w:space="0" w:color="auto"/>
              <w:left w:val="single" w:sz="4" w:space="0" w:color="auto"/>
              <w:bottom w:val="single" w:sz="4" w:space="0" w:color="auto"/>
              <w:right w:val="single" w:sz="4" w:space="0" w:color="auto"/>
            </w:tcBorders>
            <w:shd w:val="clear" w:color="auto" w:fill="auto"/>
          </w:tcPr>
          <w:p w14:paraId="4C99ECB8" w14:textId="77777777" w:rsidR="00BE2C01" w:rsidRPr="00B60B88" w:rsidRDefault="00BE2C01" w:rsidP="00315148">
            <w:pPr>
              <w:jc w:val="center"/>
              <w:rPr>
                <w:sz w:val="28"/>
                <w:szCs w:val="28"/>
              </w:rPr>
            </w:pPr>
            <w:r w:rsidRPr="00B60B88">
              <w:rPr>
                <w:sz w:val="28"/>
                <w:szCs w:val="28"/>
              </w:rPr>
              <w:t>8.panta</w:t>
            </w:r>
          </w:p>
          <w:p w14:paraId="481B3EC9" w14:textId="77777777" w:rsidR="00BE2C01" w:rsidRPr="00B60B88" w:rsidRDefault="00BE2C01" w:rsidP="00315148">
            <w:pPr>
              <w:jc w:val="center"/>
              <w:rPr>
                <w:sz w:val="28"/>
                <w:szCs w:val="28"/>
              </w:rPr>
            </w:pPr>
            <w:r w:rsidRPr="00B60B88">
              <w:rPr>
                <w:sz w:val="28"/>
                <w:szCs w:val="28"/>
              </w:rPr>
              <w:t>1.punkts</w:t>
            </w:r>
          </w:p>
        </w:tc>
        <w:tc>
          <w:tcPr>
            <w:tcW w:w="1090" w:type="pct"/>
            <w:gridSpan w:val="2"/>
            <w:tcBorders>
              <w:top w:val="single" w:sz="4" w:space="0" w:color="auto"/>
              <w:left w:val="single" w:sz="4" w:space="0" w:color="auto"/>
              <w:bottom w:val="single" w:sz="4" w:space="0" w:color="auto"/>
              <w:right w:val="single" w:sz="4" w:space="0" w:color="auto"/>
            </w:tcBorders>
            <w:shd w:val="clear" w:color="auto" w:fill="auto"/>
          </w:tcPr>
          <w:p w14:paraId="58448D18" w14:textId="71EE526A" w:rsidR="00BE2C01" w:rsidRPr="00B60B88" w:rsidRDefault="00F01485" w:rsidP="0043016A">
            <w:pPr>
              <w:jc w:val="center"/>
              <w:rPr>
                <w:sz w:val="28"/>
                <w:szCs w:val="28"/>
              </w:rPr>
            </w:pPr>
            <w:r w:rsidRPr="00F01485">
              <w:rPr>
                <w:color w:val="000000" w:themeColor="text1"/>
                <w:sz w:val="28"/>
                <w:szCs w:val="28"/>
                <w:shd w:val="clear" w:color="auto" w:fill="FFFFFF"/>
              </w:rPr>
              <w:t>34</w:t>
            </w:r>
            <w:r w:rsidR="0043016A">
              <w:rPr>
                <w:color w:val="000000" w:themeColor="text1"/>
                <w:sz w:val="28"/>
                <w:szCs w:val="28"/>
                <w:vertAlign w:val="superscript"/>
              </w:rPr>
              <w:t>1</w:t>
            </w:r>
            <w:r w:rsidRPr="00F01485">
              <w:rPr>
                <w:color w:val="000000" w:themeColor="text1"/>
                <w:sz w:val="28"/>
                <w:szCs w:val="28"/>
                <w:shd w:val="clear" w:color="auto" w:fill="FFFFFF"/>
              </w:rPr>
              <w:t>.</w:t>
            </w:r>
            <w:r w:rsidRPr="00C206F0">
              <w:rPr>
                <w:color w:val="000000" w:themeColor="text1"/>
                <w:sz w:val="28"/>
                <w:szCs w:val="28"/>
              </w:rPr>
              <w:t xml:space="preserve"> </w:t>
            </w:r>
            <w:r w:rsidR="00BE2C01" w:rsidRPr="00B60B88">
              <w:rPr>
                <w:sz w:val="28"/>
                <w:szCs w:val="28"/>
              </w:rPr>
              <w:t>punkts</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tcPr>
          <w:p w14:paraId="58E5B705" w14:textId="77777777" w:rsidR="00BE2C01" w:rsidRPr="00B60B88" w:rsidRDefault="00BE2C01" w:rsidP="00315148">
            <w:pPr>
              <w:jc w:val="center"/>
              <w:rPr>
                <w:b/>
                <w:sz w:val="28"/>
                <w:szCs w:val="28"/>
              </w:rPr>
            </w:pPr>
            <w:r w:rsidRPr="00B60B88">
              <w:rPr>
                <w:sz w:val="28"/>
                <w:szCs w:val="28"/>
              </w:rPr>
              <w:t>ES tiesību akta norma tiek īstenota pilnībā.</w:t>
            </w: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7FAB2AD5" w14:textId="77777777" w:rsidR="00BE2C01" w:rsidRPr="00B60B88" w:rsidRDefault="00BE2C01" w:rsidP="00315148">
            <w:pPr>
              <w:jc w:val="center"/>
              <w:rPr>
                <w:sz w:val="28"/>
                <w:szCs w:val="28"/>
              </w:rPr>
            </w:pPr>
            <w:r w:rsidRPr="00B60B88">
              <w:rPr>
                <w:sz w:val="28"/>
                <w:szCs w:val="28"/>
              </w:rPr>
              <w:t>Normatīvā akta projekta vienība neparedz stingrākas prasības</w:t>
            </w:r>
          </w:p>
        </w:tc>
      </w:tr>
      <w:tr w:rsidR="00BE2C01" w:rsidRPr="00295128" w14:paraId="20EF7140"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81"/>
        </w:trPr>
        <w:tc>
          <w:tcPr>
            <w:tcW w:w="2097"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142A3C92" w14:textId="77777777" w:rsidR="00BE2C01" w:rsidRPr="00B60B88" w:rsidRDefault="00BE2C01" w:rsidP="00315148">
            <w:pPr>
              <w:autoSpaceDE w:val="0"/>
              <w:autoSpaceDN w:val="0"/>
              <w:adjustRightInd w:val="0"/>
              <w:ind w:left="57"/>
              <w:rPr>
                <w:spacing w:val="-3"/>
                <w:sz w:val="28"/>
                <w:szCs w:val="28"/>
              </w:rPr>
            </w:pPr>
            <w:r w:rsidRPr="00B60B88">
              <w:rPr>
                <w:spacing w:val="-3"/>
                <w:sz w:val="28"/>
                <w:szCs w:val="28"/>
              </w:rPr>
              <w:t>Kā ir izmantota ES tiesību aktā paredzētā rīcības brīvība dalībvalstij pārņemt vai ieviest noteiktas ES tiesību akta normas?</w:t>
            </w:r>
          </w:p>
          <w:p w14:paraId="33625EA5" w14:textId="77777777" w:rsidR="00BE2C01" w:rsidRPr="00B60B88" w:rsidRDefault="00BE2C01" w:rsidP="00315148">
            <w:pPr>
              <w:autoSpaceDE w:val="0"/>
              <w:autoSpaceDN w:val="0"/>
              <w:adjustRightInd w:val="0"/>
              <w:ind w:left="57"/>
              <w:rPr>
                <w:sz w:val="28"/>
                <w:szCs w:val="28"/>
              </w:rPr>
            </w:pPr>
            <w:r w:rsidRPr="00B60B88">
              <w:rPr>
                <w:spacing w:val="-3"/>
                <w:sz w:val="28"/>
                <w:szCs w:val="28"/>
              </w:rPr>
              <w:t>Kādēļ?</w:t>
            </w:r>
          </w:p>
        </w:tc>
        <w:tc>
          <w:tcPr>
            <w:tcW w:w="2903"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5FD59CDB"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r>
              <w:rPr>
                <w:sz w:val="28"/>
                <w:szCs w:val="28"/>
              </w:rPr>
              <w:t>.</w:t>
            </w:r>
          </w:p>
        </w:tc>
      </w:tr>
      <w:tr w:rsidR="00BE2C01" w:rsidRPr="00295128" w14:paraId="3A0BB68C"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3"/>
        </w:trPr>
        <w:tc>
          <w:tcPr>
            <w:tcW w:w="2097"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1CD8691D" w14:textId="77777777" w:rsidR="00BE2C01" w:rsidRPr="00B60B88" w:rsidRDefault="00BE2C01" w:rsidP="00315148">
            <w:pPr>
              <w:autoSpaceDE w:val="0"/>
              <w:autoSpaceDN w:val="0"/>
              <w:adjustRightInd w:val="0"/>
              <w:ind w:left="57"/>
              <w:rPr>
                <w:sz w:val="28"/>
                <w:szCs w:val="28"/>
              </w:rPr>
            </w:pPr>
            <w:r w:rsidRPr="00B60B88">
              <w:rPr>
                <w:spacing w:val="-4"/>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03"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35452E3D"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r>
              <w:rPr>
                <w:sz w:val="28"/>
                <w:szCs w:val="28"/>
              </w:rPr>
              <w:t>.</w:t>
            </w:r>
          </w:p>
        </w:tc>
      </w:tr>
      <w:tr w:rsidR="00BE2C01" w:rsidRPr="00295128" w14:paraId="692A6691"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79"/>
        </w:trPr>
        <w:tc>
          <w:tcPr>
            <w:tcW w:w="2097"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6E66F146" w14:textId="77777777" w:rsidR="00BE2C01" w:rsidRPr="00B60B88" w:rsidRDefault="00BE2C01" w:rsidP="00315148">
            <w:pPr>
              <w:autoSpaceDE w:val="0"/>
              <w:autoSpaceDN w:val="0"/>
              <w:adjustRightInd w:val="0"/>
              <w:ind w:left="57"/>
              <w:rPr>
                <w:sz w:val="28"/>
                <w:szCs w:val="28"/>
              </w:rPr>
            </w:pPr>
            <w:r w:rsidRPr="00B60B88">
              <w:rPr>
                <w:sz w:val="28"/>
                <w:szCs w:val="28"/>
              </w:rPr>
              <w:t>Cita informācija</w:t>
            </w:r>
          </w:p>
        </w:tc>
        <w:tc>
          <w:tcPr>
            <w:tcW w:w="2903"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7E42F127" w14:textId="77777777" w:rsidR="00BE2C01" w:rsidRPr="00B60B88" w:rsidRDefault="00BE2C01" w:rsidP="00315148">
            <w:pPr>
              <w:autoSpaceDE w:val="0"/>
              <w:autoSpaceDN w:val="0"/>
              <w:adjustRightInd w:val="0"/>
              <w:ind w:left="57"/>
              <w:jc w:val="both"/>
              <w:rPr>
                <w:sz w:val="28"/>
                <w:szCs w:val="28"/>
              </w:rPr>
            </w:pPr>
            <w:r w:rsidRPr="00B60B88">
              <w:rPr>
                <w:sz w:val="28"/>
                <w:szCs w:val="28"/>
              </w:rPr>
              <w:t>Projekts šo jomu neskar</w:t>
            </w:r>
            <w:r>
              <w:rPr>
                <w:sz w:val="28"/>
                <w:szCs w:val="28"/>
              </w:rPr>
              <w:t>.</w:t>
            </w:r>
          </w:p>
        </w:tc>
      </w:tr>
      <w:tr w:rsidR="00BE2C01" w:rsidRPr="00295128" w14:paraId="163FC596" w14:textId="77777777" w:rsidTr="00B40300">
        <w:tc>
          <w:tcPr>
            <w:tcW w:w="5000" w:type="pct"/>
            <w:gridSpan w:val="6"/>
            <w:shd w:val="clear" w:color="auto" w:fill="auto"/>
            <w:hideMark/>
          </w:tcPr>
          <w:p w14:paraId="1AADBD31" w14:textId="77777777" w:rsidR="00BE2C01" w:rsidRPr="00B60B88" w:rsidRDefault="00BE2C01" w:rsidP="00315148">
            <w:pPr>
              <w:jc w:val="center"/>
              <w:rPr>
                <w:b/>
                <w:bCs/>
                <w:sz w:val="28"/>
                <w:szCs w:val="28"/>
              </w:rPr>
            </w:pPr>
            <w:r w:rsidRPr="00B60B88">
              <w:rPr>
                <w:b/>
                <w:bCs/>
                <w:sz w:val="28"/>
                <w:szCs w:val="28"/>
              </w:rPr>
              <w:t>2. tabula</w:t>
            </w:r>
            <w:r w:rsidRPr="00B60B88">
              <w:rPr>
                <w:b/>
                <w:bCs/>
                <w:sz w:val="28"/>
                <w:szCs w:val="28"/>
              </w:rPr>
              <w:br/>
              <w:t>Ar tiesību akta projektu izpildītās vai uzņemtās saistības, kas izriet no starptautiskajiem tiesību aktiem vai starptautiskas institūcijas vai organizācijas dokumentiem.</w:t>
            </w:r>
            <w:r w:rsidRPr="00B60B88">
              <w:rPr>
                <w:b/>
                <w:bCs/>
                <w:sz w:val="28"/>
                <w:szCs w:val="28"/>
              </w:rPr>
              <w:br/>
              <w:t>Pasākumi šo saistību izpildei</w:t>
            </w:r>
          </w:p>
        </w:tc>
      </w:tr>
      <w:tr w:rsidR="00BE2C01" w:rsidRPr="00295128" w14:paraId="6EA497D3"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758"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278BDB98" w14:textId="77777777" w:rsidR="00BE2C01" w:rsidRPr="00B60B88" w:rsidRDefault="00BE2C01" w:rsidP="00315148">
            <w:pPr>
              <w:autoSpaceDE w:val="0"/>
              <w:autoSpaceDN w:val="0"/>
              <w:adjustRightInd w:val="0"/>
              <w:ind w:left="57"/>
              <w:rPr>
                <w:sz w:val="28"/>
                <w:szCs w:val="28"/>
              </w:rPr>
            </w:pPr>
            <w:r w:rsidRPr="00B60B88">
              <w:rPr>
                <w:sz w:val="28"/>
                <w:szCs w:val="28"/>
              </w:rPr>
              <w:t>Attiecīgā starptautiskā tiesību akta vai starptautiskas institūcijas vai organizācijas dokumenta (turpmāk – starptautiskais dokuments) datums, numurs un nosaukums</w:t>
            </w:r>
          </w:p>
        </w:tc>
        <w:tc>
          <w:tcPr>
            <w:tcW w:w="3242" w:type="pct"/>
            <w:gridSpan w:val="4"/>
            <w:tcBorders>
              <w:top w:val="single" w:sz="4" w:space="0" w:color="000000"/>
              <w:left w:val="single" w:sz="4" w:space="0" w:color="000000"/>
              <w:bottom w:val="single" w:sz="4" w:space="0" w:color="000000"/>
              <w:right w:val="single" w:sz="4" w:space="0" w:color="000000"/>
            </w:tcBorders>
            <w:shd w:val="clear" w:color="000000" w:fill="FFFFFF"/>
          </w:tcPr>
          <w:p w14:paraId="3B74105D"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p>
        </w:tc>
      </w:tr>
      <w:tr w:rsidR="00BE2C01" w:rsidRPr="00295128" w14:paraId="6FFDBD3F"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758"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3B6163E7" w14:textId="77777777" w:rsidR="00BE2C01" w:rsidRPr="00B60B88" w:rsidRDefault="00BE2C01" w:rsidP="00315148">
            <w:pPr>
              <w:autoSpaceDE w:val="0"/>
              <w:autoSpaceDN w:val="0"/>
              <w:adjustRightInd w:val="0"/>
              <w:ind w:left="57"/>
              <w:jc w:val="center"/>
              <w:rPr>
                <w:sz w:val="28"/>
                <w:szCs w:val="28"/>
              </w:rPr>
            </w:pPr>
            <w:r w:rsidRPr="00B60B88">
              <w:rPr>
                <w:sz w:val="28"/>
                <w:szCs w:val="28"/>
              </w:rPr>
              <w:t>A</w:t>
            </w:r>
          </w:p>
        </w:tc>
        <w:tc>
          <w:tcPr>
            <w:tcW w:w="1376"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22425E46" w14:textId="77777777" w:rsidR="00BE2C01" w:rsidRPr="00B60B88" w:rsidRDefault="00BE2C01" w:rsidP="00315148">
            <w:pPr>
              <w:autoSpaceDE w:val="0"/>
              <w:autoSpaceDN w:val="0"/>
              <w:adjustRightInd w:val="0"/>
              <w:ind w:left="57"/>
              <w:jc w:val="center"/>
              <w:rPr>
                <w:sz w:val="28"/>
                <w:szCs w:val="28"/>
              </w:rPr>
            </w:pPr>
            <w:r w:rsidRPr="00B60B88">
              <w:rPr>
                <w:sz w:val="28"/>
                <w:szCs w:val="28"/>
              </w:rPr>
              <w:t>B</w:t>
            </w:r>
          </w:p>
        </w:tc>
        <w:tc>
          <w:tcPr>
            <w:tcW w:w="1866"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67277699" w14:textId="77777777" w:rsidR="00BE2C01" w:rsidRPr="00B60B88" w:rsidRDefault="00BE2C01" w:rsidP="00315148">
            <w:pPr>
              <w:autoSpaceDE w:val="0"/>
              <w:autoSpaceDN w:val="0"/>
              <w:adjustRightInd w:val="0"/>
              <w:ind w:left="57"/>
              <w:jc w:val="center"/>
              <w:rPr>
                <w:sz w:val="28"/>
                <w:szCs w:val="28"/>
              </w:rPr>
            </w:pPr>
            <w:r w:rsidRPr="00B60B88">
              <w:rPr>
                <w:sz w:val="28"/>
                <w:szCs w:val="28"/>
              </w:rPr>
              <w:t>C</w:t>
            </w:r>
          </w:p>
        </w:tc>
      </w:tr>
      <w:tr w:rsidR="00BE2C01" w:rsidRPr="00295128" w14:paraId="15E4B82F"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758"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745208C7" w14:textId="77777777" w:rsidR="00BE2C01" w:rsidRPr="00B60B88" w:rsidRDefault="00BE2C01" w:rsidP="00315148">
            <w:pPr>
              <w:autoSpaceDE w:val="0"/>
              <w:autoSpaceDN w:val="0"/>
              <w:adjustRightInd w:val="0"/>
              <w:ind w:left="57"/>
              <w:rPr>
                <w:sz w:val="28"/>
                <w:szCs w:val="28"/>
              </w:rPr>
            </w:pPr>
            <w:r w:rsidRPr="00B60B88">
              <w:rPr>
                <w:sz w:val="28"/>
                <w:szCs w:val="28"/>
              </w:rPr>
              <w:t>Starptautiskās saistības (pēc būtības), kas izriet no norādītā starptautiskā dokumenta.</w:t>
            </w:r>
          </w:p>
          <w:p w14:paraId="0A27B3E8" w14:textId="77777777" w:rsidR="00BE2C01" w:rsidRPr="00B60B88" w:rsidRDefault="00BE2C01" w:rsidP="00315148">
            <w:pPr>
              <w:autoSpaceDE w:val="0"/>
              <w:autoSpaceDN w:val="0"/>
              <w:adjustRightInd w:val="0"/>
              <w:ind w:left="57"/>
              <w:rPr>
                <w:sz w:val="28"/>
                <w:szCs w:val="28"/>
              </w:rPr>
            </w:pPr>
            <w:r w:rsidRPr="00B60B88">
              <w:rPr>
                <w:sz w:val="28"/>
                <w:szCs w:val="28"/>
              </w:rPr>
              <w:t>Konkrēti veicamie pasākumi vai uzdevumi, kas nepieciešami šo starptautisko saistību izpildei</w:t>
            </w:r>
          </w:p>
        </w:tc>
        <w:tc>
          <w:tcPr>
            <w:tcW w:w="1376"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302D7744" w14:textId="77777777" w:rsidR="00BE2C01" w:rsidRPr="00B60B88" w:rsidRDefault="00BE2C01" w:rsidP="00315148">
            <w:pPr>
              <w:autoSpaceDE w:val="0"/>
              <w:autoSpaceDN w:val="0"/>
              <w:adjustRightInd w:val="0"/>
              <w:ind w:left="57"/>
              <w:rPr>
                <w:sz w:val="28"/>
                <w:szCs w:val="28"/>
              </w:rPr>
            </w:pPr>
            <w:r w:rsidRPr="00B60B88">
              <w:rPr>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866"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5B453714" w14:textId="77777777" w:rsidR="00BE2C01" w:rsidRPr="00B60B88" w:rsidRDefault="00BE2C01" w:rsidP="00315148">
            <w:pPr>
              <w:autoSpaceDE w:val="0"/>
              <w:autoSpaceDN w:val="0"/>
              <w:adjustRightInd w:val="0"/>
              <w:ind w:left="57"/>
              <w:rPr>
                <w:sz w:val="28"/>
                <w:szCs w:val="28"/>
              </w:rPr>
            </w:pPr>
            <w:r w:rsidRPr="00B60B88">
              <w:rPr>
                <w:sz w:val="28"/>
                <w:szCs w:val="28"/>
              </w:rPr>
              <w:t>Informācija par to, vai starptautiskās saistības, kas minētas šīs tabulas A ailē, tiek izpildītas pilnībā vai daļēji.</w:t>
            </w:r>
          </w:p>
          <w:p w14:paraId="095EF022" w14:textId="77777777" w:rsidR="00BE2C01" w:rsidRPr="00B60B88" w:rsidRDefault="00BE2C01" w:rsidP="00315148">
            <w:pPr>
              <w:autoSpaceDE w:val="0"/>
              <w:autoSpaceDN w:val="0"/>
              <w:adjustRightInd w:val="0"/>
              <w:ind w:left="57"/>
              <w:rPr>
                <w:sz w:val="28"/>
                <w:szCs w:val="28"/>
              </w:rPr>
            </w:pPr>
            <w:r w:rsidRPr="00B60B88">
              <w:rPr>
                <w:sz w:val="28"/>
                <w:szCs w:val="28"/>
              </w:rPr>
              <w:t>Ja attiecīgās starptautiskās saistības tiek izpildītas daļēji, sniedz attiecīgu skaidrojumu, kā arī precīzi norāda, kad un kādā veidā starptautiskās saistības tiks izpildītas pilnībā.</w:t>
            </w:r>
          </w:p>
          <w:p w14:paraId="1A2EF11D" w14:textId="77777777" w:rsidR="00BE2C01" w:rsidRPr="00B60B88" w:rsidRDefault="00BE2C01" w:rsidP="00315148">
            <w:pPr>
              <w:autoSpaceDE w:val="0"/>
              <w:autoSpaceDN w:val="0"/>
              <w:adjustRightInd w:val="0"/>
              <w:ind w:left="57" w:right="57"/>
              <w:rPr>
                <w:sz w:val="28"/>
                <w:szCs w:val="28"/>
              </w:rPr>
            </w:pPr>
            <w:r w:rsidRPr="00B60B88">
              <w:rPr>
                <w:sz w:val="28"/>
                <w:szCs w:val="28"/>
              </w:rPr>
              <w:t>Norāda institūciju, kas ir atbildīga par šo saistību izpildi pilnībā</w:t>
            </w:r>
          </w:p>
        </w:tc>
      </w:tr>
      <w:tr w:rsidR="00BE2C01" w:rsidRPr="00295128" w14:paraId="28C37FA7"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758"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027AA3F7"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p>
        </w:tc>
        <w:tc>
          <w:tcPr>
            <w:tcW w:w="1376"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35F0F9BF"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r>
              <w:rPr>
                <w:sz w:val="28"/>
                <w:szCs w:val="28"/>
              </w:rPr>
              <w:t>.</w:t>
            </w:r>
          </w:p>
        </w:tc>
        <w:tc>
          <w:tcPr>
            <w:tcW w:w="1866"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78A9E502"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r>
              <w:rPr>
                <w:sz w:val="28"/>
                <w:szCs w:val="28"/>
              </w:rPr>
              <w:t>.</w:t>
            </w:r>
          </w:p>
        </w:tc>
      </w:tr>
      <w:tr w:rsidR="00BE2C01" w:rsidRPr="00295128" w14:paraId="77F2A9D7"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758"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6F05024E" w14:textId="77777777" w:rsidR="00BE2C01" w:rsidRPr="00B60B88" w:rsidRDefault="00BE2C01" w:rsidP="00315148">
            <w:pPr>
              <w:autoSpaceDE w:val="0"/>
              <w:autoSpaceDN w:val="0"/>
              <w:adjustRightInd w:val="0"/>
              <w:ind w:left="57"/>
              <w:rPr>
                <w:sz w:val="28"/>
                <w:szCs w:val="28"/>
              </w:rPr>
            </w:pPr>
            <w:r w:rsidRPr="00B60B88">
              <w:rPr>
                <w:sz w:val="28"/>
                <w:szCs w:val="28"/>
              </w:rPr>
              <w:t>Vai starptautiskajā dokumentā paredzētās saistības nav pretrunā ar jau esošajām Latvijas Republikas starptautiskajām saistībām</w:t>
            </w:r>
          </w:p>
        </w:tc>
        <w:tc>
          <w:tcPr>
            <w:tcW w:w="3242" w:type="pct"/>
            <w:gridSpan w:val="4"/>
            <w:tcBorders>
              <w:top w:val="single" w:sz="4" w:space="0" w:color="000000"/>
              <w:left w:val="single" w:sz="4" w:space="0" w:color="000000"/>
              <w:bottom w:val="single" w:sz="4" w:space="0" w:color="000000"/>
              <w:right w:val="single" w:sz="4" w:space="0" w:color="000000"/>
            </w:tcBorders>
            <w:shd w:val="clear" w:color="000000" w:fill="FFFFFF"/>
          </w:tcPr>
          <w:p w14:paraId="2E3665F8"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r>
              <w:rPr>
                <w:sz w:val="28"/>
                <w:szCs w:val="28"/>
              </w:rPr>
              <w:t>.</w:t>
            </w:r>
          </w:p>
        </w:tc>
      </w:tr>
      <w:tr w:rsidR="00BE2C01" w:rsidRPr="00295128" w14:paraId="3829DE00"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758"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336A99A3" w14:textId="77777777" w:rsidR="00BE2C01" w:rsidRPr="00B60B88" w:rsidRDefault="00BE2C01" w:rsidP="00315148">
            <w:pPr>
              <w:autoSpaceDE w:val="0"/>
              <w:autoSpaceDN w:val="0"/>
              <w:adjustRightInd w:val="0"/>
              <w:ind w:left="57"/>
              <w:rPr>
                <w:sz w:val="28"/>
                <w:szCs w:val="28"/>
              </w:rPr>
            </w:pPr>
            <w:r w:rsidRPr="00B60B88">
              <w:rPr>
                <w:sz w:val="28"/>
                <w:szCs w:val="28"/>
              </w:rPr>
              <w:t>Cita informācij</w:t>
            </w:r>
            <w:r>
              <w:rPr>
                <w:sz w:val="28"/>
                <w:szCs w:val="28"/>
              </w:rPr>
              <w:t>a</w:t>
            </w:r>
          </w:p>
        </w:tc>
        <w:tc>
          <w:tcPr>
            <w:tcW w:w="3242" w:type="pct"/>
            <w:gridSpan w:val="4"/>
            <w:tcBorders>
              <w:top w:val="single" w:sz="4" w:space="0" w:color="000000"/>
              <w:left w:val="single" w:sz="4" w:space="0" w:color="000000"/>
              <w:bottom w:val="single" w:sz="4" w:space="0" w:color="000000"/>
              <w:right w:val="single" w:sz="4" w:space="0" w:color="000000"/>
            </w:tcBorders>
            <w:shd w:val="clear" w:color="000000" w:fill="FFFFFF"/>
          </w:tcPr>
          <w:p w14:paraId="1B94D7DC" w14:textId="77777777" w:rsidR="00BE2C01" w:rsidRPr="00B60B88" w:rsidRDefault="00BE2C01" w:rsidP="00315148">
            <w:pPr>
              <w:autoSpaceDE w:val="0"/>
              <w:autoSpaceDN w:val="0"/>
              <w:adjustRightInd w:val="0"/>
              <w:ind w:left="57"/>
              <w:rPr>
                <w:sz w:val="28"/>
                <w:szCs w:val="28"/>
              </w:rPr>
            </w:pPr>
            <w:r w:rsidRPr="00B60B88">
              <w:rPr>
                <w:sz w:val="28"/>
                <w:szCs w:val="28"/>
              </w:rPr>
              <w:t>Nav</w:t>
            </w:r>
            <w:r>
              <w:rPr>
                <w:sz w:val="28"/>
                <w:szCs w:val="28"/>
              </w:rPr>
              <w:t>.</w:t>
            </w:r>
          </w:p>
        </w:tc>
      </w:tr>
    </w:tbl>
    <w:p w14:paraId="1B61772A" w14:textId="77777777" w:rsidR="00D60E14" w:rsidRPr="00894C55" w:rsidRDefault="00D60E14" w:rsidP="00D60E14">
      <w:pPr>
        <w:shd w:val="clear" w:color="auto" w:fill="FFFFFF"/>
        <w:ind w:firstLine="301"/>
        <w:rPr>
          <w:color w:val="414142"/>
        </w:rPr>
      </w:pPr>
    </w:p>
    <w:p w14:paraId="38FC904F" w14:textId="77777777" w:rsidR="001A3F49" w:rsidRPr="00912A6D" w:rsidRDefault="001A3F49" w:rsidP="00F01485">
      <w:pPr>
        <w:ind w:right="57"/>
        <w:rPr>
          <w:sz w:val="28"/>
          <w:szCs w:val="28"/>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8"/>
        <w:gridCol w:w="3823"/>
        <w:gridCol w:w="4791"/>
      </w:tblGrid>
      <w:tr w:rsidR="00193E45" w:rsidRPr="00912A6D" w14:paraId="4004D4C1" w14:textId="77777777" w:rsidTr="00B40300">
        <w:trPr>
          <w:jc w:val="center"/>
        </w:trPr>
        <w:tc>
          <w:tcPr>
            <w:tcW w:w="9392" w:type="dxa"/>
            <w:gridSpan w:val="3"/>
          </w:tcPr>
          <w:p w14:paraId="4C38F466" w14:textId="77777777" w:rsidR="00193E45" w:rsidRPr="00912A6D" w:rsidRDefault="00193E45" w:rsidP="00912A6D">
            <w:pPr>
              <w:pStyle w:val="naisnod"/>
              <w:spacing w:before="0" w:after="0"/>
              <w:ind w:left="57" w:right="57"/>
              <w:rPr>
                <w:sz w:val="28"/>
                <w:szCs w:val="28"/>
              </w:rPr>
            </w:pPr>
            <w:r w:rsidRPr="00912A6D">
              <w:rPr>
                <w:sz w:val="28"/>
                <w:szCs w:val="28"/>
              </w:rPr>
              <w:t>VI. Sabiedrības līdzdalība un komunikācijas aktivitātes</w:t>
            </w:r>
          </w:p>
        </w:tc>
      </w:tr>
      <w:tr w:rsidR="00193E45" w:rsidRPr="00912A6D" w14:paraId="619C75EB" w14:textId="77777777" w:rsidTr="00B40300">
        <w:trPr>
          <w:trHeight w:val="557"/>
          <w:jc w:val="center"/>
        </w:trPr>
        <w:tc>
          <w:tcPr>
            <w:tcW w:w="778" w:type="dxa"/>
          </w:tcPr>
          <w:p w14:paraId="1462D8F1" w14:textId="77777777" w:rsidR="00193E45" w:rsidRPr="00912A6D" w:rsidRDefault="00193E45" w:rsidP="00912A6D">
            <w:pPr>
              <w:pStyle w:val="naiskr"/>
              <w:spacing w:before="0" w:after="0"/>
              <w:ind w:left="57" w:right="57"/>
              <w:rPr>
                <w:bCs/>
                <w:sz w:val="28"/>
                <w:szCs w:val="28"/>
              </w:rPr>
            </w:pPr>
            <w:r w:rsidRPr="00912A6D">
              <w:rPr>
                <w:bCs/>
                <w:sz w:val="28"/>
                <w:szCs w:val="28"/>
              </w:rPr>
              <w:t>1.</w:t>
            </w:r>
          </w:p>
        </w:tc>
        <w:tc>
          <w:tcPr>
            <w:tcW w:w="3823" w:type="dxa"/>
          </w:tcPr>
          <w:p w14:paraId="2F294D73" w14:textId="77777777" w:rsidR="00F1506E" w:rsidRPr="00912A6D" w:rsidRDefault="00193E45" w:rsidP="00D34D7B">
            <w:pPr>
              <w:pStyle w:val="naiskr"/>
              <w:tabs>
                <w:tab w:val="left" w:pos="170"/>
              </w:tabs>
              <w:spacing w:before="0" w:after="0"/>
              <w:ind w:left="57" w:right="57"/>
              <w:jc w:val="both"/>
              <w:rPr>
                <w:sz w:val="28"/>
                <w:szCs w:val="28"/>
              </w:rPr>
            </w:pPr>
            <w:r w:rsidRPr="00912A6D">
              <w:rPr>
                <w:sz w:val="28"/>
                <w:szCs w:val="28"/>
              </w:rPr>
              <w:t>P</w:t>
            </w:r>
            <w:r w:rsidR="00912A6D">
              <w:rPr>
                <w:sz w:val="28"/>
                <w:szCs w:val="28"/>
              </w:rPr>
              <w:t xml:space="preserve">lānotās sabiedrības līdzdalības </w:t>
            </w:r>
            <w:r w:rsidRPr="00912A6D">
              <w:rPr>
                <w:sz w:val="28"/>
                <w:szCs w:val="28"/>
              </w:rPr>
              <w:t>un komunikācijas aktivitātes saistībā ar projektu</w:t>
            </w:r>
          </w:p>
        </w:tc>
        <w:tc>
          <w:tcPr>
            <w:tcW w:w="4791" w:type="dxa"/>
          </w:tcPr>
          <w:p w14:paraId="5E8CFB95" w14:textId="1152F598" w:rsidR="00F1506E" w:rsidRPr="00F1506E" w:rsidRDefault="00124ADC" w:rsidP="00812AE0">
            <w:pPr>
              <w:ind w:right="148"/>
              <w:jc w:val="both"/>
            </w:pPr>
            <w:r>
              <w:rPr>
                <w:sz w:val="28"/>
                <w:szCs w:val="28"/>
              </w:rPr>
              <w:t xml:space="preserve">    </w:t>
            </w:r>
            <w:r w:rsidR="003D5E4F">
              <w:rPr>
                <w:sz w:val="28"/>
                <w:szCs w:val="28"/>
              </w:rPr>
              <w:t>Ar izstrādāto noteikumu projektu ir iespējams iepazīties Ekonomikas ministrijas tīmekļvietnē</w:t>
            </w:r>
            <w:r w:rsidR="00053E99">
              <w:rPr>
                <w:rStyle w:val="FootnoteReference"/>
                <w:sz w:val="28"/>
                <w:szCs w:val="28"/>
              </w:rPr>
              <w:footnoteReference w:id="2"/>
            </w:r>
            <w:r w:rsidR="003D5E4F">
              <w:rPr>
                <w:sz w:val="28"/>
                <w:szCs w:val="28"/>
              </w:rPr>
              <w:t>.</w:t>
            </w:r>
            <w:r w:rsidR="003D5E4F">
              <w:t xml:space="preserve"> </w:t>
            </w:r>
          </w:p>
        </w:tc>
      </w:tr>
      <w:tr w:rsidR="00193E45" w:rsidRPr="00912A6D" w14:paraId="349C230B" w14:textId="77777777" w:rsidTr="00B40300">
        <w:trPr>
          <w:trHeight w:val="339"/>
          <w:jc w:val="center"/>
        </w:trPr>
        <w:tc>
          <w:tcPr>
            <w:tcW w:w="778" w:type="dxa"/>
          </w:tcPr>
          <w:p w14:paraId="4A649CB3" w14:textId="77777777" w:rsidR="00193E45" w:rsidRPr="00912A6D" w:rsidRDefault="00193E45" w:rsidP="00912A6D">
            <w:pPr>
              <w:pStyle w:val="naiskr"/>
              <w:spacing w:before="0" w:after="0"/>
              <w:ind w:left="57" w:right="57"/>
              <w:rPr>
                <w:bCs/>
                <w:sz w:val="28"/>
                <w:szCs w:val="28"/>
              </w:rPr>
            </w:pPr>
            <w:r w:rsidRPr="00912A6D">
              <w:rPr>
                <w:bCs/>
                <w:sz w:val="28"/>
                <w:szCs w:val="28"/>
              </w:rPr>
              <w:t>2.</w:t>
            </w:r>
          </w:p>
        </w:tc>
        <w:tc>
          <w:tcPr>
            <w:tcW w:w="3823" w:type="dxa"/>
          </w:tcPr>
          <w:p w14:paraId="10DC6130" w14:textId="77777777" w:rsidR="00193E45" w:rsidRPr="00912A6D" w:rsidRDefault="00193E45" w:rsidP="00912A6D">
            <w:pPr>
              <w:pStyle w:val="naiskr"/>
              <w:spacing w:before="0" w:after="0"/>
              <w:ind w:left="57" w:right="57"/>
              <w:jc w:val="both"/>
              <w:rPr>
                <w:sz w:val="28"/>
                <w:szCs w:val="28"/>
              </w:rPr>
            </w:pPr>
            <w:r w:rsidRPr="00912A6D">
              <w:rPr>
                <w:sz w:val="28"/>
                <w:szCs w:val="28"/>
              </w:rPr>
              <w:t xml:space="preserve">Sabiedrības līdzdalība projekta izstrādē </w:t>
            </w:r>
          </w:p>
        </w:tc>
        <w:tc>
          <w:tcPr>
            <w:tcW w:w="4791" w:type="dxa"/>
          </w:tcPr>
          <w:p w14:paraId="71891FF6" w14:textId="36A481D7" w:rsidR="008C5C24" w:rsidRPr="00912A6D" w:rsidRDefault="00912A6D" w:rsidP="00812AE0">
            <w:pPr>
              <w:pStyle w:val="naiskr"/>
              <w:spacing w:before="0" w:after="0"/>
              <w:ind w:right="148"/>
              <w:jc w:val="both"/>
              <w:rPr>
                <w:sz w:val="28"/>
                <w:szCs w:val="28"/>
              </w:rPr>
            </w:pPr>
            <w:r>
              <w:rPr>
                <w:sz w:val="28"/>
                <w:szCs w:val="28"/>
              </w:rPr>
              <w:t xml:space="preserve">    </w:t>
            </w:r>
            <w:r w:rsidR="003D5E4F">
              <w:rPr>
                <w:sz w:val="28"/>
                <w:szCs w:val="28"/>
              </w:rPr>
              <w:t xml:space="preserve">Noteikumu projekts publicēts Ekonomikas ministrijas tīmekļvietnē, tādā veidā nodrošinot sabiedrības informēšanu un iespēju paust viedokli. </w:t>
            </w:r>
          </w:p>
        </w:tc>
      </w:tr>
      <w:tr w:rsidR="00193E45" w:rsidRPr="00912A6D" w14:paraId="4AE16712" w14:textId="77777777" w:rsidTr="00B40300">
        <w:trPr>
          <w:trHeight w:val="375"/>
          <w:jc w:val="center"/>
        </w:trPr>
        <w:tc>
          <w:tcPr>
            <w:tcW w:w="778" w:type="dxa"/>
          </w:tcPr>
          <w:p w14:paraId="64F92E71" w14:textId="77777777" w:rsidR="00193E45" w:rsidRPr="00912A6D" w:rsidRDefault="00193E45" w:rsidP="00912A6D">
            <w:pPr>
              <w:pStyle w:val="naiskr"/>
              <w:spacing w:before="0" w:after="0"/>
              <w:ind w:left="57" w:right="57"/>
              <w:rPr>
                <w:bCs/>
                <w:sz w:val="28"/>
                <w:szCs w:val="28"/>
              </w:rPr>
            </w:pPr>
            <w:r w:rsidRPr="00912A6D">
              <w:rPr>
                <w:bCs/>
                <w:sz w:val="28"/>
                <w:szCs w:val="28"/>
              </w:rPr>
              <w:t>3.</w:t>
            </w:r>
          </w:p>
        </w:tc>
        <w:tc>
          <w:tcPr>
            <w:tcW w:w="3823" w:type="dxa"/>
          </w:tcPr>
          <w:p w14:paraId="46778FE6" w14:textId="77777777" w:rsidR="00193E45" w:rsidRPr="00912A6D" w:rsidRDefault="00193E45" w:rsidP="00912A6D">
            <w:pPr>
              <w:pStyle w:val="naiskr"/>
              <w:spacing w:before="0" w:after="0"/>
              <w:ind w:left="57" w:right="57"/>
              <w:jc w:val="both"/>
              <w:rPr>
                <w:sz w:val="28"/>
                <w:szCs w:val="28"/>
              </w:rPr>
            </w:pPr>
            <w:r w:rsidRPr="00912A6D">
              <w:rPr>
                <w:sz w:val="28"/>
                <w:szCs w:val="28"/>
              </w:rPr>
              <w:t xml:space="preserve">Sabiedrības līdzdalības rezultāti </w:t>
            </w:r>
          </w:p>
        </w:tc>
        <w:tc>
          <w:tcPr>
            <w:tcW w:w="4791" w:type="dxa"/>
          </w:tcPr>
          <w:p w14:paraId="73D84524" w14:textId="29492E22" w:rsidR="00193E45" w:rsidRPr="00912A6D" w:rsidRDefault="008C5C24" w:rsidP="004A1917">
            <w:pPr>
              <w:pStyle w:val="naiskr"/>
              <w:spacing w:before="0" w:after="0"/>
              <w:ind w:left="57" w:right="148" w:firstLine="284"/>
              <w:jc w:val="both"/>
              <w:rPr>
                <w:sz w:val="28"/>
                <w:szCs w:val="28"/>
              </w:rPr>
            </w:pPr>
            <w:r w:rsidRPr="00912A6D">
              <w:rPr>
                <w:sz w:val="28"/>
                <w:szCs w:val="28"/>
              </w:rPr>
              <w:t>Noteikumu</w:t>
            </w:r>
            <w:r w:rsidR="00812AE0">
              <w:rPr>
                <w:sz w:val="28"/>
                <w:szCs w:val="28"/>
              </w:rPr>
              <w:t xml:space="preserve"> projekta</w:t>
            </w:r>
            <w:r w:rsidRPr="00912A6D">
              <w:rPr>
                <w:sz w:val="28"/>
                <w:szCs w:val="28"/>
              </w:rPr>
              <w:t xml:space="preserve"> izstrādē ir ņemti vērā nozares speciālistu sniegtie priekšlikumi.</w:t>
            </w:r>
          </w:p>
        </w:tc>
      </w:tr>
      <w:tr w:rsidR="00193E45" w:rsidRPr="00912A6D" w14:paraId="64720F92" w14:textId="77777777" w:rsidTr="00B40300">
        <w:trPr>
          <w:trHeight w:val="476"/>
          <w:jc w:val="center"/>
        </w:trPr>
        <w:tc>
          <w:tcPr>
            <w:tcW w:w="778" w:type="dxa"/>
          </w:tcPr>
          <w:p w14:paraId="443BF415" w14:textId="77777777" w:rsidR="00193E45" w:rsidRPr="00912A6D" w:rsidRDefault="00193E45" w:rsidP="00912A6D">
            <w:pPr>
              <w:pStyle w:val="naiskr"/>
              <w:spacing w:before="0" w:after="0"/>
              <w:ind w:left="57" w:right="57"/>
              <w:rPr>
                <w:bCs/>
                <w:sz w:val="28"/>
                <w:szCs w:val="28"/>
              </w:rPr>
            </w:pPr>
            <w:r w:rsidRPr="00912A6D">
              <w:rPr>
                <w:bCs/>
                <w:sz w:val="28"/>
                <w:szCs w:val="28"/>
              </w:rPr>
              <w:t>4.</w:t>
            </w:r>
          </w:p>
        </w:tc>
        <w:tc>
          <w:tcPr>
            <w:tcW w:w="3823" w:type="dxa"/>
          </w:tcPr>
          <w:p w14:paraId="4B0F9B9A" w14:textId="77777777" w:rsidR="00193E45" w:rsidRPr="00912A6D" w:rsidRDefault="00193E45" w:rsidP="00912A6D">
            <w:pPr>
              <w:pStyle w:val="naiskr"/>
              <w:spacing w:before="0" w:after="0"/>
              <w:ind w:left="57" w:right="57"/>
              <w:jc w:val="both"/>
              <w:rPr>
                <w:sz w:val="28"/>
                <w:szCs w:val="28"/>
              </w:rPr>
            </w:pPr>
            <w:r w:rsidRPr="00912A6D">
              <w:rPr>
                <w:sz w:val="28"/>
                <w:szCs w:val="28"/>
              </w:rPr>
              <w:t>Cita informācija</w:t>
            </w:r>
          </w:p>
        </w:tc>
        <w:tc>
          <w:tcPr>
            <w:tcW w:w="4791" w:type="dxa"/>
          </w:tcPr>
          <w:p w14:paraId="30D131D9" w14:textId="77777777" w:rsidR="00193E45" w:rsidRPr="00912A6D" w:rsidRDefault="00193E45" w:rsidP="004A1917">
            <w:pPr>
              <w:pStyle w:val="naiskr"/>
              <w:spacing w:before="0" w:after="0"/>
              <w:ind w:left="57" w:right="148" w:firstLine="284"/>
              <w:rPr>
                <w:sz w:val="28"/>
                <w:szCs w:val="28"/>
              </w:rPr>
            </w:pPr>
            <w:r w:rsidRPr="00912A6D">
              <w:rPr>
                <w:sz w:val="28"/>
                <w:szCs w:val="28"/>
              </w:rPr>
              <w:t>Nav.</w:t>
            </w:r>
          </w:p>
        </w:tc>
      </w:tr>
    </w:tbl>
    <w:p w14:paraId="06CC47A8" w14:textId="77777777" w:rsidR="00193E45" w:rsidRDefault="00193E45" w:rsidP="00912A6D">
      <w:pPr>
        <w:ind w:left="57" w:right="57"/>
        <w:rPr>
          <w:color w:val="FF0000"/>
          <w:sz w:val="28"/>
          <w:szCs w:val="28"/>
        </w:rPr>
      </w:pPr>
    </w:p>
    <w:p w14:paraId="65E5B5EC" w14:textId="77777777" w:rsidR="001A3F49" w:rsidRPr="00912A6D" w:rsidRDefault="001A3F49" w:rsidP="00912A6D">
      <w:pPr>
        <w:ind w:left="57" w:right="57"/>
        <w:rPr>
          <w:color w:val="FF0000"/>
          <w:sz w:val="28"/>
          <w:szCs w:val="28"/>
        </w:rPr>
      </w:pPr>
    </w:p>
    <w:tbl>
      <w:tblPr>
        <w:tblW w:w="933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4006"/>
        <w:gridCol w:w="4820"/>
      </w:tblGrid>
      <w:tr w:rsidR="00193E45" w:rsidRPr="00912A6D" w14:paraId="4700AEBF" w14:textId="77777777" w:rsidTr="006C6F53">
        <w:trPr>
          <w:trHeight w:val="65"/>
        </w:trPr>
        <w:tc>
          <w:tcPr>
            <w:tcW w:w="9333" w:type="dxa"/>
            <w:gridSpan w:val="3"/>
          </w:tcPr>
          <w:p w14:paraId="3880F9EC" w14:textId="77777777" w:rsidR="00193E45" w:rsidRPr="00912A6D" w:rsidRDefault="00193E45" w:rsidP="00912A6D">
            <w:pPr>
              <w:ind w:left="57" w:right="57"/>
              <w:jc w:val="center"/>
              <w:rPr>
                <w:sz w:val="28"/>
                <w:szCs w:val="28"/>
              </w:rPr>
            </w:pPr>
            <w:r w:rsidRPr="00912A6D">
              <w:rPr>
                <w:b/>
                <w:sz w:val="28"/>
                <w:szCs w:val="28"/>
              </w:rPr>
              <w:t>VII. Tiesību akta projekta izpildes nodrošināšana un tās ietekme uz institūcijām</w:t>
            </w:r>
          </w:p>
        </w:tc>
      </w:tr>
      <w:tr w:rsidR="00193E45" w:rsidRPr="00912A6D" w14:paraId="4168CBCC" w14:textId="77777777" w:rsidTr="00F01485">
        <w:trPr>
          <w:trHeight w:val="427"/>
        </w:trPr>
        <w:tc>
          <w:tcPr>
            <w:tcW w:w="507" w:type="dxa"/>
          </w:tcPr>
          <w:p w14:paraId="003CB154" w14:textId="77777777" w:rsidR="00193E45" w:rsidRPr="00912A6D" w:rsidRDefault="00193E45" w:rsidP="00912A6D">
            <w:pPr>
              <w:ind w:left="57" w:right="57"/>
              <w:rPr>
                <w:sz w:val="28"/>
                <w:szCs w:val="28"/>
              </w:rPr>
            </w:pPr>
            <w:r w:rsidRPr="00912A6D">
              <w:rPr>
                <w:sz w:val="28"/>
                <w:szCs w:val="28"/>
              </w:rPr>
              <w:t> 1.</w:t>
            </w:r>
          </w:p>
        </w:tc>
        <w:tc>
          <w:tcPr>
            <w:tcW w:w="4006" w:type="dxa"/>
          </w:tcPr>
          <w:p w14:paraId="336B921F" w14:textId="77777777" w:rsidR="00193E45" w:rsidRPr="00912A6D" w:rsidRDefault="00193E45" w:rsidP="00912A6D">
            <w:pPr>
              <w:ind w:left="57" w:right="57"/>
              <w:jc w:val="both"/>
              <w:rPr>
                <w:sz w:val="28"/>
                <w:szCs w:val="28"/>
              </w:rPr>
            </w:pPr>
            <w:r w:rsidRPr="00912A6D">
              <w:rPr>
                <w:sz w:val="28"/>
                <w:szCs w:val="28"/>
              </w:rPr>
              <w:t> Projekta izpildē iesaistītās institūcijas</w:t>
            </w:r>
          </w:p>
        </w:tc>
        <w:tc>
          <w:tcPr>
            <w:tcW w:w="4820" w:type="dxa"/>
          </w:tcPr>
          <w:p w14:paraId="40D1885A" w14:textId="77777777" w:rsidR="00193E45" w:rsidRPr="00912A6D" w:rsidRDefault="00F909A0" w:rsidP="001A6FAE">
            <w:pPr>
              <w:pStyle w:val="naisnod"/>
              <w:spacing w:before="0" w:after="0"/>
              <w:ind w:left="142" w:right="141" w:firstLine="283"/>
              <w:jc w:val="both"/>
              <w:rPr>
                <w:b w:val="0"/>
                <w:sz w:val="28"/>
                <w:szCs w:val="28"/>
              </w:rPr>
            </w:pPr>
            <w:r w:rsidRPr="00912A6D">
              <w:rPr>
                <w:b w:val="0"/>
                <w:sz w:val="28"/>
                <w:szCs w:val="28"/>
              </w:rPr>
              <w:t>Dabasgāzes pārvades</w:t>
            </w:r>
            <w:r w:rsidR="009E4496">
              <w:rPr>
                <w:b w:val="0"/>
                <w:sz w:val="28"/>
                <w:szCs w:val="28"/>
              </w:rPr>
              <w:t xml:space="preserve"> un sadales sistēmas operatori</w:t>
            </w:r>
            <w:r w:rsidR="00723E79" w:rsidRPr="00912A6D">
              <w:rPr>
                <w:b w:val="0"/>
                <w:sz w:val="28"/>
                <w:szCs w:val="28"/>
              </w:rPr>
              <w:t xml:space="preserve">, gāzes </w:t>
            </w:r>
            <w:r w:rsidR="0037481A">
              <w:rPr>
                <w:b w:val="0"/>
                <w:sz w:val="28"/>
                <w:szCs w:val="28"/>
              </w:rPr>
              <w:t>sistēmas lietotājs</w:t>
            </w:r>
            <w:r w:rsidR="0037481A" w:rsidRPr="00912A6D">
              <w:rPr>
                <w:b w:val="0"/>
                <w:sz w:val="28"/>
                <w:szCs w:val="28"/>
              </w:rPr>
              <w:t xml:space="preserve"> </w:t>
            </w:r>
            <w:r w:rsidR="00193E45" w:rsidRPr="00912A6D">
              <w:rPr>
                <w:b w:val="0"/>
                <w:sz w:val="28"/>
                <w:szCs w:val="28"/>
              </w:rPr>
              <w:t>un valsts institūcijas, kas kontrolē</w:t>
            </w:r>
            <w:r w:rsidRPr="00912A6D">
              <w:rPr>
                <w:b w:val="0"/>
                <w:sz w:val="28"/>
                <w:szCs w:val="28"/>
              </w:rPr>
              <w:t xml:space="preserve"> un uzrauga </w:t>
            </w:r>
            <w:r w:rsidR="007E4BC7">
              <w:rPr>
                <w:b w:val="0"/>
                <w:sz w:val="28"/>
                <w:szCs w:val="28"/>
              </w:rPr>
              <w:t>gāzes</w:t>
            </w:r>
            <w:r w:rsidRPr="00912A6D">
              <w:rPr>
                <w:b w:val="0"/>
                <w:sz w:val="28"/>
                <w:szCs w:val="28"/>
              </w:rPr>
              <w:t xml:space="preserve"> ievadīšanas un transportēšanas procesus dabasgāzes sistēmā</w:t>
            </w:r>
            <w:r w:rsidR="00723E79" w:rsidRPr="00912A6D">
              <w:rPr>
                <w:b w:val="0"/>
                <w:sz w:val="28"/>
                <w:szCs w:val="28"/>
              </w:rPr>
              <w:t>.</w:t>
            </w:r>
            <w:r w:rsidRPr="00912A6D" w:rsidDel="00F909A0">
              <w:rPr>
                <w:b w:val="0"/>
                <w:sz w:val="28"/>
                <w:szCs w:val="28"/>
              </w:rPr>
              <w:t xml:space="preserve"> </w:t>
            </w:r>
          </w:p>
        </w:tc>
      </w:tr>
      <w:tr w:rsidR="00193E45" w:rsidRPr="00912A6D" w14:paraId="2E5BA39A" w14:textId="77777777" w:rsidTr="00F01485">
        <w:trPr>
          <w:trHeight w:val="463"/>
        </w:trPr>
        <w:tc>
          <w:tcPr>
            <w:tcW w:w="507" w:type="dxa"/>
          </w:tcPr>
          <w:p w14:paraId="6C5F288C" w14:textId="77777777" w:rsidR="00193E45" w:rsidRPr="00912A6D" w:rsidRDefault="00193E45" w:rsidP="00912A6D">
            <w:pPr>
              <w:ind w:left="57" w:right="57"/>
              <w:rPr>
                <w:sz w:val="28"/>
                <w:szCs w:val="28"/>
              </w:rPr>
            </w:pPr>
            <w:r w:rsidRPr="00912A6D">
              <w:rPr>
                <w:sz w:val="28"/>
                <w:szCs w:val="28"/>
              </w:rPr>
              <w:t> 2.</w:t>
            </w:r>
          </w:p>
        </w:tc>
        <w:tc>
          <w:tcPr>
            <w:tcW w:w="4006" w:type="dxa"/>
          </w:tcPr>
          <w:p w14:paraId="19A38217" w14:textId="77777777" w:rsidR="00193E45" w:rsidRPr="00912A6D" w:rsidRDefault="00193E45" w:rsidP="00912A6D">
            <w:pPr>
              <w:ind w:left="57" w:right="57"/>
              <w:jc w:val="both"/>
              <w:rPr>
                <w:sz w:val="28"/>
                <w:szCs w:val="28"/>
              </w:rPr>
            </w:pPr>
            <w:r w:rsidRPr="00912A6D">
              <w:rPr>
                <w:sz w:val="28"/>
                <w:szCs w:val="28"/>
              </w:rPr>
              <w:t> Projekta izpildes ietekme uz pārvaldes funkcijām un institucionālo struktūru. Jaunu institūciju izveide, esošu institūciju likvidācija vai reorganizācija, to ietekme uz institūcijas cilvēkresursiem</w:t>
            </w:r>
          </w:p>
        </w:tc>
        <w:tc>
          <w:tcPr>
            <w:tcW w:w="4820" w:type="dxa"/>
          </w:tcPr>
          <w:p w14:paraId="30C27051" w14:textId="77777777" w:rsidR="00193E45" w:rsidRPr="00912A6D" w:rsidRDefault="00193E45" w:rsidP="00912A6D">
            <w:pPr>
              <w:pStyle w:val="naisnod"/>
              <w:spacing w:before="0" w:after="0"/>
              <w:ind w:left="57" w:right="57" w:firstLine="368"/>
              <w:jc w:val="both"/>
              <w:rPr>
                <w:b w:val="0"/>
                <w:sz w:val="28"/>
                <w:szCs w:val="28"/>
              </w:rPr>
            </w:pPr>
            <w:r w:rsidRPr="00912A6D">
              <w:rPr>
                <w:b w:val="0"/>
                <w:sz w:val="28"/>
                <w:szCs w:val="28"/>
              </w:rPr>
              <w:t xml:space="preserve">Jaunas institūcijas netiks veidotas un nav nepieciešams likvidēt vai reorganizēt esošās institūcijas. Līdz ar to </w:t>
            </w:r>
            <w:r w:rsidR="006264EF" w:rsidRPr="00912A6D">
              <w:rPr>
                <w:b w:val="0"/>
                <w:sz w:val="28"/>
                <w:szCs w:val="28"/>
              </w:rPr>
              <w:t>n</w:t>
            </w:r>
            <w:r w:rsidR="00696F5F" w:rsidRPr="00912A6D">
              <w:rPr>
                <w:b w:val="0"/>
                <w:sz w:val="28"/>
                <w:szCs w:val="28"/>
              </w:rPr>
              <w:t xml:space="preserve">oteikumu </w:t>
            </w:r>
            <w:r w:rsidRPr="00912A6D">
              <w:rPr>
                <w:b w:val="0"/>
                <w:sz w:val="28"/>
                <w:szCs w:val="28"/>
              </w:rPr>
              <w:t>izpilde neietekmēs institūciju cilvēkresursus.</w:t>
            </w:r>
          </w:p>
        </w:tc>
      </w:tr>
      <w:tr w:rsidR="00193E45" w:rsidRPr="00912A6D" w14:paraId="2F5698B0" w14:textId="77777777" w:rsidTr="00F01485">
        <w:trPr>
          <w:trHeight w:val="476"/>
        </w:trPr>
        <w:tc>
          <w:tcPr>
            <w:tcW w:w="507" w:type="dxa"/>
          </w:tcPr>
          <w:p w14:paraId="0CA00C10" w14:textId="77777777" w:rsidR="00193E45" w:rsidRPr="00912A6D" w:rsidRDefault="00193E45" w:rsidP="00912A6D">
            <w:pPr>
              <w:ind w:left="57" w:right="57"/>
              <w:rPr>
                <w:sz w:val="28"/>
                <w:szCs w:val="28"/>
              </w:rPr>
            </w:pPr>
            <w:r w:rsidRPr="00912A6D">
              <w:rPr>
                <w:sz w:val="28"/>
                <w:szCs w:val="28"/>
              </w:rPr>
              <w:t> 3.</w:t>
            </w:r>
          </w:p>
        </w:tc>
        <w:tc>
          <w:tcPr>
            <w:tcW w:w="4006" w:type="dxa"/>
          </w:tcPr>
          <w:p w14:paraId="72FB6F5E" w14:textId="77777777" w:rsidR="00193E45" w:rsidRPr="00912A6D" w:rsidRDefault="00193E45" w:rsidP="00912A6D">
            <w:pPr>
              <w:ind w:left="57" w:right="57"/>
              <w:jc w:val="both"/>
              <w:rPr>
                <w:sz w:val="28"/>
                <w:szCs w:val="28"/>
              </w:rPr>
            </w:pPr>
            <w:r w:rsidRPr="00912A6D">
              <w:rPr>
                <w:sz w:val="28"/>
                <w:szCs w:val="28"/>
              </w:rPr>
              <w:t> Cita informācija</w:t>
            </w:r>
          </w:p>
        </w:tc>
        <w:tc>
          <w:tcPr>
            <w:tcW w:w="4820" w:type="dxa"/>
          </w:tcPr>
          <w:p w14:paraId="32EC53C6" w14:textId="77777777" w:rsidR="00193E45" w:rsidRPr="00912A6D" w:rsidRDefault="00193E45" w:rsidP="00912A6D">
            <w:pPr>
              <w:ind w:left="57" w:right="57" w:firstLine="368"/>
              <w:jc w:val="both"/>
              <w:rPr>
                <w:sz w:val="28"/>
                <w:szCs w:val="28"/>
              </w:rPr>
            </w:pPr>
            <w:r w:rsidRPr="00912A6D">
              <w:rPr>
                <w:sz w:val="28"/>
                <w:szCs w:val="28"/>
              </w:rPr>
              <w:t>Nav.</w:t>
            </w:r>
          </w:p>
        </w:tc>
      </w:tr>
    </w:tbl>
    <w:p w14:paraId="282C75E6" w14:textId="77777777" w:rsidR="00193E45" w:rsidRPr="00912A6D" w:rsidRDefault="00193E45" w:rsidP="006C6F53">
      <w:pPr>
        <w:pStyle w:val="naisf"/>
        <w:tabs>
          <w:tab w:val="left" w:pos="6710"/>
        </w:tabs>
        <w:spacing w:before="120" w:after="240"/>
        <w:jc w:val="center"/>
        <w:rPr>
          <w:i/>
          <w:sz w:val="28"/>
          <w:szCs w:val="28"/>
        </w:rPr>
      </w:pPr>
      <w:r w:rsidRPr="00912A6D">
        <w:rPr>
          <w:i/>
          <w:sz w:val="28"/>
          <w:szCs w:val="28"/>
        </w:rPr>
        <w:t>Anotācijas III, IV un V sadaļa - projekts šīs jomas neskar.</w:t>
      </w:r>
    </w:p>
    <w:p w14:paraId="4CB3C9DA" w14:textId="77777777" w:rsidR="00811B43" w:rsidRDefault="00811B43" w:rsidP="00811B43">
      <w:pPr>
        <w:jc w:val="both"/>
        <w:rPr>
          <w:sz w:val="28"/>
          <w:szCs w:val="28"/>
        </w:rPr>
      </w:pPr>
      <w:r>
        <w:rPr>
          <w:sz w:val="28"/>
          <w:szCs w:val="28"/>
        </w:rPr>
        <w:t>Ministru pre</w:t>
      </w:r>
      <w:r w:rsidR="0049065F">
        <w:rPr>
          <w:sz w:val="28"/>
          <w:szCs w:val="28"/>
        </w:rPr>
        <w:t>zidenta biedrs,</w:t>
      </w:r>
      <w:r w:rsidR="0049065F">
        <w:rPr>
          <w:sz w:val="28"/>
          <w:szCs w:val="28"/>
        </w:rPr>
        <w:tab/>
      </w:r>
      <w:r w:rsidR="0049065F">
        <w:rPr>
          <w:sz w:val="28"/>
          <w:szCs w:val="28"/>
        </w:rPr>
        <w:tab/>
      </w:r>
      <w:r w:rsidR="0049065F">
        <w:rPr>
          <w:sz w:val="28"/>
          <w:szCs w:val="28"/>
        </w:rPr>
        <w:tab/>
      </w:r>
      <w:r w:rsidR="0049065F">
        <w:rPr>
          <w:sz w:val="28"/>
          <w:szCs w:val="28"/>
        </w:rPr>
        <w:tab/>
      </w:r>
      <w:r w:rsidR="0049065F">
        <w:rPr>
          <w:sz w:val="28"/>
          <w:szCs w:val="28"/>
        </w:rPr>
        <w:tab/>
      </w:r>
      <w:r w:rsidR="0049065F">
        <w:rPr>
          <w:sz w:val="28"/>
          <w:szCs w:val="28"/>
        </w:rPr>
        <w:tab/>
      </w:r>
    </w:p>
    <w:p w14:paraId="28538D1C" w14:textId="77777777" w:rsidR="00124ADC" w:rsidRDefault="00967EF4" w:rsidP="00811B43">
      <w:pPr>
        <w:tabs>
          <w:tab w:val="left" w:pos="-142"/>
        </w:tabs>
        <w:spacing w:line="276" w:lineRule="auto"/>
        <w:rPr>
          <w:sz w:val="28"/>
          <w:szCs w:val="28"/>
        </w:rPr>
      </w:pPr>
      <w:r>
        <w:rPr>
          <w:sz w:val="28"/>
          <w:szCs w:val="28"/>
        </w:rPr>
        <w:t xml:space="preserve">ekonomikas </w:t>
      </w:r>
      <w:r w:rsidR="00811B43">
        <w:rPr>
          <w:sz w:val="28"/>
          <w:szCs w:val="28"/>
        </w:rPr>
        <w:t>ministrs</w:t>
      </w:r>
      <w:r w:rsidR="0049065F">
        <w:rPr>
          <w:sz w:val="28"/>
          <w:szCs w:val="28"/>
        </w:rPr>
        <w:tab/>
      </w:r>
      <w:r w:rsidR="0049065F">
        <w:rPr>
          <w:sz w:val="28"/>
          <w:szCs w:val="28"/>
        </w:rPr>
        <w:tab/>
      </w:r>
      <w:r w:rsidR="0049065F">
        <w:rPr>
          <w:sz w:val="28"/>
          <w:szCs w:val="28"/>
        </w:rPr>
        <w:tab/>
      </w:r>
      <w:r w:rsidR="0049065F">
        <w:rPr>
          <w:sz w:val="28"/>
          <w:szCs w:val="28"/>
        </w:rPr>
        <w:tab/>
      </w:r>
      <w:r w:rsidR="0049065F">
        <w:rPr>
          <w:sz w:val="28"/>
          <w:szCs w:val="28"/>
        </w:rPr>
        <w:tab/>
      </w:r>
      <w:r w:rsidR="0049065F">
        <w:rPr>
          <w:sz w:val="28"/>
          <w:szCs w:val="28"/>
        </w:rPr>
        <w:tab/>
      </w:r>
      <w:r w:rsidR="0049065F">
        <w:rPr>
          <w:sz w:val="28"/>
          <w:szCs w:val="28"/>
        </w:rPr>
        <w:tab/>
        <w:t>A.Ašeradens</w:t>
      </w:r>
    </w:p>
    <w:p w14:paraId="285927A4" w14:textId="77777777" w:rsidR="00811B43" w:rsidRDefault="00811B43" w:rsidP="00811B43">
      <w:pPr>
        <w:tabs>
          <w:tab w:val="left" w:pos="-142"/>
        </w:tabs>
        <w:spacing w:line="276" w:lineRule="auto"/>
        <w:rPr>
          <w:sz w:val="28"/>
          <w:szCs w:val="28"/>
        </w:rPr>
      </w:pPr>
    </w:p>
    <w:p w14:paraId="7F528874" w14:textId="77777777" w:rsidR="00747AAB" w:rsidRPr="00912A6D" w:rsidRDefault="00747AAB" w:rsidP="00747AAB">
      <w:pPr>
        <w:rPr>
          <w:sz w:val="28"/>
          <w:szCs w:val="28"/>
        </w:rPr>
      </w:pPr>
      <w:r w:rsidRPr="00912A6D">
        <w:rPr>
          <w:sz w:val="28"/>
          <w:szCs w:val="28"/>
        </w:rPr>
        <w:t>Vīza:</w:t>
      </w:r>
    </w:p>
    <w:p w14:paraId="1C49CE18" w14:textId="77777777" w:rsidR="00CB5FD4" w:rsidRDefault="00C111BB" w:rsidP="00967EF4">
      <w:pPr>
        <w:tabs>
          <w:tab w:val="left" w:pos="5670"/>
          <w:tab w:val="right" w:pos="9072"/>
        </w:tabs>
        <w:rPr>
          <w:sz w:val="28"/>
          <w:szCs w:val="28"/>
        </w:rPr>
      </w:pPr>
      <w:r>
        <w:rPr>
          <w:sz w:val="28"/>
          <w:szCs w:val="28"/>
        </w:rPr>
        <w:t>Valsts sekretār</w:t>
      </w:r>
      <w:r w:rsidR="00967EF4">
        <w:rPr>
          <w:sz w:val="28"/>
          <w:szCs w:val="28"/>
        </w:rPr>
        <w:t xml:space="preserve">s </w:t>
      </w:r>
      <w:r w:rsidR="0049065F">
        <w:rPr>
          <w:sz w:val="28"/>
          <w:szCs w:val="28"/>
        </w:rPr>
        <w:tab/>
        <w:t xml:space="preserve">                              </w:t>
      </w:r>
      <w:r w:rsidR="00967EF4">
        <w:rPr>
          <w:sz w:val="28"/>
          <w:szCs w:val="28"/>
        </w:rPr>
        <w:t>J.Stinka</w:t>
      </w:r>
    </w:p>
    <w:p w14:paraId="56741D40" w14:textId="77777777" w:rsidR="00193E45" w:rsidRPr="00053B75" w:rsidRDefault="00193E45" w:rsidP="00967EF4">
      <w:pPr>
        <w:tabs>
          <w:tab w:val="right" w:pos="9072"/>
        </w:tabs>
        <w:rPr>
          <w:sz w:val="20"/>
        </w:rPr>
      </w:pPr>
    </w:p>
    <w:p w14:paraId="3F92F25F" w14:textId="77777777" w:rsidR="00193E45" w:rsidRDefault="00193E45" w:rsidP="00193E45">
      <w:pPr>
        <w:rPr>
          <w:sz w:val="20"/>
        </w:rPr>
      </w:pPr>
    </w:p>
    <w:p w14:paraId="0369035A" w14:textId="77777777" w:rsidR="00D15797" w:rsidRPr="00D15797" w:rsidRDefault="00D15797" w:rsidP="00D15797">
      <w:pPr>
        <w:keepLines/>
        <w:widowControl w:val="0"/>
        <w:jc w:val="both"/>
        <w:rPr>
          <w:sz w:val="20"/>
          <w:szCs w:val="20"/>
        </w:rPr>
      </w:pPr>
    </w:p>
    <w:p w14:paraId="52D32B75" w14:textId="5837D60C" w:rsidR="00636F59" w:rsidRPr="00714EC3" w:rsidRDefault="00636F59" w:rsidP="00636F59">
      <w:pPr>
        <w:rPr>
          <w:color w:val="000000" w:themeColor="text1"/>
          <w:sz w:val="20"/>
          <w:szCs w:val="20"/>
        </w:rPr>
      </w:pPr>
      <w:r w:rsidRPr="00714EC3">
        <w:rPr>
          <w:color w:val="000000" w:themeColor="text1"/>
          <w:sz w:val="20"/>
          <w:szCs w:val="20"/>
        </w:rPr>
        <w:fldChar w:fldCharType="begin"/>
      </w:r>
      <w:r w:rsidRPr="00714EC3">
        <w:rPr>
          <w:color w:val="000000" w:themeColor="text1"/>
          <w:sz w:val="20"/>
          <w:szCs w:val="20"/>
        </w:rPr>
        <w:instrText xml:space="preserve"> TIME \@ "dd.MM.yyyy HH:mm" </w:instrText>
      </w:r>
      <w:r w:rsidRPr="00714EC3">
        <w:rPr>
          <w:color w:val="000000" w:themeColor="text1"/>
          <w:sz w:val="20"/>
          <w:szCs w:val="20"/>
        </w:rPr>
        <w:fldChar w:fldCharType="end"/>
      </w:r>
    </w:p>
    <w:p w14:paraId="0A371859" w14:textId="77777777" w:rsidR="00636F59" w:rsidRPr="00714EC3" w:rsidRDefault="004F6AFF" w:rsidP="00636F59">
      <w:pPr>
        <w:rPr>
          <w:color w:val="000000"/>
          <w:sz w:val="20"/>
          <w:szCs w:val="20"/>
        </w:rPr>
      </w:pPr>
      <w:r>
        <w:fldChar w:fldCharType="begin"/>
      </w:r>
      <w:r>
        <w:instrText xml:space="preserve"> NUMWORDS   \* MERGEFORMAT </w:instrText>
      </w:r>
      <w:r>
        <w:fldChar w:fldCharType="separate"/>
      </w:r>
      <w:r w:rsidR="00684D07" w:rsidRPr="00684D07">
        <w:rPr>
          <w:noProof/>
          <w:color w:val="000000"/>
          <w:sz w:val="20"/>
          <w:szCs w:val="20"/>
        </w:rPr>
        <w:t>1422</w:t>
      </w:r>
      <w:r>
        <w:rPr>
          <w:noProof/>
          <w:color w:val="000000"/>
          <w:sz w:val="20"/>
          <w:szCs w:val="20"/>
        </w:rPr>
        <w:fldChar w:fldCharType="end"/>
      </w:r>
    </w:p>
    <w:p w14:paraId="759B158A" w14:textId="77777777" w:rsidR="00144005" w:rsidRPr="001B3D41" w:rsidRDefault="00144005" w:rsidP="00144005">
      <w:pPr>
        <w:rPr>
          <w:color w:val="000000" w:themeColor="text1"/>
          <w:sz w:val="20"/>
          <w:szCs w:val="20"/>
        </w:rPr>
      </w:pPr>
      <w:r w:rsidRPr="001B3D41">
        <w:rPr>
          <w:color w:val="000000" w:themeColor="text1"/>
          <w:sz w:val="20"/>
          <w:szCs w:val="20"/>
        </w:rPr>
        <w:t xml:space="preserve">K.Piģēns, </w:t>
      </w:r>
    </w:p>
    <w:p w14:paraId="599654CE" w14:textId="77777777" w:rsidR="00144005" w:rsidRPr="001B3D41" w:rsidRDefault="00144005" w:rsidP="00144005">
      <w:pPr>
        <w:rPr>
          <w:color w:val="000000" w:themeColor="text1"/>
          <w:sz w:val="20"/>
          <w:szCs w:val="20"/>
        </w:rPr>
      </w:pPr>
      <w:r w:rsidRPr="001B3D41">
        <w:rPr>
          <w:noProof/>
          <w:color w:val="000000" w:themeColor="text1"/>
          <w:sz w:val="20"/>
          <w:szCs w:val="20"/>
        </w:rPr>
        <w:t>67013133</w:t>
      </w:r>
      <w:r w:rsidRPr="001B3D41">
        <w:rPr>
          <w:color w:val="000000" w:themeColor="text1"/>
          <w:sz w:val="20"/>
          <w:szCs w:val="20"/>
        </w:rPr>
        <w:t xml:space="preserve">, </w:t>
      </w:r>
    </w:p>
    <w:p w14:paraId="77403E78" w14:textId="77777777" w:rsidR="00144005" w:rsidRPr="001B3D41" w:rsidRDefault="004F6AFF" w:rsidP="00144005">
      <w:pPr>
        <w:rPr>
          <w:color w:val="000000" w:themeColor="text1"/>
          <w:sz w:val="20"/>
          <w:szCs w:val="20"/>
        </w:rPr>
      </w:pPr>
      <w:hyperlink r:id="rId9" w:history="1">
        <w:r w:rsidR="00144005" w:rsidRPr="001B3D41">
          <w:rPr>
            <w:color w:val="000000" w:themeColor="text1"/>
            <w:sz w:val="20"/>
            <w:szCs w:val="20"/>
            <w:u w:val="single"/>
          </w:rPr>
          <w:t>Karlis.Pigens@em.gov.lv</w:t>
        </w:r>
      </w:hyperlink>
      <w:r w:rsidR="00144005" w:rsidRPr="001B3D41">
        <w:rPr>
          <w:color w:val="000000" w:themeColor="text1"/>
          <w:sz w:val="20"/>
          <w:szCs w:val="20"/>
        </w:rPr>
        <w:t xml:space="preserve"> </w:t>
      </w:r>
    </w:p>
    <w:p w14:paraId="76A9876A" w14:textId="77777777" w:rsidR="00193E45" w:rsidRPr="00124ADC" w:rsidRDefault="00437385" w:rsidP="00B40300">
      <w:pPr>
        <w:tabs>
          <w:tab w:val="left" w:pos="1080"/>
        </w:tabs>
        <w:ind w:right="-2"/>
        <w:jc w:val="both"/>
        <w:rPr>
          <w:sz w:val="20"/>
          <w:szCs w:val="20"/>
          <w:lang w:val="de-DE"/>
        </w:rPr>
      </w:pPr>
      <w:r w:rsidRPr="00437385">
        <w:rPr>
          <w:sz w:val="20"/>
          <w:szCs w:val="20"/>
          <w:lang w:val="de-DE"/>
        </w:rPr>
        <w:t xml:space="preserve"> </w:t>
      </w:r>
    </w:p>
    <w:sectPr w:rsidR="00193E45" w:rsidRPr="00124ADC" w:rsidSect="00F01485">
      <w:headerReference w:type="even" r:id="rId10"/>
      <w:headerReference w:type="default" r:id="rId11"/>
      <w:footerReference w:type="default" r:id="rId12"/>
      <w:footerReference w:type="first" r:id="rId13"/>
      <w:pgSz w:w="11906" w:h="16838" w:code="9"/>
      <w:pgMar w:top="851" w:right="851" w:bottom="1702" w:left="1701" w:header="709"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18D1D" w14:textId="77777777" w:rsidR="00505A52" w:rsidRDefault="00505A52">
      <w:r>
        <w:separator/>
      </w:r>
    </w:p>
  </w:endnote>
  <w:endnote w:type="continuationSeparator" w:id="0">
    <w:p w14:paraId="02DAE1C7" w14:textId="77777777" w:rsidR="00505A52" w:rsidRDefault="0050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EUAlbertina"/>
    <w:panose1 w:val="00000000000000000000"/>
    <w:charset w:val="00"/>
    <w:family w:val="roman"/>
    <w:notTrueType/>
    <w:pitch w:val="default"/>
    <w:sig w:usb0="00000005"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2EBE" w14:textId="1EFC2A8C" w:rsidR="00426C37" w:rsidRDefault="00CF0E64" w:rsidP="00144005">
    <w:pPr>
      <w:jc w:val="both"/>
    </w:pPr>
    <w:r w:rsidRPr="0069431E">
      <w:rPr>
        <w:noProof/>
        <w:sz w:val="20"/>
        <w:szCs w:val="20"/>
      </w:rPr>
      <w:fldChar w:fldCharType="begin"/>
    </w:r>
    <w:r w:rsidRPr="0069431E">
      <w:rPr>
        <w:noProof/>
        <w:sz w:val="20"/>
        <w:szCs w:val="20"/>
      </w:rPr>
      <w:instrText xml:space="preserve"> FILENAME   \* MERGEFORMAT </w:instrText>
    </w:r>
    <w:r w:rsidRPr="0069431E">
      <w:rPr>
        <w:noProof/>
        <w:sz w:val="20"/>
        <w:szCs w:val="20"/>
      </w:rPr>
      <w:fldChar w:fldCharType="separate"/>
    </w:r>
    <w:r>
      <w:rPr>
        <w:noProof/>
        <w:sz w:val="20"/>
        <w:szCs w:val="20"/>
      </w:rPr>
      <w:t>EMAnot_020217_rez.docx</w:t>
    </w:r>
    <w:r w:rsidRPr="0069431E">
      <w:rPr>
        <w:noProof/>
        <w:sz w:val="20"/>
        <w:szCs w:val="20"/>
      </w:rPr>
      <w:fldChar w:fldCharType="end"/>
    </w:r>
    <w:r w:rsidR="00144005" w:rsidRPr="00CF0E64">
      <w:rPr>
        <w:rFonts w:eastAsia="Calibri"/>
        <w:noProof/>
        <w:sz w:val="20"/>
        <w:szCs w:val="20"/>
        <w:lang w:eastAsia="en-US"/>
      </w:rPr>
      <w:t>;</w:t>
    </w:r>
    <w:r w:rsidR="00144005" w:rsidRPr="00144005">
      <w:rPr>
        <w:sz w:val="20"/>
        <w:szCs w:val="20"/>
      </w:rPr>
      <w:t xml:space="preserve"> Ministru kabineta noteikumu projekta „</w:t>
    </w:r>
    <w:r w:rsidR="00532411" w:rsidRPr="00144005">
      <w:rPr>
        <w:sz w:val="20"/>
        <w:szCs w:val="20"/>
      </w:rPr>
      <w:t>Grozījum</w:t>
    </w:r>
    <w:r w:rsidR="00532411">
      <w:rPr>
        <w:sz w:val="20"/>
        <w:szCs w:val="20"/>
      </w:rPr>
      <w:t>i</w:t>
    </w:r>
    <w:r w:rsidR="00532411" w:rsidRPr="00144005">
      <w:rPr>
        <w:sz w:val="20"/>
        <w:szCs w:val="20"/>
      </w:rPr>
      <w:t xml:space="preserve"> </w:t>
    </w:r>
    <w:r w:rsidR="00144005" w:rsidRPr="00144005">
      <w:rPr>
        <w:sz w:val="20"/>
        <w:szCs w:val="20"/>
      </w:rPr>
      <w:t xml:space="preserve">Ministru kabineta 2011.gada 19.aprīļa noteikumos Nr.312 “Enerģijas lietotāju apgādes un kurināmā pārdošanas kārtība izsludinātas enerģētiskās krīzes laikā un valsts apdraudējuma gadījumā”” sākotnējās ietekmes novērtējuma </w:t>
    </w:r>
    <w:smartTag w:uri="schemas-tilde-lv/tildestengine" w:element="veidnes">
      <w:smartTagPr>
        <w:attr w:name="id" w:val="-1"/>
        <w:attr w:name="baseform" w:val="ziņojums"/>
        <w:attr w:name="text" w:val="ziņojums"/>
      </w:smartTagPr>
      <w:r w:rsidR="00144005" w:rsidRPr="00144005">
        <w:rPr>
          <w:sz w:val="20"/>
          <w:szCs w:val="20"/>
        </w:rPr>
        <w:t>ziņojums</w:t>
      </w:r>
    </w:smartTag>
    <w:r w:rsidR="00144005" w:rsidRPr="00144005">
      <w:rPr>
        <w:sz w:val="20"/>
        <w:szCs w:val="20"/>
      </w:rPr>
      <w:t xml:space="preserve"> (</w:t>
    </w:r>
    <w:r w:rsidR="00144005" w:rsidRPr="00144005">
      <w:rPr>
        <w:bCs/>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BAEF" w14:textId="3A6DE9A6" w:rsidR="00144005" w:rsidRPr="00144005" w:rsidRDefault="00A82B20" w:rsidP="00144005">
    <w:pPr>
      <w:jc w:val="both"/>
      <w:rPr>
        <w:bCs/>
        <w:sz w:val="20"/>
        <w:szCs w:val="20"/>
      </w:rPr>
    </w:pPr>
    <w:r w:rsidRPr="00144005">
      <w:rPr>
        <w:sz w:val="20"/>
        <w:szCs w:val="20"/>
      </w:rPr>
      <w:fldChar w:fldCharType="begin"/>
    </w:r>
    <w:r w:rsidRPr="00144005">
      <w:rPr>
        <w:sz w:val="20"/>
        <w:szCs w:val="20"/>
      </w:rPr>
      <w:instrText xml:space="preserve"> FILENAME   \* MERGEFORMAT </w:instrText>
    </w:r>
    <w:r w:rsidRPr="00144005">
      <w:rPr>
        <w:sz w:val="20"/>
        <w:szCs w:val="20"/>
      </w:rPr>
      <w:fldChar w:fldCharType="separate"/>
    </w:r>
    <w:r w:rsidR="000E1C39">
      <w:rPr>
        <w:noProof/>
        <w:sz w:val="20"/>
        <w:szCs w:val="20"/>
      </w:rPr>
      <w:t>EMAnot_020217_rez.docx</w:t>
    </w:r>
    <w:r w:rsidRPr="00144005">
      <w:rPr>
        <w:sz w:val="20"/>
        <w:szCs w:val="20"/>
      </w:rPr>
      <w:fldChar w:fldCharType="end"/>
    </w:r>
    <w:r w:rsidR="00426C37" w:rsidRPr="00144005">
      <w:rPr>
        <w:sz w:val="20"/>
        <w:szCs w:val="20"/>
      </w:rPr>
      <w:t xml:space="preserve">; </w:t>
    </w:r>
    <w:r w:rsidR="00144005" w:rsidRPr="00144005">
      <w:rPr>
        <w:sz w:val="20"/>
        <w:szCs w:val="20"/>
      </w:rPr>
      <w:t>Ministru kabineta noteikumu projekta „</w:t>
    </w:r>
    <w:r w:rsidR="00532411" w:rsidRPr="00144005">
      <w:rPr>
        <w:sz w:val="20"/>
        <w:szCs w:val="20"/>
      </w:rPr>
      <w:t>Grozījum</w:t>
    </w:r>
    <w:r w:rsidR="00532411">
      <w:rPr>
        <w:sz w:val="20"/>
        <w:szCs w:val="20"/>
      </w:rPr>
      <w:t>i</w:t>
    </w:r>
    <w:r w:rsidR="00532411" w:rsidRPr="00144005">
      <w:rPr>
        <w:sz w:val="20"/>
        <w:szCs w:val="20"/>
      </w:rPr>
      <w:t xml:space="preserve"> </w:t>
    </w:r>
    <w:r w:rsidR="00144005" w:rsidRPr="00144005">
      <w:rPr>
        <w:sz w:val="20"/>
        <w:szCs w:val="20"/>
      </w:rPr>
      <w:t xml:space="preserve">Ministru kabineta 2011.gada 19.aprīļa noteikumos Nr.312 “Enerģijas lietotāju apgādes un kurināmā pārdošanas kārtība izsludinātas enerģētiskās krīzes laikā un valsts apdraudējuma gadījumā”” sākotnējās ietekmes novērtējuma </w:t>
    </w:r>
    <w:smartTag w:uri="schemas-tilde-lv/tildestengine" w:element="veidnes">
      <w:smartTagPr>
        <w:attr w:name="id" w:val="-1"/>
        <w:attr w:name="baseform" w:val="ziņojums"/>
        <w:attr w:name="text" w:val="ziņojums"/>
      </w:smartTagPr>
      <w:r w:rsidR="00144005" w:rsidRPr="00144005">
        <w:rPr>
          <w:sz w:val="20"/>
          <w:szCs w:val="20"/>
        </w:rPr>
        <w:t>ziņojums</w:t>
      </w:r>
    </w:smartTag>
    <w:r w:rsidR="00144005" w:rsidRPr="00144005">
      <w:rPr>
        <w:sz w:val="20"/>
        <w:szCs w:val="20"/>
      </w:rPr>
      <w:t xml:space="preserve"> (</w:t>
    </w:r>
    <w:r w:rsidR="00144005" w:rsidRPr="00144005">
      <w:rPr>
        <w:bCs/>
        <w:sz w:val="20"/>
        <w:szCs w:val="20"/>
      </w:rPr>
      <w:t>anotācija)</w:t>
    </w:r>
  </w:p>
  <w:p w14:paraId="24C527E9" w14:textId="77777777" w:rsidR="00426C37" w:rsidRPr="0079607B" w:rsidRDefault="00426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C78AE" w14:textId="77777777" w:rsidR="00505A52" w:rsidRDefault="00505A52">
      <w:r>
        <w:separator/>
      </w:r>
    </w:p>
  </w:footnote>
  <w:footnote w:type="continuationSeparator" w:id="0">
    <w:p w14:paraId="432F369D" w14:textId="77777777" w:rsidR="00505A52" w:rsidRDefault="00505A52">
      <w:r>
        <w:continuationSeparator/>
      </w:r>
    </w:p>
  </w:footnote>
  <w:footnote w:id="1">
    <w:p w14:paraId="0BF772C2" w14:textId="77777777" w:rsidR="00700531" w:rsidRDefault="00700531">
      <w:pPr>
        <w:pStyle w:val="FootnoteText"/>
      </w:pPr>
      <w:r>
        <w:rPr>
          <w:rStyle w:val="FootnoteReference"/>
        </w:rPr>
        <w:footnoteRef/>
      </w:r>
      <w:r>
        <w:t xml:space="preserve"> </w:t>
      </w:r>
      <w:r w:rsidRPr="00700531">
        <w:rPr>
          <w:color w:val="000000" w:themeColor="text1"/>
        </w:rPr>
        <w:t>AS “Latvijas Gāze” informācija</w:t>
      </w:r>
      <w:r w:rsidR="00053E99">
        <w:rPr>
          <w:color w:val="000000" w:themeColor="text1"/>
        </w:rPr>
        <w:t xml:space="preserve"> aplūkojama</w:t>
      </w:r>
      <w:r w:rsidRPr="00700531">
        <w:rPr>
          <w:color w:val="000000" w:themeColor="text1"/>
        </w:rPr>
        <w:t>: (</w:t>
      </w:r>
      <w:hyperlink r:id="rId1" w:history="1">
        <w:r w:rsidRPr="00700531">
          <w:rPr>
            <w:rStyle w:val="Hyperlink"/>
            <w:color w:val="000000" w:themeColor="text1"/>
          </w:rPr>
          <w:t>http://capacity.lg.lv/?id=116</w:t>
        </w:r>
      </w:hyperlink>
      <w:r w:rsidRPr="00700531">
        <w:rPr>
          <w:color w:val="000000" w:themeColor="text1"/>
        </w:rPr>
        <w:t>) [Aplūkota: 12.10.2016.].</w:t>
      </w:r>
    </w:p>
  </w:footnote>
  <w:footnote w:id="2">
    <w:p w14:paraId="2EFA3247" w14:textId="77777777" w:rsidR="00053E99" w:rsidRDefault="00053E99">
      <w:pPr>
        <w:pStyle w:val="FootnoteText"/>
      </w:pPr>
      <w:r>
        <w:rPr>
          <w:rStyle w:val="FootnoteReference"/>
        </w:rPr>
        <w:footnoteRef/>
      </w:r>
      <w:r>
        <w:t xml:space="preserve"> Aplūkojama: (</w:t>
      </w:r>
      <w:r w:rsidRPr="00053E99">
        <w:t>https://www.em.gov.lv/lv/par_ministriju/sabiedribas_lidzdaliba/diskusiju_dokumenti/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0B7B" w14:textId="77777777" w:rsidR="00A735A2" w:rsidRDefault="00A735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4395C" w14:textId="77777777" w:rsidR="00A735A2" w:rsidRDefault="00A73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C75C0" w14:textId="77777777" w:rsidR="00A735A2" w:rsidRDefault="00A735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AFF">
      <w:rPr>
        <w:rStyle w:val="PageNumber"/>
        <w:noProof/>
      </w:rPr>
      <w:t>7</w:t>
    </w:r>
    <w:r>
      <w:rPr>
        <w:rStyle w:val="PageNumber"/>
      </w:rPr>
      <w:fldChar w:fldCharType="end"/>
    </w:r>
  </w:p>
  <w:p w14:paraId="03AE1AE6" w14:textId="77777777" w:rsidR="00A735A2" w:rsidRDefault="00A73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6141A9"/>
    <w:multiLevelType w:val="hybridMultilevel"/>
    <w:tmpl w:val="7890D29A"/>
    <w:lvl w:ilvl="0" w:tplc="81784664">
      <w:start w:val="2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2B2693E"/>
    <w:multiLevelType w:val="hybridMultilevel"/>
    <w:tmpl w:val="6FC455AC"/>
    <w:lvl w:ilvl="0" w:tplc="42562AB2">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0" w15:restartNumberingAfterBreak="0">
    <w:nsid w:val="45947D18"/>
    <w:multiLevelType w:val="hybridMultilevel"/>
    <w:tmpl w:val="2438C2FA"/>
    <w:lvl w:ilvl="0" w:tplc="0630B5BA">
      <w:numFmt w:val="bullet"/>
      <w:lvlText w:val="-"/>
      <w:lvlJc w:val="left"/>
      <w:pPr>
        <w:ind w:left="467" w:hanging="360"/>
      </w:pPr>
      <w:rPr>
        <w:rFonts w:ascii="Times New Roman" w:eastAsia="Times New Roman" w:hAnsi="Times New Roman" w:cs="Times New Roman" w:hint="default"/>
      </w:rPr>
    </w:lvl>
    <w:lvl w:ilvl="1" w:tplc="04260003" w:tentative="1">
      <w:start w:val="1"/>
      <w:numFmt w:val="bullet"/>
      <w:lvlText w:val="o"/>
      <w:lvlJc w:val="left"/>
      <w:pPr>
        <w:ind w:left="1187" w:hanging="360"/>
      </w:pPr>
      <w:rPr>
        <w:rFonts w:ascii="Courier New" w:hAnsi="Courier New" w:cs="Courier New" w:hint="default"/>
      </w:rPr>
    </w:lvl>
    <w:lvl w:ilvl="2" w:tplc="04260005" w:tentative="1">
      <w:start w:val="1"/>
      <w:numFmt w:val="bullet"/>
      <w:lvlText w:val=""/>
      <w:lvlJc w:val="left"/>
      <w:pPr>
        <w:ind w:left="1907" w:hanging="360"/>
      </w:pPr>
      <w:rPr>
        <w:rFonts w:ascii="Wingdings" w:hAnsi="Wingdings" w:hint="default"/>
      </w:rPr>
    </w:lvl>
    <w:lvl w:ilvl="3" w:tplc="04260001" w:tentative="1">
      <w:start w:val="1"/>
      <w:numFmt w:val="bullet"/>
      <w:lvlText w:val=""/>
      <w:lvlJc w:val="left"/>
      <w:pPr>
        <w:ind w:left="2627" w:hanging="360"/>
      </w:pPr>
      <w:rPr>
        <w:rFonts w:ascii="Symbol" w:hAnsi="Symbol" w:hint="default"/>
      </w:rPr>
    </w:lvl>
    <w:lvl w:ilvl="4" w:tplc="04260003" w:tentative="1">
      <w:start w:val="1"/>
      <w:numFmt w:val="bullet"/>
      <w:lvlText w:val="o"/>
      <w:lvlJc w:val="left"/>
      <w:pPr>
        <w:ind w:left="3347" w:hanging="360"/>
      </w:pPr>
      <w:rPr>
        <w:rFonts w:ascii="Courier New" w:hAnsi="Courier New" w:cs="Courier New" w:hint="default"/>
      </w:rPr>
    </w:lvl>
    <w:lvl w:ilvl="5" w:tplc="04260005" w:tentative="1">
      <w:start w:val="1"/>
      <w:numFmt w:val="bullet"/>
      <w:lvlText w:val=""/>
      <w:lvlJc w:val="left"/>
      <w:pPr>
        <w:ind w:left="4067" w:hanging="360"/>
      </w:pPr>
      <w:rPr>
        <w:rFonts w:ascii="Wingdings" w:hAnsi="Wingdings" w:hint="default"/>
      </w:rPr>
    </w:lvl>
    <w:lvl w:ilvl="6" w:tplc="04260001" w:tentative="1">
      <w:start w:val="1"/>
      <w:numFmt w:val="bullet"/>
      <w:lvlText w:val=""/>
      <w:lvlJc w:val="left"/>
      <w:pPr>
        <w:ind w:left="4787" w:hanging="360"/>
      </w:pPr>
      <w:rPr>
        <w:rFonts w:ascii="Symbol" w:hAnsi="Symbol" w:hint="default"/>
      </w:rPr>
    </w:lvl>
    <w:lvl w:ilvl="7" w:tplc="04260003" w:tentative="1">
      <w:start w:val="1"/>
      <w:numFmt w:val="bullet"/>
      <w:lvlText w:val="o"/>
      <w:lvlJc w:val="left"/>
      <w:pPr>
        <w:ind w:left="5507" w:hanging="360"/>
      </w:pPr>
      <w:rPr>
        <w:rFonts w:ascii="Courier New" w:hAnsi="Courier New" w:cs="Courier New" w:hint="default"/>
      </w:rPr>
    </w:lvl>
    <w:lvl w:ilvl="8" w:tplc="04260005" w:tentative="1">
      <w:start w:val="1"/>
      <w:numFmt w:val="bullet"/>
      <w:lvlText w:val=""/>
      <w:lvlJc w:val="left"/>
      <w:pPr>
        <w:ind w:left="6227" w:hanging="360"/>
      </w:pPr>
      <w:rPr>
        <w:rFonts w:ascii="Wingdings" w:hAnsi="Wingdings" w:hint="default"/>
      </w:rPr>
    </w:lvl>
  </w:abstractNum>
  <w:abstractNum w:abstractNumId="11"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7"/>
  </w:num>
  <w:num w:numId="3">
    <w:abstractNumId w:val="4"/>
  </w:num>
  <w:num w:numId="4">
    <w:abstractNumId w:val="2"/>
  </w:num>
  <w:num w:numId="5">
    <w:abstractNumId w:val="0"/>
  </w:num>
  <w:num w:numId="6">
    <w:abstractNumId w:val="14"/>
  </w:num>
  <w:num w:numId="7">
    <w:abstractNumId w:val="18"/>
  </w:num>
  <w:num w:numId="8">
    <w:abstractNumId w:val="11"/>
  </w:num>
  <w:num w:numId="9">
    <w:abstractNumId w:val="3"/>
  </w:num>
  <w:num w:numId="10">
    <w:abstractNumId w:val="12"/>
  </w:num>
  <w:num w:numId="11">
    <w:abstractNumId w:val="13"/>
  </w:num>
  <w:num w:numId="12">
    <w:abstractNumId w:val="15"/>
  </w:num>
  <w:num w:numId="13">
    <w:abstractNumId w:val="16"/>
  </w:num>
  <w:num w:numId="14">
    <w:abstractNumId w:val="5"/>
  </w:num>
  <w:num w:numId="15">
    <w:abstractNumId w:val="8"/>
  </w:num>
  <w:num w:numId="16">
    <w:abstractNumId w:val="7"/>
  </w:num>
  <w:num w:numId="17">
    <w:abstractNumId w:val="9"/>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B59"/>
    <w:rsid w:val="00004959"/>
    <w:rsid w:val="00004BA5"/>
    <w:rsid w:val="00007A3D"/>
    <w:rsid w:val="00007C62"/>
    <w:rsid w:val="00011D24"/>
    <w:rsid w:val="00012BB8"/>
    <w:rsid w:val="00013FF4"/>
    <w:rsid w:val="00015973"/>
    <w:rsid w:val="00020423"/>
    <w:rsid w:val="00020FE1"/>
    <w:rsid w:val="00022E13"/>
    <w:rsid w:val="00023E7C"/>
    <w:rsid w:val="0003048F"/>
    <w:rsid w:val="000312DB"/>
    <w:rsid w:val="00032388"/>
    <w:rsid w:val="00033427"/>
    <w:rsid w:val="0003379D"/>
    <w:rsid w:val="00035CE2"/>
    <w:rsid w:val="00042899"/>
    <w:rsid w:val="00042D0E"/>
    <w:rsid w:val="00045178"/>
    <w:rsid w:val="0004699E"/>
    <w:rsid w:val="00053445"/>
    <w:rsid w:val="00053E99"/>
    <w:rsid w:val="00054A3F"/>
    <w:rsid w:val="0005553B"/>
    <w:rsid w:val="00056ED2"/>
    <w:rsid w:val="0005711F"/>
    <w:rsid w:val="000604D2"/>
    <w:rsid w:val="00061138"/>
    <w:rsid w:val="00061C83"/>
    <w:rsid w:val="00067B8A"/>
    <w:rsid w:val="000704C8"/>
    <w:rsid w:val="00084F2F"/>
    <w:rsid w:val="0008764A"/>
    <w:rsid w:val="0009005E"/>
    <w:rsid w:val="00091985"/>
    <w:rsid w:val="000941C5"/>
    <w:rsid w:val="00096A3E"/>
    <w:rsid w:val="000A2CD9"/>
    <w:rsid w:val="000A4B98"/>
    <w:rsid w:val="000A5505"/>
    <w:rsid w:val="000A5A22"/>
    <w:rsid w:val="000A624C"/>
    <w:rsid w:val="000A6451"/>
    <w:rsid w:val="000B038C"/>
    <w:rsid w:val="000B064E"/>
    <w:rsid w:val="000B0DBC"/>
    <w:rsid w:val="000B1D4D"/>
    <w:rsid w:val="000B22CF"/>
    <w:rsid w:val="000B2EDC"/>
    <w:rsid w:val="000B4A0E"/>
    <w:rsid w:val="000B4C1E"/>
    <w:rsid w:val="000B617F"/>
    <w:rsid w:val="000B65B3"/>
    <w:rsid w:val="000B69CF"/>
    <w:rsid w:val="000C357E"/>
    <w:rsid w:val="000C4249"/>
    <w:rsid w:val="000C4941"/>
    <w:rsid w:val="000C7730"/>
    <w:rsid w:val="000C790C"/>
    <w:rsid w:val="000D1C54"/>
    <w:rsid w:val="000D46AA"/>
    <w:rsid w:val="000D5B55"/>
    <w:rsid w:val="000D6BAF"/>
    <w:rsid w:val="000E1C39"/>
    <w:rsid w:val="000E21B9"/>
    <w:rsid w:val="000F061D"/>
    <w:rsid w:val="000F0E60"/>
    <w:rsid w:val="000F4794"/>
    <w:rsid w:val="000F4870"/>
    <w:rsid w:val="000F5697"/>
    <w:rsid w:val="000F6162"/>
    <w:rsid w:val="00100CB1"/>
    <w:rsid w:val="00102A15"/>
    <w:rsid w:val="00103196"/>
    <w:rsid w:val="00106417"/>
    <w:rsid w:val="0011244A"/>
    <w:rsid w:val="00113F3B"/>
    <w:rsid w:val="0011461E"/>
    <w:rsid w:val="001152DB"/>
    <w:rsid w:val="00120766"/>
    <w:rsid w:val="00124ADC"/>
    <w:rsid w:val="00124F12"/>
    <w:rsid w:val="001261F5"/>
    <w:rsid w:val="00126A07"/>
    <w:rsid w:val="001278E9"/>
    <w:rsid w:val="0013160C"/>
    <w:rsid w:val="001334C0"/>
    <w:rsid w:val="001373CC"/>
    <w:rsid w:val="00137D89"/>
    <w:rsid w:val="00141136"/>
    <w:rsid w:val="00142CB5"/>
    <w:rsid w:val="00144005"/>
    <w:rsid w:val="00144E3A"/>
    <w:rsid w:val="00146E24"/>
    <w:rsid w:val="0014765B"/>
    <w:rsid w:val="0015060C"/>
    <w:rsid w:val="00155AE8"/>
    <w:rsid w:val="0016018A"/>
    <w:rsid w:val="00161B0C"/>
    <w:rsid w:val="00161F0E"/>
    <w:rsid w:val="001627FF"/>
    <w:rsid w:val="0016588C"/>
    <w:rsid w:val="00170E2A"/>
    <w:rsid w:val="0017683A"/>
    <w:rsid w:val="00177394"/>
    <w:rsid w:val="00177CF1"/>
    <w:rsid w:val="001803AF"/>
    <w:rsid w:val="001813F5"/>
    <w:rsid w:val="00181F05"/>
    <w:rsid w:val="00182C18"/>
    <w:rsid w:val="0018387B"/>
    <w:rsid w:val="00183CC2"/>
    <w:rsid w:val="0018489C"/>
    <w:rsid w:val="001860E1"/>
    <w:rsid w:val="00187E9D"/>
    <w:rsid w:val="001900E4"/>
    <w:rsid w:val="00190F88"/>
    <w:rsid w:val="00193E45"/>
    <w:rsid w:val="00195D64"/>
    <w:rsid w:val="001A3F49"/>
    <w:rsid w:val="001A4066"/>
    <w:rsid w:val="001A4B82"/>
    <w:rsid w:val="001A6AE4"/>
    <w:rsid w:val="001A6FAE"/>
    <w:rsid w:val="001A7431"/>
    <w:rsid w:val="001B01FD"/>
    <w:rsid w:val="001B101F"/>
    <w:rsid w:val="001B20D9"/>
    <w:rsid w:val="001B2E01"/>
    <w:rsid w:val="001B31BD"/>
    <w:rsid w:val="001B4A71"/>
    <w:rsid w:val="001B6AB3"/>
    <w:rsid w:val="001B6DEF"/>
    <w:rsid w:val="001B75E2"/>
    <w:rsid w:val="001C25F1"/>
    <w:rsid w:val="001C4C84"/>
    <w:rsid w:val="001C74CD"/>
    <w:rsid w:val="001D05D6"/>
    <w:rsid w:val="001D0A1B"/>
    <w:rsid w:val="001D5B54"/>
    <w:rsid w:val="001D7368"/>
    <w:rsid w:val="001E08CD"/>
    <w:rsid w:val="001E1DBF"/>
    <w:rsid w:val="001E3136"/>
    <w:rsid w:val="001E4639"/>
    <w:rsid w:val="001E4A7D"/>
    <w:rsid w:val="001E4D48"/>
    <w:rsid w:val="001E5B05"/>
    <w:rsid w:val="001F0085"/>
    <w:rsid w:val="001F2FA4"/>
    <w:rsid w:val="001F3263"/>
    <w:rsid w:val="001F43A8"/>
    <w:rsid w:val="001F5B7B"/>
    <w:rsid w:val="001F5CD6"/>
    <w:rsid w:val="001F7C6E"/>
    <w:rsid w:val="002059BF"/>
    <w:rsid w:val="00206A35"/>
    <w:rsid w:val="0021263D"/>
    <w:rsid w:val="002129DF"/>
    <w:rsid w:val="00213F0C"/>
    <w:rsid w:val="00214094"/>
    <w:rsid w:val="00215121"/>
    <w:rsid w:val="0021592D"/>
    <w:rsid w:val="00222D76"/>
    <w:rsid w:val="00223EB1"/>
    <w:rsid w:val="00225DA2"/>
    <w:rsid w:val="0022770D"/>
    <w:rsid w:val="00230647"/>
    <w:rsid w:val="00231344"/>
    <w:rsid w:val="00231365"/>
    <w:rsid w:val="00231B20"/>
    <w:rsid w:val="00231CAE"/>
    <w:rsid w:val="0023436E"/>
    <w:rsid w:val="0023442F"/>
    <w:rsid w:val="002347C0"/>
    <w:rsid w:val="00235A8B"/>
    <w:rsid w:val="0024130C"/>
    <w:rsid w:val="00241A6C"/>
    <w:rsid w:val="00242135"/>
    <w:rsid w:val="00242A6C"/>
    <w:rsid w:val="00242D2B"/>
    <w:rsid w:val="00244474"/>
    <w:rsid w:val="00250A0F"/>
    <w:rsid w:val="002512DC"/>
    <w:rsid w:val="002579EE"/>
    <w:rsid w:val="00257FDB"/>
    <w:rsid w:val="00261E2B"/>
    <w:rsid w:val="002621B9"/>
    <w:rsid w:val="00262E2B"/>
    <w:rsid w:val="00265F0D"/>
    <w:rsid w:val="00270429"/>
    <w:rsid w:val="002709C6"/>
    <w:rsid w:val="0027214E"/>
    <w:rsid w:val="002721B6"/>
    <w:rsid w:val="002723E9"/>
    <w:rsid w:val="002768D9"/>
    <w:rsid w:val="00277929"/>
    <w:rsid w:val="00280D1A"/>
    <w:rsid w:val="00281FC1"/>
    <w:rsid w:val="00283B82"/>
    <w:rsid w:val="002846E9"/>
    <w:rsid w:val="00284C34"/>
    <w:rsid w:val="00287E5B"/>
    <w:rsid w:val="00290056"/>
    <w:rsid w:val="0029066C"/>
    <w:rsid w:val="00291645"/>
    <w:rsid w:val="00297520"/>
    <w:rsid w:val="00297D6E"/>
    <w:rsid w:val="002A1535"/>
    <w:rsid w:val="002A40B6"/>
    <w:rsid w:val="002A61C9"/>
    <w:rsid w:val="002A777D"/>
    <w:rsid w:val="002B3869"/>
    <w:rsid w:val="002B50DB"/>
    <w:rsid w:val="002C12AB"/>
    <w:rsid w:val="002C1A7A"/>
    <w:rsid w:val="002C7CAC"/>
    <w:rsid w:val="002D2BD5"/>
    <w:rsid w:val="002D3306"/>
    <w:rsid w:val="002D3EAC"/>
    <w:rsid w:val="002D473F"/>
    <w:rsid w:val="002D48AA"/>
    <w:rsid w:val="002D7BAA"/>
    <w:rsid w:val="002D7F54"/>
    <w:rsid w:val="002E0E16"/>
    <w:rsid w:val="002E2D9B"/>
    <w:rsid w:val="002E3013"/>
    <w:rsid w:val="002E3FF4"/>
    <w:rsid w:val="002E4FFE"/>
    <w:rsid w:val="002E6C58"/>
    <w:rsid w:val="002E7BCC"/>
    <w:rsid w:val="002E7C6E"/>
    <w:rsid w:val="002F3BB7"/>
    <w:rsid w:val="002F3CD8"/>
    <w:rsid w:val="002F54BD"/>
    <w:rsid w:val="002F57C3"/>
    <w:rsid w:val="002F6B1E"/>
    <w:rsid w:val="002F78C8"/>
    <w:rsid w:val="00301CF3"/>
    <w:rsid w:val="00301D2B"/>
    <w:rsid w:val="003078E4"/>
    <w:rsid w:val="003101A7"/>
    <w:rsid w:val="00312F59"/>
    <w:rsid w:val="00313560"/>
    <w:rsid w:val="00313AD1"/>
    <w:rsid w:val="00314C96"/>
    <w:rsid w:val="0031774C"/>
    <w:rsid w:val="0032226E"/>
    <w:rsid w:val="0032333B"/>
    <w:rsid w:val="003260A8"/>
    <w:rsid w:val="0032711D"/>
    <w:rsid w:val="0032715C"/>
    <w:rsid w:val="003307B1"/>
    <w:rsid w:val="00331E2B"/>
    <w:rsid w:val="00335CF7"/>
    <w:rsid w:val="00337CA5"/>
    <w:rsid w:val="00337CF8"/>
    <w:rsid w:val="003416C7"/>
    <w:rsid w:val="00343716"/>
    <w:rsid w:val="003439D8"/>
    <w:rsid w:val="003444D1"/>
    <w:rsid w:val="0034475A"/>
    <w:rsid w:val="0034495D"/>
    <w:rsid w:val="0035094D"/>
    <w:rsid w:val="00362478"/>
    <w:rsid w:val="003642C0"/>
    <w:rsid w:val="00365984"/>
    <w:rsid w:val="00373439"/>
    <w:rsid w:val="0037481A"/>
    <w:rsid w:val="00375B25"/>
    <w:rsid w:val="00384BFF"/>
    <w:rsid w:val="0039028B"/>
    <w:rsid w:val="003904F9"/>
    <w:rsid w:val="00396542"/>
    <w:rsid w:val="0039685B"/>
    <w:rsid w:val="003A0A64"/>
    <w:rsid w:val="003A12AD"/>
    <w:rsid w:val="003A2073"/>
    <w:rsid w:val="003A31A6"/>
    <w:rsid w:val="003A60BD"/>
    <w:rsid w:val="003A7F0C"/>
    <w:rsid w:val="003A7F79"/>
    <w:rsid w:val="003B0CF3"/>
    <w:rsid w:val="003B2B58"/>
    <w:rsid w:val="003B37A7"/>
    <w:rsid w:val="003B6404"/>
    <w:rsid w:val="003B6ED2"/>
    <w:rsid w:val="003B7AC3"/>
    <w:rsid w:val="003C0BD6"/>
    <w:rsid w:val="003C3BAB"/>
    <w:rsid w:val="003C449B"/>
    <w:rsid w:val="003C52F2"/>
    <w:rsid w:val="003C6BD8"/>
    <w:rsid w:val="003D16D6"/>
    <w:rsid w:val="003D21FF"/>
    <w:rsid w:val="003D5E4F"/>
    <w:rsid w:val="003E30FB"/>
    <w:rsid w:val="003E3C4B"/>
    <w:rsid w:val="003E44C9"/>
    <w:rsid w:val="003E5FFB"/>
    <w:rsid w:val="003E63A7"/>
    <w:rsid w:val="003F0112"/>
    <w:rsid w:val="003F071A"/>
    <w:rsid w:val="003F0B3D"/>
    <w:rsid w:val="003F160B"/>
    <w:rsid w:val="003F230C"/>
    <w:rsid w:val="003F2D9D"/>
    <w:rsid w:val="003F5747"/>
    <w:rsid w:val="003F659B"/>
    <w:rsid w:val="00400032"/>
    <w:rsid w:val="004009B5"/>
    <w:rsid w:val="00400B5B"/>
    <w:rsid w:val="00400F32"/>
    <w:rsid w:val="0040443C"/>
    <w:rsid w:val="00404B62"/>
    <w:rsid w:val="00404F48"/>
    <w:rsid w:val="004053FE"/>
    <w:rsid w:val="00405A00"/>
    <w:rsid w:val="0040629F"/>
    <w:rsid w:val="00407529"/>
    <w:rsid w:val="0041278A"/>
    <w:rsid w:val="004127A9"/>
    <w:rsid w:val="00414DB2"/>
    <w:rsid w:val="00420870"/>
    <w:rsid w:val="00420876"/>
    <w:rsid w:val="00426880"/>
    <w:rsid w:val="00426C37"/>
    <w:rsid w:val="0043016A"/>
    <w:rsid w:val="0043240D"/>
    <w:rsid w:val="004367EE"/>
    <w:rsid w:val="00437385"/>
    <w:rsid w:val="0043791B"/>
    <w:rsid w:val="00440EBA"/>
    <w:rsid w:val="00441483"/>
    <w:rsid w:val="00441BCB"/>
    <w:rsid w:val="00441C28"/>
    <w:rsid w:val="004427D6"/>
    <w:rsid w:val="00443978"/>
    <w:rsid w:val="00445273"/>
    <w:rsid w:val="0045176A"/>
    <w:rsid w:val="00451F65"/>
    <w:rsid w:val="00452DE3"/>
    <w:rsid w:val="00456332"/>
    <w:rsid w:val="00461826"/>
    <w:rsid w:val="004624A3"/>
    <w:rsid w:val="004636C4"/>
    <w:rsid w:val="00466838"/>
    <w:rsid w:val="00470164"/>
    <w:rsid w:val="004746C8"/>
    <w:rsid w:val="00475203"/>
    <w:rsid w:val="00476B6F"/>
    <w:rsid w:val="004772F7"/>
    <w:rsid w:val="004800F9"/>
    <w:rsid w:val="004802BA"/>
    <w:rsid w:val="00485BB5"/>
    <w:rsid w:val="00486DDD"/>
    <w:rsid w:val="00487B0A"/>
    <w:rsid w:val="00487FED"/>
    <w:rsid w:val="0049065F"/>
    <w:rsid w:val="004910D1"/>
    <w:rsid w:val="0049134A"/>
    <w:rsid w:val="00491A89"/>
    <w:rsid w:val="004940BA"/>
    <w:rsid w:val="004942F6"/>
    <w:rsid w:val="004A1917"/>
    <w:rsid w:val="004A1B92"/>
    <w:rsid w:val="004A58CB"/>
    <w:rsid w:val="004B1795"/>
    <w:rsid w:val="004B3D2B"/>
    <w:rsid w:val="004B56DD"/>
    <w:rsid w:val="004B6C7E"/>
    <w:rsid w:val="004C020F"/>
    <w:rsid w:val="004C1AFD"/>
    <w:rsid w:val="004C558B"/>
    <w:rsid w:val="004C58AF"/>
    <w:rsid w:val="004D016C"/>
    <w:rsid w:val="004D33E5"/>
    <w:rsid w:val="004D618C"/>
    <w:rsid w:val="004D623F"/>
    <w:rsid w:val="004D7A1E"/>
    <w:rsid w:val="004E0CF3"/>
    <w:rsid w:val="004E31E0"/>
    <w:rsid w:val="004E3748"/>
    <w:rsid w:val="004E3968"/>
    <w:rsid w:val="004F16ED"/>
    <w:rsid w:val="004F1CE8"/>
    <w:rsid w:val="004F1F88"/>
    <w:rsid w:val="004F3414"/>
    <w:rsid w:val="004F5F1B"/>
    <w:rsid w:val="004F6AFF"/>
    <w:rsid w:val="00502374"/>
    <w:rsid w:val="0050594A"/>
    <w:rsid w:val="00505A52"/>
    <w:rsid w:val="005060A1"/>
    <w:rsid w:val="005101C8"/>
    <w:rsid w:val="00514C7E"/>
    <w:rsid w:val="005152C1"/>
    <w:rsid w:val="00516072"/>
    <w:rsid w:val="00516697"/>
    <w:rsid w:val="00521535"/>
    <w:rsid w:val="00527C93"/>
    <w:rsid w:val="00532411"/>
    <w:rsid w:val="0053284D"/>
    <w:rsid w:val="005331BA"/>
    <w:rsid w:val="005332EC"/>
    <w:rsid w:val="00534418"/>
    <w:rsid w:val="00534F05"/>
    <w:rsid w:val="005353AB"/>
    <w:rsid w:val="00537C87"/>
    <w:rsid w:val="0054236A"/>
    <w:rsid w:val="00544CC2"/>
    <w:rsid w:val="00545943"/>
    <w:rsid w:val="005477F7"/>
    <w:rsid w:val="00550853"/>
    <w:rsid w:val="00551541"/>
    <w:rsid w:val="00552DDA"/>
    <w:rsid w:val="00553017"/>
    <w:rsid w:val="005560BC"/>
    <w:rsid w:val="005573BE"/>
    <w:rsid w:val="00560E2F"/>
    <w:rsid w:val="005610E2"/>
    <w:rsid w:val="00561A37"/>
    <w:rsid w:val="005641E4"/>
    <w:rsid w:val="00564641"/>
    <w:rsid w:val="00567A16"/>
    <w:rsid w:val="00570AA6"/>
    <w:rsid w:val="00572700"/>
    <w:rsid w:val="00572A7A"/>
    <w:rsid w:val="00573E98"/>
    <w:rsid w:val="00575FBA"/>
    <w:rsid w:val="00580468"/>
    <w:rsid w:val="00580FB7"/>
    <w:rsid w:val="0058603B"/>
    <w:rsid w:val="00587B9C"/>
    <w:rsid w:val="0059390D"/>
    <w:rsid w:val="0059431B"/>
    <w:rsid w:val="005947E4"/>
    <w:rsid w:val="00596363"/>
    <w:rsid w:val="005A086D"/>
    <w:rsid w:val="005A39CC"/>
    <w:rsid w:val="005A6D78"/>
    <w:rsid w:val="005A7FB1"/>
    <w:rsid w:val="005B017F"/>
    <w:rsid w:val="005B3373"/>
    <w:rsid w:val="005B4730"/>
    <w:rsid w:val="005C23A4"/>
    <w:rsid w:val="005D0E10"/>
    <w:rsid w:val="005D2968"/>
    <w:rsid w:val="005E0222"/>
    <w:rsid w:val="005E05D7"/>
    <w:rsid w:val="005E0E6E"/>
    <w:rsid w:val="005E1EE5"/>
    <w:rsid w:val="005E41E7"/>
    <w:rsid w:val="005E450F"/>
    <w:rsid w:val="005E7D3F"/>
    <w:rsid w:val="005F4699"/>
    <w:rsid w:val="005F5D61"/>
    <w:rsid w:val="005F5E2C"/>
    <w:rsid w:val="005F5F55"/>
    <w:rsid w:val="00601B5E"/>
    <w:rsid w:val="00604166"/>
    <w:rsid w:val="00605E8E"/>
    <w:rsid w:val="00612F7F"/>
    <w:rsid w:val="00613760"/>
    <w:rsid w:val="00616859"/>
    <w:rsid w:val="00620F03"/>
    <w:rsid w:val="00622790"/>
    <w:rsid w:val="0062298A"/>
    <w:rsid w:val="00623F65"/>
    <w:rsid w:val="00624ED5"/>
    <w:rsid w:val="0062512B"/>
    <w:rsid w:val="006264EF"/>
    <w:rsid w:val="00626514"/>
    <w:rsid w:val="00626589"/>
    <w:rsid w:val="0062761F"/>
    <w:rsid w:val="00630EC3"/>
    <w:rsid w:val="006339A0"/>
    <w:rsid w:val="006343A4"/>
    <w:rsid w:val="00636F59"/>
    <w:rsid w:val="006413A8"/>
    <w:rsid w:val="0064293B"/>
    <w:rsid w:val="00642E56"/>
    <w:rsid w:val="00644331"/>
    <w:rsid w:val="006444E4"/>
    <w:rsid w:val="006446A4"/>
    <w:rsid w:val="00645D64"/>
    <w:rsid w:val="00651E00"/>
    <w:rsid w:val="00652825"/>
    <w:rsid w:val="006570D6"/>
    <w:rsid w:val="00660DE1"/>
    <w:rsid w:val="00662151"/>
    <w:rsid w:val="006624F1"/>
    <w:rsid w:val="00662EE9"/>
    <w:rsid w:val="00664750"/>
    <w:rsid w:val="006648BB"/>
    <w:rsid w:val="00666AC0"/>
    <w:rsid w:val="00666B88"/>
    <w:rsid w:val="00667FE4"/>
    <w:rsid w:val="00674572"/>
    <w:rsid w:val="00674F6D"/>
    <w:rsid w:val="00684D07"/>
    <w:rsid w:val="006863CD"/>
    <w:rsid w:val="00686A22"/>
    <w:rsid w:val="00687763"/>
    <w:rsid w:val="00690E61"/>
    <w:rsid w:val="006915DA"/>
    <w:rsid w:val="00691C30"/>
    <w:rsid w:val="00692B0D"/>
    <w:rsid w:val="00692DBC"/>
    <w:rsid w:val="00693E0E"/>
    <w:rsid w:val="00696F5F"/>
    <w:rsid w:val="006A0A17"/>
    <w:rsid w:val="006A1AE3"/>
    <w:rsid w:val="006A27A9"/>
    <w:rsid w:val="006B101E"/>
    <w:rsid w:val="006B2F2A"/>
    <w:rsid w:val="006B7689"/>
    <w:rsid w:val="006B7C94"/>
    <w:rsid w:val="006C2A82"/>
    <w:rsid w:val="006C2C96"/>
    <w:rsid w:val="006C30E1"/>
    <w:rsid w:val="006C391E"/>
    <w:rsid w:val="006C4607"/>
    <w:rsid w:val="006C4D33"/>
    <w:rsid w:val="006C6F53"/>
    <w:rsid w:val="006C7451"/>
    <w:rsid w:val="006C7561"/>
    <w:rsid w:val="006D0FF9"/>
    <w:rsid w:val="006D1F55"/>
    <w:rsid w:val="006D48F1"/>
    <w:rsid w:val="006D5702"/>
    <w:rsid w:val="006E11CB"/>
    <w:rsid w:val="006E1380"/>
    <w:rsid w:val="006E25D2"/>
    <w:rsid w:val="006E28C3"/>
    <w:rsid w:val="006E2CA1"/>
    <w:rsid w:val="006E2DF2"/>
    <w:rsid w:val="006E3CB8"/>
    <w:rsid w:val="006E3FB0"/>
    <w:rsid w:val="006E7EB7"/>
    <w:rsid w:val="006F05D4"/>
    <w:rsid w:val="006F3D17"/>
    <w:rsid w:val="006F45BE"/>
    <w:rsid w:val="006F5782"/>
    <w:rsid w:val="007004FC"/>
    <w:rsid w:val="00700531"/>
    <w:rsid w:val="007005F0"/>
    <w:rsid w:val="00701AB6"/>
    <w:rsid w:val="00704877"/>
    <w:rsid w:val="00706670"/>
    <w:rsid w:val="007069BD"/>
    <w:rsid w:val="00706FE3"/>
    <w:rsid w:val="00711003"/>
    <w:rsid w:val="00715412"/>
    <w:rsid w:val="00717E74"/>
    <w:rsid w:val="0072170E"/>
    <w:rsid w:val="007225D9"/>
    <w:rsid w:val="007225F5"/>
    <w:rsid w:val="00723E79"/>
    <w:rsid w:val="00723F65"/>
    <w:rsid w:val="0072417C"/>
    <w:rsid w:val="00726B33"/>
    <w:rsid w:val="007271A5"/>
    <w:rsid w:val="00727E79"/>
    <w:rsid w:val="00730575"/>
    <w:rsid w:val="00734450"/>
    <w:rsid w:val="0073452D"/>
    <w:rsid w:val="00735023"/>
    <w:rsid w:val="007351FE"/>
    <w:rsid w:val="007363E4"/>
    <w:rsid w:val="00736E73"/>
    <w:rsid w:val="00737857"/>
    <w:rsid w:val="007408C9"/>
    <w:rsid w:val="00741322"/>
    <w:rsid w:val="00743F6E"/>
    <w:rsid w:val="00745F67"/>
    <w:rsid w:val="00747AAB"/>
    <w:rsid w:val="0075039E"/>
    <w:rsid w:val="00751422"/>
    <w:rsid w:val="00752D9D"/>
    <w:rsid w:val="00754784"/>
    <w:rsid w:val="00756837"/>
    <w:rsid w:val="00757C6E"/>
    <w:rsid w:val="00760EC3"/>
    <w:rsid w:val="00762BDA"/>
    <w:rsid w:val="00764AE2"/>
    <w:rsid w:val="00766200"/>
    <w:rsid w:val="007666FB"/>
    <w:rsid w:val="00766B4F"/>
    <w:rsid w:val="00767F08"/>
    <w:rsid w:val="00773094"/>
    <w:rsid w:val="00773408"/>
    <w:rsid w:val="00773F7F"/>
    <w:rsid w:val="00777D88"/>
    <w:rsid w:val="00777FA2"/>
    <w:rsid w:val="007805FD"/>
    <w:rsid w:val="00780A39"/>
    <w:rsid w:val="00781565"/>
    <w:rsid w:val="007840F1"/>
    <w:rsid w:val="00784190"/>
    <w:rsid w:val="00784422"/>
    <w:rsid w:val="00784C61"/>
    <w:rsid w:val="00791D71"/>
    <w:rsid w:val="007921BB"/>
    <w:rsid w:val="00792B7C"/>
    <w:rsid w:val="00792EDE"/>
    <w:rsid w:val="00794885"/>
    <w:rsid w:val="00795072"/>
    <w:rsid w:val="0079607B"/>
    <w:rsid w:val="00796293"/>
    <w:rsid w:val="007A012B"/>
    <w:rsid w:val="007A3099"/>
    <w:rsid w:val="007A30FA"/>
    <w:rsid w:val="007A3124"/>
    <w:rsid w:val="007A3EA0"/>
    <w:rsid w:val="007A4ED3"/>
    <w:rsid w:val="007B05EA"/>
    <w:rsid w:val="007B0BE0"/>
    <w:rsid w:val="007B3B54"/>
    <w:rsid w:val="007B3FA0"/>
    <w:rsid w:val="007B519D"/>
    <w:rsid w:val="007B6E26"/>
    <w:rsid w:val="007B7A7D"/>
    <w:rsid w:val="007C0F2C"/>
    <w:rsid w:val="007C2BCC"/>
    <w:rsid w:val="007C4EF0"/>
    <w:rsid w:val="007C67E3"/>
    <w:rsid w:val="007C6B53"/>
    <w:rsid w:val="007D099D"/>
    <w:rsid w:val="007D0CB8"/>
    <w:rsid w:val="007D4345"/>
    <w:rsid w:val="007D6961"/>
    <w:rsid w:val="007E0E1B"/>
    <w:rsid w:val="007E2664"/>
    <w:rsid w:val="007E3ABF"/>
    <w:rsid w:val="007E4BC7"/>
    <w:rsid w:val="007E5BFA"/>
    <w:rsid w:val="007E6689"/>
    <w:rsid w:val="007E6F90"/>
    <w:rsid w:val="007E71B1"/>
    <w:rsid w:val="007E731C"/>
    <w:rsid w:val="007E7409"/>
    <w:rsid w:val="007E7A7A"/>
    <w:rsid w:val="007F0A03"/>
    <w:rsid w:val="007F1D9A"/>
    <w:rsid w:val="007F2BAB"/>
    <w:rsid w:val="007F4588"/>
    <w:rsid w:val="007F5E40"/>
    <w:rsid w:val="007F7299"/>
    <w:rsid w:val="007F75DA"/>
    <w:rsid w:val="007F76A4"/>
    <w:rsid w:val="008004A5"/>
    <w:rsid w:val="00801848"/>
    <w:rsid w:val="00804310"/>
    <w:rsid w:val="008059CB"/>
    <w:rsid w:val="00810040"/>
    <w:rsid w:val="008104BF"/>
    <w:rsid w:val="008104E0"/>
    <w:rsid w:val="00811B43"/>
    <w:rsid w:val="0081299B"/>
    <w:rsid w:val="00812AE0"/>
    <w:rsid w:val="00813373"/>
    <w:rsid w:val="008134A7"/>
    <w:rsid w:val="00816A82"/>
    <w:rsid w:val="008171F3"/>
    <w:rsid w:val="008176C5"/>
    <w:rsid w:val="0082023A"/>
    <w:rsid w:val="00821A7A"/>
    <w:rsid w:val="00822E04"/>
    <w:rsid w:val="008253F8"/>
    <w:rsid w:val="00827E9F"/>
    <w:rsid w:val="008304D7"/>
    <w:rsid w:val="008310B4"/>
    <w:rsid w:val="00831902"/>
    <w:rsid w:val="008325E4"/>
    <w:rsid w:val="00832A2B"/>
    <w:rsid w:val="00832FA8"/>
    <w:rsid w:val="00834F23"/>
    <w:rsid w:val="00836927"/>
    <w:rsid w:val="0083727C"/>
    <w:rsid w:val="00842733"/>
    <w:rsid w:val="00844B60"/>
    <w:rsid w:val="00845811"/>
    <w:rsid w:val="00845CE6"/>
    <w:rsid w:val="00846994"/>
    <w:rsid w:val="00850451"/>
    <w:rsid w:val="0085101A"/>
    <w:rsid w:val="00851458"/>
    <w:rsid w:val="00852042"/>
    <w:rsid w:val="008525D6"/>
    <w:rsid w:val="008534C9"/>
    <w:rsid w:val="008542BA"/>
    <w:rsid w:val="008550FB"/>
    <w:rsid w:val="0085599D"/>
    <w:rsid w:val="0085721E"/>
    <w:rsid w:val="00865C66"/>
    <w:rsid w:val="008678A9"/>
    <w:rsid w:val="00871F5C"/>
    <w:rsid w:val="00873300"/>
    <w:rsid w:val="0087510C"/>
    <w:rsid w:val="00875637"/>
    <w:rsid w:val="00875A6F"/>
    <w:rsid w:val="0087752C"/>
    <w:rsid w:val="008779C6"/>
    <w:rsid w:val="008824CB"/>
    <w:rsid w:val="00884487"/>
    <w:rsid w:val="0088525E"/>
    <w:rsid w:val="00885DF9"/>
    <w:rsid w:val="008863B5"/>
    <w:rsid w:val="00891910"/>
    <w:rsid w:val="008937A7"/>
    <w:rsid w:val="00893D7F"/>
    <w:rsid w:val="00895AE0"/>
    <w:rsid w:val="008963AB"/>
    <w:rsid w:val="008967DB"/>
    <w:rsid w:val="0089738E"/>
    <w:rsid w:val="008A02EE"/>
    <w:rsid w:val="008A4BEA"/>
    <w:rsid w:val="008B23C8"/>
    <w:rsid w:val="008B45E2"/>
    <w:rsid w:val="008B5A90"/>
    <w:rsid w:val="008B5CD1"/>
    <w:rsid w:val="008B5DB9"/>
    <w:rsid w:val="008B5FDB"/>
    <w:rsid w:val="008B610E"/>
    <w:rsid w:val="008C440F"/>
    <w:rsid w:val="008C50F4"/>
    <w:rsid w:val="008C5649"/>
    <w:rsid w:val="008C5C24"/>
    <w:rsid w:val="008D1E68"/>
    <w:rsid w:val="008D5E9E"/>
    <w:rsid w:val="008D5F3B"/>
    <w:rsid w:val="008D6977"/>
    <w:rsid w:val="008D6D66"/>
    <w:rsid w:val="008E0E15"/>
    <w:rsid w:val="008E3127"/>
    <w:rsid w:val="008E44A2"/>
    <w:rsid w:val="008E697D"/>
    <w:rsid w:val="008E6A10"/>
    <w:rsid w:val="008F1EFC"/>
    <w:rsid w:val="008F2E7A"/>
    <w:rsid w:val="00901D64"/>
    <w:rsid w:val="00902797"/>
    <w:rsid w:val="0090291B"/>
    <w:rsid w:val="00903263"/>
    <w:rsid w:val="009042F4"/>
    <w:rsid w:val="00906A21"/>
    <w:rsid w:val="009079C3"/>
    <w:rsid w:val="00910462"/>
    <w:rsid w:val="00910B14"/>
    <w:rsid w:val="00912A6D"/>
    <w:rsid w:val="00913F76"/>
    <w:rsid w:val="0091476F"/>
    <w:rsid w:val="00914FAF"/>
    <w:rsid w:val="00915AB1"/>
    <w:rsid w:val="00917532"/>
    <w:rsid w:val="00920073"/>
    <w:rsid w:val="00920BFB"/>
    <w:rsid w:val="00920E33"/>
    <w:rsid w:val="009235BA"/>
    <w:rsid w:val="00924023"/>
    <w:rsid w:val="009242B6"/>
    <w:rsid w:val="00924B5C"/>
    <w:rsid w:val="00924CE2"/>
    <w:rsid w:val="009256E6"/>
    <w:rsid w:val="00925B9F"/>
    <w:rsid w:val="009302E0"/>
    <w:rsid w:val="00931AED"/>
    <w:rsid w:val="00933DE5"/>
    <w:rsid w:val="009356C2"/>
    <w:rsid w:val="0093754C"/>
    <w:rsid w:val="009408E4"/>
    <w:rsid w:val="009476A3"/>
    <w:rsid w:val="0095334F"/>
    <w:rsid w:val="0095467D"/>
    <w:rsid w:val="00955DE4"/>
    <w:rsid w:val="00965897"/>
    <w:rsid w:val="00966AE6"/>
    <w:rsid w:val="0096765C"/>
    <w:rsid w:val="00967DBC"/>
    <w:rsid w:val="00967EF4"/>
    <w:rsid w:val="009727E4"/>
    <w:rsid w:val="009741D8"/>
    <w:rsid w:val="00980B2E"/>
    <w:rsid w:val="009835BD"/>
    <w:rsid w:val="0098597A"/>
    <w:rsid w:val="00987819"/>
    <w:rsid w:val="009911C0"/>
    <w:rsid w:val="009934C5"/>
    <w:rsid w:val="00994356"/>
    <w:rsid w:val="00994C0F"/>
    <w:rsid w:val="009964C8"/>
    <w:rsid w:val="009A3F76"/>
    <w:rsid w:val="009A5C53"/>
    <w:rsid w:val="009B0F7B"/>
    <w:rsid w:val="009B22D7"/>
    <w:rsid w:val="009B369F"/>
    <w:rsid w:val="009B3854"/>
    <w:rsid w:val="009B554C"/>
    <w:rsid w:val="009B72ED"/>
    <w:rsid w:val="009C08B3"/>
    <w:rsid w:val="009C198E"/>
    <w:rsid w:val="009C2F4A"/>
    <w:rsid w:val="009C32F1"/>
    <w:rsid w:val="009C4606"/>
    <w:rsid w:val="009C471E"/>
    <w:rsid w:val="009C4885"/>
    <w:rsid w:val="009C5675"/>
    <w:rsid w:val="009C694B"/>
    <w:rsid w:val="009C6DEB"/>
    <w:rsid w:val="009D3DB0"/>
    <w:rsid w:val="009D44F9"/>
    <w:rsid w:val="009D6504"/>
    <w:rsid w:val="009D7946"/>
    <w:rsid w:val="009E12D7"/>
    <w:rsid w:val="009E3892"/>
    <w:rsid w:val="009E3FA4"/>
    <w:rsid w:val="009E4496"/>
    <w:rsid w:val="009E5925"/>
    <w:rsid w:val="009E661A"/>
    <w:rsid w:val="009F1CD4"/>
    <w:rsid w:val="009F27C2"/>
    <w:rsid w:val="009F3195"/>
    <w:rsid w:val="009F5102"/>
    <w:rsid w:val="009F7D2B"/>
    <w:rsid w:val="00A0162F"/>
    <w:rsid w:val="00A06781"/>
    <w:rsid w:val="00A074C3"/>
    <w:rsid w:val="00A145FE"/>
    <w:rsid w:val="00A1509C"/>
    <w:rsid w:val="00A16443"/>
    <w:rsid w:val="00A16BFD"/>
    <w:rsid w:val="00A20A72"/>
    <w:rsid w:val="00A2250D"/>
    <w:rsid w:val="00A23DDB"/>
    <w:rsid w:val="00A23ECB"/>
    <w:rsid w:val="00A2489F"/>
    <w:rsid w:val="00A24DA7"/>
    <w:rsid w:val="00A34260"/>
    <w:rsid w:val="00A34517"/>
    <w:rsid w:val="00A36AC7"/>
    <w:rsid w:val="00A408C9"/>
    <w:rsid w:val="00A4360F"/>
    <w:rsid w:val="00A442FD"/>
    <w:rsid w:val="00A524DE"/>
    <w:rsid w:val="00A52FFD"/>
    <w:rsid w:val="00A54E16"/>
    <w:rsid w:val="00A5554C"/>
    <w:rsid w:val="00A61935"/>
    <w:rsid w:val="00A62D80"/>
    <w:rsid w:val="00A639E5"/>
    <w:rsid w:val="00A64ACE"/>
    <w:rsid w:val="00A65481"/>
    <w:rsid w:val="00A70CFD"/>
    <w:rsid w:val="00A7162F"/>
    <w:rsid w:val="00A72A0B"/>
    <w:rsid w:val="00A735A2"/>
    <w:rsid w:val="00A7399A"/>
    <w:rsid w:val="00A77BC5"/>
    <w:rsid w:val="00A77E71"/>
    <w:rsid w:val="00A8185D"/>
    <w:rsid w:val="00A81E42"/>
    <w:rsid w:val="00A82B20"/>
    <w:rsid w:val="00A8598A"/>
    <w:rsid w:val="00A864FE"/>
    <w:rsid w:val="00A86F41"/>
    <w:rsid w:val="00A87137"/>
    <w:rsid w:val="00A879CD"/>
    <w:rsid w:val="00A87D04"/>
    <w:rsid w:val="00A950C5"/>
    <w:rsid w:val="00A955A5"/>
    <w:rsid w:val="00A95C41"/>
    <w:rsid w:val="00A963F6"/>
    <w:rsid w:val="00AA0A1F"/>
    <w:rsid w:val="00AA1D25"/>
    <w:rsid w:val="00AA4AD1"/>
    <w:rsid w:val="00AA521B"/>
    <w:rsid w:val="00AA5415"/>
    <w:rsid w:val="00AA6524"/>
    <w:rsid w:val="00AB002C"/>
    <w:rsid w:val="00AB05DA"/>
    <w:rsid w:val="00AB2472"/>
    <w:rsid w:val="00AB2A1B"/>
    <w:rsid w:val="00AB2B1A"/>
    <w:rsid w:val="00AB397F"/>
    <w:rsid w:val="00AB3CED"/>
    <w:rsid w:val="00AB521D"/>
    <w:rsid w:val="00AB5832"/>
    <w:rsid w:val="00AB6C60"/>
    <w:rsid w:val="00AC4F4A"/>
    <w:rsid w:val="00AC51F2"/>
    <w:rsid w:val="00AC698B"/>
    <w:rsid w:val="00AD36B7"/>
    <w:rsid w:val="00AD7A0C"/>
    <w:rsid w:val="00AD7C24"/>
    <w:rsid w:val="00AD7C3B"/>
    <w:rsid w:val="00AE5066"/>
    <w:rsid w:val="00AE5E24"/>
    <w:rsid w:val="00AE61B7"/>
    <w:rsid w:val="00AE6B1E"/>
    <w:rsid w:val="00AE6CBA"/>
    <w:rsid w:val="00AE6D64"/>
    <w:rsid w:val="00AE79AD"/>
    <w:rsid w:val="00AF0825"/>
    <w:rsid w:val="00AF2793"/>
    <w:rsid w:val="00AF35E4"/>
    <w:rsid w:val="00AF4E8A"/>
    <w:rsid w:val="00AF5289"/>
    <w:rsid w:val="00AF5CDE"/>
    <w:rsid w:val="00B051B0"/>
    <w:rsid w:val="00B05BA6"/>
    <w:rsid w:val="00B068F0"/>
    <w:rsid w:val="00B11A57"/>
    <w:rsid w:val="00B12A9E"/>
    <w:rsid w:val="00B13568"/>
    <w:rsid w:val="00B143FC"/>
    <w:rsid w:val="00B164B7"/>
    <w:rsid w:val="00B176BD"/>
    <w:rsid w:val="00B17767"/>
    <w:rsid w:val="00B211C3"/>
    <w:rsid w:val="00B221D3"/>
    <w:rsid w:val="00B25597"/>
    <w:rsid w:val="00B25DE1"/>
    <w:rsid w:val="00B267B9"/>
    <w:rsid w:val="00B33E09"/>
    <w:rsid w:val="00B34B28"/>
    <w:rsid w:val="00B363F2"/>
    <w:rsid w:val="00B40300"/>
    <w:rsid w:val="00B407CC"/>
    <w:rsid w:val="00B50708"/>
    <w:rsid w:val="00B509F1"/>
    <w:rsid w:val="00B50C68"/>
    <w:rsid w:val="00B51293"/>
    <w:rsid w:val="00B524C2"/>
    <w:rsid w:val="00B52B1E"/>
    <w:rsid w:val="00B545A4"/>
    <w:rsid w:val="00B54D7B"/>
    <w:rsid w:val="00B55481"/>
    <w:rsid w:val="00B56122"/>
    <w:rsid w:val="00B567A4"/>
    <w:rsid w:val="00B56C32"/>
    <w:rsid w:val="00B56F98"/>
    <w:rsid w:val="00B572E0"/>
    <w:rsid w:val="00B57ACF"/>
    <w:rsid w:val="00B60CA0"/>
    <w:rsid w:val="00B631A9"/>
    <w:rsid w:val="00B63E0F"/>
    <w:rsid w:val="00B64BB1"/>
    <w:rsid w:val="00B7012B"/>
    <w:rsid w:val="00B73166"/>
    <w:rsid w:val="00B833C5"/>
    <w:rsid w:val="00B8426C"/>
    <w:rsid w:val="00B842FD"/>
    <w:rsid w:val="00B868DE"/>
    <w:rsid w:val="00B87A70"/>
    <w:rsid w:val="00B90271"/>
    <w:rsid w:val="00B91B8D"/>
    <w:rsid w:val="00B924F5"/>
    <w:rsid w:val="00B93B99"/>
    <w:rsid w:val="00B94E90"/>
    <w:rsid w:val="00B956F9"/>
    <w:rsid w:val="00BA0D9E"/>
    <w:rsid w:val="00BA15AB"/>
    <w:rsid w:val="00BA1C48"/>
    <w:rsid w:val="00BA23D3"/>
    <w:rsid w:val="00BB0A82"/>
    <w:rsid w:val="00BB2420"/>
    <w:rsid w:val="00BB42CA"/>
    <w:rsid w:val="00BB67D2"/>
    <w:rsid w:val="00BB7989"/>
    <w:rsid w:val="00BB7C94"/>
    <w:rsid w:val="00BC0A9D"/>
    <w:rsid w:val="00BC14F1"/>
    <w:rsid w:val="00BC2C50"/>
    <w:rsid w:val="00BC2F4F"/>
    <w:rsid w:val="00BC484C"/>
    <w:rsid w:val="00BC7336"/>
    <w:rsid w:val="00BD4448"/>
    <w:rsid w:val="00BD5D51"/>
    <w:rsid w:val="00BD63F2"/>
    <w:rsid w:val="00BD7CCD"/>
    <w:rsid w:val="00BE2540"/>
    <w:rsid w:val="00BE2C01"/>
    <w:rsid w:val="00BF05EB"/>
    <w:rsid w:val="00BF40ED"/>
    <w:rsid w:val="00BF59CC"/>
    <w:rsid w:val="00BF5BC2"/>
    <w:rsid w:val="00BF7637"/>
    <w:rsid w:val="00C111BB"/>
    <w:rsid w:val="00C1133D"/>
    <w:rsid w:val="00C11761"/>
    <w:rsid w:val="00C12A42"/>
    <w:rsid w:val="00C13494"/>
    <w:rsid w:val="00C144B7"/>
    <w:rsid w:val="00C175ED"/>
    <w:rsid w:val="00C176FA"/>
    <w:rsid w:val="00C24C9E"/>
    <w:rsid w:val="00C27A08"/>
    <w:rsid w:val="00C31312"/>
    <w:rsid w:val="00C326C6"/>
    <w:rsid w:val="00C35295"/>
    <w:rsid w:val="00C36ADD"/>
    <w:rsid w:val="00C36E74"/>
    <w:rsid w:val="00C40595"/>
    <w:rsid w:val="00C41621"/>
    <w:rsid w:val="00C424CF"/>
    <w:rsid w:val="00C42B1F"/>
    <w:rsid w:val="00C449FA"/>
    <w:rsid w:val="00C5384F"/>
    <w:rsid w:val="00C56964"/>
    <w:rsid w:val="00C65021"/>
    <w:rsid w:val="00C656D5"/>
    <w:rsid w:val="00C65860"/>
    <w:rsid w:val="00C66D7D"/>
    <w:rsid w:val="00C67103"/>
    <w:rsid w:val="00C71BB9"/>
    <w:rsid w:val="00C72E81"/>
    <w:rsid w:val="00C734D9"/>
    <w:rsid w:val="00C73507"/>
    <w:rsid w:val="00C74061"/>
    <w:rsid w:val="00C760BC"/>
    <w:rsid w:val="00C762A5"/>
    <w:rsid w:val="00C76315"/>
    <w:rsid w:val="00C844DC"/>
    <w:rsid w:val="00C94C28"/>
    <w:rsid w:val="00CA1220"/>
    <w:rsid w:val="00CA2D4F"/>
    <w:rsid w:val="00CA4EB9"/>
    <w:rsid w:val="00CA5D2D"/>
    <w:rsid w:val="00CA7339"/>
    <w:rsid w:val="00CA7B65"/>
    <w:rsid w:val="00CB0247"/>
    <w:rsid w:val="00CB0831"/>
    <w:rsid w:val="00CB3409"/>
    <w:rsid w:val="00CB3440"/>
    <w:rsid w:val="00CB5FD4"/>
    <w:rsid w:val="00CB6531"/>
    <w:rsid w:val="00CC045A"/>
    <w:rsid w:val="00CC14FD"/>
    <w:rsid w:val="00CC1692"/>
    <w:rsid w:val="00CC2D72"/>
    <w:rsid w:val="00CC3093"/>
    <w:rsid w:val="00CC4A04"/>
    <w:rsid w:val="00CC5164"/>
    <w:rsid w:val="00CC57EF"/>
    <w:rsid w:val="00CC7DF4"/>
    <w:rsid w:val="00CD045E"/>
    <w:rsid w:val="00CD0767"/>
    <w:rsid w:val="00CD11DC"/>
    <w:rsid w:val="00CD138B"/>
    <w:rsid w:val="00CD30E5"/>
    <w:rsid w:val="00CD3E31"/>
    <w:rsid w:val="00CD74A3"/>
    <w:rsid w:val="00CE0527"/>
    <w:rsid w:val="00CE0E80"/>
    <w:rsid w:val="00CE1061"/>
    <w:rsid w:val="00CE12B8"/>
    <w:rsid w:val="00CE1D10"/>
    <w:rsid w:val="00CE501B"/>
    <w:rsid w:val="00CE5B23"/>
    <w:rsid w:val="00CE5C01"/>
    <w:rsid w:val="00CF028D"/>
    <w:rsid w:val="00CF0E64"/>
    <w:rsid w:val="00CF70AD"/>
    <w:rsid w:val="00CF7729"/>
    <w:rsid w:val="00D00059"/>
    <w:rsid w:val="00D008F5"/>
    <w:rsid w:val="00D0113A"/>
    <w:rsid w:val="00D0181A"/>
    <w:rsid w:val="00D0325F"/>
    <w:rsid w:val="00D107FA"/>
    <w:rsid w:val="00D11F3B"/>
    <w:rsid w:val="00D12275"/>
    <w:rsid w:val="00D12766"/>
    <w:rsid w:val="00D13936"/>
    <w:rsid w:val="00D15797"/>
    <w:rsid w:val="00D15F3B"/>
    <w:rsid w:val="00D16159"/>
    <w:rsid w:val="00D20FF4"/>
    <w:rsid w:val="00D24D2C"/>
    <w:rsid w:val="00D3323D"/>
    <w:rsid w:val="00D33884"/>
    <w:rsid w:val="00D33AF2"/>
    <w:rsid w:val="00D34D7B"/>
    <w:rsid w:val="00D35881"/>
    <w:rsid w:val="00D40C36"/>
    <w:rsid w:val="00D4313E"/>
    <w:rsid w:val="00D44F56"/>
    <w:rsid w:val="00D45045"/>
    <w:rsid w:val="00D458FC"/>
    <w:rsid w:val="00D45F07"/>
    <w:rsid w:val="00D46D1E"/>
    <w:rsid w:val="00D47E0A"/>
    <w:rsid w:val="00D572E6"/>
    <w:rsid w:val="00D60E14"/>
    <w:rsid w:val="00D63123"/>
    <w:rsid w:val="00D63DA4"/>
    <w:rsid w:val="00D6514E"/>
    <w:rsid w:val="00D663FB"/>
    <w:rsid w:val="00D7399A"/>
    <w:rsid w:val="00D76406"/>
    <w:rsid w:val="00D8445D"/>
    <w:rsid w:val="00D85642"/>
    <w:rsid w:val="00D856A1"/>
    <w:rsid w:val="00D9307E"/>
    <w:rsid w:val="00D9350C"/>
    <w:rsid w:val="00D93C45"/>
    <w:rsid w:val="00D945D9"/>
    <w:rsid w:val="00D94A16"/>
    <w:rsid w:val="00D97223"/>
    <w:rsid w:val="00DA5F93"/>
    <w:rsid w:val="00DA7DA5"/>
    <w:rsid w:val="00DB073B"/>
    <w:rsid w:val="00DB09FC"/>
    <w:rsid w:val="00DB1732"/>
    <w:rsid w:val="00DB78F0"/>
    <w:rsid w:val="00DC29AA"/>
    <w:rsid w:val="00DC2E43"/>
    <w:rsid w:val="00DC4EEC"/>
    <w:rsid w:val="00DD095C"/>
    <w:rsid w:val="00DD1020"/>
    <w:rsid w:val="00DD1330"/>
    <w:rsid w:val="00DD1AB3"/>
    <w:rsid w:val="00DD3397"/>
    <w:rsid w:val="00DD58A1"/>
    <w:rsid w:val="00DD6827"/>
    <w:rsid w:val="00DE0B83"/>
    <w:rsid w:val="00DE1664"/>
    <w:rsid w:val="00DE1A81"/>
    <w:rsid w:val="00DE1C13"/>
    <w:rsid w:val="00DE277D"/>
    <w:rsid w:val="00DE356F"/>
    <w:rsid w:val="00DE4543"/>
    <w:rsid w:val="00DE4E10"/>
    <w:rsid w:val="00DF0168"/>
    <w:rsid w:val="00DF2694"/>
    <w:rsid w:val="00DF5DB6"/>
    <w:rsid w:val="00DF644D"/>
    <w:rsid w:val="00DF6A69"/>
    <w:rsid w:val="00E00C5D"/>
    <w:rsid w:val="00E00D78"/>
    <w:rsid w:val="00E02ABF"/>
    <w:rsid w:val="00E116CF"/>
    <w:rsid w:val="00E143B0"/>
    <w:rsid w:val="00E14576"/>
    <w:rsid w:val="00E14995"/>
    <w:rsid w:val="00E14D4D"/>
    <w:rsid w:val="00E15FA9"/>
    <w:rsid w:val="00E16E9A"/>
    <w:rsid w:val="00E179CD"/>
    <w:rsid w:val="00E224CC"/>
    <w:rsid w:val="00E23E8D"/>
    <w:rsid w:val="00E250F7"/>
    <w:rsid w:val="00E2557D"/>
    <w:rsid w:val="00E25E02"/>
    <w:rsid w:val="00E30957"/>
    <w:rsid w:val="00E3159B"/>
    <w:rsid w:val="00E35726"/>
    <w:rsid w:val="00E37F98"/>
    <w:rsid w:val="00E41E74"/>
    <w:rsid w:val="00E4497E"/>
    <w:rsid w:val="00E45110"/>
    <w:rsid w:val="00E46559"/>
    <w:rsid w:val="00E504E5"/>
    <w:rsid w:val="00E554E9"/>
    <w:rsid w:val="00E55C52"/>
    <w:rsid w:val="00E56083"/>
    <w:rsid w:val="00E571AD"/>
    <w:rsid w:val="00E61E48"/>
    <w:rsid w:val="00E6670C"/>
    <w:rsid w:val="00E70DDC"/>
    <w:rsid w:val="00E7374E"/>
    <w:rsid w:val="00E7656A"/>
    <w:rsid w:val="00E76B96"/>
    <w:rsid w:val="00E775A8"/>
    <w:rsid w:val="00E776E8"/>
    <w:rsid w:val="00E80FC2"/>
    <w:rsid w:val="00E81339"/>
    <w:rsid w:val="00E82EF6"/>
    <w:rsid w:val="00E84871"/>
    <w:rsid w:val="00E84E03"/>
    <w:rsid w:val="00E8529D"/>
    <w:rsid w:val="00E8539B"/>
    <w:rsid w:val="00E92C1F"/>
    <w:rsid w:val="00E95D4B"/>
    <w:rsid w:val="00E95EBA"/>
    <w:rsid w:val="00E97AAF"/>
    <w:rsid w:val="00EA0679"/>
    <w:rsid w:val="00EA0B61"/>
    <w:rsid w:val="00EA4D18"/>
    <w:rsid w:val="00EA7EEC"/>
    <w:rsid w:val="00EB0FD8"/>
    <w:rsid w:val="00EB1276"/>
    <w:rsid w:val="00EB199F"/>
    <w:rsid w:val="00EB3569"/>
    <w:rsid w:val="00EB5F1A"/>
    <w:rsid w:val="00EC08AE"/>
    <w:rsid w:val="00EC23F7"/>
    <w:rsid w:val="00EC4BD8"/>
    <w:rsid w:val="00EC63EB"/>
    <w:rsid w:val="00EC7D47"/>
    <w:rsid w:val="00ED1073"/>
    <w:rsid w:val="00ED412F"/>
    <w:rsid w:val="00ED57AE"/>
    <w:rsid w:val="00ED6ED2"/>
    <w:rsid w:val="00ED7059"/>
    <w:rsid w:val="00EE4C1C"/>
    <w:rsid w:val="00EF1A7B"/>
    <w:rsid w:val="00EF1DF6"/>
    <w:rsid w:val="00EF1F0C"/>
    <w:rsid w:val="00EF36B2"/>
    <w:rsid w:val="00EF4D83"/>
    <w:rsid w:val="00EF6EAB"/>
    <w:rsid w:val="00F01485"/>
    <w:rsid w:val="00F02863"/>
    <w:rsid w:val="00F03F96"/>
    <w:rsid w:val="00F13F47"/>
    <w:rsid w:val="00F14FB1"/>
    <w:rsid w:val="00F1506E"/>
    <w:rsid w:val="00F1526F"/>
    <w:rsid w:val="00F1723D"/>
    <w:rsid w:val="00F201D8"/>
    <w:rsid w:val="00F201EC"/>
    <w:rsid w:val="00F208A9"/>
    <w:rsid w:val="00F20CDF"/>
    <w:rsid w:val="00F22A3C"/>
    <w:rsid w:val="00F232FE"/>
    <w:rsid w:val="00F31E83"/>
    <w:rsid w:val="00F32297"/>
    <w:rsid w:val="00F32F30"/>
    <w:rsid w:val="00F33C58"/>
    <w:rsid w:val="00F35F7F"/>
    <w:rsid w:val="00F37AF5"/>
    <w:rsid w:val="00F41D6D"/>
    <w:rsid w:val="00F41D75"/>
    <w:rsid w:val="00F43918"/>
    <w:rsid w:val="00F466EE"/>
    <w:rsid w:val="00F467EF"/>
    <w:rsid w:val="00F47BE1"/>
    <w:rsid w:val="00F50B4D"/>
    <w:rsid w:val="00F51250"/>
    <w:rsid w:val="00F5139D"/>
    <w:rsid w:val="00F51BEB"/>
    <w:rsid w:val="00F52175"/>
    <w:rsid w:val="00F5297F"/>
    <w:rsid w:val="00F540EB"/>
    <w:rsid w:val="00F5435E"/>
    <w:rsid w:val="00F567F3"/>
    <w:rsid w:val="00F56F2D"/>
    <w:rsid w:val="00F60FDD"/>
    <w:rsid w:val="00F63074"/>
    <w:rsid w:val="00F63DAC"/>
    <w:rsid w:val="00F64E50"/>
    <w:rsid w:val="00F64EF2"/>
    <w:rsid w:val="00F65B25"/>
    <w:rsid w:val="00F72B39"/>
    <w:rsid w:val="00F72EE7"/>
    <w:rsid w:val="00F731C7"/>
    <w:rsid w:val="00F7454F"/>
    <w:rsid w:val="00F7582B"/>
    <w:rsid w:val="00F77988"/>
    <w:rsid w:val="00F77F48"/>
    <w:rsid w:val="00F801EC"/>
    <w:rsid w:val="00F812B9"/>
    <w:rsid w:val="00F83E78"/>
    <w:rsid w:val="00F8714E"/>
    <w:rsid w:val="00F909A0"/>
    <w:rsid w:val="00F964F8"/>
    <w:rsid w:val="00F9700E"/>
    <w:rsid w:val="00FA2343"/>
    <w:rsid w:val="00FA60A5"/>
    <w:rsid w:val="00FA63D3"/>
    <w:rsid w:val="00FA6C3B"/>
    <w:rsid w:val="00FB1995"/>
    <w:rsid w:val="00FB2207"/>
    <w:rsid w:val="00FB30F1"/>
    <w:rsid w:val="00FB53E7"/>
    <w:rsid w:val="00FB5A1E"/>
    <w:rsid w:val="00FC1BD1"/>
    <w:rsid w:val="00FC466D"/>
    <w:rsid w:val="00FC554D"/>
    <w:rsid w:val="00FD11BB"/>
    <w:rsid w:val="00FD1A00"/>
    <w:rsid w:val="00FD2F0E"/>
    <w:rsid w:val="00FD4472"/>
    <w:rsid w:val="00FD4D0A"/>
    <w:rsid w:val="00FD5F30"/>
    <w:rsid w:val="00FD7109"/>
    <w:rsid w:val="00FD76CC"/>
    <w:rsid w:val="00FD7C7B"/>
    <w:rsid w:val="00FE0BEB"/>
    <w:rsid w:val="00FE0D1B"/>
    <w:rsid w:val="00FE19EF"/>
    <w:rsid w:val="00FE3865"/>
    <w:rsid w:val="00FE4483"/>
    <w:rsid w:val="00FE56E7"/>
    <w:rsid w:val="00FE6328"/>
    <w:rsid w:val="00FE7CD9"/>
    <w:rsid w:val="00FF017B"/>
    <w:rsid w:val="00FF227D"/>
    <w:rsid w:val="00FF2D6E"/>
    <w:rsid w:val="00FF54CC"/>
    <w:rsid w:val="00FF5A7F"/>
    <w:rsid w:val="00FF71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12E081A8"/>
  <w15:docId w15:val="{374C19F9-413C-4194-BD0F-AF5940BC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qFormat/>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semiHidden/>
    <w:rsid w:val="008C5649"/>
    <w:rPr>
      <w:sz w:val="20"/>
      <w:szCs w:val="20"/>
    </w:rPr>
  </w:style>
  <w:style w:type="character" w:styleId="FootnoteReference">
    <w:name w:val="footnote reference"/>
    <w:aliases w:val="Footnote Reference Number,SUPERS"/>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eastAsia="x-none"/>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uiPriority w:val="22"/>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semiHidden/>
    <w:locked/>
    <w:rsid w:val="003D5E4F"/>
  </w:style>
  <w:style w:type="paragraph" w:customStyle="1" w:styleId="tv213">
    <w:name w:val="tv213"/>
    <w:basedOn w:val="Normal"/>
    <w:uiPriority w:val="99"/>
    <w:rsid w:val="00735023"/>
    <w:pPr>
      <w:spacing w:before="100" w:beforeAutospacing="1" w:after="100" w:afterAutospacing="1"/>
    </w:pPr>
    <w:rPr>
      <w:rFonts w:eastAsiaTheme="minorHAnsi"/>
    </w:rPr>
  </w:style>
  <w:style w:type="character" w:customStyle="1" w:styleId="apple-converted-space">
    <w:name w:val="apple-converted-space"/>
    <w:basedOn w:val="DefaultParagraphFont"/>
    <w:rsid w:val="006E28C3"/>
  </w:style>
  <w:style w:type="character" w:styleId="PlaceholderText">
    <w:name w:val="Placeholder Text"/>
    <w:basedOn w:val="DefaultParagraphFont"/>
    <w:uiPriority w:val="99"/>
    <w:semiHidden/>
    <w:rsid w:val="00D60E14"/>
    <w:rPr>
      <w:color w:val="808080"/>
    </w:rPr>
  </w:style>
  <w:style w:type="paragraph" w:customStyle="1" w:styleId="doc-ti">
    <w:name w:val="doc-ti"/>
    <w:basedOn w:val="Normal"/>
    <w:rsid w:val="00BE2C01"/>
    <w:pPr>
      <w:spacing w:before="240" w:after="120"/>
      <w:jc w:val="center"/>
    </w:pPr>
    <w:rPr>
      <w:b/>
      <w:bCs/>
      <w:sz w:val="18"/>
      <w:szCs w:val="18"/>
    </w:rPr>
  </w:style>
  <w:style w:type="paragraph" w:customStyle="1" w:styleId="Normal1">
    <w:name w:val="Normal1"/>
    <w:basedOn w:val="Normal"/>
    <w:rsid w:val="00F871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1392117225">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774091019">
      <w:bodyDiv w:val="1"/>
      <w:marLeft w:val="0"/>
      <w:marRight w:val="0"/>
      <w:marTop w:val="0"/>
      <w:marBottom w:val="0"/>
      <w:divBdr>
        <w:top w:val="none" w:sz="0" w:space="0" w:color="auto"/>
        <w:left w:val="none" w:sz="0" w:space="0" w:color="auto"/>
        <w:bottom w:val="none" w:sz="0" w:space="0" w:color="auto"/>
        <w:right w:val="none" w:sz="0" w:space="0" w:color="auto"/>
      </w:divBdr>
    </w:div>
    <w:div w:id="1865749311">
      <w:bodyDiv w:val="1"/>
      <w:marLeft w:val="0"/>
      <w:marRight w:val="0"/>
      <w:marTop w:val="0"/>
      <w:marBottom w:val="0"/>
      <w:divBdr>
        <w:top w:val="none" w:sz="0" w:space="0" w:color="auto"/>
        <w:left w:val="none" w:sz="0" w:space="0" w:color="auto"/>
        <w:bottom w:val="none" w:sz="0" w:space="0" w:color="auto"/>
        <w:right w:val="none" w:sz="0" w:space="0" w:color="auto"/>
      </w:divBdr>
    </w:div>
    <w:div w:id="2003972343">
      <w:bodyDiv w:val="1"/>
      <w:marLeft w:val="0"/>
      <w:marRight w:val="0"/>
      <w:marTop w:val="0"/>
      <w:marBottom w:val="0"/>
      <w:divBdr>
        <w:top w:val="none" w:sz="0" w:space="0" w:color="auto"/>
        <w:left w:val="none" w:sz="0" w:space="0" w:color="auto"/>
        <w:bottom w:val="none" w:sz="0" w:space="0" w:color="auto"/>
        <w:right w:val="none" w:sz="0" w:space="0" w:color="auto"/>
      </w:divBdr>
      <w:divsChild>
        <w:div w:id="77873457">
          <w:marLeft w:val="0"/>
          <w:marRight w:val="0"/>
          <w:marTop w:val="0"/>
          <w:marBottom w:val="0"/>
          <w:divBdr>
            <w:top w:val="none" w:sz="0" w:space="0" w:color="auto"/>
            <w:left w:val="none" w:sz="0" w:space="0" w:color="auto"/>
            <w:bottom w:val="none" w:sz="0" w:space="0" w:color="auto"/>
            <w:right w:val="none" w:sz="0" w:space="0" w:color="auto"/>
          </w:divBdr>
        </w:div>
        <w:div w:id="82724685">
          <w:marLeft w:val="0"/>
          <w:marRight w:val="0"/>
          <w:marTop w:val="0"/>
          <w:marBottom w:val="0"/>
          <w:divBdr>
            <w:top w:val="none" w:sz="0" w:space="0" w:color="auto"/>
            <w:left w:val="none" w:sz="0" w:space="0" w:color="auto"/>
            <w:bottom w:val="none" w:sz="0" w:space="0" w:color="auto"/>
            <w:right w:val="none" w:sz="0" w:space="0" w:color="auto"/>
          </w:divBdr>
        </w:div>
        <w:div w:id="54560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1227?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ra.Niedrite@e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apacity.lg.lv/?id=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2D8A-BE18-47C8-8114-315FA175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1431</Words>
  <Characters>10062</Characters>
  <Application>Microsoft Office Word</Application>
  <DocSecurity>0</DocSecurity>
  <Lines>485</Lines>
  <Paragraphs>159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vt:lpstr>
      <vt:lpstr>Ministru kabineta instrukcijas projekts “Tiesību akta projekta sākotnējās ietekmes izvērtēšanas kārtība”</vt:lpstr>
    </vt:vector>
  </TitlesOfParts>
  <Company>Valsts kanceleja, Politikas koordinācijas departaments</Company>
  <LinksUpToDate>false</LinksUpToDate>
  <CharactersWithSpaces>11457</CharactersWithSpaces>
  <SharedDoc>false</SharedDoc>
  <HLinks>
    <vt:vector size="12" baseType="variant">
      <vt:variant>
        <vt:i4>3932179</vt:i4>
      </vt:variant>
      <vt:variant>
        <vt:i4>3</vt:i4>
      </vt:variant>
      <vt:variant>
        <vt:i4>0</vt:i4>
      </vt:variant>
      <vt:variant>
        <vt:i4>5</vt:i4>
      </vt:variant>
      <vt:variant>
        <vt:lpwstr>mailto:Elga.Bucinska@em.gov.lv</vt:lpwstr>
      </vt:variant>
      <vt:variant>
        <vt:lpwstr/>
      </vt:variant>
      <vt:variant>
        <vt:i4>7798910</vt:i4>
      </vt:variant>
      <vt:variant>
        <vt:i4>0</vt:i4>
      </vt:variant>
      <vt:variant>
        <vt:i4>0</vt:i4>
      </vt:variant>
      <vt:variant>
        <vt:i4>5</vt:i4>
      </vt:variant>
      <vt:variant>
        <vt:lpwstr>http://www.lvs.lv/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Jānis Čudars</dc:creator>
  <cp:keywords/>
  <cp:lastModifiedBy>Olga Bogdanova</cp:lastModifiedBy>
  <cp:revision>33</cp:revision>
  <cp:lastPrinted>2016-06-10T12:33:00Z</cp:lastPrinted>
  <dcterms:created xsi:type="dcterms:W3CDTF">2016-10-28T11:54:00Z</dcterms:created>
  <dcterms:modified xsi:type="dcterms:W3CDTF">2017-02-07T16:35:00Z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