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FF" w:rsidRDefault="005018FF" w:rsidP="005018FF">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A93F52">
        <w:rPr>
          <w:b/>
          <w:sz w:val="28"/>
          <w:szCs w:val="28"/>
          <w:lang w:val="lv-LV"/>
        </w:rPr>
        <w:t>Ministru kabineta noteikumu projekta</w:t>
      </w:r>
    </w:p>
    <w:p w:rsidR="005018FF" w:rsidRDefault="005018FF" w:rsidP="005018FF">
      <w:pPr>
        <w:jc w:val="center"/>
        <w:rPr>
          <w:b/>
          <w:bCs/>
          <w:sz w:val="28"/>
          <w:szCs w:val="28"/>
          <w:lang w:val="lv-LV"/>
        </w:rPr>
      </w:pPr>
      <w:r>
        <w:rPr>
          <w:b/>
          <w:sz w:val="28"/>
          <w:szCs w:val="28"/>
          <w:lang w:val="lv-LV"/>
        </w:rPr>
        <w:t xml:space="preserve">“Grozījumi Ministru kabineta 2015.gada 30.jūnija noteikumos Nr.327 </w:t>
      </w:r>
      <w:r w:rsidRPr="00A93F52">
        <w:rPr>
          <w:b/>
          <w:sz w:val="28"/>
          <w:szCs w:val="28"/>
          <w:lang w:val="lv-LV"/>
        </w:rPr>
        <w:t>„</w:t>
      </w:r>
      <w:r w:rsidRPr="00493C4B">
        <w:rPr>
          <w:b/>
          <w:sz w:val="28"/>
          <w:szCs w:val="28"/>
          <w:lang w:val="lv-LV"/>
        </w:rPr>
        <w:t xml:space="preserve">Noteikumi par Latvijas būvnormatīvu </w:t>
      </w:r>
      <w:r w:rsidRPr="00B5593F">
        <w:rPr>
          <w:b/>
          <w:sz w:val="28"/>
          <w:szCs w:val="28"/>
          <w:lang w:val="lv-LV"/>
        </w:rPr>
        <w:t>LBN 22</w:t>
      </w:r>
      <w:r>
        <w:rPr>
          <w:b/>
          <w:sz w:val="28"/>
          <w:szCs w:val="28"/>
          <w:lang w:val="lv-LV"/>
        </w:rPr>
        <w:t>3</w:t>
      </w:r>
      <w:r w:rsidRPr="00B5593F">
        <w:rPr>
          <w:b/>
          <w:sz w:val="28"/>
          <w:szCs w:val="28"/>
          <w:lang w:val="lv-LV"/>
        </w:rPr>
        <w:t xml:space="preserve">-15 </w:t>
      </w:r>
      <w:r w:rsidRPr="00157951">
        <w:rPr>
          <w:b/>
          <w:sz w:val="28"/>
          <w:szCs w:val="28"/>
          <w:lang w:val="lv-LV"/>
        </w:rPr>
        <w:t>„</w:t>
      </w:r>
      <w:proofErr w:type="spellStart"/>
      <w:r>
        <w:rPr>
          <w:b/>
          <w:bCs/>
          <w:color w:val="000000" w:themeColor="text1"/>
          <w:sz w:val="28"/>
          <w:szCs w:val="28"/>
        </w:rPr>
        <w:t>K</w:t>
      </w:r>
      <w:r w:rsidRPr="00157951">
        <w:rPr>
          <w:b/>
          <w:bCs/>
          <w:color w:val="000000" w:themeColor="text1"/>
          <w:sz w:val="28"/>
          <w:szCs w:val="28"/>
        </w:rPr>
        <w:t>analizācija</w:t>
      </w:r>
      <w:r>
        <w:rPr>
          <w:b/>
          <w:bCs/>
          <w:color w:val="000000" w:themeColor="text1"/>
          <w:sz w:val="28"/>
          <w:szCs w:val="28"/>
        </w:rPr>
        <w:t>s</w:t>
      </w:r>
      <w:proofErr w:type="spellEnd"/>
      <w:r>
        <w:rPr>
          <w:b/>
          <w:bCs/>
          <w:color w:val="000000" w:themeColor="text1"/>
          <w:sz w:val="28"/>
          <w:szCs w:val="28"/>
        </w:rPr>
        <w:t xml:space="preserve"> </w:t>
      </w:r>
      <w:proofErr w:type="spellStart"/>
      <w:r>
        <w:rPr>
          <w:b/>
          <w:bCs/>
          <w:color w:val="000000" w:themeColor="text1"/>
          <w:sz w:val="28"/>
          <w:szCs w:val="28"/>
        </w:rPr>
        <w:t>būves</w:t>
      </w:r>
      <w:proofErr w:type="spellEnd"/>
      <w:r w:rsidRPr="00B5593F">
        <w:rPr>
          <w:b/>
          <w:sz w:val="28"/>
          <w:szCs w:val="28"/>
          <w:lang w:val="lv-LV"/>
        </w:rPr>
        <w:t>”</w:t>
      </w:r>
      <w:r>
        <w:rPr>
          <w:b/>
          <w:sz w:val="28"/>
          <w:szCs w:val="28"/>
          <w:lang w:val="lv-LV"/>
        </w:rPr>
        <w:t>””</w:t>
      </w:r>
      <w:r w:rsidRPr="00A93F52">
        <w:rPr>
          <w:b/>
          <w:sz w:val="28"/>
          <w:szCs w:val="28"/>
          <w:lang w:val="lv-LV"/>
        </w:rPr>
        <w:t xml:space="preserve">sākotnējās ietekmes novērtējuma </w:t>
      </w:r>
      <w:smartTag w:uri="schemas-tilde-lv/tildestengine" w:element="veidnes">
        <w:smartTagPr>
          <w:attr w:name="text" w:val="ziņojums"/>
          <w:attr w:name="baseform" w:val="ziņojums"/>
          <w:attr w:name="id" w:val="-1"/>
        </w:smartTagPr>
        <w:r w:rsidRPr="00A93F52">
          <w:rPr>
            <w:b/>
            <w:sz w:val="28"/>
            <w:szCs w:val="28"/>
            <w:lang w:val="lv-LV"/>
          </w:rPr>
          <w:t>ziņojums</w:t>
        </w:r>
      </w:smartTag>
      <w:r w:rsidRPr="00A93F52">
        <w:rPr>
          <w:b/>
          <w:sz w:val="28"/>
          <w:szCs w:val="28"/>
          <w:lang w:val="lv-LV"/>
        </w:rPr>
        <w:t xml:space="preserve"> (</w:t>
      </w:r>
      <w:r w:rsidRPr="00A93F52">
        <w:rPr>
          <w:b/>
          <w:bCs/>
          <w:sz w:val="28"/>
          <w:szCs w:val="28"/>
          <w:lang w:val="lv-LV"/>
        </w:rPr>
        <w:t>anotācija)</w:t>
      </w:r>
      <w:bookmarkEnd w:id="0"/>
      <w:bookmarkEnd w:id="1"/>
      <w:bookmarkEnd w:id="2"/>
      <w:bookmarkEnd w:id="3"/>
      <w:bookmarkEnd w:id="4"/>
    </w:p>
    <w:p w:rsidR="005018FF" w:rsidRPr="00A93F52" w:rsidRDefault="005018FF" w:rsidP="005018FF">
      <w:pPr>
        <w:tabs>
          <w:tab w:val="left" w:pos="7230"/>
        </w:tabs>
        <w:rPr>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
        <w:gridCol w:w="3298"/>
        <w:gridCol w:w="5239"/>
      </w:tblGrid>
      <w:tr w:rsidR="005018FF" w:rsidRPr="00DF184D" w:rsidTr="008C2C1A">
        <w:tc>
          <w:tcPr>
            <w:tcW w:w="5000" w:type="pct"/>
            <w:gridSpan w:val="3"/>
            <w:vAlign w:val="center"/>
          </w:tcPr>
          <w:p w:rsidR="005018FF" w:rsidRPr="00A93F52" w:rsidRDefault="005018FF" w:rsidP="008C2C1A">
            <w:pPr>
              <w:contextualSpacing/>
              <w:jc w:val="center"/>
              <w:rPr>
                <w:sz w:val="28"/>
                <w:szCs w:val="28"/>
                <w:lang w:val="lv-LV"/>
              </w:rPr>
            </w:pPr>
            <w:r w:rsidRPr="00A93F52">
              <w:rPr>
                <w:b/>
                <w:sz w:val="28"/>
                <w:szCs w:val="28"/>
                <w:lang w:val="lv-LV"/>
              </w:rPr>
              <w:t>I. Tiesību akta projekta izstrādes nepieciešamība</w:t>
            </w:r>
          </w:p>
        </w:tc>
      </w:tr>
      <w:tr w:rsidR="005018FF" w:rsidRPr="00DF184D" w:rsidTr="008C2C1A">
        <w:trPr>
          <w:trHeight w:val="439"/>
        </w:trPr>
        <w:tc>
          <w:tcPr>
            <w:tcW w:w="289" w:type="pct"/>
          </w:tcPr>
          <w:p w:rsidR="005018FF" w:rsidRPr="00CF5FBA" w:rsidRDefault="005018FF" w:rsidP="008C2C1A">
            <w:pPr>
              <w:ind w:left="57" w:right="57"/>
              <w:contextualSpacing/>
              <w:rPr>
                <w:sz w:val="26"/>
                <w:szCs w:val="26"/>
                <w:lang w:val="lv-LV"/>
              </w:rPr>
            </w:pPr>
            <w:r w:rsidRPr="00CF5FBA">
              <w:rPr>
                <w:sz w:val="26"/>
                <w:szCs w:val="26"/>
                <w:lang w:val="lv-LV"/>
              </w:rPr>
              <w:t> 1.</w:t>
            </w:r>
          </w:p>
        </w:tc>
        <w:tc>
          <w:tcPr>
            <w:tcW w:w="1820" w:type="pct"/>
          </w:tcPr>
          <w:p w:rsidR="005018FF" w:rsidRPr="00CF5FBA" w:rsidRDefault="005018FF" w:rsidP="008C2C1A">
            <w:pPr>
              <w:ind w:left="57" w:right="57"/>
              <w:contextualSpacing/>
              <w:rPr>
                <w:sz w:val="26"/>
                <w:szCs w:val="26"/>
                <w:lang w:val="lv-LV"/>
              </w:rPr>
            </w:pPr>
            <w:r w:rsidRPr="00CF5FBA">
              <w:rPr>
                <w:sz w:val="26"/>
                <w:szCs w:val="26"/>
                <w:lang w:val="lv-LV"/>
              </w:rPr>
              <w:t>Pamatojums</w:t>
            </w:r>
          </w:p>
        </w:tc>
        <w:tc>
          <w:tcPr>
            <w:tcW w:w="2890" w:type="pct"/>
          </w:tcPr>
          <w:p w:rsidR="005018FF" w:rsidRPr="00CF5FBA" w:rsidRDefault="005018FF" w:rsidP="008C2C1A">
            <w:pPr>
              <w:shd w:val="clear" w:color="auto" w:fill="FFFFFF"/>
              <w:spacing w:before="100" w:beforeAutospacing="1" w:after="100" w:afterAutospacing="1"/>
              <w:jc w:val="both"/>
              <w:rPr>
                <w:sz w:val="26"/>
                <w:szCs w:val="26"/>
                <w:lang w:val="lv-LV"/>
              </w:rPr>
            </w:pPr>
            <w:r w:rsidRPr="00B812F7">
              <w:rPr>
                <w:sz w:val="26"/>
                <w:szCs w:val="26"/>
                <w:lang w:val="lv-LV"/>
              </w:rPr>
              <w:t xml:space="preserve">Ministru kabineta noteikumu </w:t>
            </w:r>
            <w:r>
              <w:rPr>
                <w:sz w:val="26"/>
                <w:szCs w:val="26"/>
                <w:lang w:val="lv-LV"/>
              </w:rPr>
              <w:t xml:space="preserve">projekts </w:t>
            </w:r>
            <w:r w:rsidRPr="00B812F7">
              <w:rPr>
                <w:sz w:val="26"/>
                <w:szCs w:val="26"/>
                <w:lang w:val="lv-LV"/>
              </w:rPr>
              <w:t>“Grozījumi Ministru kabineta 2015.gada 30.jūnija noteikumos Nr.3</w:t>
            </w:r>
            <w:r>
              <w:rPr>
                <w:sz w:val="26"/>
                <w:szCs w:val="26"/>
                <w:lang w:val="lv-LV"/>
              </w:rPr>
              <w:t>27</w:t>
            </w:r>
            <w:r w:rsidRPr="00B812F7">
              <w:rPr>
                <w:sz w:val="26"/>
                <w:szCs w:val="26"/>
                <w:lang w:val="lv-LV"/>
              </w:rPr>
              <w:t xml:space="preserve"> „Noteikumi par Latvijas būvnormatīvu LBN 22</w:t>
            </w:r>
            <w:r>
              <w:rPr>
                <w:sz w:val="26"/>
                <w:szCs w:val="26"/>
                <w:lang w:val="lv-LV"/>
              </w:rPr>
              <w:t>3</w:t>
            </w:r>
            <w:r w:rsidRPr="00B812F7">
              <w:rPr>
                <w:sz w:val="26"/>
                <w:szCs w:val="26"/>
                <w:lang w:val="lv-LV"/>
              </w:rPr>
              <w:t>-15 „</w:t>
            </w:r>
            <w:r>
              <w:rPr>
                <w:b/>
                <w:bCs/>
                <w:color w:val="000000" w:themeColor="text1"/>
                <w:sz w:val="28"/>
                <w:szCs w:val="28"/>
              </w:rPr>
              <w:t xml:space="preserve"> </w:t>
            </w:r>
            <w:r w:rsidRPr="00A2291E">
              <w:rPr>
                <w:sz w:val="26"/>
                <w:szCs w:val="26"/>
                <w:lang w:val="lv-LV"/>
              </w:rPr>
              <w:t>Kanalizācijas būves</w:t>
            </w:r>
            <w:r w:rsidRPr="00B812F7">
              <w:rPr>
                <w:sz w:val="26"/>
                <w:szCs w:val="26"/>
                <w:lang w:val="lv-LV"/>
              </w:rPr>
              <w:t>””” (turpmāk – noteikumu projekts) tiek izdots saskaņā ar Būvni</w:t>
            </w:r>
            <w:r>
              <w:rPr>
                <w:sz w:val="26"/>
                <w:szCs w:val="26"/>
                <w:lang w:val="lv-LV"/>
              </w:rPr>
              <w:t xml:space="preserve">ecības likuma </w:t>
            </w:r>
            <w:r w:rsidRPr="00B812F7">
              <w:rPr>
                <w:sz w:val="26"/>
                <w:szCs w:val="26"/>
                <w:lang w:val="lv-LV"/>
              </w:rPr>
              <w:t xml:space="preserve"> 5. panta pirmās daļas 3.punktu</w:t>
            </w:r>
            <w:r>
              <w:rPr>
                <w:rFonts w:eastAsia="SimSun"/>
                <w:sz w:val="26"/>
                <w:szCs w:val="26"/>
                <w:lang w:val="lv-LV" w:eastAsia="zh-CN"/>
              </w:rPr>
              <w:t>.</w:t>
            </w:r>
          </w:p>
        </w:tc>
      </w:tr>
      <w:tr w:rsidR="005018FF" w:rsidRPr="00237BB4" w:rsidTr="008C2C1A">
        <w:trPr>
          <w:trHeight w:val="1544"/>
        </w:trPr>
        <w:tc>
          <w:tcPr>
            <w:tcW w:w="289" w:type="pct"/>
          </w:tcPr>
          <w:p w:rsidR="005018FF" w:rsidRPr="00CF5FBA" w:rsidRDefault="005018FF" w:rsidP="008C2C1A">
            <w:pPr>
              <w:ind w:left="57" w:right="57"/>
              <w:contextualSpacing/>
              <w:rPr>
                <w:sz w:val="26"/>
                <w:szCs w:val="26"/>
                <w:lang w:val="lv-LV"/>
              </w:rPr>
            </w:pPr>
            <w:r w:rsidRPr="00CF5FBA">
              <w:rPr>
                <w:sz w:val="26"/>
                <w:szCs w:val="26"/>
                <w:lang w:val="lv-LV"/>
              </w:rPr>
              <w:t> 2.</w:t>
            </w:r>
          </w:p>
        </w:tc>
        <w:tc>
          <w:tcPr>
            <w:tcW w:w="1820" w:type="pct"/>
          </w:tcPr>
          <w:p w:rsidR="007D4DC5" w:rsidRDefault="005018FF" w:rsidP="008C2C1A">
            <w:pPr>
              <w:ind w:left="57" w:right="57"/>
              <w:contextualSpacing/>
              <w:rPr>
                <w:sz w:val="26"/>
                <w:szCs w:val="26"/>
                <w:lang w:val="lv-LV"/>
              </w:rPr>
            </w:pPr>
            <w:r w:rsidRPr="00CF5FBA">
              <w:rPr>
                <w:sz w:val="26"/>
                <w:szCs w:val="26"/>
                <w:lang w:val="lv-LV"/>
              </w:rPr>
              <w:t>Pašreizējā situācija un problēmas kuru risināšanai tiesību akta projekts izstrādāts, tiesiskā regulējuma mērķis un būtība</w:t>
            </w: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237BB4">
            <w:pPr>
              <w:jc w:val="cente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Pr="007D4DC5" w:rsidRDefault="007D4DC5" w:rsidP="007D4DC5">
            <w:pPr>
              <w:rPr>
                <w:sz w:val="26"/>
                <w:szCs w:val="26"/>
                <w:lang w:val="lv-LV"/>
              </w:rPr>
            </w:pPr>
          </w:p>
          <w:p w:rsidR="007D4DC5" w:rsidRDefault="007D4DC5" w:rsidP="007D4DC5">
            <w:pPr>
              <w:rPr>
                <w:sz w:val="26"/>
                <w:szCs w:val="26"/>
                <w:lang w:val="lv-LV"/>
              </w:rPr>
            </w:pPr>
          </w:p>
          <w:p w:rsidR="005018FF" w:rsidRPr="007D4DC5" w:rsidRDefault="005018FF" w:rsidP="007D4DC5">
            <w:pPr>
              <w:rPr>
                <w:sz w:val="26"/>
                <w:szCs w:val="26"/>
                <w:lang w:val="lv-LV"/>
              </w:rPr>
            </w:pPr>
          </w:p>
        </w:tc>
        <w:tc>
          <w:tcPr>
            <w:tcW w:w="2890" w:type="pct"/>
          </w:tcPr>
          <w:p w:rsidR="005018FF" w:rsidRPr="00237BB4" w:rsidRDefault="005018FF" w:rsidP="008C2C1A">
            <w:pPr>
              <w:pStyle w:val="naiskr"/>
              <w:ind w:left="57" w:right="57"/>
              <w:contextualSpacing/>
              <w:jc w:val="both"/>
              <w:rPr>
                <w:color w:val="000000" w:themeColor="text1"/>
                <w:sz w:val="26"/>
                <w:szCs w:val="26"/>
              </w:rPr>
            </w:pPr>
            <w:r w:rsidRPr="00237BB4">
              <w:rPr>
                <w:sz w:val="26"/>
                <w:szCs w:val="26"/>
              </w:rPr>
              <w:t>Izvērtējot esošo būvnormatīvu tehniskos risinājumus un parametrus pēc būtības, tika apzināti kādi būvnormatīvi ir nozarei paši nepieciešamākie, kuri būtu jāpārstrādā. Latvijas būvniecības padome noteica, ka primāri pārstrādājami ir būvnormatīvi, kas saistīti ar būvju drošību, pēc tam jāpārstrādā arī ļoti novecojošos būvnormatīvus</w:t>
            </w:r>
            <w:r w:rsidR="00913F53" w:rsidRPr="00237BB4">
              <w:rPr>
                <w:sz w:val="26"/>
                <w:szCs w:val="26"/>
              </w:rPr>
              <w:t xml:space="preserve">. </w:t>
            </w:r>
            <w:r w:rsidR="00444A37" w:rsidRPr="00237BB4">
              <w:rPr>
                <w:color w:val="000000" w:themeColor="text1"/>
                <w:sz w:val="26"/>
                <w:szCs w:val="26"/>
              </w:rPr>
              <w:t>Atbilstoši Latvijas būvniecības padomē nolemtajam</w:t>
            </w:r>
            <w:r w:rsidR="00D5614B" w:rsidRPr="00237BB4">
              <w:rPr>
                <w:color w:val="000000" w:themeColor="text1"/>
                <w:sz w:val="26"/>
                <w:szCs w:val="26"/>
              </w:rPr>
              <w:t xml:space="preserve">, </w:t>
            </w:r>
            <w:r w:rsidR="00444A37" w:rsidRPr="00237BB4">
              <w:rPr>
                <w:color w:val="000000" w:themeColor="text1"/>
                <w:sz w:val="26"/>
                <w:szCs w:val="26"/>
              </w:rPr>
              <w:t>ir pārstrādāti šādi būvnormatīvi:</w:t>
            </w:r>
          </w:p>
          <w:p w:rsidR="005018FF" w:rsidRPr="00237BB4" w:rsidRDefault="005018FF" w:rsidP="008C2C1A">
            <w:pPr>
              <w:pStyle w:val="naiskr"/>
              <w:ind w:left="57" w:right="57"/>
              <w:contextualSpacing/>
              <w:jc w:val="both"/>
              <w:rPr>
                <w:sz w:val="26"/>
                <w:szCs w:val="26"/>
              </w:rPr>
            </w:pPr>
            <w:r w:rsidRPr="00237BB4">
              <w:rPr>
                <w:sz w:val="26"/>
                <w:szCs w:val="26"/>
              </w:rPr>
              <w:t>Ministru kabineta 2015.gada 30.jūnija noteikumi Nr.327 „Noteikumi par Latvijas būvnormatīvu LBN 223</w:t>
            </w:r>
            <w:r w:rsidR="00186DE6" w:rsidRPr="00237BB4">
              <w:rPr>
                <w:sz w:val="26"/>
                <w:szCs w:val="26"/>
              </w:rPr>
              <w:t>-15</w:t>
            </w:r>
            <w:r w:rsidRPr="00237BB4">
              <w:rPr>
                <w:sz w:val="26"/>
                <w:szCs w:val="26"/>
              </w:rPr>
              <w:t xml:space="preserve"> „Kanalizācijas būves”;</w:t>
            </w:r>
          </w:p>
          <w:p w:rsidR="005018FF" w:rsidRPr="00237BB4" w:rsidRDefault="005018FF" w:rsidP="008C2C1A">
            <w:pPr>
              <w:pStyle w:val="naiskr"/>
              <w:ind w:left="57" w:right="57"/>
              <w:contextualSpacing/>
              <w:jc w:val="both"/>
              <w:rPr>
                <w:sz w:val="26"/>
                <w:szCs w:val="26"/>
              </w:rPr>
            </w:pPr>
            <w:r w:rsidRPr="00237BB4">
              <w:rPr>
                <w:sz w:val="26"/>
                <w:szCs w:val="26"/>
              </w:rPr>
              <w:t>Ministru kabineta 2015.gada 30.jūnija noteikumi Nr.326 „Noteikumi par Latvijas būvnormatīvu LBN 222</w:t>
            </w:r>
            <w:r w:rsidR="00186DE6" w:rsidRPr="00237BB4">
              <w:rPr>
                <w:sz w:val="26"/>
                <w:szCs w:val="26"/>
              </w:rPr>
              <w:t>-15</w:t>
            </w:r>
            <w:r w:rsidRPr="00237BB4">
              <w:rPr>
                <w:sz w:val="26"/>
                <w:szCs w:val="26"/>
              </w:rPr>
              <w:t xml:space="preserve"> „Ūdensapgādes būves” ;</w:t>
            </w:r>
          </w:p>
          <w:p w:rsidR="005018FF" w:rsidRPr="00237BB4" w:rsidRDefault="005018FF" w:rsidP="008C2C1A">
            <w:pPr>
              <w:pStyle w:val="naiskr"/>
              <w:ind w:left="57" w:right="57"/>
              <w:contextualSpacing/>
              <w:jc w:val="both"/>
              <w:rPr>
                <w:sz w:val="26"/>
                <w:szCs w:val="26"/>
              </w:rPr>
            </w:pPr>
            <w:r w:rsidRPr="00237BB4">
              <w:rPr>
                <w:sz w:val="26"/>
                <w:szCs w:val="26"/>
              </w:rPr>
              <w:t>Ministru kabineta 2015.gada 30.jūnija noteikumi Nr.332 „Noteikumi par Latvijas būvnormatīvu LBN 221-15 „Ēku iekšējais ūdensvads un kanalizācija”;</w:t>
            </w:r>
          </w:p>
          <w:p w:rsidR="005018FF" w:rsidRPr="00237BB4" w:rsidRDefault="005018FF" w:rsidP="008C2C1A">
            <w:pPr>
              <w:pStyle w:val="naiskr"/>
              <w:ind w:left="57" w:right="57"/>
              <w:contextualSpacing/>
              <w:jc w:val="both"/>
              <w:rPr>
                <w:sz w:val="26"/>
                <w:szCs w:val="26"/>
              </w:rPr>
            </w:pPr>
            <w:r w:rsidRPr="00237BB4">
              <w:rPr>
                <w:sz w:val="26"/>
                <w:szCs w:val="26"/>
              </w:rPr>
              <w:t>Lai veiktu pēc iespējas precīzāku tehniski ekonomisko aprēķinu, noteikumu projektā sniegts precīzāks skaidrojums aprēķinam, novēršot tā pielietojuma pretrunas praksē.</w:t>
            </w:r>
          </w:p>
          <w:p w:rsidR="00DB5497" w:rsidRPr="00237BB4" w:rsidRDefault="00DB5497" w:rsidP="008C2C1A">
            <w:pPr>
              <w:pStyle w:val="naiskr"/>
              <w:ind w:left="57" w:right="57"/>
              <w:contextualSpacing/>
              <w:jc w:val="both"/>
              <w:rPr>
                <w:sz w:val="26"/>
                <w:szCs w:val="26"/>
              </w:rPr>
            </w:pPr>
            <w:r w:rsidRPr="00237BB4">
              <w:rPr>
                <w:sz w:val="26"/>
                <w:szCs w:val="26"/>
              </w:rPr>
              <w:t xml:space="preserve">Ministru kabineta 2015.gada 30.jūnija noteikumi Nr.332 „Noteikumi par Latvijas būvnormatīvu LBN 221-15 „Ēku iekšējais ūdensvads un kanalizācija” paredz 7. un 8. punktu iestrādi Ministru kabineta 2015.gada 30.jūnija noteikumos Nr.327 „Noteikumi par Latvijas būvnormatīvu LBN 223-15 „Kanalizācijas būves”, atbilstoši dalījumam par iekšējām un ārējām sistēmām. Aizliegums ierīkot sausās </w:t>
            </w:r>
            <w:r w:rsidRPr="00237BB4">
              <w:rPr>
                <w:sz w:val="26"/>
                <w:szCs w:val="26"/>
              </w:rPr>
              <w:lastRenderedPageBreak/>
              <w:t xml:space="preserve">tualetes vai </w:t>
            </w:r>
            <w:proofErr w:type="spellStart"/>
            <w:r w:rsidRPr="00237BB4">
              <w:rPr>
                <w:sz w:val="26"/>
                <w:szCs w:val="26"/>
              </w:rPr>
              <w:t>krājrezervuārus</w:t>
            </w:r>
            <w:proofErr w:type="spellEnd"/>
            <w:r w:rsidRPr="00237BB4">
              <w:rPr>
                <w:sz w:val="26"/>
                <w:szCs w:val="26"/>
              </w:rPr>
              <w:t xml:space="preserve"> neatrisina epidemioloģisko situāciju. Uz ūdenssaimniecības pakalpojumu sniegšanas likuma bāzes pašvaldībām ir jāizdod saistošie noteikumi par ūdenssaimniecības, tai skaitā par asenizācijas pakalpojumu sniegšanas kārtību. Ja </w:t>
            </w:r>
            <w:proofErr w:type="spellStart"/>
            <w:r w:rsidRPr="00237BB4">
              <w:rPr>
                <w:sz w:val="26"/>
                <w:szCs w:val="26"/>
              </w:rPr>
              <w:t>krājrezervuāra</w:t>
            </w:r>
            <w:proofErr w:type="spellEnd"/>
            <w:r w:rsidRPr="00237BB4">
              <w:rPr>
                <w:sz w:val="26"/>
                <w:szCs w:val="26"/>
              </w:rPr>
              <w:t xml:space="preserve"> īpašniekam būs jāatskaitās un jāmaksā par notekūdeņu izvešanu (līdzīgi kā sadzīves atkritumiem), šāda maksa kā ekonomiska sankcija veicinās īpašniekus izvēlēties sev piemērotāko notekūdeņu apsaimniekošanas veidu.</w:t>
            </w:r>
          </w:p>
          <w:p w:rsidR="005018FF" w:rsidRPr="00237BB4" w:rsidRDefault="005018FF" w:rsidP="008C2C1A">
            <w:pPr>
              <w:pStyle w:val="naiskr"/>
              <w:ind w:left="57" w:right="57"/>
              <w:contextualSpacing/>
              <w:jc w:val="both"/>
              <w:rPr>
                <w:sz w:val="26"/>
                <w:szCs w:val="26"/>
              </w:rPr>
            </w:pPr>
            <w:r w:rsidRPr="00237BB4">
              <w:rPr>
                <w:sz w:val="26"/>
                <w:szCs w:val="26"/>
              </w:rPr>
              <w:t xml:space="preserve">Nepieciešamība izvērtēt ražošanas notekūdeņu raksturu un lietderību tos attīrīt kopā ar sadzīves notekūdeņiem, kā arī, lai aprēķinātu notekūdeņu, tai skaitā  ražošanas uzņēmuma daudzumu diennaktī ir sniegts precīzāks aprēķinu skaidrojums noteikumu projektā. </w:t>
            </w:r>
            <w:r w:rsidR="00DB5497" w:rsidRPr="00237BB4">
              <w:rPr>
                <w:sz w:val="26"/>
                <w:szCs w:val="26"/>
              </w:rPr>
              <w:t xml:space="preserve">Jaunais regulējums precizē notekūdeņu daudzumu diennaktī. 22.punktā noteiktais notekūdeņu daudzums neietekmē kopējo apdzīvotās vietas notekūdeņu daudzumu. 22.punktā minētas </w:t>
            </w:r>
            <w:proofErr w:type="spellStart"/>
            <w:r w:rsidR="00DB5497" w:rsidRPr="00237BB4">
              <w:rPr>
                <w:sz w:val="26"/>
                <w:szCs w:val="26"/>
              </w:rPr>
              <w:t>momentālās</w:t>
            </w:r>
            <w:proofErr w:type="spellEnd"/>
            <w:r w:rsidR="00DB5497" w:rsidRPr="00237BB4">
              <w:rPr>
                <w:sz w:val="26"/>
                <w:szCs w:val="26"/>
              </w:rPr>
              <w:t xml:space="preserve"> </w:t>
            </w:r>
            <w:proofErr w:type="spellStart"/>
            <w:r w:rsidR="00DB5497" w:rsidRPr="00237BB4">
              <w:rPr>
                <w:sz w:val="26"/>
                <w:szCs w:val="26"/>
              </w:rPr>
              <w:t>pieteces</w:t>
            </w:r>
            <w:proofErr w:type="spellEnd"/>
            <w:r w:rsidR="00DB5497" w:rsidRPr="00237BB4">
              <w:rPr>
                <w:sz w:val="26"/>
                <w:szCs w:val="26"/>
              </w:rPr>
              <w:t xml:space="preserve"> (l/s), kuras netiek izmantotas vidējā diennakts notekūdeņu daudzuma aprēķinā.</w:t>
            </w:r>
          </w:p>
          <w:p w:rsidR="00DB5497" w:rsidRPr="00237BB4" w:rsidRDefault="00DB5497" w:rsidP="00DB5497">
            <w:pPr>
              <w:pStyle w:val="naiskr"/>
              <w:ind w:left="57" w:right="57"/>
              <w:contextualSpacing/>
              <w:jc w:val="both"/>
              <w:rPr>
                <w:sz w:val="26"/>
                <w:szCs w:val="26"/>
              </w:rPr>
            </w:pPr>
            <w:r w:rsidRPr="00237BB4">
              <w:rPr>
                <w:sz w:val="26"/>
                <w:szCs w:val="26"/>
              </w:rPr>
              <w:t xml:space="preserve">Asenizācijas stacijas notekūdeņu kvalitāte var būt atšķirīga atkarībā no notekūdeņu attīrīšanas ietaišu un kanalizācijas sistēmas lieluma un īpatnībām. Tāpēc lietderīgāk ir izvērtēt apstākļus un izveidot risinājumu, kas atbilst operatora noteiktām prasībām atkarībā no tīkla un notekūdeņu attīrīšanas ietaisēm. Tā piemēram: </w:t>
            </w:r>
          </w:p>
          <w:p w:rsidR="00DB5497" w:rsidRPr="00237BB4" w:rsidRDefault="00DB5497" w:rsidP="00DB5497">
            <w:pPr>
              <w:pStyle w:val="naiskr"/>
              <w:ind w:left="57" w:right="57"/>
              <w:contextualSpacing/>
              <w:jc w:val="both"/>
              <w:rPr>
                <w:sz w:val="26"/>
                <w:szCs w:val="26"/>
              </w:rPr>
            </w:pPr>
            <w:r w:rsidRPr="00237BB4">
              <w:rPr>
                <w:sz w:val="26"/>
                <w:szCs w:val="26"/>
              </w:rPr>
              <w:t>•</w:t>
            </w:r>
            <w:r w:rsidRPr="00237BB4">
              <w:rPr>
                <w:sz w:val="26"/>
                <w:szCs w:val="26"/>
              </w:rPr>
              <w:tab/>
              <w:t>Relatīvi lielās pilsētās (</w:t>
            </w:r>
            <w:proofErr w:type="spellStart"/>
            <w:r w:rsidRPr="00237BB4">
              <w:rPr>
                <w:sz w:val="26"/>
                <w:szCs w:val="26"/>
              </w:rPr>
              <w:t>piem</w:t>
            </w:r>
            <w:proofErr w:type="spellEnd"/>
            <w:r w:rsidRPr="00237BB4">
              <w:rPr>
                <w:sz w:val="26"/>
                <w:szCs w:val="26"/>
              </w:rPr>
              <w:t>, Rīgā) asenizācijas stacijas var tikt būvētas pie lieliem kolektoriem, kuros transportējot uz attīrīšanas ietaisēm tiek nodrošināta pietiekoša notekūdeņu samaisīšanās;</w:t>
            </w:r>
          </w:p>
          <w:p w:rsidR="00DB5497" w:rsidRPr="00237BB4" w:rsidRDefault="00DB5497" w:rsidP="00DB5497">
            <w:pPr>
              <w:pStyle w:val="naiskr"/>
              <w:ind w:left="57" w:right="57"/>
              <w:contextualSpacing/>
              <w:jc w:val="both"/>
              <w:rPr>
                <w:sz w:val="26"/>
                <w:szCs w:val="26"/>
              </w:rPr>
            </w:pPr>
            <w:r w:rsidRPr="00237BB4">
              <w:rPr>
                <w:sz w:val="26"/>
                <w:szCs w:val="26"/>
              </w:rPr>
              <w:t>•</w:t>
            </w:r>
            <w:r w:rsidRPr="00237BB4">
              <w:rPr>
                <w:sz w:val="26"/>
                <w:szCs w:val="26"/>
              </w:rPr>
              <w:tab/>
              <w:t xml:space="preserve">Lai nodrošinātu piesārņojuma līmeni pēc BSP5 līdz 1000 mg/l, jāveic notekūdeņu atšķaidīšana, kas ievērojami sadārdzina </w:t>
            </w:r>
            <w:proofErr w:type="spellStart"/>
            <w:r w:rsidRPr="00237BB4">
              <w:rPr>
                <w:sz w:val="26"/>
                <w:szCs w:val="26"/>
              </w:rPr>
              <w:t>septiķu</w:t>
            </w:r>
            <w:proofErr w:type="spellEnd"/>
            <w:r w:rsidRPr="00237BB4">
              <w:rPr>
                <w:sz w:val="26"/>
                <w:szCs w:val="26"/>
              </w:rPr>
              <w:t xml:space="preserve"> novadīšanu kanalizācijas tīklā;</w:t>
            </w:r>
          </w:p>
          <w:p w:rsidR="00DB5497" w:rsidRPr="00237BB4" w:rsidRDefault="00DB5497" w:rsidP="00DB5497">
            <w:pPr>
              <w:pStyle w:val="naiskr"/>
              <w:ind w:left="57" w:right="57"/>
              <w:contextualSpacing/>
              <w:jc w:val="both"/>
              <w:rPr>
                <w:sz w:val="26"/>
                <w:szCs w:val="26"/>
              </w:rPr>
            </w:pPr>
            <w:r w:rsidRPr="00237BB4">
              <w:rPr>
                <w:sz w:val="26"/>
                <w:szCs w:val="26"/>
              </w:rPr>
              <w:t>•</w:t>
            </w:r>
            <w:r w:rsidRPr="00237BB4">
              <w:rPr>
                <w:sz w:val="26"/>
                <w:szCs w:val="26"/>
              </w:rPr>
              <w:tab/>
              <w:t>Ja asenizācijas stacija ir ievietota tuvu pie notekūdeņu attīrīšanas ietaisēm, mūsdienu inženierijas prakse paredz proporcionālu septisko notekūdeņu padevi no speciāliem pieņemšanas rezervuāriem, kas nodrošina attīrīšanas ietaišu bioloģiskā procesa nepārslogošanu;</w:t>
            </w:r>
          </w:p>
          <w:p w:rsidR="00DB5497" w:rsidRPr="00237BB4" w:rsidRDefault="00DB5497" w:rsidP="00DB5497">
            <w:pPr>
              <w:pStyle w:val="naiskr"/>
              <w:ind w:left="57" w:right="57"/>
              <w:contextualSpacing/>
              <w:jc w:val="both"/>
              <w:rPr>
                <w:sz w:val="26"/>
                <w:szCs w:val="26"/>
              </w:rPr>
            </w:pPr>
            <w:r w:rsidRPr="00237BB4">
              <w:rPr>
                <w:sz w:val="26"/>
                <w:szCs w:val="26"/>
              </w:rPr>
              <w:lastRenderedPageBreak/>
              <w:t>Septisko notekūdeņu pieņemšana ir tieši atkarīga no attīrīšanas ietaišu rakstura, kādām piesārņojuma koncentrācijām un slodzēm tās paredzētas</w:t>
            </w:r>
          </w:p>
          <w:p w:rsidR="005018FF" w:rsidRPr="00237BB4" w:rsidRDefault="005018FF" w:rsidP="008C2C1A">
            <w:pPr>
              <w:pStyle w:val="naiskr"/>
              <w:ind w:left="57" w:right="57"/>
              <w:contextualSpacing/>
              <w:jc w:val="both"/>
              <w:rPr>
                <w:sz w:val="26"/>
                <w:szCs w:val="26"/>
              </w:rPr>
            </w:pPr>
            <w:r w:rsidRPr="00237BB4">
              <w:rPr>
                <w:sz w:val="26"/>
                <w:szCs w:val="26"/>
              </w:rPr>
              <w:t xml:space="preserve">Šajā noteikumu projektā ir paredzēta vēl lielāka iespēja nepieļaut materiālu pārtēriņu nelieliem objektiem. Gadījumos, kad jānosaka dūņu </w:t>
            </w:r>
            <w:proofErr w:type="spellStart"/>
            <w:r w:rsidRPr="00237BB4">
              <w:rPr>
                <w:sz w:val="26"/>
                <w:szCs w:val="26"/>
              </w:rPr>
              <w:t>spiedvada</w:t>
            </w:r>
            <w:proofErr w:type="spellEnd"/>
            <w:r w:rsidRPr="00237BB4">
              <w:rPr>
                <w:sz w:val="26"/>
                <w:szCs w:val="26"/>
              </w:rPr>
              <w:t xml:space="preserve"> minimālo diametru, jāizvērtē esošie apstākļi, ņemot vērā ekspluatācijas praksi, jo pie nelielām plūsmām nav lietderīgi uzstādīt liela diametra caurules.</w:t>
            </w:r>
          </w:p>
          <w:p w:rsidR="005018FF" w:rsidRPr="00237BB4" w:rsidRDefault="005018FF" w:rsidP="008C2C1A">
            <w:pPr>
              <w:pStyle w:val="naiskr"/>
              <w:ind w:left="57" w:right="57"/>
              <w:contextualSpacing/>
              <w:jc w:val="both"/>
              <w:rPr>
                <w:sz w:val="26"/>
                <w:szCs w:val="26"/>
              </w:rPr>
            </w:pPr>
            <w:r w:rsidRPr="00237BB4">
              <w:rPr>
                <w:sz w:val="26"/>
                <w:szCs w:val="26"/>
              </w:rPr>
              <w:t xml:space="preserve">Lai nodrošinātu sistēmu kvalitatīvu darbību svarīgs ir cauruļvada slīpuma aprēķins, kas šajā noteikumu projektā ir precizēts. Esošajā redakcijā sajaukti maksimālā un minimālā slīpuma jēdzieni. Noteikumu projekts papildināts ar informāciju par cauruļvadu pārbaudes standartiem. </w:t>
            </w:r>
            <w:r w:rsidR="001D21DC" w:rsidRPr="00237BB4">
              <w:rPr>
                <w:sz w:val="26"/>
                <w:szCs w:val="26"/>
              </w:rPr>
              <w:t>Jāvērš uzmanība, ka kanalizācijas sistēmu projektēšanas praksē pagrieziena leņķis tiek mērīts kā leņķis no cauruļvada turpinājuma taisnā līnijā, tas ir līdzīgi kā azimutu ZA(45</w:t>
            </w:r>
            <w:r w:rsidR="001D21DC" w:rsidRPr="00237BB4">
              <w:rPr>
                <w:sz w:val="26"/>
                <w:szCs w:val="26"/>
                <w:vertAlign w:val="superscript"/>
              </w:rPr>
              <w:t>o</w:t>
            </w:r>
            <w:r w:rsidR="001D21DC" w:rsidRPr="00237BB4">
              <w:rPr>
                <w:sz w:val="26"/>
                <w:szCs w:val="26"/>
              </w:rPr>
              <w:t>) vai A(90</w:t>
            </w:r>
            <w:r w:rsidR="001D21DC" w:rsidRPr="00237BB4">
              <w:rPr>
                <w:sz w:val="26"/>
                <w:szCs w:val="26"/>
                <w:vertAlign w:val="superscript"/>
              </w:rPr>
              <w:t>o</w:t>
            </w:r>
            <w:r w:rsidR="001D21DC" w:rsidRPr="00237BB4">
              <w:rPr>
                <w:sz w:val="26"/>
                <w:szCs w:val="26"/>
              </w:rPr>
              <w:t>), bet izmantojot tikai 180</w:t>
            </w:r>
            <w:r w:rsidR="001D21DC" w:rsidRPr="00237BB4">
              <w:rPr>
                <w:sz w:val="26"/>
                <w:szCs w:val="26"/>
                <w:vertAlign w:val="superscript"/>
              </w:rPr>
              <w:t>o</w:t>
            </w:r>
            <w:r w:rsidR="001D21DC" w:rsidRPr="00237BB4">
              <w:rPr>
                <w:sz w:val="26"/>
                <w:szCs w:val="26"/>
              </w:rPr>
              <w:t xml:space="preserve"> sistēmu.</w:t>
            </w:r>
            <w:r w:rsidR="006847C9" w:rsidRPr="00237BB4">
              <w:rPr>
                <w:sz w:val="26"/>
                <w:szCs w:val="26"/>
              </w:rPr>
              <w:t xml:space="preserve"> </w:t>
            </w:r>
          </w:p>
          <w:p w:rsidR="006847C9" w:rsidRPr="00237BB4" w:rsidRDefault="006847C9" w:rsidP="008C2C1A">
            <w:pPr>
              <w:pStyle w:val="naiskr"/>
              <w:ind w:left="57" w:right="57"/>
              <w:contextualSpacing/>
              <w:jc w:val="both"/>
              <w:rPr>
                <w:sz w:val="26"/>
                <w:szCs w:val="26"/>
              </w:rPr>
            </w:pPr>
            <w:r w:rsidRPr="00237BB4">
              <w:rPr>
                <w:sz w:val="26"/>
                <w:szCs w:val="26"/>
              </w:rPr>
              <w:t>Noteikumu projektā  58.punktā dotā formula sniedz vienkāršotu aprēķina metodiku minimālā slīpuma noteikšanai kanalizācijas cauruļvadiem, bet tabulā Nr.16 ir doti precīzi aprēķinātie minimālie slīpumi kanalizācijas cauruļvadiem.</w:t>
            </w:r>
          </w:p>
          <w:p w:rsidR="005018FF" w:rsidRPr="00237BB4" w:rsidRDefault="005018FF" w:rsidP="008C2C1A">
            <w:pPr>
              <w:pStyle w:val="naiskr"/>
              <w:ind w:left="57" w:right="57"/>
              <w:contextualSpacing/>
              <w:jc w:val="both"/>
              <w:rPr>
                <w:sz w:val="26"/>
                <w:szCs w:val="26"/>
              </w:rPr>
            </w:pPr>
            <w:r w:rsidRPr="00237BB4">
              <w:rPr>
                <w:sz w:val="26"/>
                <w:szCs w:val="26"/>
              </w:rPr>
              <w:t xml:space="preserve">Liela nozīme ir pievērsta katoda aizsardzībai, ko lieto pazemes cauruļvadu aizsardzībai pret zemes koroziju. Noteikumu projektā precizēts kādos gadījumos nepieciešama cauruļvadu katoda aizsardzība, kā arī informācija par nepieciešamo pamatojumu zem caurulēm. </w:t>
            </w:r>
          </w:p>
          <w:p w:rsidR="005018FF" w:rsidRPr="00237BB4" w:rsidRDefault="005018FF" w:rsidP="008C2C1A">
            <w:pPr>
              <w:pStyle w:val="naiskr"/>
              <w:ind w:left="57" w:right="57"/>
              <w:contextualSpacing/>
              <w:jc w:val="both"/>
              <w:rPr>
                <w:sz w:val="26"/>
                <w:szCs w:val="26"/>
              </w:rPr>
            </w:pPr>
            <w:r w:rsidRPr="00237BB4">
              <w:rPr>
                <w:sz w:val="26"/>
                <w:szCs w:val="26"/>
              </w:rPr>
              <w:t xml:space="preserve">Veicot kanalizācijas sistēmu apkalpi ar modernu aprīkojumu bez personāla klātbūtnes kanalizācijas akās,  ir precizēti </w:t>
            </w:r>
            <w:proofErr w:type="spellStart"/>
            <w:r w:rsidRPr="00237BB4">
              <w:rPr>
                <w:sz w:val="26"/>
                <w:szCs w:val="26"/>
              </w:rPr>
              <w:t>skataku</w:t>
            </w:r>
            <w:proofErr w:type="spellEnd"/>
            <w:r w:rsidRPr="00237BB4">
              <w:rPr>
                <w:sz w:val="26"/>
                <w:szCs w:val="26"/>
              </w:rPr>
              <w:t xml:space="preserve"> veidi pēc to ekspluatācijas veida. Precizēta arī informācija par aku diametriem, pielietojot inspekcijas akas.</w:t>
            </w:r>
          </w:p>
          <w:p w:rsidR="005018FF" w:rsidRPr="00237BB4" w:rsidRDefault="005018FF" w:rsidP="008C2C1A">
            <w:pPr>
              <w:pStyle w:val="naiskr"/>
              <w:ind w:left="57" w:right="57"/>
              <w:contextualSpacing/>
              <w:jc w:val="both"/>
              <w:rPr>
                <w:sz w:val="26"/>
                <w:szCs w:val="26"/>
              </w:rPr>
            </w:pPr>
            <w:r w:rsidRPr="00237BB4">
              <w:rPr>
                <w:sz w:val="26"/>
                <w:szCs w:val="26"/>
              </w:rPr>
              <w:t xml:space="preserve">Noteikumu projektā paredzēta iespēja samazināt lūku augstumu virs zemes virsmas, lai netraucētu pļaušanu. </w:t>
            </w:r>
            <w:r w:rsidR="00532AFC" w:rsidRPr="00237BB4">
              <w:rPr>
                <w:sz w:val="26"/>
                <w:szCs w:val="26"/>
              </w:rPr>
              <w:t xml:space="preserve">Lai aizsargātu </w:t>
            </w:r>
            <w:proofErr w:type="spellStart"/>
            <w:r w:rsidR="00532AFC" w:rsidRPr="00237BB4">
              <w:rPr>
                <w:sz w:val="26"/>
                <w:szCs w:val="26"/>
              </w:rPr>
              <w:t>skatakas</w:t>
            </w:r>
            <w:proofErr w:type="spellEnd"/>
            <w:r w:rsidR="00532AFC" w:rsidRPr="00237BB4">
              <w:rPr>
                <w:sz w:val="26"/>
                <w:szCs w:val="26"/>
              </w:rPr>
              <w:t xml:space="preserve"> lūkas no bojājumiem ziemā tīrot sniegu, vasarā pļaujot zāli,  atbilstoši esošajai praksei, ir paredzēta 0.5m </w:t>
            </w:r>
            <w:proofErr w:type="spellStart"/>
            <w:r w:rsidR="00532AFC" w:rsidRPr="00237BB4">
              <w:rPr>
                <w:sz w:val="26"/>
                <w:szCs w:val="26"/>
              </w:rPr>
              <w:t>aizsargapmale</w:t>
            </w:r>
            <w:proofErr w:type="spellEnd"/>
            <w:r w:rsidR="00532AFC" w:rsidRPr="00237BB4">
              <w:rPr>
                <w:sz w:val="26"/>
                <w:szCs w:val="26"/>
              </w:rPr>
              <w:t xml:space="preserve"> ar slīpām malām. Ņemot vērā, ka uz ceļiem bez cietā seguma </w:t>
            </w:r>
            <w:proofErr w:type="spellStart"/>
            <w:r w:rsidR="00532AFC" w:rsidRPr="00237BB4">
              <w:rPr>
                <w:sz w:val="26"/>
                <w:szCs w:val="26"/>
              </w:rPr>
              <w:t>aizsargapmales</w:t>
            </w:r>
            <w:proofErr w:type="spellEnd"/>
            <w:r w:rsidR="00532AFC" w:rsidRPr="00237BB4">
              <w:rPr>
                <w:sz w:val="26"/>
                <w:szCs w:val="26"/>
              </w:rPr>
              <w:t xml:space="preserve"> konstrukcija atkarīga no ceļa ekspluatācijas, paredzēta iespēja, ka atbilstoši esošajai praksei šo </w:t>
            </w:r>
            <w:r w:rsidR="00532AFC" w:rsidRPr="00237BB4">
              <w:rPr>
                <w:sz w:val="26"/>
                <w:szCs w:val="26"/>
              </w:rPr>
              <w:lastRenderedPageBreak/>
              <w:t xml:space="preserve">konstrukciju nosaka ceļu </w:t>
            </w:r>
            <w:proofErr w:type="spellStart"/>
            <w:r w:rsidR="00532AFC" w:rsidRPr="00237BB4">
              <w:rPr>
                <w:sz w:val="26"/>
                <w:szCs w:val="26"/>
              </w:rPr>
              <w:t>apsaimniekotājs</w:t>
            </w:r>
            <w:proofErr w:type="spellEnd"/>
            <w:r w:rsidR="00532AFC" w:rsidRPr="00237BB4">
              <w:rPr>
                <w:sz w:val="26"/>
                <w:szCs w:val="26"/>
              </w:rPr>
              <w:t xml:space="preserve">, izdodot tehniskos noteikumus. </w:t>
            </w:r>
            <w:r w:rsidRPr="00237BB4">
              <w:rPr>
                <w:sz w:val="26"/>
                <w:szCs w:val="26"/>
              </w:rPr>
              <w:t xml:space="preserve">Plašākas risinājumu iespējas paredzētas </w:t>
            </w:r>
            <w:proofErr w:type="spellStart"/>
            <w:r w:rsidRPr="00237BB4">
              <w:rPr>
                <w:sz w:val="26"/>
                <w:szCs w:val="26"/>
              </w:rPr>
              <w:t>pārkrites</w:t>
            </w:r>
            <w:proofErr w:type="spellEnd"/>
            <w:r w:rsidRPr="00237BB4">
              <w:rPr>
                <w:sz w:val="26"/>
                <w:szCs w:val="26"/>
              </w:rPr>
              <w:t xml:space="preserve"> aku veidošanai.</w:t>
            </w:r>
          </w:p>
          <w:p w:rsidR="005018FF" w:rsidRPr="00237BB4" w:rsidRDefault="005018FF" w:rsidP="008C2C1A">
            <w:pPr>
              <w:pStyle w:val="naiskr"/>
              <w:ind w:left="57" w:right="57"/>
              <w:contextualSpacing/>
              <w:jc w:val="both"/>
              <w:rPr>
                <w:sz w:val="26"/>
                <w:szCs w:val="26"/>
              </w:rPr>
            </w:pPr>
            <w:r w:rsidRPr="00237BB4">
              <w:rPr>
                <w:sz w:val="26"/>
                <w:szCs w:val="26"/>
              </w:rPr>
              <w:t xml:space="preserve">Noteikumu projekts  precizē, ka lietus ūdens uztveršanas vietas jānosaka arhitektūras daļas projektā, lai nodrošinātu optimālu lietus ūdens novadīšanu atbilstoši pastāvošai projektēšanas praksei. </w:t>
            </w:r>
          </w:p>
          <w:p w:rsidR="005018FF" w:rsidRPr="00237BB4" w:rsidRDefault="005018FF" w:rsidP="008C2C1A">
            <w:pPr>
              <w:pStyle w:val="naiskr"/>
              <w:ind w:left="57" w:right="57"/>
              <w:contextualSpacing/>
              <w:jc w:val="both"/>
              <w:rPr>
                <w:sz w:val="26"/>
                <w:szCs w:val="26"/>
              </w:rPr>
            </w:pPr>
            <w:r w:rsidRPr="00237BB4">
              <w:rPr>
                <w:sz w:val="26"/>
                <w:szCs w:val="26"/>
              </w:rPr>
              <w:t>Veikts labojums (samazinājums) minimālajam cauruļvada diametram atbilstoši mūsdienu projektēšanas un ekspluatācijas praksei.</w:t>
            </w:r>
          </w:p>
          <w:p w:rsidR="005018FF" w:rsidRPr="00237BB4" w:rsidRDefault="005018FF" w:rsidP="008C2C1A">
            <w:pPr>
              <w:pStyle w:val="naiskr"/>
              <w:ind w:left="57" w:right="57"/>
              <w:contextualSpacing/>
              <w:jc w:val="both"/>
              <w:rPr>
                <w:sz w:val="26"/>
                <w:szCs w:val="26"/>
              </w:rPr>
            </w:pPr>
            <w:r w:rsidRPr="00237BB4">
              <w:rPr>
                <w:sz w:val="26"/>
                <w:szCs w:val="26"/>
              </w:rPr>
              <w:t xml:space="preserve">Noteikumu projekts precizē divu </w:t>
            </w:r>
            <w:proofErr w:type="spellStart"/>
            <w:r w:rsidRPr="00237BB4">
              <w:rPr>
                <w:sz w:val="26"/>
                <w:szCs w:val="26"/>
              </w:rPr>
              <w:t>spiedvadu</w:t>
            </w:r>
            <w:proofErr w:type="spellEnd"/>
            <w:r w:rsidRPr="00237BB4">
              <w:rPr>
                <w:sz w:val="26"/>
                <w:szCs w:val="26"/>
              </w:rPr>
              <w:t xml:space="preserve"> (dūņu un duļķu </w:t>
            </w:r>
            <w:proofErr w:type="spellStart"/>
            <w:r w:rsidRPr="00237BB4">
              <w:rPr>
                <w:sz w:val="26"/>
                <w:szCs w:val="26"/>
              </w:rPr>
              <w:t>spiedvadu</w:t>
            </w:r>
            <w:proofErr w:type="spellEnd"/>
            <w:r w:rsidRPr="00237BB4">
              <w:rPr>
                <w:sz w:val="26"/>
                <w:szCs w:val="26"/>
              </w:rPr>
              <w:t>) nepieciešamības noteikšanas un projektēšanas principus, sniedzot  skaidrojumu par bioloģisko attīrīšanas metodi.</w:t>
            </w:r>
          </w:p>
          <w:p w:rsidR="00237BB4" w:rsidRPr="00237BB4" w:rsidRDefault="005018FF" w:rsidP="00237BB4">
            <w:pPr>
              <w:jc w:val="both"/>
              <w:rPr>
                <w:sz w:val="26"/>
                <w:szCs w:val="26"/>
                <w:lang w:val="lv-LV"/>
              </w:rPr>
            </w:pPr>
            <w:r w:rsidRPr="00237BB4">
              <w:rPr>
                <w:sz w:val="26"/>
                <w:szCs w:val="26"/>
                <w:lang w:val="lv-LV"/>
              </w:rPr>
              <w:t>Noteikumu projekts paredz spiediena un vakuuma kanalizācijas sistēmu izmantošanu, kā arī rekomendē standartus to projektēšanai.</w:t>
            </w:r>
          </w:p>
          <w:p w:rsidR="00237BB4" w:rsidRPr="001B19E8" w:rsidRDefault="00237BB4" w:rsidP="00237BB4">
            <w:pPr>
              <w:jc w:val="both"/>
              <w:rPr>
                <w:lang w:val="lv-LV"/>
              </w:rPr>
            </w:pPr>
            <w:r w:rsidRPr="00237BB4">
              <w:rPr>
                <w:lang w:val="lv-LV"/>
              </w:rPr>
              <w:t xml:space="preserve"> </w:t>
            </w:r>
            <w:r w:rsidRPr="00237BB4">
              <w:rPr>
                <w:sz w:val="26"/>
                <w:szCs w:val="26"/>
                <w:lang w:val="lv-LV"/>
              </w:rPr>
              <w:t xml:space="preserve">Ir precizēts 152.punkts, kurā noteikts par  izvedamu notekūdeņu </w:t>
            </w:r>
            <w:proofErr w:type="spellStart"/>
            <w:r w:rsidRPr="00237BB4">
              <w:rPr>
                <w:sz w:val="26"/>
                <w:szCs w:val="26"/>
                <w:lang w:val="lv-LV"/>
              </w:rPr>
              <w:t>krājtvertņu</w:t>
            </w:r>
            <w:proofErr w:type="spellEnd"/>
            <w:r w:rsidRPr="00237BB4">
              <w:rPr>
                <w:sz w:val="26"/>
                <w:szCs w:val="26"/>
                <w:lang w:val="lv-LV"/>
              </w:rPr>
              <w:t xml:space="preserve"> un sauso tualešu ierīkošanu ēkās.</w:t>
            </w:r>
            <w:r w:rsidR="00191105">
              <w:rPr>
                <w:sz w:val="26"/>
                <w:szCs w:val="26"/>
                <w:lang w:val="lv-LV"/>
              </w:rPr>
              <w:t xml:space="preserve"> </w:t>
            </w:r>
            <w:r w:rsidR="00191105" w:rsidRPr="001B19E8">
              <w:rPr>
                <w:sz w:val="26"/>
                <w:szCs w:val="26"/>
                <w:lang w:val="lv-LV"/>
              </w:rPr>
              <w:t xml:space="preserve">Pilsētās un ciemos, neatkarīgi no tā, vai ir vai nav ierīkota centralizētā kanalizācijas sistēma, drīkst izbūvēt  </w:t>
            </w:r>
            <w:proofErr w:type="spellStart"/>
            <w:r w:rsidR="00191105" w:rsidRPr="001B19E8">
              <w:rPr>
                <w:sz w:val="26"/>
                <w:szCs w:val="26"/>
                <w:lang w:val="lv-LV"/>
              </w:rPr>
              <w:t>septiķus</w:t>
            </w:r>
            <w:proofErr w:type="spellEnd"/>
            <w:r w:rsidR="00191105" w:rsidRPr="001B19E8">
              <w:rPr>
                <w:sz w:val="26"/>
                <w:szCs w:val="26"/>
                <w:lang w:val="lv-LV"/>
              </w:rPr>
              <w:t xml:space="preserve"> un rūpnieciski izgatavotas kompaktas attīrīšanas iekārtas, ja tās atbilst būvniecību regulējošo normatīvo aktu un normatīvo aktu par piesārņojošo vielu emisiju ūdenī prasībām.</w:t>
            </w:r>
          </w:p>
          <w:p w:rsidR="005018FF" w:rsidRPr="00237BB4" w:rsidRDefault="005018FF" w:rsidP="00237BB4">
            <w:pPr>
              <w:jc w:val="both"/>
              <w:rPr>
                <w:lang w:val="lv-LV"/>
              </w:rPr>
            </w:pPr>
          </w:p>
        </w:tc>
      </w:tr>
      <w:tr w:rsidR="005018FF" w:rsidRPr="00DF184D" w:rsidTr="008C2C1A">
        <w:trPr>
          <w:trHeight w:val="706"/>
        </w:trPr>
        <w:tc>
          <w:tcPr>
            <w:tcW w:w="289" w:type="pct"/>
          </w:tcPr>
          <w:p w:rsidR="005018FF" w:rsidRPr="00CF5FBA" w:rsidRDefault="005018FF" w:rsidP="008C2C1A">
            <w:pPr>
              <w:ind w:left="57" w:right="57"/>
              <w:contextualSpacing/>
              <w:rPr>
                <w:sz w:val="26"/>
                <w:szCs w:val="26"/>
                <w:lang w:val="lv-LV"/>
              </w:rPr>
            </w:pPr>
            <w:r w:rsidRPr="00CF5FBA">
              <w:rPr>
                <w:sz w:val="26"/>
                <w:szCs w:val="26"/>
                <w:lang w:val="lv-LV"/>
              </w:rPr>
              <w:lastRenderedPageBreak/>
              <w:t> 3.</w:t>
            </w:r>
          </w:p>
        </w:tc>
        <w:tc>
          <w:tcPr>
            <w:tcW w:w="1820" w:type="pct"/>
          </w:tcPr>
          <w:p w:rsidR="005018FF" w:rsidRPr="00CF5FBA" w:rsidRDefault="005018FF" w:rsidP="008C2C1A">
            <w:pPr>
              <w:ind w:left="57" w:right="57"/>
              <w:contextualSpacing/>
              <w:rPr>
                <w:sz w:val="26"/>
                <w:szCs w:val="26"/>
                <w:lang w:val="lv-LV"/>
              </w:rPr>
            </w:pPr>
            <w:r w:rsidRPr="00CF5FBA">
              <w:rPr>
                <w:sz w:val="26"/>
                <w:szCs w:val="26"/>
                <w:lang w:val="lv-LV"/>
              </w:rPr>
              <w:t>Projekta izstrādē iesaistītās institūcijas</w:t>
            </w:r>
          </w:p>
        </w:tc>
        <w:tc>
          <w:tcPr>
            <w:tcW w:w="2890" w:type="pct"/>
          </w:tcPr>
          <w:p w:rsidR="005018FF" w:rsidRPr="00237BB4" w:rsidRDefault="005018FF" w:rsidP="008C2C1A">
            <w:pPr>
              <w:ind w:left="57" w:right="57"/>
              <w:contextualSpacing/>
              <w:jc w:val="both"/>
              <w:rPr>
                <w:sz w:val="26"/>
                <w:szCs w:val="26"/>
                <w:lang w:val="lv-LV"/>
              </w:rPr>
            </w:pPr>
            <w:r w:rsidRPr="00237BB4">
              <w:rPr>
                <w:sz w:val="26"/>
                <w:szCs w:val="26"/>
                <w:lang w:val="lv-LV"/>
              </w:rPr>
              <w:t>Noteikumu projekts šo jomu neskar.</w:t>
            </w:r>
          </w:p>
        </w:tc>
      </w:tr>
      <w:tr w:rsidR="005018FF" w:rsidRPr="00CF5FBA" w:rsidTr="008C2C1A">
        <w:trPr>
          <w:trHeight w:val="384"/>
        </w:trPr>
        <w:tc>
          <w:tcPr>
            <w:tcW w:w="289" w:type="pct"/>
          </w:tcPr>
          <w:p w:rsidR="005018FF" w:rsidRPr="00CF5FBA" w:rsidRDefault="005018FF" w:rsidP="008C2C1A">
            <w:pPr>
              <w:ind w:left="57" w:right="57"/>
              <w:contextualSpacing/>
              <w:rPr>
                <w:sz w:val="26"/>
                <w:szCs w:val="26"/>
                <w:lang w:val="lv-LV"/>
              </w:rPr>
            </w:pPr>
            <w:r w:rsidRPr="00CF5FBA">
              <w:rPr>
                <w:sz w:val="26"/>
                <w:szCs w:val="26"/>
                <w:lang w:val="lv-LV"/>
              </w:rPr>
              <w:t> 4.</w:t>
            </w:r>
          </w:p>
        </w:tc>
        <w:tc>
          <w:tcPr>
            <w:tcW w:w="1820" w:type="pct"/>
          </w:tcPr>
          <w:p w:rsidR="005018FF" w:rsidRPr="00CF5FBA" w:rsidRDefault="005018FF" w:rsidP="008C2C1A">
            <w:pPr>
              <w:ind w:left="57" w:right="57"/>
              <w:contextualSpacing/>
              <w:rPr>
                <w:sz w:val="26"/>
                <w:szCs w:val="26"/>
                <w:lang w:val="lv-LV"/>
              </w:rPr>
            </w:pPr>
            <w:r w:rsidRPr="00CF5FBA">
              <w:rPr>
                <w:sz w:val="26"/>
                <w:szCs w:val="26"/>
                <w:lang w:val="lv-LV"/>
              </w:rPr>
              <w:t>Cita informācija</w:t>
            </w:r>
          </w:p>
        </w:tc>
        <w:tc>
          <w:tcPr>
            <w:tcW w:w="2890" w:type="pct"/>
          </w:tcPr>
          <w:p w:rsidR="005018FF" w:rsidRPr="00CF5FBA" w:rsidRDefault="005018FF" w:rsidP="008C2C1A">
            <w:pPr>
              <w:pStyle w:val="naiskr"/>
              <w:spacing w:before="0" w:after="0"/>
              <w:ind w:right="57"/>
              <w:contextualSpacing/>
              <w:jc w:val="both"/>
              <w:rPr>
                <w:sz w:val="26"/>
                <w:szCs w:val="26"/>
              </w:rPr>
            </w:pPr>
            <w:r w:rsidRPr="00CF5FBA">
              <w:rPr>
                <w:sz w:val="26"/>
                <w:szCs w:val="26"/>
              </w:rPr>
              <w:t>Nav</w:t>
            </w:r>
          </w:p>
        </w:tc>
      </w:tr>
    </w:tbl>
    <w:p w:rsidR="005018FF" w:rsidRPr="00A93F52" w:rsidRDefault="005018FF" w:rsidP="005018FF">
      <w:pPr>
        <w:ind w:left="57" w:right="57"/>
        <w:contextualSpacing/>
        <w:rPr>
          <w:sz w:val="28"/>
          <w:szCs w:val="28"/>
          <w:lang w:val="lv-LV"/>
        </w:rPr>
      </w:pPr>
    </w:p>
    <w:tbl>
      <w:tblPr>
        <w:tblW w:w="5000" w:type="pct"/>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524"/>
        <w:gridCol w:w="3153"/>
        <w:gridCol w:w="5384"/>
      </w:tblGrid>
      <w:tr w:rsidR="005018FF" w:rsidRPr="00DF184D" w:rsidTr="008C2C1A">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018FF" w:rsidRPr="00A93F52" w:rsidRDefault="005018FF" w:rsidP="008C2C1A">
            <w:pPr>
              <w:ind w:left="57" w:right="57"/>
              <w:contextualSpacing/>
              <w:jc w:val="center"/>
              <w:rPr>
                <w:b/>
                <w:sz w:val="28"/>
                <w:szCs w:val="28"/>
                <w:lang w:val="lv-LV"/>
              </w:rPr>
            </w:pPr>
            <w:r w:rsidRPr="00A93F52">
              <w:rPr>
                <w:b/>
                <w:sz w:val="28"/>
                <w:szCs w:val="28"/>
                <w:lang w:val="lv-LV"/>
              </w:rPr>
              <w:t>II. Tiesību akta projekta ietekme uz sabiedrību tautsaimniecības attīstību un administratīvo slogu</w:t>
            </w:r>
          </w:p>
        </w:tc>
      </w:tr>
      <w:tr w:rsidR="005018FF" w:rsidRPr="00CF5FBA" w:rsidTr="008C2C1A">
        <w:trPr>
          <w:trHeight w:val="467"/>
        </w:trPr>
        <w:tc>
          <w:tcPr>
            <w:tcW w:w="289" w:type="pct"/>
            <w:tcBorders>
              <w:top w:val="single" w:sz="4" w:space="0" w:color="auto"/>
              <w:left w:val="single" w:sz="4" w:space="0" w:color="auto"/>
              <w:bottom w:val="single" w:sz="4" w:space="0" w:color="auto"/>
              <w:right w:val="single" w:sz="4" w:space="0" w:color="auto"/>
            </w:tcBorders>
            <w:hideMark/>
          </w:tcPr>
          <w:p w:rsidR="005018FF" w:rsidRPr="00CF5FBA" w:rsidRDefault="005018FF" w:rsidP="008C2C1A">
            <w:pPr>
              <w:ind w:left="57" w:right="57"/>
              <w:contextualSpacing/>
              <w:rPr>
                <w:sz w:val="26"/>
                <w:szCs w:val="26"/>
                <w:lang w:val="lv-LV"/>
              </w:rPr>
            </w:pPr>
            <w:r w:rsidRPr="00CF5FBA">
              <w:rPr>
                <w:sz w:val="26"/>
                <w:szCs w:val="26"/>
                <w:lang w:val="lv-LV"/>
              </w:rPr>
              <w:t> 1.</w:t>
            </w:r>
          </w:p>
        </w:tc>
        <w:tc>
          <w:tcPr>
            <w:tcW w:w="1740" w:type="pct"/>
            <w:tcBorders>
              <w:top w:val="single" w:sz="4" w:space="0" w:color="auto"/>
              <w:left w:val="single" w:sz="4" w:space="0" w:color="auto"/>
              <w:bottom w:val="single" w:sz="4" w:space="0" w:color="auto"/>
              <w:right w:val="single" w:sz="4" w:space="0" w:color="auto"/>
            </w:tcBorders>
            <w:hideMark/>
          </w:tcPr>
          <w:p w:rsidR="005018FF" w:rsidRPr="00CF5FBA" w:rsidRDefault="005018FF" w:rsidP="008C2C1A">
            <w:pPr>
              <w:ind w:left="57" w:right="57"/>
              <w:contextualSpacing/>
              <w:rPr>
                <w:sz w:val="26"/>
                <w:szCs w:val="26"/>
                <w:lang w:val="lv-LV"/>
              </w:rPr>
            </w:pPr>
            <w:r w:rsidRPr="00CF5FBA">
              <w:rPr>
                <w:sz w:val="26"/>
                <w:szCs w:val="26"/>
                <w:lang w:val="lv-LV"/>
              </w:rPr>
              <w:t xml:space="preserve"> Sabiedrības </w:t>
            </w:r>
            <w:proofErr w:type="spellStart"/>
            <w:r w:rsidRPr="00CF5FBA">
              <w:rPr>
                <w:sz w:val="26"/>
                <w:szCs w:val="26"/>
                <w:lang w:val="lv-LV"/>
              </w:rPr>
              <w:t>mērķgrupas</w:t>
            </w:r>
            <w:proofErr w:type="spellEnd"/>
            <w:r w:rsidRPr="00CF5FBA">
              <w:rPr>
                <w:sz w:val="26"/>
                <w:szCs w:val="26"/>
                <w:lang w:val="lv-LV"/>
              </w:rPr>
              <w:t>, kuras tiesiskais regulējums  ietekmē vai varētu ietekmēt</w:t>
            </w:r>
          </w:p>
        </w:tc>
        <w:tc>
          <w:tcPr>
            <w:tcW w:w="2972" w:type="pct"/>
            <w:tcBorders>
              <w:top w:val="single" w:sz="4" w:space="0" w:color="auto"/>
              <w:left w:val="single" w:sz="4" w:space="0" w:color="auto"/>
              <w:bottom w:val="single" w:sz="4" w:space="0" w:color="auto"/>
              <w:right w:val="single" w:sz="4" w:space="0" w:color="auto"/>
            </w:tcBorders>
            <w:hideMark/>
          </w:tcPr>
          <w:p w:rsidR="005018FF" w:rsidRPr="00CF5FBA" w:rsidRDefault="005018FF" w:rsidP="008C2C1A">
            <w:pPr>
              <w:ind w:left="57" w:right="57"/>
              <w:contextualSpacing/>
              <w:jc w:val="both"/>
              <w:rPr>
                <w:sz w:val="26"/>
                <w:szCs w:val="26"/>
                <w:lang w:val="lv-LV"/>
              </w:rPr>
            </w:pPr>
            <w:r w:rsidRPr="00CF5FBA">
              <w:rPr>
                <w:iCs/>
                <w:sz w:val="26"/>
                <w:szCs w:val="26"/>
                <w:lang w:val="lv-LV"/>
              </w:rPr>
              <w:t>Noteikumu projekta regulējums var ietekmēt jebkuru personu, kura ierosinās un veiks būvniecību, kā arī institūcijas, kuras iesaistītas būvniecības procesā. Tāpat arī ietekmēs būvniecības nozarē strādājošos būvdarbu veicējus.</w:t>
            </w:r>
          </w:p>
        </w:tc>
      </w:tr>
      <w:tr w:rsidR="005018FF" w:rsidRPr="00DF184D" w:rsidTr="008C2C1A">
        <w:trPr>
          <w:trHeight w:val="523"/>
        </w:trPr>
        <w:tc>
          <w:tcPr>
            <w:tcW w:w="289" w:type="pct"/>
            <w:tcBorders>
              <w:top w:val="single" w:sz="4" w:space="0" w:color="auto"/>
              <w:left w:val="single" w:sz="4" w:space="0" w:color="auto"/>
              <w:bottom w:val="single" w:sz="4" w:space="0" w:color="auto"/>
              <w:right w:val="single" w:sz="4" w:space="0" w:color="auto"/>
            </w:tcBorders>
            <w:hideMark/>
          </w:tcPr>
          <w:p w:rsidR="005018FF" w:rsidRPr="00CF5FBA" w:rsidRDefault="005018FF" w:rsidP="008C2C1A">
            <w:pPr>
              <w:ind w:left="57" w:right="57"/>
              <w:contextualSpacing/>
              <w:rPr>
                <w:sz w:val="26"/>
                <w:szCs w:val="26"/>
                <w:lang w:val="lv-LV"/>
              </w:rPr>
            </w:pPr>
            <w:r w:rsidRPr="00CF5FBA">
              <w:rPr>
                <w:sz w:val="26"/>
                <w:szCs w:val="26"/>
                <w:lang w:val="lv-LV"/>
              </w:rPr>
              <w:t> 2.</w:t>
            </w:r>
          </w:p>
        </w:tc>
        <w:tc>
          <w:tcPr>
            <w:tcW w:w="1740" w:type="pct"/>
            <w:tcBorders>
              <w:top w:val="single" w:sz="4" w:space="0" w:color="auto"/>
              <w:left w:val="single" w:sz="4" w:space="0" w:color="auto"/>
              <w:bottom w:val="single" w:sz="4" w:space="0" w:color="auto"/>
              <w:right w:val="single" w:sz="4" w:space="0" w:color="auto"/>
            </w:tcBorders>
            <w:hideMark/>
          </w:tcPr>
          <w:p w:rsidR="005018FF" w:rsidRPr="00CF5FBA" w:rsidRDefault="005018FF" w:rsidP="008C2C1A">
            <w:pPr>
              <w:ind w:left="57" w:right="57"/>
              <w:contextualSpacing/>
              <w:rPr>
                <w:sz w:val="26"/>
                <w:szCs w:val="26"/>
                <w:lang w:val="lv-LV"/>
              </w:rPr>
            </w:pPr>
            <w:r w:rsidRPr="00CF5FBA">
              <w:rPr>
                <w:sz w:val="26"/>
                <w:szCs w:val="26"/>
                <w:lang w:val="lv-LV"/>
              </w:rPr>
              <w:t>Tiesiskā regulējuma ietekme uz tautsaimniecību un administratīvo slogu</w:t>
            </w:r>
          </w:p>
        </w:tc>
        <w:tc>
          <w:tcPr>
            <w:tcW w:w="2972" w:type="pct"/>
            <w:tcBorders>
              <w:top w:val="single" w:sz="4" w:space="0" w:color="auto"/>
              <w:left w:val="single" w:sz="4" w:space="0" w:color="auto"/>
              <w:bottom w:val="single" w:sz="4" w:space="0" w:color="auto"/>
              <w:right w:val="single" w:sz="4" w:space="0" w:color="auto"/>
            </w:tcBorders>
            <w:hideMark/>
          </w:tcPr>
          <w:p w:rsidR="005018FF" w:rsidRPr="00CF5FBA" w:rsidRDefault="005018FF" w:rsidP="008C2C1A">
            <w:pPr>
              <w:ind w:right="57"/>
              <w:contextualSpacing/>
              <w:jc w:val="both"/>
              <w:rPr>
                <w:sz w:val="26"/>
                <w:szCs w:val="26"/>
                <w:lang w:val="lv-LV"/>
              </w:rPr>
            </w:pPr>
            <w:r w:rsidRPr="00CF5FBA">
              <w:rPr>
                <w:sz w:val="26"/>
                <w:szCs w:val="26"/>
                <w:lang w:val="lv-LV"/>
              </w:rPr>
              <w:t xml:space="preserve">Šīs sadaļas 1. punktā minētajām sabiedrības </w:t>
            </w:r>
            <w:proofErr w:type="spellStart"/>
            <w:r w:rsidRPr="00CF5FBA">
              <w:rPr>
                <w:sz w:val="26"/>
                <w:szCs w:val="26"/>
                <w:lang w:val="lv-LV"/>
              </w:rPr>
              <w:t>mērķgrupām</w:t>
            </w:r>
            <w:proofErr w:type="spellEnd"/>
            <w:r w:rsidRPr="00CF5FBA">
              <w:rPr>
                <w:sz w:val="26"/>
                <w:szCs w:val="26"/>
                <w:lang w:val="lv-LV"/>
              </w:rPr>
              <w:t xml:space="preserve"> un institūcijām projekta tiesiskais regulējums nemaina tiesības un pienākumus, kā arī veicamās darbības salīdzinājumā ar līdzšinējo normatīvo regulējumu.</w:t>
            </w:r>
          </w:p>
        </w:tc>
      </w:tr>
      <w:tr w:rsidR="005018FF" w:rsidRPr="00DF184D" w:rsidTr="008C2C1A">
        <w:trPr>
          <w:trHeight w:val="517"/>
        </w:trPr>
        <w:tc>
          <w:tcPr>
            <w:tcW w:w="289" w:type="pct"/>
            <w:tcBorders>
              <w:top w:val="single" w:sz="4" w:space="0" w:color="auto"/>
              <w:left w:val="single" w:sz="4" w:space="0" w:color="auto"/>
              <w:bottom w:val="single" w:sz="4" w:space="0" w:color="auto"/>
              <w:right w:val="single" w:sz="4" w:space="0" w:color="auto"/>
            </w:tcBorders>
            <w:hideMark/>
          </w:tcPr>
          <w:p w:rsidR="005018FF" w:rsidRPr="00CF5FBA" w:rsidRDefault="005018FF" w:rsidP="008C2C1A">
            <w:pPr>
              <w:ind w:left="57" w:right="57"/>
              <w:contextualSpacing/>
              <w:rPr>
                <w:sz w:val="26"/>
                <w:szCs w:val="26"/>
                <w:lang w:val="lv-LV"/>
              </w:rPr>
            </w:pPr>
            <w:r w:rsidRPr="00CF5FBA">
              <w:rPr>
                <w:sz w:val="26"/>
                <w:szCs w:val="26"/>
                <w:lang w:val="lv-LV"/>
              </w:rPr>
              <w:lastRenderedPageBreak/>
              <w:t> 3.</w:t>
            </w:r>
          </w:p>
        </w:tc>
        <w:tc>
          <w:tcPr>
            <w:tcW w:w="1740" w:type="pct"/>
            <w:tcBorders>
              <w:top w:val="single" w:sz="4" w:space="0" w:color="auto"/>
              <w:left w:val="single" w:sz="4" w:space="0" w:color="auto"/>
              <w:bottom w:val="single" w:sz="4" w:space="0" w:color="auto"/>
              <w:right w:val="single" w:sz="4" w:space="0" w:color="auto"/>
            </w:tcBorders>
            <w:hideMark/>
          </w:tcPr>
          <w:p w:rsidR="005018FF" w:rsidRPr="00CF5FBA" w:rsidRDefault="005018FF" w:rsidP="008C2C1A">
            <w:pPr>
              <w:ind w:left="57" w:right="57"/>
              <w:contextualSpacing/>
              <w:rPr>
                <w:sz w:val="26"/>
                <w:szCs w:val="26"/>
                <w:lang w:val="lv-LV"/>
              </w:rPr>
            </w:pPr>
            <w:r w:rsidRPr="00CF5FBA">
              <w:rPr>
                <w:sz w:val="26"/>
                <w:szCs w:val="26"/>
                <w:lang w:val="lv-LV"/>
              </w:rPr>
              <w:t>Administratīvo izmaksu monetārs novērtējums</w:t>
            </w:r>
          </w:p>
        </w:tc>
        <w:tc>
          <w:tcPr>
            <w:tcW w:w="2972" w:type="pct"/>
            <w:tcBorders>
              <w:top w:val="single" w:sz="4" w:space="0" w:color="auto"/>
              <w:left w:val="single" w:sz="4" w:space="0" w:color="auto"/>
              <w:bottom w:val="single" w:sz="4" w:space="0" w:color="auto"/>
              <w:right w:val="single" w:sz="4" w:space="0" w:color="auto"/>
            </w:tcBorders>
            <w:hideMark/>
          </w:tcPr>
          <w:p w:rsidR="005018FF" w:rsidRPr="00CF5FBA" w:rsidRDefault="005018FF" w:rsidP="008C2C1A">
            <w:pPr>
              <w:ind w:left="57" w:right="57"/>
              <w:contextualSpacing/>
              <w:jc w:val="both"/>
              <w:rPr>
                <w:sz w:val="26"/>
                <w:szCs w:val="26"/>
                <w:lang w:val="lv-LV"/>
              </w:rPr>
            </w:pPr>
            <w:r w:rsidRPr="00CF5FBA">
              <w:rPr>
                <w:sz w:val="26"/>
                <w:szCs w:val="26"/>
                <w:lang w:val="lv-LV"/>
              </w:rPr>
              <w:t>Noteikumu projekts šo jomu neskar</w:t>
            </w:r>
          </w:p>
        </w:tc>
      </w:tr>
      <w:tr w:rsidR="005018FF" w:rsidRPr="00CF5FBA" w:rsidTr="008C2C1A">
        <w:tc>
          <w:tcPr>
            <w:tcW w:w="289" w:type="pct"/>
            <w:tcBorders>
              <w:top w:val="single" w:sz="4" w:space="0" w:color="auto"/>
              <w:left w:val="single" w:sz="4" w:space="0" w:color="auto"/>
              <w:bottom w:val="single" w:sz="4" w:space="0" w:color="auto"/>
              <w:right w:val="single" w:sz="4" w:space="0" w:color="auto"/>
            </w:tcBorders>
            <w:hideMark/>
          </w:tcPr>
          <w:p w:rsidR="005018FF" w:rsidRPr="00CF5FBA" w:rsidRDefault="005018FF" w:rsidP="008C2C1A">
            <w:pPr>
              <w:ind w:left="57" w:right="57"/>
              <w:contextualSpacing/>
              <w:rPr>
                <w:sz w:val="26"/>
                <w:szCs w:val="26"/>
                <w:lang w:val="lv-LV"/>
              </w:rPr>
            </w:pPr>
            <w:r w:rsidRPr="00CF5FBA">
              <w:rPr>
                <w:sz w:val="26"/>
                <w:szCs w:val="26"/>
                <w:lang w:val="lv-LV"/>
              </w:rPr>
              <w:t> 4.</w:t>
            </w:r>
          </w:p>
        </w:tc>
        <w:tc>
          <w:tcPr>
            <w:tcW w:w="1740" w:type="pct"/>
            <w:tcBorders>
              <w:top w:val="single" w:sz="4" w:space="0" w:color="auto"/>
              <w:left w:val="single" w:sz="4" w:space="0" w:color="auto"/>
              <w:bottom w:val="single" w:sz="4" w:space="0" w:color="auto"/>
              <w:right w:val="single" w:sz="4" w:space="0" w:color="auto"/>
            </w:tcBorders>
            <w:hideMark/>
          </w:tcPr>
          <w:p w:rsidR="005018FF" w:rsidRPr="00CF5FBA" w:rsidRDefault="005018FF" w:rsidP="008C2C1A">
            <w:pPr>
              <w:ind w:left="57" w:right="57"/>
              <w:contextualSpacing/>
              <w:rPr>
                <w:sz w:val="26"/>
                <w:szCs w:val="26"/>
                <w:lang w:val="lv-LV"/>
              </w:rPr>
            </w:pPr>
            <w:r w:rsidRPr="00CF5FBA">
              <w:rPr>
                <w:sz w:val="26"/>
                <w:szCs w:val="26"/>
                <w:lang w:val="lv-LV"/>
              </w:rPr>
              <w:t> Cita informācija</w:t>
            </w:r>
          </w:p>
        </w:tc>
        <w:tc>
          <w:tcPr>
            <w:tcW w:w="2972" w:type="pct"/>
            <w:tcBorders>
              <w:top w:val="single" w:sz="4" w:space="0" w:color="auto"/>
              <w:left w:val="single" w:sz="4" w:space="0" w:color="auto"/>
              <w:bottom w:val="single" w:sz="4" w:space="0" w:color="auto"/>
              <w:right w:val="single" w:sz="4" w:space="0" w:color="auto"/>
            </w:tcBorders>
            <w:hideMark/>
          </w:tcPr>
          <w:p w:rsidR="005018FF" w:rsidRPr="00CF5FBA" w:rsidRDefault="005018FF" w:rsidP="008C2C1A">
            <w:pPr>
              <w:ind w:left="57" w:right="57"/>
              <w:contextualSpacing/>
              <w:jc w:val="both"/>
              <w:rPr>
                <w:sz w:val="26"/>
                <w:szCs w:val="26"/>
                <w:lang w:val="lv-LV"/>
              </w:rPr>
            </w:pPr>
            <w:r w:rsidRPr="00CF5FBA">
              <w:rPr>
                <w:sz w:val="26"/>
                <w:szCs w:val="26"/>
                <w:lang w:val="lv-LV"/>
              </w:rPr>
              <w:t>Nav</w:t>
            </w:r>
          </w:p>
        </w:tc>
      </w:tr>
    </w:tbl>
    <w:p w:rsidR="005018FF" w:rsidRDefault="005018FF" w:rsidP="005018FF">
      <w:pPr>
        <w:ind w:left="57" w:right="57"/>
        <w:contextualSpacing/>
        <w:rPr>
          <w:sz w:val="28"/>
          <w:szCs w:val="28"/>
          <w:lang w:val="lv-LV"/>
        </w:rPr>
      </w:pPr>
    </w:p>
    <w:p w:rsidR="00237BB4" w:rsidRDefault="00237BB4" w:rsidP="005018FF">
      <w:pPr>
        <w:ind w:left="57" w:right="57"/>
        <w:contextualSpacing/>
        <w:rPr>
          <w:sz w:val="28"/>
          <w:szCs w:val="28"/>
          <w:lang w:val="lv-LV"/>
        </w:rPr>
      </w:pPr>
    </w:p>
    <w:p w:rsidR="00237BB4" w:rsidRDefault="00237BB4" w:rsidP="005018FF">
      <w:pPr>
        <w:ind w:left="57" w:right="57"/>
        <w:contextualSpacing/>
        <w:rPr>
          <w:sz w:val="28"/>
          <w:szCs w:val="28"/>
          <w:lang w:val="lv-LV"/>
        </w:rPr>
      </w:pPr>
    </w:p>
    <w:p w:rsidR="00237BB4" w:rsidRPr="00A93F52" w:rsidRDefault="00237BB4" w:rsidP="005018FF">
      <w:pPr>
        <w:ind w:left="57" w:right="57"/>
        <w:contextualSpacing/>
        <w:rPr>
          <w:sz w:val="28"/>
          <w:szCs w:val="28"/>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9"/>
        <w:gridCol w:w="2698"/>
        <w:gridCol w:w="5804"/>
      </w:tblGrid>
      <w:tr w:rsidR="005018FF" w:rsidRPr="00DF184D" w:rsidTr="008C2C1A">
        <w:trPr>
          <w:jc w:val="center"/>
        </w:trPr>
        <w:tc>
          <w:tcPr>
            <w:tcW w:w="5000" w:type="pct"/>
            <w:gridSpan w:val="3"/>
          </w:tcPr>
          <w:p w:rsidR="005018FF" w:rsidRPr="00A93F52" w:rsidRDefault="005018FF" w:rsidP="008C2C1A">
            <w:pPr>
              <w:pStyle w:val="naisnod"/>
              <w:spacing w:before="0" w:after="0"/>
              <w:ind w:left="57" w:right="57"/>
              <w:contextualSpacing/>
              <w:rPr>
                <w:sz w:val="28"/>
                <w:szCs w:val="28"/>
              </w:rPr>
            </w:pPr>
            <w:r w:rsidRPr="00A93F52">
              <w:rPr>
                <w:sz w:val="28"/>
                <w:szCs w:val="28"/>
              </w:rPr>
              <w:t>VI. Sabiedrības līdzdalība un komunikācijas aktivitātes</w:t>
            </w:r>
          </w:p>
        </w:tc>
      </w:tr>
      <w:tr w:rsidR="005018FF" w:rsidRPr="00DF184D" w:rsidTr="008C2C1A">
        <w:trPr>
          <w:trHeight w:val="553"/>
          <w:jc w:val="center"/>
        </w:trPr>
        <w:tc>
          <w:tcPr>
            <w:tcW w:w="308" w:type="pct"/>
          </w:tcPr>
          <w:p w:rsidR="005018FF" w:rsidRPr="00CF5FBA" w:rsidRDefault="005018FF" w:rsidP="008C2C1A">
            <w:pPr>
              <w:pStyle w:val="naiskr"/>
              <w:spacing w:before="0" w:after="0"/>
              <w:ind w:left="57" w:right="57"/>
              <w:contextualSpacing/>
              <w:rPr>
                <w:bCs/>
                <w:sz w:val="26"/>
                <w:szCs w:val="26"/>
              </w:rPr>
            </w:pPr>
            <w:r w:rsidRPr="00CF5FBA">
              <w:rPr>
                <w:bCs/>
                <w:sz w:val="26"/>
                <w:szCs w:val="26"/>
              </w:rPr>
              <w:t>1.</w:t>
            </w:r>
          </w:p>
        </w:tc>
        <w:tc>
          <w:tcPr>
            <w:tcW w:w="1489" w:type="pct"/>
          </w:tcPr>
          <w:p w:rsidR="005018FF" w:rsidRPr="00CF5FBA" w:rsidRDefault="005018FF" w:rsidP="008C2C1A">
            <w:pPr>
              <w:pStyle w:val="naiskr"/>
              <w:tabs>
                <w:tab w:val="left" w:pos="170"/>
              </w:tabs>
              <w:spacing w:before="0" w:after="0"/>
              <w:ind w:left="57" w:right="57"/>
              <w:contextualSpacing/>
              <w:rPr>
                <w:sz w:val="26"/>
                <w:szCs w:val="26"/>
              </w:rPr>
            </w:pPr>
            <w:r w:rsidRPr="00CF5FBA">
              <w:rPr>
                <w:sz w:val="26"/>
                <w:szCs w:val="26"/>
              </w:rPr>
              <w:t>Sabiedrības informēšana par projekta izstrādes uzsākšanu</w:t>
            </w:r>
          </w:p>
        </w:tc>
        <w:tc>
          <w:tcPr>
            <w:tcW w:w="3203" w:type="pct"/>
          </w:tcPr>
          <w:p w:rsidR="005018FF" w:rsidRPr="00CF5FBA" w:rsidRDefault="005018FF" w:rsidP="00186DE6">
            <w:pPr>
              <w:pStyle w:val="naiskr"/>
              <w:spacing w:before="0" w:after="0"/>
              <w:ind w:left="57" w:right="57"/>
              <w:contextualSpacing/>
              <w:jc w:val="both"/>
              <w:rPr>
                <w:sz w:val="26"/>
                <w:szCs w:val="26"/>
              </w:rPr>
            </w:pPr>
            <w:r w:rsidRPr="004C4E7D">
              <w:rPr>
                <w:sz w:val="26"/>
                <w:szCs w:val="26"/>
                <w:lang w:eastAsia="en-US"/>
              </w:rPr>
              <w:t>Noteikumu projekts tika saskaņots ar Latvijas Siltuma, gāzes un ūdens tehnoloģijas inženieru savienības Sta</w:t>
            </w:r>
            <w:r w:rsidR="00B97157">
              <w:rPr>
                <w:sz w:val="26"/>
                <w:szCs w:val="26"/>
                <w:lang w:eastAsia="en-US"/>
              </w:rPr>
              <w:t>ndartizācijas Tehnisko komiteju,</w:t>
            </w:r>
            <w:r w:rsidR="00C245D5" w:rsidRPr="00496A28">
              <w:rPr>
                <w:color w:val="FF0000"/>
                <w:sz w:val="26"/>
                <w:szCs w:val="26"/>
                <w:lang w:eastAsia="en-US"/>
              </w:rPr>
              <w:t xml:space="preserve"> </w:t>
            </w:r>
            <w:r w:rsidR="00CA291C">
              <w:rPr>
                <w:color w:val="000000" w:themeColor="text1"/>
                <w:sz w:val="26"/>
                <w:szCs w:val="26"/>
                <w:lang w:eastAsia="en-US"/>
              </w:rPr>
              <w:t>Latvijas ū</w:t>
            </w:r>
            <w:r w:rsidR="00C245D5" w:rsidRPr="00186DE6">
              <w:rPr>
                <w:color w:val="000000" w:themeColor="text1"/>
                <w:sz w:val="26"/>
                <w:szCs w:val="26"/>
                <w:lang w:eastAsia="en-US"/>
              </w:rPr>
              <w:t>densapgādes un kanalizācijas uzņēmumu asociāciju. Noteikumu projekts sabiedrībai publiski ir pieejams Ekonomikas ministrijas tīmekļvietnē.</w:t>
            </w:r>
            <w:r w:rsidRPr="00186DE6">
              <w:rPr>
                <w:color w:val="000000" w:themeColor="text1"/>
                <w:sz w:val="26"/>
                <w:szCs w:val="26"/>
                <w:lang w:eastAsia="en-US"/>
              </w:rPr>
              <w:t xml:space="preserve"> </w:t>
            </w:r>
          </w:p>
        </w:tc>
      </w:tr>
      <w:tr w:rsidR="005018FF" w:rsidRPr="00DF184D" w:rsidTr="008C2C1A">
        <w:trPr>
          <w:trHeight w:val="339"/>
          <w:jc w:val="center"/>
        </w:trPr>
        <w:tc>
          <w:tcPr>
            <w:tcW w:w="308" w:type="pct"/>
          </w:tcPr>
          <w:p w:rsidR="005018FF" w:rsidRPr="00CF5FBA" w:rsidRDefault="005018FF" w:rsidP="008C2C1A">
            <w:pPr>
              <w:pStyle w:val="naiskr"/>
              <w:spacing w:before="0" w:after="0"/>
              <w:ind w:left="57" w:right="57"/>
              <w:contextualSpacing/>
              <w:rPr>
                <w:bCs/>
                <w:sz w:val="26"/>
                <w:szCs w:val="26"/>
              </w:rPr>
            </w:pPr>
            <w:r w:rsidRPr="00CF5FBA">
              <w:rPr>
                <w:bCs/>
                <w:sz w:val="26"/>
                <w:szCs w:val="26"/>
              </w:rPr>
              <w:t>2.</w:t>
            </w:r>
          </w:p>
        </w:tc>
        <w:tc>
          <w:tcPr>
            <w:tcW w:w="1489" w:type="pct"/>
          </w:tcPr>
          <w:p w:rsidR="005018FF" w:rsidRPr="00CF5FBA" w:rsidRDefault="005018FF" w:rsidP="008C2C1A">
            <w:pPr>
              <w:pStyle w:val="naiskr"/>
              <w:spacing w:before="0" w:after="0"/>
              <w:ind w:left="57" w:right="57"/>
              <w:contextualSpacing/>
              <w:rPr>
                <w:sz w:val="26"/>
                <w:szCs w:val="26"/>
              </w:rPr>
            </w:pPr>
            <w:r w:rsidRPr="00CF5FBA">
              <w:rPr>
                <w:sz w:val="26"/>
                <w:szCs w:val="26"/>
              </w:rPr>
              <w:t xml:space="preserve">Sabiedrības līdzdalība projekta izstrādē </w:t>
            </w:r>
          </w:p>
        </w:tc>
        <w:tc>
          <w:tcPr>
            <w:tcW w:w="3203" w:type="pct"/>
          </w:tcPr>
          <w:p w:rsidR="005018FF" w:rsidRPr="00CF5FBA" w:rsidRDefault="005018FF" w:rsidP="008C2C1A">
            <w:pPr>
              <w:pStyle w:val="naiskr"/>
              <w:spacing w:before="0" w:after="0"/>
              <w:ind w:left="57" w:right="57"/>
              <w:contextualSpacing/>
              <w:jc w:val="both"/>
              <w:rPr>
                <w:sz w:val="26"/>
                <w:szCs w:val="26"/>
              </w:rPr>
            </w:pPr>
            <w:r w:rsidRPr="00CF5FBA">
              <w:rPr>
                <w:sz w:val="26"/>
                <w:szCs w:val="26"/>
                <w:lang w:eastAsia="en-US"/>
              </w:rPr>
              <w:t>Sabiedrības priekšlikumi vai iebildumi nav saņemti.</w:t>
            </w:r>
          </w:p>
        </w:tc>
      </w:tr>
      <w:tr w:rsidR="005018FF" w:rsidRPr="00DF184D" w:rsidTr="008C2C1A">
        <w:trPr>
          <w:trHeight w:val="375"/>
          <w:jc w:val="center"/>
        </w:trPr>
        <w:tc>
          <w:tcPr>
            <w:tcW w:w="308" w:type="pct"/>
          </w:tcPr>
          <w:p w:rsidR="005018FF" w:rsidRPr="00CF5FBA" w:rsidRDefault="005018FF" w:rsidP="008C2C1A">
            <w:pPr>
              <w:pStyle w:val="naiskr"/>
              <w:spacing w:before="0" w:after="0"/>
              <w:ind w:left="57" w:right="57"/>
              <w:contextualSpacing/>
              <w:rPr>
                <w:bCs/>
                <w:sz w:val="26"/>
                <w:szCs w:val="26"/>
              </w:rPr>
            </w:pPr>
            <w:r w:rsidRPr="00CF5FBA">
              <w:rPr>
                <w:bCs/>
                <w:sz w:val="26"/>
                <w:szCs w:val="26"/>
              </w:rPr>
              <w:t>3.</w:t>
            </w:r>
          </w:p>
        </w:tc>
        <w:tc>
          <w:tcPr>
            <w:tcW w:w="1489" w:type="pct"/>
          </w:tcPr>
          <w:p w:rsidR="005018FF" w:rsidRPr="00CF5FBA" w:rsidRDefault="005018FF" w:rsidP="008C2C1A">
            <w:pPr>
              <w:pStyle w:val="naiskr"/>
              <w:spacing w:before="0" w:after="0"/>
              <w:ind w:left="57" w:right="57"/>
              <w:contextualSpacing/>
              <w:rPr>
                <w:sz w:val="26"/>
                <w:szCs w:val="26"/>
              </w:rPr>
            </w:pPr>
            <w:r w:rsidRPr="00CF5FBA">
              <w:rPr>
                <w:sz w:val="26"/>
                <w:szCs w:val="26"/>
              </w:rPr>
              <w:t xml:space="preserve">Sabiedrības līdzdalības rezultāti </w:t>
            </w:r>
          </w:p>
        </w:tc>
        <w:tc>
          <w:tcPr>
            <w:tcW w:w="3203" w:type="pct"/>
          </w:tcPr>
          <w:p w:rsidR="005018FF" w:rsidRPr="00CF5FBA" w:rsidRDefault="005018FF" w:rsidP="008C2C1A">
            <w:pPr>
              <w:pStyle w:val="naiskr"/>
              <w:spacing w:before="0" w:after="0"/>
              <w:ind w:left="57" w:right="57"/>
              <w:contextualSpacing/>
              <w:jc w:val="both"/>
              <w:rPr>
                <w:sz w:val="26"/>
                <w:szCs w:val="26"/>
              </w:rPr>
            </w:pPr>
            <w:r w:rsidRPr="00CF5FBA">
              <w:rPr>
                <w:sz w:val="26"/>
                <w:szCs w:val="26"/>
                <w:lang w:eastAsia="en-US"/>
              </w:rPr>
              <w:t>Sadaļa tiks precizēta atbilstoši saņemtajiem atzinumiem.</w:t>
            </w:r>
          </w:p>
        </w:tc>
      </w:tr>
      <w:tr w:rsidR="005018FF" w:rsidRPr="00CF5FBA" w:rsidTr="008C2C1A">
        <w:trPr>
          <w:trHeight w:val="476"/>
          <w:jc w:val="center"/>
        </w:trPr>
        <w:tc>
          <w:tcPr>
            <w:tcW w:w="308" w:type="pct"/>
          </w:tcPr>
          <w:p w:rsidR="005018FF" w:rsidRPr="00CF5FBA" w:rsidRDefault="005018FF" w:rsidP="008C2C1A">
            <w:pPr>
              <w:pStyle w:val="naiskr"/>
              <w:spacing w:before="0" w:after="0"/>
              <w:ind w:left="57" w:right="57"/>
              <w:contextualSpacing/>
              <w:rPr>
                <w:bCs/>
                <w:sz w:val="26"/>
                <w:szCs w:val="26"/>
              </w:rPr>
            </w:pPr>
            <w:r w:rsidRPr="00CF5FBA">
              <w:rPr>
                <w:bCs/>
                <w:sz w:val="26"/>
                <w:szCs w:val="26"/>
              </w:rPr>
              <w:t>4.</w:t>
            </w:r>
          </w:p>
        </w:tc>
        <w:tc>
          <w:tcPr>
            <w:tcW w:w="1489" w:type="pct"/>
          </w:tcPr>
          <w:p w:rsidR="005018FF" w:rsidRPr="00CF5FBA" w:rsidRDefault="005018FF" w:rsidP="008C2C1A">
            <w:pPr>
              <w:pStyle w:val="naiskr"/>
              <w:spacing w:before="0" w:after="0"/>
              <w:ind w:left="57" w:right="57"/>
              <w:contextualSpacing/>
              <w:rPr>
                <w:sz w:val="26"/>
                <w:szCs w:val="26"/>
              </w:rPr>
            </w:pPr>
            <w:r w:rsidRPr="00CF5FBA">
              <w:rPr>
                <w:sz w:val="26"/>
                <w:szCs w:val="26"/>
              </w:rPr>
              <w:t>Cita informācija</w:t>
            </w:r>
          </w:p>
        </w:tc>
        <w:tc>
          <w:tcPr>
            <w:tcW w:w="3203" w:type="pct"/>
          </w:tcPr>
          <w:p w:rsidR="005018FF" w:rsidRPr="00CF5FBA" w:rsidRDefault="005018FF" w:rsidP="008C2C1A">
            <w:pPr>
              <w:pStyle w:val="naiskr"/>
              <w:spacing w:before="0" w:after="0"/>
              <w:ind w:left="57" w:right="57"/>
              <w:contextualSpacing/>
              <w:jc w:val="both"/>
              <w:rPr>
                <w:sz w:val="26"/>
                <w:szCs w:val="26"/>
              </w:rPr>
            </w:pPr>
            <w:r w:rsidRPr="00CF5FBA">
              <w:rPr>
                <w:sz w:val="26"/>
                <w:szCs w:val="26"/>
              </w:rPr>
              <w:t>Nav</w:t>
            </w:r>
          </w:p>
        </w:tc>
      </w:tr>
    </w:tbl>
    <w:p w:rsidR="005018FF" w:rsidRPr="00CF5FBA" w:rsidRDefault="005018FF" w:rsidP="005018FF">
      <w:pPr>
        <w:pStyle w:val="naisf"/>
        <w:tabs>
          <w:tab w:val="left" w:pos="6710"/>
        </w:tabs>
        <w:spacing w:before="120" w:after="240"/>
        <w:rPr>
          <w:i/>
          <w:sz w:val="28"/>
          <w:szCs w:val="28"/>
        </w:rPr>
      </w:pPr>
      <w:r w:rsidRPr="00CF5FBA">
        <w:rPr>
          <w:i/>
          <w:sz w:val="28"/>
          <w:szCs w:val="28"/>
        </w:rPr>
        <w:t>Anotācijas III, IV, V un VII sadaļa – projekts šīs jomas neskar.</w:t>
      </w:r>
    </w:p>
    <w:p w:rsidR="006E005C" w:rsidRDefault="006E005C" w:rsidP="005018FF">
      <w:pPr>
        <w:jc w:val="both"/>
        <w:rPr>
          <w:sz w:val="28"/>
          <w:szCs w:val="28"/>
          <w:lang w:val="lv-LV"/>
        </w:rPr>
      </w:pPr>
    </w:p>
    <w:p w:rsidR="005018FF" w:rsidRPr="00CF5FBA" w:rsidRDefault="005018FF" w:rsidP="005018FF">
      <w:pPr>
        <w:jc w:val="both"/>
        <w:rPr>
          <w:sz w:val="28"/>
          <w:szCs w:val="28"/>
          <w:lang w:val="lv-LV"/>
        </w:rPr>
      </w:pP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p>
    <w:p w:rsidR="005018FF" w:rsidRPr="00CF5FBA" w:rsidRDefault="005018FF" w:rsidP="005018FF">
      <w:pPr>
        <w:jc w:val="both"/>
        <w:rPr>
          <w:sz w:val="28"/>
          <w:szCs w:val="28"/>
          <w:lang w:val="lv-LV"/>
        </w:rPr>
      </w:pPr>
      <w:r w:rsidRPr="00CF5FBA">
        <w:rPr>
          <w:sz w:val="28"/>
          <w:szCs w:val="28"/>
          <w:lang w:val="lv-LV"/>
        </w:rPr>
        <w:t>Iesniedzējs:</w:t>
      </w:r>
    </w:p>
    <w:p w:rsidR="005018FF" w:rsidRPr="001C4EBA" w:rsidRDefault="005018FF" w:rsidP="005018FF">
      <w:pPr>
        <w:jc w:val="both"/>
        <w:rPr>
          <w:sz w:val="28"/>
          <w:szCs w:val="28"/>
          <w:lang w:val="lv-LV"/>
        </w:rPr>
      </w:pPr>
      <w:r w:rsidRPr="001C4EBA">
        <w:rPr>
          <w:sz w:val="28"/>
          <w:szCs w:val="28"/>
          <w:lang w:val="lv-LV"/>
        </w:rPr>
        <w:t xml:space="preserve">Ministru prezidenta biedrs, </w:t>
      </w:r>
    </w:p>
    <w:p w:rsidR="005018FF" w:rsidRPr="00CF5FBA" w:rsidRDefault="005018FF" w:rsidP="005018FF">
      <w:pPr>
        <w:jc w:val="both"/>
        <w:rPr>
          <w:sz w:val="28"/>
          <w:szCs w:val="28"/>
          <w:lang w:val="lv-LV"/>
        </w:rPr>
      </w:pPr>
      <w:r w:rsidRPr="001C4EBA">
        <w:rPr>
          <w:sz w:val="28"/>
          <w:szCs w:val="28"/>
          <w:lang w:val="lv-LV"/>
        </w:rPr>
        <w:t>ekonomikas ministrs</w:t>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Pr>
          <w:sz w:val="28"/>
          <w:szCs w:val="28"/>
          <w:lang w:val="lv-LV"/>
        </w:rPr>
        <w:t xml:space="preserve">      </w:t>
      </w:r>
      <w:r w:rsidRPr="001C4EBA">
        <w:rPr>
          <w:sz w:val="28"/>
          <w:szCs w:val="28"/>
          <w:lang w:val="lv-LV"/>
        </w:rPr>
        <w:t>Arvils Ašeradens</w:t>
      </w:r>
    </w:p>
    <w:p w:rsidR="005018FF" w:rsidRDefault="005018FF" w:rsidP="005018FF">
      <w:pPr>
        <w:rPr>
          <w:sz w:val="28"/>
          <w:szCs w:val="28"/>
          <w:lang w:val="lv-LV"/>
        </w:rPr>
      </w:pPr>
    </w:p>
    <w:p w:rsidR="005018FF" w:rsidRPr="00CF5FBA" w:rsidRDefault="005018FF" w:rsidP="005018FF">
      <w:pPr>
        <w:rPr>
          <w:sz w:val="28"/>
          <w:szCs w:val="28"/>
          <w:lang w:val="lv-LV"/>
        </w:rPr>
      </w:pPr>
      <w:r w:rsidRPr="00CF5FBA">
        <w:rPr>
          <w:sz w:val="28"/>
          <w:szCs w:val="28"/>
          <w:lang w:val="lv-LV"/>
        </w:rPr>
        <w:t>Vīza:</w:t>
      </w:r>
    </w:p>
    <w:p w:rsidR="005018FF" w:rsidRPr="00CF5FBA" w:rsidRDefault="005018FF" w:rsidP="005018FF">
      <w:pPr>
        <w:rPr>
          <w:sz w:val="28"/>
          <w:szCs w:val="28"/>
          <w:lang w:val="lv-LV"/>
        </w:rPr>
      </w:pPr>
      <w:r w:rsidRPr="00CF5FBA">
        <w:rPr>
          <w:sz w:val="28"/>
          <w:szCs w:val="28"/>
          <w:lang w:val="lv-LV"/>
        </w:rPr>
        <w:t>Valsts sekretārs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Juris </w:t>
      </w:r>
      <w:proofErr w:type="spellStart"/>
      <w:r>
        <w:rPr>
          <w:sz w:val="28"/>
          <w:szCs w:val="28"/>
          <w:lang w:val="lv-LV"/>
        </w:rPr>
        <w:t>Stinka</w:t>
      </w:r>
      <w:proofErr w:type="spellEnd"/>
    </w:p>
    <w:p w:rsidR="001803BD" w:rsidRDefault="001803BD" w:rsidP="007A0A45">
      <w:pPr>
        <w:rPr>
          <w:sz w:val="28"/>
          <w:szCs w:val="28"/>
          <w:lang w:val="lv-LV"/>
        </w:rPr>
      </w:pPr>
    </w:p>
    <w:p w:rsidR="001803BD" w:rsidRDefault="001803BD" w:rsidP="007A0A45">
      <w:pPr>
        <w:rPr>
          <w:sz w:val="28"/>
          <w:szCs w:val="28"/>
          <w:lang w:val="lv-LV"/>
        </w:rPr>
      </w:pPr>
    </w:p>
    <w:p w:rsidR="001803BD" w:rsidRDefault="001803BD" w:rsidP="007A0A45">
      <w:pPr>
        <w:rPr>
          <w:sz w:val="28"/>
          <w:szCs w:val="28"/>
          <w:lang w:val="lv-LV"/>
        </w:rPr>
      </w:pPr>
    </w:p>
    <w:p w:rsidR="001803BD" w:rsidRDefault="001803BD" w:rsidP="007A0A45">
      <w:pPr>
        <w:rPr>
          <w:sz w:val="28"/>
          <w:szCs w:val="28"/>
          <w:lang w:val="lv-LV"/>
        </w:rPr>
      </w:pPr>
    </w:p>
    <w:p w:rsidR="001803BD" w:rsidRDefault="001803BD" w:rsidP="007A0A45">
      <w:pPr>
        <w:rPr>
          <w:sz w:val="28"/>
          <w:szCs w:val="28"/>
          <w:lang w:val="lv-LV"/>
        </w:rPr>
      </w:pPr>
    </w:p>
    <w:p w:rsidR="007A0A45" w:rsidRPr="00CF5FBA" w:rsidRDefault="007A0A45" w:rsidP="007A0A45">
      <w:pPr>
        <w:rPr>
          <w:sz w:val="28"/>
          <w:szCs w:val="28"/>
          <w:lang w:val="lv-LV"/>
        </w:rPr>
      </w:pP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bookmarkStart w:id="5" w:name="_GoBack"/>
      <w:bookmarkEnd w:id="5"/>
    </w:p>
    <w:p w:rsidR="007A0A45" w:rsidRPr="00CF5FBA" w:rsidRDefault="007A0A45" w:rsidP="007A0A45">
      <w:pPr>
        <w:tabs>
          <w:tab w:val="left" w:pos="1080"/>
        </w:tabs>
        <w:ind w:firstLine="720"/>
        <w:jc w:val="both"/>
        <w:rPr>
          <w:szCs w:val="28"/>
          <w:lang w:val="lv-LV"/>
        </w:rPr>
      </w:pPr>
    </w:p>
    <w:p w:rsidR="007A0A45" w:rsidRPr="00CA291C" w:rsidRDefault="007A0A45" w:rsidP="007A0A45">
      <w:pPr>
        <w:rPr>
          <w:sz w:val="18"/>
          <w:szCs w:val="18"/>
          <w:lang w:val="de-DE"/>
        </w:rPr>
      </w:pPr>
      <w:r w:rsidRPr="00CA291C">
        <w:rPr>
          <w:sz w:val="18"/>
          <w:szCs w:val="18"/>
        </w:rPr>
        <w:fldChar w:fldCharType="begin"/>
      </w:r>
      <w:r w:rsidRPr="00CA291C">
        <w:rPr>
          <w:sz w:val="18"/>
          <w:szCs w:val="18"/>
        </w:rPr>
        <w:instrText xml:space="preserve"> DATE  \@ "dd.MM.yyyy HH:mm"  \* MERGEFORMAT </w:instrText>
      </w:r>
      <w:r w:rsidRPr="00CA291C">
        <w:rPr>
          <w:sz w:val="18"/>
          <w:szCs w:val="18"/>
        </w:rPr>
        <w:fldChar w:fldCharType="separate"/>
      </w:r>
      <w:r w:rsidR="001B19E8">
        <w:rPr>
          <w:noProof/>
          <w:sz w:val="18"/>
          <w:szCs w:val="18"/>
        </w:rPr>
        <w:t>03.02.2017 08:49</w:t>
      </w:r>
      <w:r w:rsidRPr="00CA291C">
        <w:rPr>
          <w:sz w:val="18"/>
          <w:szCs w:val="18"/>
        </w:rPr>
        <w:fldChar w:fldCharType="end"/>
      </w:r>
    </w:p>
    <w:p w:rsidR="007A0A45" w:rsidRPr="00CA291C" w:rsidRDefault="007A0A45" w:rsidP="007A0A45">
      <w:pPr>
        <w:rPr>
          <w:sz w:val="18"/>
          <w:szCs w:val="18"/>
          <w:lang w:val="de-DE"/>
        </w:rPr>
      </w:pPr>
      <w:r w:rsidRPr="00CA291C">
        <w:rPr>
          <w:sz w:val="18"/>
          <w:szCs w:val="18"/>
        </w:rPr>
        <w:fldChar w:fldCharType="begin"/>
      </w:r>
      <w:r w:rsidRPr="00CA291C">
        <w:rPr>
          <w:sz w:val="18"/>
          <w:szCs w:val="18"/>
          <w:lang w:val="de-DE"/>
        </w:rPr>
        <w:instrText xml:space="preserve"> NUMWORDS   \* MERGEFORMAT </w:instrText>
      </w:r>
      <w:r w:rsidRPr="00CA291C">
        <w:rPr>
          <w:sz w:val="18"/>
          <w:szCs w:val="18"/>
        </w:rPr>
        <w:fldChar w:fldCharType="separate"/>
      </w:r>
      <w:r w:rsidR="001B19E8">
        <w:rPr>
          <w:noProof/>
          <w:sz w:val="18"/>
          <w:szCs w:val="18"/>
          <w:lang w:val="de-DE"/>
        </w:rPr>
        <w:t>1072</w:t>
      </w:r>
      <w:r w:rsidRPr="00CA291C">
        <w:rPr>
          <w:sz w:val="18"/>
          <w:szCs w:val="18"/>
        </w:rPr>
        <w:fldChar w:fldCharType="end"/>
      </w:r>
    </w:p>
    <w:p w:rsidR="007A0A45" w:rsidRPr="00CA291C" w:rsidRDefault="007A0A45" w:rsidP="007A0A45">
      <w:pPr>
        <w:rPr>
          <w:sz w:val="18"/>
          <w:szCs w:val="18"/>
          <w:lang w:val="de-DE"/>
        </w:rPr>
      </w:pPr>
      <w:r w:rsidRPr="00CA291C">
        <w:rPr>
          <w:sz w:val="18"/>
          <w:szCs w:val="18"/>
          <w:lang w:val="de-DE"/>
        </w:rPr>
        <w:t xml:space="preserve">Vīksna, </w:t>
      </w:r>
      <w:r w:rsidR="00A2291E" w:rsidRPr="00CA291C">
        <w:rPr>
          <w:sz w:val="18"/>
          <w:szCs w:val="18"/>
          <w:lang w:val="de-DE"/>
        </w:rPr>
        <w:t>67013140</w:t>
      </w:r>
      <w:r w:rsidRPr="00CA291C">
        <w:rPr>
          <w:sz w:val="18"/>
          <w:szCs w:val="18"/>
          <w:lang w:val="de-DE"/>
        </w:rPr>
        <w:t xml:space="preserve">, </w:t>
      </w:r>
    </w:p>
    <w:p w:rsidR="007A0A45" w:rsidRPr="00CA291C" w:rsidRDefault="007A0A45" w:rsidP="007A0A45">
      <w:pPr>
        <w:rPr>
          <w:sz w:val="18"/>
          <w:szCs w:val="18"/>
        </w:rPr>
      </w:pPr>
      <w:r w:rsidRPr="00CA291C">
        <w:rPr>
          <w:sz w:val="18"/>
          <w:szCs w:val="18"/>
          <w:lang w:val="de-DE"/>
        </w:rPr>
        <w:t>Marija.Viksna</w:t>
      </w:r>
      <w:hyperlink r:id="rId6" w:history="1">
        <w:r w:rsidRPr="00CA291C">
          <w:rPr>
            <w:rStyle w:val="Hyperlink"/>
            <w:color w:val="auto"/>
            <w:sz w:val="18"/>
            <w:szCs w:val="18"/>
            <w:u w:val="none"/>
            <w:lang w:val="de-DE"/>
          </w:rPr>
          <w:t>@em.gov.lv</w:t>
        </w:r>
      </w:hyperlink>
    </w:p>
    <w:p w:rsidR="00F259AE" w:rsidRPr="00CA291C" w:rsidRDefault="00F259AE" w:rsidP="007A0A45">
      <w:pPr>
        <w:jc w:val="both"/>
        <w:rPr>
          <w:sz w:val="18"/>
          <w:szCs w:val="18"/>
        </w:rPr>
      </w:pPr>
    </w:p>
    <w:sectPr w:rsidR="00F259AE" w:rsidRPr="00CA291C" w:rsidSect="00FD2D53">
      <w:headerReference w:type="default" r:id="rId7"/>
      <w:footerReference w:type="default" r:id="rId8"/>
      <w:footerReference w:type="first" r:id="rId9"/>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140" w:rsidRDefault="00F20140" w:rsidP="003440F0">
      <w:r>
        <w:separator/>
      </w:r>
    </w:p>
  </w:endnote>
  <w:endnote w:type="continuationSeparator" w:id="0">
    <w:p w:rsidR="00F20140" w:rsidRDefault="00F20140" w:rsidP="0034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C6" w:rsidRPr="001622EA" w:rsidRDefault="004B753D" w:rsidP="001803BD">
    <w:pPr>
      <w:jc w:val="both"/>
      <w:rPr>
        <w:lang w:val="lv-LV"/>
      </w:rPr>
    </w:pPr>
    <w:r w:rsidRPr="001622EA">
      <w:rPr>
        <w:sz w:val="20"/>
        <w:lang w:val="lv-LV"/>
      </w:rPr>
      <w:fldChar w:fldCharType="begin"/>
    </w:r>
    <w:r w:rsidRPr="001622EA">
      <w:rPr>
        <w:sz w:val="20"/>
        <w:lang w:val="lv-LV"/>
      </w:rPr>
      <w:instrText xml:space="preserve"> FILENAME   \* MERGEFORMAT </w:instrText>
    </w:r>
    <w:r w:rsidRPr="001622EA">
      <w:rPr>
        <w:sz w:val="20"/>
        <w:lang w:val="lv-LV"/>
      </w:rPr>
      <w:fldChar w:fldCharType="separate"/>
    </w:r>
    <w:r w:rsidR="003440F0">
      <w:rPr>
        <w:noProof/>
        <w:sz w:val="20"/>
        <w:lang w:val="lv-LV"/>
      </w:rPr>
      <w:t>EManot_</w:t>
    </w:r>
    <w:r w:rsidR="001B19E8">
      <w:rPr>
        <w:noProof/>
        <w:sz w:val="20"/>
        <w:lang w:val="lv-LV"/>
      </w:rPr>
      <w:t>0302</w:t>
    </w:r>
    <w:r w:rsidR="00186DE6">
      <w:rPr>
        <w:noProof/>
        <w:sz w:val="20"/>
        <w:lang w:val="lv-LV"/>
      </w:rPr>
      <w:t>17</w:t>
    </w:r>
    <w:r w:rsidR="003440F0">
      <w:rPr>
        <w:noProof/>
        <w:sz w:val="20"/>
        <w:lang w:val="lv-LV"/>
      </w:rPr>
      <w:t>_LBN22</w:t>
    </w:r>
    <w:r w:rsidRPr="001622EA">
      <w:rPr>
        <w:noProof/>
        <w:sz w:val="20"/>
        <w:lang w:val="lv-LV"/>
      </w:rPr>
      <w:fldChar w:fldCharType="end"/>
    </w:r>
    <w:r w:rsidR="001803BD">
      <w:rPr>
        <w:noProof/>
        <w:sz w:val="20"/>
        <w:lang w:val="lv-LV"/>
      </w:rPr>
      <w:t>3</w:t>
    </w:r>
    <w:r w:rsidR="002E033C">
      <w:rPr>
        <w:noProof/>
        <w:sz w:val="20"/>
        <w:lang w:val="lv-LV"/>
      </w:rPr>
      <w:t xml:space="preserve">_groz; </w:t>
    </w:r>
    <w:r w:rsidR="001803BD" w:rsidRPr="001803BD">
      <w:rPr>
        <w:sz w:val="20"/>
        <w:lang w:val="lv-LV"/>
      </w:rPr>
      <w:t>Ministru kabineta noteikumu projekta</w:t>
    </w:r>
    <w:r w:rsidR="001803BD">
      <w:rPr>
        <w:sz w:val="20"/>
        <w:lang w:val="lv-LV"/>
      </w:rPr>
      <w:t xml:space="preserve"> </w:t>
    </w:r>
    <w:r w:rsidR="001803BD" w:rsidRPr="001803BD">
      <w:rPr>
        <w:sz w:val="20"/>
        <w:lang w:val="lv-LV"/>
      </w:rPr>
      <w:t>“Grozījumi Ministru kabineta 2015.gada 30.jūnija noteikumos Nr.327 „Noteikumi par Latvijas būvnormatīvu LBN 223-15 „Kanalizācijas būves”””</w:t>
    </w:r>
    <w:r w:rsidR="00A51A61">
      <w:rPr>
        <w:sz w:val="20"/>
        <w:lang w:val="lv-LV"/>
      </w:rPr>
      <w:t xml:space="preserve"> </w:t>
    </w:r>
    <w:r w:rsidR="001803BD" w:rsidRPr="001803BD">
      <w:rPr>
        <w:sz w:val="20"/>
        <w:lang w:val="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44" w:rsidRPr="001622EA" w:rsidRDefault="004B753D" w:rsidP="008A6DB4">
    <w:pPr>
      <w:jc w:val="both"/>
      <w:rPr>
        <w:lang w:val="lv-LV"/>
      </w:rPr>
    </w:pPr>
    <w:r w:rsidRPr="001622EA">
      <w:rPr>
        <w:sz w:val="20"/>
        <w:lang w:val="lv-LV"/>
      </w:rPr>
      <w:fldChar w:fldCharType="begin"/>
    </w:r>
    <w:r w:rsidRPr="001622EA">
      <w:rPr>
        <w:sz w:val="20"/>
        <w:lang w:val="lv-LV"/>
      </w:rPr>
      <w:instrText xml:space="preserve"> FILENAME   \* MERGEFORMAT </w:instrText>
    </w:r>
    <w:r w:rsidRPr="001622EA">
      <w:rPr>
        <w:sz w:val="20"/>
        <w:lang w:val="lv-LV"/>
      </w:rPr>
      <w:fldChar w:fldCharType="separate"/>
    </w:r>
    <w:r w:rsidR="003440F0">
      <w:rPr>
        <w:noProof/>
        <w:sz w:val="20"/>
        <w:lang w:val="lv-LV"/>
      </w:rPr>
      <w:t>EManot_</w:t>
    </w:r>
    <w:r w:rsidR="001B19E8">
      <w:rPr>
        <w:noProof/>
        <w:sz w:val="18"/>
        <w:lang w:val="lv-LV"/>
      </w:rPr>
      <w:t>0302</w:t>
    </w:r>
    <w:r w:rsidR="00186DE6">
      <w:rPr>
        <w:noProof/>
        <w:sz w:val="18"/>
        <w:lang w:val="lv-LV"/>
      </w:rPr>
      <w:t>17</w:t>
    </w:r>
    <w:r w:rsidR="003440F0">
      <w:rPr>
        <w:noProof/>
        <w:sz w:val="20"/>
        <w:lang w:val="lv-LV"/>
      </w:rPr>
      <w:t>_LBN22</w:t>
    </w:r>
    <w:r w:rsidRPr="001622EA">
      <w:rPr>
        <w:noProof/>
        <w:sz w:val="20"/>
        <w:lang w:val="lv-LV"/>
      </w:rPr>
      <w:fldChar w:fldCharType="end"/>
    </w:r>
    <w:r w:rsidR="008A6DB4">
      <w:rPr>
        <w:noProof/>
        <w:sz w:val="20"/>
        <w:lang w:val="lv-LV"/>
      </w:rPr>
      <w:t>3</w:t>
    </w:r>
    <w:r w:rsidR="002E033C">
      <w:rPr>
        <w:noProof/>
        <w:sz w:val="20"/>
        <w:lang w:val="lv-LV"/>
      </w:rPr>
      <w:t xml:space="preserve">_groz; </w:t>
    </w:r>
    <w:r w:rsidR="008A6DB4" w:rsidRPr="008A6DB4">
      <w:rPr>
        <w:sz w:val="20"/>
        <w:lang w:val="lv-LV"/>
      </w:rPr>
      <w:t>Ministru kabineta noteikumu projekta</w:t>
    </w:r>
    <w:r w:rsidR="008A6DB4">
      <w:rPr>
        <w:sz w:val="20"/>
        <w:lang w:val="lv-LV"/>
      </w:rPr>
      <w:t xml:space="preserve"> </w:t>
    </w:r>
    <w:r w:rsidR="008A6DB4" w:rsidRPr="008A6DB4">
      <w:rPr>
        <w:sz w:val="20"/>
        <w:lang w:val="lv-LV"/>
      </w:rPr>
      <w:t xml:space="preserve">“Grozījumi Ministru kabineta 2015.gada 30.jūnija noteikumos Nr.327 „Noteikumi par Latvijas būvnormatīvu LBN 223-15 „Kanalizācijas </w:t>
    </w:r>
    <w:proofErr w:type="spellStart"/>
    <w:r w:rsidR="008A6DB4" w:rsidRPr="008A6DB4">
      <w:rPr>
        <w:sz w:val="20"/>
        <w:lang w:val="lv-LV"/>
      </w:rPr>
      <w:t>būves”””sākotnējās</w:t>
    </w:r>
    <w:proofErr w:type="spellEnd"/>
    <w:r w:rsidR="008A6DB4" w:rsidRPr="008A6DB4">
      <w:rPr>
        <w:sz w:val="20"/>
        <w:lang w:val="lv-LV"/>
      </w:rPr>
      <w:t xml:space="preserve">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140" w:rsidRDefault="00F20140" w:rsidP="003440F0">
      <w:r>
        <w:separator/>
      </w:r>
    </w:p>
  </w:footnote>
  <w:footnote w:type="continuationSeparator" w:id="0">
    <w:p w:rsidR="00F20140" w:rsidRDefault="00F20140" w:rsidP="00344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C6" w:rsidRDefault="004B753D">
    <w:pPr>
      <w:pStyle w:val="Header"/>
      <w:jc w:val="center"/>
      <w:rPr>
        <w:sz w:val="24"/>
      </w:rPr>
    </w:pPr>
    <w:r>
      <w:rPr>
        <w:sz w:val="24"/>
      </w:rPr>
      <w:fldChar w:fldCharType="begin"/>
    </w:r>
    <w:r>
      <w:rPr>
        <w:sz w:val="24"/>
      </w:rPr>
      <w:instrText xml:space="preserve"> PAGE   \* MERGEFORMAT </w:instrText>
    </w:r>
    <w:r>
      <w:rPr>
        <w:sz w:val="24"/>
      </w:rPr>
      <w:fldChar w:fldCharType="separate"/>
    </w:r>
    <w:r w:rsidR="001B19E8">
      <w:rPr>
        <w:noProof/>
        <w:sz w:val="24"/>
      </w:rPr>
      <w:t>4</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F5"/>
    <w:rsid w:val="00014A17"/>
    <w:rsid w:val="00066D31"/>
    <w:rsid w:val="00085F38"/>
    <w:rsid w:val="000D6EE3"/>
    <w:rsid w:val="00100572"/>
    <w:rsid w:val="001803BD"/>
    <w:rsid w:val="00186DE6"/>
    <w:rsid w:val="00187FD7"/>
    <w:rsid w:val="00191105"/>
    <w:rsid w:val="001B19E8"/>
    <w:rsid w:val="001B4822"/>
    <w:rsid w:val="001D21DC"/>
    <w:rsid w:val="00224190"/>
    <w:rsid w:val="002372AE"/>
    <w:rsid w:val="00237BB4"/>
    <w:rsid w:val="002B4FE0"/>
    <w:rsid w:val="002E033C"/>
    <w:rsid w:val="002E7B1A"/>
    <w:rsid w:val="00316E16"/>
    <w:rsid w:val="0031701D"/>
    <w:rsid w:val="003440F0"/>
    <w:rsid w:val="00346668"/>
    <w:rsid w:val="00443159"/>
    <w:rsid w:val="00444A37"/>
    <w:rsid w:val="004609B2"/>
    <w:rsid w:val="0048519C"/>
    <w:rsid w:val="004B753D"/>
    <w:rsid w:val="004C4E7D"/>
    <w:rsid w:val="005018FF"/>
    <w:rsid w:val="005241F5"/>
    <w:rsid w:val="00532AFC"/>
    <w:rsid w:val="00536975"/>
    <w:rsid w:val="005423AC"/>
    <w:rsid w:val="00593BED"/>
    <w:rsid w:val="00595D82"/>
    <w:rsid w:val="00596210"/>
    <w:rsid w:val="005C2C70"/>
    <w:rsid w:val="005D7C5B"/>
    <w:rsid w:val="00605D31"/>
    <w:rsid w:val="006847C9"/>
    <w:rsid w:val="006C55AC"/>
    <w:rsid w:val="006C7D06"/>
    <w:rsid w:val="006E005C"/>
    <w:rsid w:val="007711E3"/>
    <w:rsid w:val="007A0A45"/>
    <w:rsid w:val="007D4DC5"/>
    <w:rsid w:val="008212E0"/>
    <w:rsid w:val="00837F6A"/>
    <w:rsid w:val="008A6DB4"/>
    <w:rsid w:val="008C053E"/>
    <w:rsid w:val="00913F53"/>
    <w:rsid w:val="009F70C0"/>
    <w:rsid w:val="00A2291E"/>
    <w:rsid w:val="00A51A61"/>
    <w:rsid w:val="00AA493C"/>
    <w:rsid w:val="00AF7E29"/>
    <w:rsid w:val="00B159AF"/>
    <w:rsid w:val="00B6009A"/>
    <w:rsid w:val="00B812F7"/>
    <w:rsid w:val="00B97157"/>
    <w:rsid w:val="00BF6D70"/>
    <w:rsid w:val="00C245D5"/>
    <w:rsid w:val="00C531D8"/>
    <w:rsid w:val="00C96DB4"/>
    <w:rsid w:val="00CA291C"/>
    <w:rsid w:val="00D034D4"/>
    <w:rsid w:val="00D25AF5"/>
    <w:rsid w:val="00D555D2"/>
    <w:rsid w:val="00D5614B"/>
    <w:rsid w:val="00DB4226"/>
    <w:rsid w:val="00DB5497"/>
    <w:rsid w:val="00DD43C3"/>
    <w:rsid w:val="00DD49CC"/>
    <w:rsid w:val="00E06AA2"/>
    <w:rsid w:val="00E1070A"/>
    <w:rsid w:val="00F20140"/>
    <w:rsid w:val="00F259AE"/>
    <w:rsid w:val="00FF5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1A20459-8148-4E79-9B29-9845EB72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F5"/>
    <w:pPr>
      <w:spacing w:after="0" w:line="240" w:lineRule="auto"/>
    </w:pPr>
    <w:rPr>
      <w:rFonts w:ascii="Times New Roman" w:eastAsia="Times New Roman" w:hAnsi="Times New Roman" w:cs="Times New Roman"/>
      <w:sz w:val="24"/>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241F5"/>
    <w:pPr>
      <w:spacing w:before="100" w:after="100"/>
    </w:pPr>
    <w:rPr>
      <w:lang w:val="lv-LV"/>
    </w:rPr>
  </w:style>
  <w:style w:type="paragraph" w:styleId="Header">
    <w:name w:val="header"/>
    <w:basedOn w:val="Normal"/>
    <w:link w:val="HeaderChar"/>
    <w:uiPriority w:val="99"/>
    <w:rsid w:val="005241F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5241F5"/>
    <w:rPr>
      <w:rFonts w:ascii="Times New Roman" w:eastAsia="Times New Roman" w:hAnsi="Times New Roman" w:cs="Times New Roman"/>
      <w:szCs w:val="20"/>
      <w:lang w:eastAsia="lv-LV"/>
    </w:rPr>
  </w:style>
  <w:style w:type="paragraph" w:customStyle="1" w:styleId="naiskr">
    <w:name w:val="naiskr"/>
    <w:basedOn w:val="Normal"/>
    <w:rsid w:val="005241F5"/>
    <w:pPr>
      <w:spacing w:before="75" w:after="75"/>
    </w:pPr>
    <w:rPr>
      <w:szCs w:val="24"/>
      <w:lang w:val="lv-LV"/>
    </w:rPr>
  </w:style>
  <w:style w:type="paragraph" w:customStyle="1" w:styleId="naisnod">
    <w:name w:val="naisnod"/>
    <w:basedOn w:val="Normal"/>
    <w:rsid w:val="005241F5"/>
    <w:pPr>
      <w:spacing w:before="150" w:after="150"/>
      <w:jc w:val="center"/>
    </w:pPr>
    <w:rPr>
      <w:b/>
      <w:bCs/>
      <w:szCs w:val="24"/>
      <w:lang w:val="lv-LV"/>
    </w:rPr>
  </w:style>
  <w:style w:type="paragraph" w:styleId="Footer">
    <w:name w:val="footer"/>
    <w:basedOn w:val="Normal"/>
    <w:link w:val="FooterChar"/>
    <w:uiPriority w:val="99"/>
    <w:unhideWhenUsed/>
    <w:rsid w:val="005241F5"/>
    <w:pPr>
      <w:tabs>
        <w:tab w:val="center" w:pos="4153"/>
        <w:tab w:val="right" w:pos="8306"/>
      </w:tabs>
    </w:pPr>
  </w:style>
  <w:style w:type="character" w:customStyle="1" w:styleId="FooterChar">
    <w:name w:val="Footer Char"/>
    <w:basedOn w:val="DefaultParagraphFont"/>
    <w:link w:val="Footer"/>
    <w:uiPriority w:val="99"/>
    <w:rsid w:val="005241F5"/>
    <w:rPr>
      <w:rFonts w:ascii="Times New Roman" w:eastAsia="Times New Roman" w:hAnsi="Times New Roman" w:cs="Times New Roman"/>
      <w:sz w:val="24"/>
      <w:szCs w:val="20"/>
      <w:lang w:val="en-AU" w:eastAsia="lv-LV"/>
    </w:rPr>
  </w:style>
  <w:style w:type="character" w:styleId="Hyperlink">
    <w:name w:val="Hyperlink"/>
    <w:basedOn w:val="DefaultParagraphFont"/>
    <w:uiPriority w:val="99"/>
    <w:semiHidden/>
    <w:unhideWhenUsed/>
    <w:rsid w:val="005241F5"/>
    <w:rPr>
      <w:color w:val="0000FF"/>
      <w:u w:val="single"/>
    </w:rPr>
  </w:style>
  <w:style w:type="paragraph" w:customStyle="1" w:styleId="naislab">
    <w:name w:val="naislab"/>
    <w:basedOn w:val="Normal"/>
    <w:rsid w:val="00B812F7"/>
    <w:pPr>
      <w:spacing w:before="75" w:after="75"/>
      <w:jc w:val="right"/>
    </w:pPr>
    <w:rPr>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ga.Bucinska@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1102</Words>
  <Characters>8204</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Marija Vīksna</cp:lastModifiedBy>
  <cp:revision>16</cp:revision>
  <dcterms:created xsi:type="dcterms:W3CDTF">2017-01-05T14:48:00Z</dcterms:created>
  <dcterms:modified xsi:type="dcterms:W3CDTF">2017-02-03T06:50:00Z</dcterms:modified>
</cp:coreProperties>
</file>