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4A9A5" w14:textId="77777777" w:rsidR="00DF4418" w:rsidRDefault="00DF4418" w:rsidP="00385D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A13176B" w14:textId="77777777" w:rsidR="00C8152C" w:rsidRDefault="00C8152C" w:rsidP="00385D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97643B4" w14:textId="77777777" w:rsidR="00C8152C" w:rsidRPr="00A600B3" w:rsidRDefault="00C8152C" w:rsidP="00385D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6432691" w14:textId="6925D665" w:rsidR="00385D98" w:rsidRPr="00A600B3" w:rsidRDefault="00385D98" w:rsidP="00385D9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B3">
        <w:rPr>
          <w:rFonts w:ascii="Times New Roman" w:hAnsi="Times New Roman" w:cs="Times New Roman"/>
          <w:sz w:val="28"/>
          <w:szCs w:val="28"/>
        </w:rPr>
        <w:t>2017. </w:t>
      </w:r>
      <w:proofErr w:type="spellStart"/>
      <w:proofErr w:type="gramStart"/>
      <w:r w:rsidRPr="00A600B3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A600B3">
        <w:rPr>
          <w:rFonts w:ascii="Times New Roman" w:hAnsi="Times New Roman" w:cs="Times New Roman"/>
          <w:sz w:val="28"/>
          <w:szCs w:val="28"/>
        </w:rPr>
        <w:t xml:space="preserve"> </w:t>
      </w:r>
      <w:r w:rsidR="00394894" w:rsidRPr="00394894">
        <w:rPr>
          <w:rFonts w:ascii="Times New Roman" w:hAnsi="Times New Roman" w:cs="Times New Roman"/>
          <w:sz w:val="28"/>
          <w:szCs w:val="28"/>
        </w:rPr>
        <w:t>28. </w:t>
      </w:r>
      <w:proofErr w:type="spellStart"/>
      <w:proofErr w:type="gramStart"/>
      <w:r w:rsidR="00394894" w:rsidRPr="00394894">
        <w:rPr>
          <w:rFonts w:ascii="Times New Roman" w:hAnsi="Times New Roman" w:cs="Times New Roman"/>
          <w:sz w:val="28"/>
          <w:szCs w:val="28"/>
        </w:rPr>
        <w:t>februārī</w:t>
      </w:r>
      <w:proofErr w:type="spellEnd"/>
      <w:proofErr w:type="gramEnd"/>
      <w:r w:rsidRPr="00A600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00B3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A60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0B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600B3">
        <w:rPr>
          <w:rFonts w:ascii="Times New Roman" w:hAnsi="Times New Roman" w:cs="Times New Roman"/>
          <w:sz w:val="28"/>
          <w:szCs w:val="28"/>
        </w:rPr>
        <w:t>.</w:t>
      </w:r>
      <w:r w:rsidR="00394894">
        <w:rPr>
          <w:rFonts w:ascii="Times New Roman" w:hAnsi="Times New Roman" w:cs="Times New Roman"/>
          <w:sz w:val="28"/>
          <w:szCs w:val="28"/>
        </w:rPr>
        <w:t> 105</w:t>
      </w:r>
    </w:p>
    <w:p w14:paraId="792B5001" w14:textId="0F9F1A68" w:rsidR="00385D98" w:rsidRPr="00A600B3" w:rsidRDefault="00385D98" w:rsidP="00385D9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B3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A600B3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A600B3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A600B3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60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0B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600B3">
        <w:rPr>
          <w:rFonts w:ascii="Times New Roman" w:hAnsi="Times New Roman" w:cs="Times New Roman"/>
          <w:sz w:val="28"/>
          <w:szCs w:val="28"/>
        </w:rPr>
        <w:t>.</w:t>
      </w:r>
      <w:r w:rsidR="00394894">
        <w:rPr>
          <w:rFonts w:ascii="Times New Roman" w:hAnsi="Times New Roman" w:cs="Times New Roman"/>
          <w:sz w:val="28"/>
          <w:szCs w:val="28"/>
        </w:rPr>
        <w:t> 10  8</w:t>
      </w:r>
      <w:bookmarkStart w:id="0" w:name="_GoBack"/>
      <w:bookmarkEnd w:id="0"/>
      <w:r w:rsidRPr="00A600B3">
        <w:rPr>
          <w:rFonts w:ascii="Times New Roman" w:hAnsi="Times New Roman" w:cs="Times New Roman"/>
          <w:sz w:val="28"/>
          <w:szCs w:val="28"/>
        </w:rPr>
        <w:t>. §)</w:t>
      </w:r>
    </w:p>
    <w:p w14:paraId="07E67160" w14:textId="77777777" w:rsidR="00DF4418" w:rsidRPr="00A600B3" w:rsidRDefault="00DF4418" w:rsidP="00385D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6B2485" w14:textId="73B6DF02" w:rsidR="00DF4418" w:rsidRPr="00A600B3" w:rsidRDefault="00C8152C" w:rsidP="0038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N</w:t>
      </w:r>
      <w:r w:rsidRPr="00A600B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oteikumi 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par p</w:t>
      </w:r>
      <w:r w:rsidR="003D42EA" w:rsidRPr="00A600B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ublisko iepirkumu līgumcenu robežvērtīb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ām</w:t>
      </w:r>
      <w:r w:rsidR="003D42EA" w:rsidRPr="00A600B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6D9302F9" w14:textId="77777777" w:rsidR="00842124" w:rsidRPr="00A600B3" w:rsidRDefault="00842124" w:rsidP="0038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3FA4834" w14:textId="77777777" w:rsidR="00C87BDB" w:rsidRPr="00A600B3" w:rsidRDefault="002144B7" w:rsidP="0038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Izdoti saskaņā ar </w:t>
      </w:r>
    </w:p>
    <w:p w14:paraId="10980E57" w14:textId="0E05762E" w:rsidR="00C87BDB" w:rsidRPr="00A600B3" w:rsidRDefault="002144B7" w:rsidP="0038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Publisko iepirkumu likuma</w:t>
      </w:r>
      <w:r w:rsidR="00C87BDB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12.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pantu</w:t>
      </w:r>
      <w:r w:rsidR="005946D2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C87BDB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0663FB86" w14:textId="437FF77F" w:rsidR="0093119A" w:rsidRPr="00A600B3" w:rsidRDefault="00450CB4" w:rsidP="0038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Sabiedrisko </w:t>
      </w:r>
      <w:r w:rsidR="00B53AD1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pakalpojumu sniedzēju </w:t>
      </w:r>
    </w:p>
    <w:p w14:paraId="7C9810E5" w14:textId="7A76506D" w:rsidR="002144B7" w:rsidRPr="00A600B3" w:rsidRDefault="00C8152C" w:rsidP="0038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iepirkumu </w:t>
      </w:r>
      <w:r w:rsidR="00B53AD1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likuma</w:t>
      </w:r>
      <w:r w:rsidR="00F4771F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15.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4771F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pantu </w:t>
      </w:r>
    </w:p>
    <w:p w14:paraId="3DB512EA" w14:textId="77777777" w:rsidR="00385D98" w:rsidRPr="00A600B3" w:rsidRDefault="00385D98" w:rsidP="0038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0CD298F" w14:textId="245D480A" w:rsidR="002144B7" w:rsidRPr="00A600B3" w:rsidRDefault="002144B7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" w:name="p1"/>
      <w:bookmarkStart w:id="2" w:name="p-344051"/>
      <w:bookmarkEnd w:id="1"/>
      <w:bookmarkEnd w:id="2"/>
      <w:proofErr w:type="gramStart"/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1.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Noteikumi</w:t>
      </w:r>
      <w:proofErr w:type="gramEnd"/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nosaka publisko iepirkumu līgumcenu robež</w:t>
      </w:r>
      <w:r w:rsidR="00886825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vērtīb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as, pamatojoties uz Eiropas Savienības starptautiskajām saistībām attiecībā uz līgumcenu robež</w:t>
      </w:r>
      <w:r w:rsidR="00886825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vērtīb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ām, kas jāievēro pasūtītājam</w:t>
      </w:r>
      <w:r w:rsidR="00692FA0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sabiedrisko pakalpojumu sniedzējam.</w:t>
      </w:r>
    </w:p>
    <w:p w14:paraId="66A35E11" w14:textId="77777777" w:rsidR="00385D98" w:rsidRPr="00A600B3" w:rsidRDefault="00385D98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9C04345" w14:textId="32C2FE36" w:rsidR="002144B7" w:rsidRPr="00A600B3" w:rsidRDefault="002144B7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3" w:name="p2"/>
      <w:bookmarkStart w:id="4" w:name="p-600969"/>
      <w:bookmarkEnd w:id="3"/>
      <w:bookmarkEnd w:id="4"/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Līgumcenu robež</w:t>
      </w:r>
      <w:r w:rsidR="00886825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vērtīb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as atbilstoši Publisko iepirkumu likumam ir šādas:</w:t>
      </w:r>
    </w:p>
    <w:p w14:paraId="4D5DD2BA" w14:textId="6D004727" w:rsidR="007E48CB" w:rsidRPr="00A600B3" w:rsidRDefault="00923243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57415B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E2EC7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385D98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 likuma 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pantā, 8.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vienpadsmitajā daļā, 34.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trešajā daļā, 47.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trešajā daļā, 48.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trešajā daļā, 55.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pirmajā daļā, 74.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pirmās daļas 5. un 6.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punktā minētajā gadījumā – 5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225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000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060E1D"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>euro</w:t>
      </w:r>
      <w:proofErr w:type="spellEnd"/>
      <w:r w:rsidR="00060E1D"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 xml:space="preserve"> 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publ</w:t>
      </w:r>
      <w:r w:rsidR="00E45892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iskiem būvdarbu līgumiem un 135 </w:t>
      </w:r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000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060E1D"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>euro</w:t>
      </w:r>
      <w:proofErr w:type="spellEnd"/>
      <w:r w:rsidR="00060E1D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publiskiem piegādes un publiskiem pakalpojumu līgumiem;</w:t>
      </w:r>
    </w:p>
    <w:p w14:paraId="33ABA2F0" w14:textId="34561C5C" w:rsidR="00880EAA" w:rsidRPr="00A600B3" w:rsidRDefault="00880EAA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2.2.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likuma</w:t>
      </w:r>
      <w:r w:rsidR="00C8152C" w:rsidRPr="00A600B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33. 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>pantā, 34.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>panta otrajā daļā, 35.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panta ceturtajā daļā,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 xml:space="preserve"> 60.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>panta desmitajā daļā, 61.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>panta piektās daļas 1.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>punktā, 73.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>panta trešās daļas 2.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 xml:space="preserve">punkta </w:t>
      </w:r>
      <w:r w:rsidR="00C970F7" w:rsidRPr="00A600B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C970F7" w:rsidRPr="00A600B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 xml:space="preserve"> apakšpunktā, 74.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>panta pirmās daļas 2.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>punktā minētajā gadījumā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 xml:space="preserve">– </w:t>
      </w:r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>225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>000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 w:rsidR="00EA4F54" w:rsidRPr="00A600B3">
        <w:rPr>
          <w:rFonts w:ascii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="00EA4F54" w:rsidRPr="00A600B3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>publiskiem būvdarbu līgumiem, 750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>000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 w:rsidR="00EA4F54" w:rsidRPr="00A600B3">
        <w:rPr>
          <w:rFonts w:ascii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 xml:space="preserve"> likuma 2</w:t>
      </w:r>
      <w:r w:rsidR="00C970F7" w:rsidRPr="00A600B3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70F7" w:rsidRPr="00A600B3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>ielikumā minēto pakalpojumu līgumiem, kas tiek slēgti 10.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>pantā paredzētajā kārtībā, un 135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>000</w:t>
      </w:r>
      <w:r w:rsidR="00EB4751"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 w:rsidR="00EA4F54" w:rsidRPr="00A600B3">
        <w:rPr>
          <w:rFonts w:ascii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="00EA4F54" w:rsidRPr="00A600B3"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>publiskiem piegādes un citiem publiskiem pakalpojum</w:t>
      </w:r>
      <w:r w:rsidR="00763400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EA4F54" w:rsidRPr="00A600B3">
        <w:rPr>
          <w:rFonts w:ascii="Times New Roman" w:hAnsi="Times New Roman" w:cs="Times New Roman"/>
          <w:sz w:val="28"/>
          <w:szCs w:val="28"/>
          <w:lang w:val="lv-LV"/>
        </w:rPr>
        <w:t xml:space="preserve"> līgumiem</w:t>
      </w:r>
      <w:r w:rsidR="00060E1D" w:rsidRPr="00A600B3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605D08B" w14:textId="7EF541DB" w:rsidR="004E2EC7" w:rsidRPr="00A600B3" w:rsidRDefault="004E2EC7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="00880EAA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likuma</w:t>
      </w:r>
      <w:r w:rsidR="00C8152C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6.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panta pirmās daļas 1.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punktā minētajā gadījumā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– 5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225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proofErr w:type="spellStart"/>
      <w:r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81E5244" w14:textId="051A4F55" w:rsidR="004E2EC7" w:rsidRPr="00A600B3" w:rsidRDefault="004E2EC7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="00880EAA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likuma</w:t>
      </w:r>
      <w:r w:rsidR="00C8152C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6.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panta pirmās daļas 2.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punktā minētajā gadījumā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– 209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proofErr w:type="spellStart"/>
      <w:r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212F8F20" w14:textId="77777777" w:rsidR="00385D98" w:rsidRPr="00A600B3" w:rsidRDefault="00385D98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E46D897" w14:textId="2340B405" w:rsidR="00B53AD1" w:rsidRPr="00A600B3" w:rsidRDefault="00B53AD1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3.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Līgumcenu </w:t>
      </w:r>
      <w:r w:rsidR="00E03F02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robežvērtības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atbilstoši Sabiedrisko pakalpojumu sniedzēju iepirkumu likumam ir šādas:</w:t>
      </w:r>
    </w:p>
    <w:p w14:paraId="1EEFE330" w14:textId="431D2F53" w:rsidR="004E2EC7" w:rsidRPr="00A600B3" w:rsidRDefault="004E2EC7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3.1.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likuma</w:t>
      </w:r>
      <w:r w:rsidR="00C8152C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8.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panta trešajā daļā, 13.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panta otrajā un ceturtajā daļā, 14.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panta sestajā daļā un septītajā daļā,</w:t>
      </w:r>
      <w:r w:rsidR="00BD3663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B0663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78</w:t>
      </w:r>
      <w:r w:rsidR="00C970F7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970F7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="00AB0663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anta pirmās daļas 5. un 6</w:t>
      </w:r>
      <w:r w:rsidR="00C970F7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970F7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="00AB0663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unktā minētajā gadījumā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5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225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proofErr w:type="spellStart"/>
      <w:r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būvdarbu līgumiem un 418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proofErr w:type="spellStart"/>
      <w:r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piegādes un pakalpojumu līgumiem;</w:t>
      </w:r>
    </w:p>
    <w:p w14:paraId="4D1FBB32" w14:textId="315E1194" w:rsidR="005B51EA" w:rsidRPr="00A600B3" w:rsidRDefault="005B51EA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3.2.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likuma</w:t>
      </w:r>
      <w:r w:rsidR="00C8152C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13.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panta piektajā daļā minētajā gadījumā – 1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proofErr w:type="spellStart"/>
      <w:r w:rsidRPr="00A600B3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eu</w:t>
      </w:r>
      <w:r w:rsidR="00441420" w:rsidRPr="00A600B3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ro</w:t>
      </w:r>
      <w:proofErr w:type="spellEnd"/>
      <w:r w:rsidR="00A12EC4" w:rsidRPr="00A600B3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;</w:t>
      </w:r>
    </w:p>
    <w:p w14:paraId="1AFE8779" w14:textId="371E7219" w:rsidR="006116E0" w:rsidRPr="00A600B3" w:rsidRDefault="006116E0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3.</w:t>
      </w:r>
      <w:r w:rsidR="005B51EA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likuma</w:t>
      </w:r>
      <w:r w:rsidR="00C8152C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65.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panta desmitajā daļā, 66.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panta piektās daļas 1.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punktā minētajā gadījumā 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5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225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proofErr w:type="spellStart"/>
      <w:r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būvdarbu līgumiem,</w:t>
      </w:r>
      <w:r w:rsidR="006F1BE6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1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F1BE6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F1BE6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proofErr w:type="spellStart"/>
      <w:r w:rsidR="006F1BE6" w:rsidRPr="00A600B3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euro</w:t>
      </w:r>
      <w:proofErr w:type="spellEnd"/>
      <w:r w:rsidR="006F1BE6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A600B3">
        <w:rPr>
          <w:rFonts w:ascii="Times New Roman" w:hAnsi="Times New Roman" w:cs="Times New Roman"/>
          <w:sz w:val="28"/>
          <w:szCs w:val="28"/>
          <w:lang w:val="lv-LV"/>
        </w:rPr>
        <w:t>likuma 2</w:t>
      </w:r>
      <w:r w:rsidR="00C970F7" w:rsidRPr="00A600B3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8152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70F7" w:rsidRPr="00A600B3">
        <w:rPr>
          <w:rFonts w:ascii="Times New Roman" w:hAnsi="Times New Roman" w:cs="Times New Roman"/>
          <w:sz w:val="28"/>
          <w:szCs w:val="28"/>
          <w:lang w:val="lv-LV"/>
        </w:rPr>
        <w:t>p</w:t>
      </w:r>
      <w:r w:rsidRPr="00A600B3">
        <w:rPr>
          <w:rFonts w:ascii="Times New Roman" w:hAnsi="Times New Roman" w:cs="Times New Roman"/>
          <w:sz w:val="28"/>
          <w:szCs w:val="28"/>
          <w:lang w:val="lv-LV"/>
        </w:rPr>
        <w:t>ielikumā minēto pakalpojumu līgumiem, kas tiek slēgti 13.</w:t>
      </w:r>
      <w:r w:rsidR="00C8152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231ED" w:rsidRPr="00A600B3">
        <w:rPr>
          <w:rFonts w:ascii="Times New Roman" w:hAnsi="Times New Roman" w:cs="Times New Roman"/>
          <w:sz w:val="28"/>
          <w:szCs w:val="28"/>
          <w:lang w:val="lv-LV"/>
        </w:rPr>
        <w:t>p</w:t>
      </w:r>
      <w:r w:rsidRPr="00A600B3">
        <w:rPr>
          <w:rFonts w:ascii="Times New Roman" w:hAnsi="Times New Roman" w:cs="Times New Roman"/>
          <w:sz w:val="28"/>
          <w:szCs w:val="28"/>
          <w:lang w:val="lv-LV"/>
        </w:rPr>
        <w:t>anta piektajā daļā paredzētajā kārtībā</w:t>
      </w:r>
      <w:r w:rsidR="005B51EA" w:rsidRPr="00A600B3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418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proofErr w:type="spellStart"/>
      <w:r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proofErr w:type="spellEnd"/>
      <w:r w:rsidRPr="00A600B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piegādes un pakalpojumu līgumiem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38928116" w14:textId="77777777" w:rsidR="00385D98" w:rsidRPr="00A600B3" w:rsidRDefault="00385D98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9FA9B7F" w14:textId="71EB60CD" w:rsidR="007238A8" w:rsidRPr="00A600B3" w:rsidRDefault="007238A8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4.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63400">
        <w:rPr>
          <w:rFonts w:ascii="Times New Roman" w:eastAsia="Times New Roman" w:hAnsi="Times New Roman" w:cs="Times New Roman"/>
          <w:sz w:val="28"/>
          <w:szCs w:val="28"/>
          <w:lang w:val="lv-LV"/>
        </w:rPr>
        <w:t>Šo n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oteikumu 3.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punktu piemēro 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ar 2017. gada 1. aprīli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676F0740" w14:textId="77777777" w:rsidR="00385D98" w:rsidRPr="00A600B3" w:rsidRDefault="00385D98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C792F42" w14:textId="7B36BF90" w:rsidR="0057415B" w:rsidRPr="00A600B3" w:rsidRDefault="007238A8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proofErr w:type="gramStart"/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FE278F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E278F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Noteikumi stājas spēkā 2017</w:t>
      </w:r>
      <w:r w:rsidR="0057415B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57415B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gada </w:t>
      </w:r>
      <w:r w:rsidR="00FE278F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1.</w:t>
      </w:r>
      <w:r w:rsidR="00EB475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E278F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martā</w:t>
      </w:r>
      <w:proofErr w:type="gramEnd"/>
      <w:r w:rsidR="00FE278F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29760F6C" w14:textId="77777777" w:rsidR="00385D98" w:rsidRPr="00C8152C" w:rsidRDefault="00385D98" w:rsidP="0038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09315F1" w14:textId="77777777" w:rsidR="0057415B" w:rsidRPr="00A600B3" w:rsidRDefault="0057415B" w:rsidP="00C8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Informatīva atsauce uz Eiropas Savienības direktīvām</w:t>
      </w:r>
    </w:p>
    <w:p w14:paraId="313A6EAA" w14:textId="77777777" w:rsidR="00385D98" w:rsidRPr="00A600B3" w:rsidRDefault="00385D98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5BD9C24" w14:textId="77777777" w:rsidR="0057415B" w:rsidRPr="00A600B3" w:rsidRDefault="0057415B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Noteikumos iekļautas tiesību normas, kas izriet no:</w:t>
      </w:r>
    </w:p>
    <w:p w14:paraId="261BBF89" w14:textId="35338E4A" w:rsidR="0057415B" w:rsidRPr="00A600B3" w:rsidRDefault="00886825" w:rsidP="00385D9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57415B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57415B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Parlamenta un Padomes 2014.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57415B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26.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57415B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februāra 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</w:t>
      </w:r>
      <w:r w:rsidR="0057415B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irektīv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57415B"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2014/24/ES par publisko iepirkumu un ar ko atceļ Direktīvu 2004/18/EK;</w:t>
      </w:r>
    </w:p>
    <w:p w14:paraId="118FB5ED" w14:textId="311004BE" w:rsidR="00B94B10" w:rsidRPr="00A600B3" w:rsidRDefault="0057415B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2)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Parlamenta un Padomes 2012.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25.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oktobra 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irektīvas 2012/27/ES par energoefektivitāti, ar ko groza Direktīvas 2009/125/EK un 2010/30/ES un atceļ Direktīvas 2004/8/EK un 2006/32/EK prasības attiecībā uz valsts veiktajiem preču un pakalpojumu iepirkumiem</w:t>
      </w:r>
      <w:r w:rsidR="00B94B10"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125804CB" w14:textId="2A36DEDA" w:rsidR="00B94B10" w:rsidRPr="00A600B3" w:rsidRDefault="00B94B10" w:rsidP="0038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600B3">
        <w:rPr>
          <w:rFonts w:ascii="Times New Roman" w:eastAsia="Times New Roman" w:hAnsi="Times New Roman" w:cs="Times New Roman"/>
          <w:sz w:val="28"/>
          <w:szCs w:val="28"/>
          <w:lang w:val="lv-LV"/>
        </w:rPr>
        <w:t>3)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Parlamenta un Padomes 2014.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26.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februāra </w:t>
      </w:r>
      <w:r w:rsidR="00C815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irektīvas 2014/25/ES </w:t>
      </w:r>
      <w:r w:rsidRPr="00A600B3">
        <w:rPr>
          <w:rFonts w:ascii="Times New Roman" w:hAnsi="Times New Roman" w:cs="Times New Roman"/>
          <w:sz w:val="28"/>
          <w:szCs w:val="28"/>
          <w:lang w:val="lv-LV"/>
        </w:rPr>
        <w:t>par iepirkumu, ko īsteno subjekti, kuri darbojas ūdensapgādes, enerģētikas, transporta un pasta pakalpojumu nozarēs, un ar ko atceļ Direktīvu 2004/17/EK</w:t>
      </w:r>
      <w:r w:rsidRPr="00A600B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E26E434" w14:textId="77777777" w:rsidR="00385D98" w:rsidRPr="00A600B3" w:rsidRDefault="00385D98" w:rsidP="0038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50D7D4E" w14:textId="77777777" w:rsidR="00385D98" w:rsidRPr="00A600B3" w:rsidRDefault="00385D98" w:rsidP="0038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18CC7B7" w14:textId="77777777" w:rsidR="00385D98" w:rsidRPr="00A600B3" w:rsidRDefault="00385D98" w:rsidP="0038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0D6A207" w14:textId="77777777" w:rsidR="00385D98" w:rsidRPr="00A600B3" w:rsidRDefault="00385D98" w:rsidP="00385D9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600B3">
        <w:rPr>
          <w:sz w:val="28"/>
          <w:szCs w:val="28"/>
        </w:rPr>
        <w:t>Ministru prezidents</w:t>
      </w:r>
      <w:r w:rsidRPr="00A600B3">
        <w:rPr>
          <w:sz w:val="28"/>
          <w:szCs w:val="28"/>
        </w:rPr>
        <w:tab/>
        <w:t xml:space="preserve">Māris Kučinskis </w:t>
      </w:r>
    </w:p>
    <w:p w14:paraId="5512CB9F" w14:textId="77777777" w:rsidR="00385D98" w:rsidRPr="00A600B3" w:rsidRDefault="00385D98" w:rsidP="00385D9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1A6DE0" w14:textId="77777777" w:rsidR="00385D98" w:rsidRPr="00A600B3" w:rsidRDefault="00385D98" w:rsidP="00385D9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F5FF6C" w14:textId="77777777" w:rsidR="00385D98" w:rsidRPr="00A600B3" w:rsidRDefault="00385D98" w:rsidP="00385D9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D548BEE" w14:textId="77777777" w:rsidR="00385D98" w:rsidRPr="00A600B3" w:rsidRDefault="00385D98" w:rsidP="00385D9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600B3">
        <w:rPr>
          <w:rFonts w:ascii="Times New Roman" w:hAnsi="Times New Roman" w:cs="Times New Roman"/>
          <w:sz w:val="28"/>
          <w:szCs w:val="28"/>
        </w:rPr>
        <w:t>Finanšu</w:t>
      </w:r>
      <w:proofErr w:type="spellEnd"/>
      <w:r w:rsidRPr="00A60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0B3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A600B3">
        <w:rPr>
          <w:rFonts w:ascii="Times New Roman" w:hAnsi="Times New Roman" w:cs="Times New Roman"/>
          <w:sz w:val="28"/>
          <w:szCs w:val="28"/>
        </w:rPr>
        <w:tab/>
        <w:t xml:space="preserve">Dana </w:t>
      </w:r>
      <w:proofErr w:type="spellStart"/>
      <w:r w:rsidRPr="00A600B3">
        <w:rPr>
          <w:rFonts w:ascii="Times New Roman" w:hAnsi="Times New Roman" w:cs="Times New Roman"/>
          <w:sz w:val="28"/>
          <w:szCs w:val="28"/>
        </w:rPr>
        <w:t>Reizniece-Ozola</w:t>
      </w:r>
      <w:proofErr w:type="spellEnd"/>
    </w:p>
    <w:sectPr w:rsidR="00385D98" w:rsidRPr="00A600B3" w:rsidSect="00385D9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E8703" w14:textId="77777777" w:rsidR="0037246B" w:rsidRDefault="0037246B" w:rsidP="0013327E">
      <w:pPr>
        <w:spacing w:after="0" w:line="240" w:lineRule="auto"/>
      </w:pPr>
      <w:r>
        <w:separator/>
      </w:r>
    </w:p>
  </w:endnote>
  <w:endnote w:type="continuationSeparator" w:id="0">
    <w:p w14:paraId="4AA89163" w14:textId="77777777" w:rsidR="0037246B" w:rsidRDefault="0037246B" w:rsidP="0013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D4F2" w14:textId="77777777" w:rsidR="00385D98" w:rsidRPr="00385D98" w:rsidRDefault="00385D98" w:rsidP="00385D9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N0342_7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36D5E" w14:textId="7C8B4BDF" w:rsidR="00385D98" w:rsidRPr="00385D98" w:rsidRDefault="00385D9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N0342_7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F975" w14:textId="77777777" w:rsidR="0037246B" w:rsidRDefault="0037246B" w:rsidP="0013327E">
      <w:pPr>
        <w:spacing w:after="0" w:line="240" w:lineRule="auto"/>
      </w:pPr>
      <w:r>
        <w:separator/>
      </w:r>
    </w:p>
  </w:footnote>
  <w:footnote w:type="continuationSeparator" w:id="0">
    <w:p w14:paraId="2372F860" w14:textId="77777777" w:rsidR="0037246B" w:rsidRDefault="0037246B" w:rsidP="0013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165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DD2552" w14:textId="564BEC12" w:rsidR="00385D98" w:rsidRPr="00385D98" w:rsidRDefault="00385D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5D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5D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5D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8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5D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8B60CD" w14:textId="77777777" w:rsidR="00385D98" w:rsidRDefault="00385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BF2F" w14:textId="77777777" w:rsidR="00385D98" w:rsidRDefault="00385D98">
    <w:pPr>
      <w:pStyle w:val="Header"/>
      <w:rPr>
        <w:rFonts w:ascii="Times New Roman" w:hAnsi="Times New Roman" w:cs="Times New Roman"/>
        <w:sz w:val="28"/>
        <w:szCs w:val="28"/>
        <w:lang w:val="lv-LV"/>
      </w:rPr>
    </w:pPr>
  </w:p>
  <w:p w14:paraId="4ED7ED90" w14:textId="1F11CDE1" w:rsidR="00385D98" w:rsidRPr="00385D98" w:rsidRDefault="00385D98">
    <w:pPr>
      <w:pStyle w:val="Header"/>
      <w:rPr>
        <w:rFonts w:ascii="Times New Roman" w:hAnsi="Times New Roman" w:cs="Times New Roman"/>
        <w:sz w:val="28"/>
        <w:szCs w:val="28"/>
        <w:lang w:val="lv-LV"/>
      </w:rPr>
    </w:pPr>
    <w:r w:rsidRPr="00385D98">
      <w:rPr>
        <w:rFonts w:ascii="Times New Roman" w:hAnsi="Times New Roman" w:cs="Times New Roman"/>
        <w:noProof/>
        <w:sz w:val="32"/>
        <w:szCs w:val="32"/>
        <w:lang w:val="lv-LV" w:eastAsia="lv-LV"/>
      </w:rPr>
      <w:drawing>
        <wp:inline distT="0" distB="0" distL="0" distR="0" wp14:anchorId="0914032A" wp14:editId="063F3400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D64"/>
    <w:multiLevelType w:val="hybridMultilevel"/>
    <w:tmpl w:val="9EAEF0B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A29DE"/>
    <w:multiLevelType w:val="multilevel"/>
    <w:tmpl w:val="D3F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B3501"/>
    <w:multiLevelType w:val="hybridMultilevel"/>
    <w:tmpl w:val="F0FC7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7"/>
    <w:rsid w:val="000231ED"/>
    <w:rsid w:val="00027450"/>
    <w:rsid w:val="0003125B"/>
    <w:rsid w:val="00043A6E"/>
    <w:rsid w:val="00054A8E"/>
    <w:rsid w:val="00060E1D"/>
    <w:rsid w:val="000768A9"/>
    <w:rsid w:val="00080139"/>
    <w:rsid w:val="000C3881"/>
    <w:rsid w:val="000C5B48"/>
    <w:rsid w:val="0012685C"/>
    <w:rsid w:val="00132CC9"/>
    <w:rsid w:val="0013327E"/>
    <w:rsid w:val="00133D02"/>
    <w:rsid w:val="0014074B"/>
    <w:rsid w:val="0015332A"/>
    <w:rsid w:val="00161381"/>
    <w:rsid w:val="0018032B"/>
    <w:rsid w:val="001C30B4"/>
    <w:rsid w:val="001C4DEE"/>
    <w:rsid w:val="001C7B1C"/>
    <w:rsid w:val="00213F33"/>
    <w:rsid w:val="002144B7"/>
    <w:rsid w:val="00230BA4"/>
    <w:rsid w:val="002314B0"/>
    <w:rsid w:val="00242F86"/>
    <w:rsid w:val="002809A9"/>
    <w:rsid w:val="002F493A"/>
    <w:rsid w:val="00324FE8"/>
    <w:rsid w:val="003500FF"/>
    <w:rsid w:val="00352426"/>
    <w:rsid w:val="003658BC"/>
    <w:rsid w:val="0037246B"/>
    <w:rsid w:val="00385D98"/>
    <w:rsid w:val="0039170A"/>
    <w:rsid w:val="00394894"/>
    <w:rsid w:val="003D3291"/>
    <w:rsid w:val="003D42EA"/>
    <w:rsid w:val="00427915"/>
    <w:rsid w:val="0043544F"/>
    <w:rsid w:val="00441420"/>
    <w:rsid w:val="00450CB4"/>
    <w:rsid w:val="00452658"/>
    <w:rsid w:val="00453368"/>
    <w:rsid w:val="00454FCD"/>
    <w:rsid w:val="00461A68"/>
    <w:rsid w:val="00470996"/>
    <w:rsid w:val="004C2F27"/>
    <w:rsid w:val="004C6302"/>
    <w:rsid w:val="004D2C17"/>
    <w:rsid w:val="004E0AA5"/>
    <w:rsid w:val="004E2EC7"/>
    <w:rsid w:val="004E6187"/>
    <w:rsid w:val="004E6941"/>
    <w:rsid w:val="00511306"/>
    <w:rsid w:val="005140D7"/>
    <w:rsid w:val="00515187"/>
    <w:rsid w:val="0057415B"/>
    <w:rsid w:val="005946D2"/>
    <w:rsid w:val="005B51EA"/>
    <w:rsid w:val="005C51F8"/>
    <w:rsid w:val="006116E0"/>
    <w:rsid w:val="0063083B"/>
    <w:rsid w:val="00644197"/>
    <w:rsid w:val="006620FD"/>
    <w:rsid w:val="006756A4"/>
    <w:rsid w:val="0067764A"/>
    <w:rsid w:val="00692FA0"/>
    <w:rsid w:val="00693B12"/>
    <w:rsid w:val="006A07FB"/>
    <w:rsid w:val="006A2DB8"/>
    <w:rsid w:val="006D2637"/>
    <w:rsid w:val="006F1BE6"/>
    <w:rsid w:val="00707893"/>
    <w:rsid w:val="007236B7"/>
    <w:rsid w:val="007238A8"/>
    <w:rsid w:val="00745E45"/>
    <w:rsid w:val="00752C22"/>
    <w:rsid w:val="00763400"/>
    <w:rsid w:val="007A7FBE"/>
    <w:rsid w:val="007D6A17"/>
    <w:rsid w:val="007E48CB"/>
    <w:rsid w:val="00811133"/>
    <w:rsid w:val="0081304D"/>
    <w:rsid w:val="008203FF"/>
    <w:rsid w:val="0082260E"/>
    <w:rsid w:val="00834EDB"/>
    <w:rsid w:val="00842124"/>
    <w:rsid w:val="00865F6D"/>
    <w:rsid w:val="00880EAA"/>
    <w:rsid w:val="00886825"/>
    <w:rsid w:val="00890A65"/>
    <w:rsid w:val="008B7748"/>
    <w:rsid w:val="008D1BE4"/>
    <w:rsid w:val="00923243"/>
    <w:rsid w:val="0093119A"/>
    <w:rsid w:val="00956F31"/>
    <w:rsid w:val="00994602"/>
    <w:rsid w:val="009D0359"/>
    <w:rsid w:val="009D3390"/>
    <w:rsid w:val="009F674F"/>
    <w:rsid w:val="009F7A32"/>
    <w:rsid w:val="00A12EC4"/>
    <w:rsid w:val="00A229E7"/>
    <w:rsid w:val="00A600B3"/>
    <w:rsid w:val="00A752C9"/>
    <w:rsid w:val="00A853C2"/>
    <w:rsid w:val="00A85804"/>
    <w:rsid w:val="00A87E07"/>
    <w:rsid w:val="00A95A40"/>
    <w:rsid w:val="00AB0663"/>
    <w:rsid w:val="00AC6A5E"/>
    <w:rsid w:val="00B4047B"/>
    <w:rsid w:val="00B53AD1"/>
    <w:rsid w:val="00B94B10"/>
    <w:rsid w:val="00BA206C"/>
    <w:rsid w:val="00BD0A58"/>
    <w:rsid w:val="00BD3663"/>
    <w:rsid w:val="00BF74B7"/>
    <w:rsid w:val="00C05D68"/>
    <w:rsid w:val="00C06298"/>
    <w:rsid w:val="00C3181C"/>
    <w:rsid w:val="00C415E4"/>
    <w:rsid w:val="00C41FC1"/>
    <w:rsid w:val="00C57F3B"/>
    <w:rsid w:val="00C75BA7"/>
    <w:rsid w:val="00C8152C"/>
    <w:rsid w:val="00C87BDB"/>
    <w:rsid w:val="00C970F7"/>
    <w:rsid w:val="00CA4C13"/>
    <w:rsid w:val="00CA5C41"/>
    <w:rsid w:val="00CB15BF"/>
    <w:rsid w:val="00CB5019"/>
    <w:rsid w:val="00CC6C61"/>
    <w:rsid w:val="00D734D6"/>
    <w:rsid w:val="00DB3A8C"/>
    <w:rsid w:val="00DB47C7"/>
    <w:rsid w:val="00DD2656"/>
    <w:rsid w:val="00DE6228"/>
    <w:rsid w:val="00DF4418"/>
    <w:rsid w:val="00E00488"/>
    <w:rsid w:val="00E03F02"/>
    <w:rsid w:val="00E301EC"/>
    <w:rsid w:val="00E33A12"/>
    <w:rsid w:val="00E40984"/>
    <w:rsid w:val="00E45892"/>
    <w:rsid w:val="00EA41B5"/>
    <w:rsid w:val="00EA4F54"/>
    <w:rsid w:val="00EB310B"/>
    <w:rsid w:val="00EB4751"/>
    <w:rsid w:val="00EC0D12"/>
    <w:rsid w:val="00EC0FB5"/>
    <w:rsid w:val="00F26478"/>
    <w:rsid w:val="00F4771F"/>
    <w:rsid w:val="00F55587"/>
    <w:rsid w:val="00F72FEB"/>
    <w:rsid w:val="00FB4AB6"/>
    <w:rsid w:val="00FC6F5E"/>
    <w:rsid w:val="00FE278F"/>
    <w:rsid w:val="00FE620C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3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4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4B7"/>
    <w:rPr>
      <w:color w:val="0000FF"/>
      <w:u w:val="single"/>
    </w:rPr>
  </w:style>
  <w:style w:type="paragraph" w:customStyle="1" w:styleId="tv213">
    <w:name w:val="tv213"/>
    <w:basedOn w:val="Normal"/>
    <w:rsid w:val="0021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21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4418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7450"/>
    <w:pPr>
      <w:spacing w:after="160" w:line="259" w:lineRule="auto"/>
      <w:ind w:left="720"/>
      <w:contextualSpacing/>
    </w:pPr>
    <w:rPr>
      <w:lang w:val="lv-LV"/>
    </w:rPr>
  </w:style>
  <w:style w:type="paragraph" w:styleId="Subtitle">
    <w:name w:val="Subtitle"/>
    <w:basedOn w:val="Normal"/>
    <w:link w:val="SubtitleChar"/>
    <w:qFormat/>
    <w:rsid w:val="0002745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027450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Signature">
    <w:name w:val="Signature"/>
    <w:basedOn w:val="Normal"/>
    <w:link w:val="SignatureChar"/>
    <w:uiPriority w:val="99"/>
    <w:unhideWhenUsed/>
    <w:rsid w:val="00450CB4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val="lv-LV"/>
    </w:rPr>
  </w:style>
  <w:style w:type="character" w:customStyle="1" w:styleId="SignatureChar">
    <w:name w:val="Signature Char"/>
    <w:basedOn w:val="DefaultParagraphFont"/>
    <w:link w:val="Signature"/>
    <w:uiPriority w:val="99"/>
    <w:rsid w:val="00450CB4"/>
    <w:rPr>
      <w:rFonts w:ascii="Times New Roman" w:eastAsia="Times New Roman" w:hAnsi="Times New Roman" w:cs="Times New Roman"/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33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7E"/>
  </w:style>
  <w:style w:type="paragraph" w:styleId="Footer">
    <w:name w:val="footer"/>
    <w:basedOn w:val="Normal"/>
    <w:link w:val="FooterChar"/>
    <w:uiPriority w:val="99"/>
    <w:unhideWhenUsed/>
    <w:rsid w:val="00133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7E"/>
  </w:style>
  <w:style w:type="paragraph" w:customStyle="1" w:styleId="naisf">
    <w:name w:val="naisf"/>
    <w:basedOn w:val="Normal"/>
    <w:rsid w:val="00385D9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4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4B7"/>
    <w:rPr>
      <w:color w:val="0000FF"/>
      <w:u w:val="single"/>
    </w:rPr>
  </w:style>
  <w:style w:type="paragraph" w:customStyle="1" w:styleId="tv213">
    <w:name w:val="tv213"/>
    <w:basedOn w:val="Normal"/>
    <w:rsid w:val="0021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21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4418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7450"/>
    <w:pPr>
      <w:spacing w:after="160" w:line="259" w:lineRule="auto"/>
      <w:ind w:left="720"/>
      <w:contextualSpacing/>
    </w:pPr>
    <w:rPr>
      <w:lang w:val="lv-LV"/>
    </w:rPr>
  </w:style>
  <w:style w:type="paragraph" w:styleId="Subtitle">
    <w:name w:val="Subtitle"/>
    <w:basedOn w:val="Normal"/>
    <w:link w:val="SubtitleChar"/>
    <w:qFormat/>
    <w:rsid w:val="0002745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027450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Signature">
    <w:name w:val="Signature"/>
    <w:basedOn w:val="Normal"/>
    <w:link w:val="SignatureChar"/>
    <w:uiPriority w:val="99"/>
    <w:unhideWhenUsed/>
    <w:rsid w:val="00450CB4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val="lv-LV"/>
    </w:rPr>
  </w:style>
  <w:style w:type="character" w:customStyle="1" w:styleId="SignatureChar">
    <w:name w:val="Signature Char"/>
    <w:basedOn w:val="DefaultParagraphFont"/>
    <w:link w:val="Signature"/>
    <w:uiPriority w:val="99"/>
    <w:rsid w:val="00450CB4"/>
    <w:rPr>
      <w:rFonts w:ascii="Times New Roman" w:eastAsia="Times New Roman" w:hAnsi="Times New Roman" w:cs="Times New Roman"/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33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7E"/>
  </w:style>
  <w:style w:type="paragraph" w:styleId="Footer">
    <w:name w:val="footer"/>
    <w:basedOn w:val="Normal"/>
    <w:link w:val="FooterChar"/>
    <w:uiPriority w:val="99"/>
    <w:unhideWhenUsed/>
    <w:rsid w:val="00133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7E"/>
  </w:style>
  <w:style w:type="paragraph" w:customStyle="1" w:styleId="naisf">
    <w:name w:val="naisf"/>
    <w:basedOn w:val="Normal"/>
    <w:rsid w:val="00385D9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78AC-3D64-457E-B423-D1E6F5E4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"Publisko iepirkumu līgumcenu robežvērtību noteikumi"</vt:lpstr>
    </vt:vector>
  </TitlesOfParts>
  <Company>Iepirkumu uzraudzības birojs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"Publisko iepirkumu līgumcenu robežvērtību noteikumi"</dc:title>
  <dc:subject>Ministru kabineta noteikumu projekts</dc:subject>
  <dc:creator>Sintija Sīmane</dc:creator>
  <dc:description>Sintija Sīmane_x000d_
tālr.: 67326704_x000d_
e-pasts: Sintija.Sīmane@iub.gov.lv</dc:description>
  <cp:lastModifiedBy>Leontīne Babkina</cp:lastModifiedBy>
  <cp:revision>27</cp:revision>
  <cp:lastPrinted>2017-02-21T09:10:00Z</cp:lastPrinted>
  <dcterms:created xsi:type="dcterms:W3CDTF">2017-02-06T15:38:00Z</dcterms:created>
  <dcterms:modified xsi:type="dcterms:W3CDTF">2017-02-28T11:04:00Z</dcterms:modified>
  <cp:category/>
</cp:coreProperties>
</file>