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825C61F" w14:textId="7D8A04D2" w:rsidR="002322A6" w:rsidRPr="00DE2889" w:rsidRDefault="003E3F19" w:rsidP="00FE1ED9">
      <w:pPr>
        <w:tabs>
          <w:tab w:val="left" w:pos="540"/>
        </w:tabs>
        <w:jc w:val="center"/>
        <w:rPr>
          <w:rFonts w:eastAsia="Times New Roman"/>
          <w:sz w:val="28"/>
          <w:szCs w:val="28"/>
        </w:rPr>
      </w:pPr>
      <w:bookmarkStart w:id="0" w:name="OLE_LINK1"/>
      <w:bookmarkStart w:id="1" w:name="OLE_LINK2"/>
      <w:bookmarkStart w:id="2" w:name="OLE_LINK3"/>
      <w:bookmarkStart w:id="3" w:name="_GoBack"/>
      <w:r w:rsidRPr="00DE2889">
        <w:rPr>
          <w:b/>
          <w:sz w:val="28"/>
          <w:szCs w:val="28"/>
        </w:rPr>
        <w:t xml:space="preserve">Ministru kabineta noteikumu </w:t>
      </w:r>
      <w:r w:rsidR="002322A6" w:rsidRPr="00DE2889">
        <w:rPr>
          <w:b/>
          <w:sz w:val="28"/>
          <w:szCs w:val="28"/>
        </w:rPr>
        <w:t>projekta „</w:t>
      </w:r>
      <w:r w:rsidR="00234BA4" w:rsidRPr="00DE2889">
        <w:rPr>
          <w:b/>
          <w:sz w:val="28"/>
          <w:szCs w:val="28"/>
        </w:rPr>
        <w:t>Autotransporta līdzekļu kategorijas, kuru iepirkumos piemēro īpašas prasības, un autotransporta līdzekļu ekspluatācijas izmaksu aprēķināšanas metodika</w:t>
      </w:r>
      <w:r w:rsidR="002322A6" w:rsidRPr="00DE2889">
        <w:rPr>
          <w:b/>
          <w:sz w:val="28"/>
          <w:szCs w:val="28"/>
        </w:rPr>
        <w:t xml:space="preserve">” </w:t>
      </w:r>
      <w:r w:rsidR="00ED4CB5" w:rsidRPr="00DE2889">
        <w:rPr>
          <w:b/>
          <w:sz w:val="28"/>
          <w:szCs w:val="28"/>
        </w:rPr>
        <w:t>s</w:t>
      </w:r>
      <w:r w:rsidR="00F46062" w:rsidRPr="00DE2889">
        <w:rPr>
          <w:b/>
          <w:sz w:val="28"/>
          <w:szCs w:val="28"/>
        </w:rPr>
        <w:t>ākotnējās ietekmes novērtējuma ziņojums (</w:t>
      </w:r>
      <w:r w:rsidR="002322A6" w:rsidRPr="00DE2889">
        <w:rPr>
          <w:b/>
          <w:sz w:val="28"/>
          <w:szCs w:val="28"/>
        </w:rPr>
        <w:t>anotācija</w:t>
      </w:r>
      <w:r w:rsidR="00F46062" w:rsidRPr="00DE2889">
        <w:rPr>
          <w:b/>
          <w:sz w:val="28"/>
          <w:szCs w:val="28"/>
        </w:rPr>
        <w:t>)</w:t>
      </w:r>
      <w:bookmarkEnd w:id="0"/>
      <w:bookmarkEnd w:id="1"/>
      <w:bookmarkEnd w:id="2"/>
      <w:bookmarkEnd w:id="3"/>
    </w:p>
    <w:p w14:paraId="5C2E98C8" w14:textId="77777777" w:rsidR="002322A6" w:rsidRPr="00935FCC" w:rsidRDefault="002322A6">
      <w:pPr>
        <w:rPr>
          <w:sz w:val="26"/>
          <w:szCs w:val="26"/>
        </w:rPr>
      </w:pPr>
    </w:p>
    <w:tbl>
      <w:tblPr>
        <w:tblW w:w="9214" w:type="dxa"/>
        <w:tblInd w:w="55" w:type="dxa"/>
        <w:tblLayout w:type="fixed"/>
        <w:tblCellMar>
          <w:top w:w="55" w:type="dxa"/>
          <w:left w:w="55" w:type="dxa"/>
          <w:bottom w:w="55" w:type="dxa"/>
          <w:right w:w="55" w:type="dxa"/>
        </w:tblCellMar>
        <w:tblLook w:val="0000" w:firstRow="0" w:lastRow="0" w:firstColumn="0" w:lastColumn="0" w:noHBand="0" w:noVBand="0"/>
      </w:tblPr>
      <w:tblGrid>
        <w:gridCol w:w="2835"/>
        <w:gridCol w:w="6379"/>
      </w:tblGrid>
      <w:tr w:rsidR="000910DF" w:rsidRPr="00E33B68" w14:paraId="079B4E4A" w14:textId="77777777">
        <w:tc>
          <w:tcPr>
            <w:tcW w:w="9214" w:type="dxa"/>
            <w:gridSpan w:val="2"/>
            <w:tcBorders>
              <w:top w:val="single" w:sz="1" w:space="0" w:color="000000"/>
              <w:left w:val="single" w:sz="1" w:space="0" w:color="000000"/>
              <w:bottom w:val="single" w:sz="1" w:space="0" w:color="000000"/>
              <w:right w:val="single" w:sz="1" w:space="0" w:color="000000"/>
            </w:tcBorders>
          </w:tcPr>
          <w:p w14:paraId="02A824E0" w14:textId="77777777" w:rsidR="002322A6" w:rsidRPr="00E33B68" w:rsidRDefault="002322A6" w:rsidP="00746CF3">
            <w:pPr>
              <w:snapToGrid w:val="0"/>
              <w:spacing w:after="60"/>
              <w:jc w:val="center"/>
              <w:rPr>
                <w:b/>
                <w:bCs/>
                <w:sz w:val="26"/>
                <w:szCs w:val="26"/>
              </w:rPr>
            </w:pPr>
            <w:r w:rsidRPr="00E33B68">
              <w:rPr>
                <w:b/>
                <w:bCs/>
                <w:sz w:val="26"/>
                <w:szCs w:val="26"/>
              </w:rPr>
              <w:t xml:space="preserve">I. </w:t>
            </w:r>
            <w:r w:rsidR="002E595D" w:rsidRPr="00E33B68">
              <w:rPr>
                <w:b/>
                <w:bCs/>
                <w:sz w:val="26"/>
                <w:szCs w:val="26"/>
              </w:rPr>
              <w:t>Tiesību akta projekta izstrādes nepieciešamība</w:t>
            </w:r>
          </w:p>
        </w:tc>
      </w:tr>
      <w:tr w:rsidR="000910DF" w:rsidRPr="00E33B68" w14:paraId="444D1B93" w14:textId="77777777" w:rsidTr="00DE7881">
        <w:tc>
          <w:tcPr>
            <w:tcW w:w="2835" w:type="dxa"/>
            <w:tcBorders>
              <w:left w:val="single" w:sz="1" w:space="0" w:color="000000"/>
              <w:bottom w:val="single" w:sz="1" w:space="0" w:color="000000"/>
            </w:tcBorders>
          </w:tcPr>
          <w:p w14:paraId="6C17271A" w14:textId="77777777" w:rsidR="002322A6" w:rsidRPr="00E33B68" w:rsidRDefault="002322A6" w:rsidP="00DE7881">
            <w:pPr>
              <w:snapToGrid w:val="0"/>
              <w:spacing w:after="60"/>
              <w:rPr>
                <w:sz w:val="26"/>
                <w:szCs w:val="26"/>
              </w:rPr>
            </w:pPr>
            <w:r w:rsidRPr="00E33B68">
              <w:rPr>
                <w:sz w:val="26"/>
                <w:szCs w:val="26"/>
              </w:rPr>
              <w:t xml:space="preserve">1. </w:t>
            </w:r>
            <w:r w:rsidR="00DB602B" w:rsidRPr="00E33B68">
              <w:rPr>
                <w:sz w:val="26"/>
                <w:szCs w:val="26"/>
              </w:rPr>
              <w:t>Pamatojums</w:t>
            </w:r>
          </w:p>
        </w:tc>
        <w:tc>
          <w:tcPr>
            <w:tcW w:w="6379" w:type="dxa"/>
            <w:tcBorders>
              <w:left w:val="single" w:sz="1" w:space="0" w:color="000000"/>
              <w:bottom w:val="single" w:sz="1" w:space="0" w:color="000000"/>
              <w:right w:val="single" w:sz="1" w:space="0" w:color="000000"/>
            </w:tcBorders>
          </w:tcPr>
          <w:p w14:paraId="4F440673" w14:textId="34AC0034" w:rsidR="00BB79F4" w:rsidRPr="00E33B68" w:rsidRDefault="00DE2889" w:rsidP="00DE2889">
            <w:pPr>
              <w:snapToGrid w:val="0"/>
              <w:spacing w:after="60"/>
              <w:ind w:left="28"/>
              <w:jc w:val="both"/>
              <w:rPr>
                <w:sz w:val="26"/>
                <w:szCs w:val="26"/>
                <w:lang w:eastAsia="lo-LA" w:bidi="lo-LA"/>
              </w:rPr>
            </w:pPr>
            <w:r>
              <w:rPr>
                <w:sz w:val="26"/>
                <w:szCs w:val="26"/>
                <w:lang w:eastAsia="lo-LA" w:bidi="lo-LA"/>
              </w:rPr>
              <w:t>1. </w:t>
            </w:r>
            <w:r w:rsidR="007F4AD9" w:rsidRPr="00E33B68">
              <w:rPr>
                <w:sz w:val="26"/>
                <w:szCs w:val="26"/>
                <w:lang w:eastAsia="lo-LA" w:bidi="lo-LA"/>
              </w:rPr>
              <w:t xml:space="preserve">Eiropas Parlamenta un Padomes </w:t>
            </w:r>
            <w:r w:rsidR="00E12B69" w:rsidRPr="00E33B68">
              <w:rPr>
                <w:sz w:val="26"/>
                <w:szCs w:val="26"/>
                <w:lang w:eastAsia="lo-LA" w:bidi="lo-LA"/>
              </w:rPr>
              <w:t xml:space="preserve">2009.gada 23.aprīļa </w:t>
            </w:r>
            <w:r w:rsidR="0013031E">
              <w:rPr>
                <w:sz w:val="26"/>
                <w:szCs w:val="26"/>
                <w:lang w:eastAsia="lo-LA" w:bidi="lo-LA"/>
              </w:rPr>
              <w:t>direktīva 2009/33/EK par „</w:t>
            </w:r>
            <w:r w:rsidR="007F4AD9" w:rsidRPr="00E33B68">
              <w:rPr>
                <w:sz w:val="26"/>
                <w:szCs w:val="26"/>
                <w:lang w:eastAsia="lo-LA" w:bidi="lo-LA"/>
              </w:rPr>
              <w:t>tīro” un energoefektīvo autotransporta lī</w:t>
            </w:r>
            <w:r w:rsidR="00F973CF" w:rsidRPr="00E33B68">
              <w:rPr>
                <w:sz w:val="26"/>
                <w:szCs w:val="26"/>
                <w:lang w:eastAsia="lo-LA" w:bidi="lo-LA"/>
              </w:rPr>
              <w:t>dzekļu izmantošanas veicināšanu</w:t>
            </w:r>
            <w:r w:rsidR="007F4AD9" w:rsidRPr="00E33B68">
              <w:rPr>
                <w:sz w:val="26"/>
                <w:szCs w:val="26"/>
                <w:lang w:eastAsia="lo-LA" w:bidi="lo-LA"/>
              </w:rPr>
              <w:t>.</w:t>
            </w:r>
          </w:p>
          <w:p w14:paraId="7FB837A0" w14:textId="04C3F379" w:rsidR="00732DB2" w:rsidRPr="00E33B68" w:rsidRDefault="00DE2889" w:rsidP="00DE2889">
            <w:pPr>
              <w:snapToGrid w:val="0"/>
              <w:spacing w:after="60"/>
              <w:ind w:left="28"/>
              <w:jc w:val="both"/>
              <w:rPr>
                <w:sz w:val="26"/>
                <w:szCs w:val="26"/>
                <w:lang w:eastAsia="lo-LA" w:bidi="lo-LA"/>
              </w:rPr>
            </w:pPr>
            <w:r>
              <w:rPr>
                <w:sz w:val="26"/>
                <w:szCs w:val="26"/>
                <w:lang w:eastAsia="lo-LA" w:bidi="lo-LA"/>
              </w:rPr>
              <w:t>2. </w:t>
            </w:r>
            <w:r w:rsidR="00732DB2" w:rsidRPr="00E33B68">
              <w:rPr>
                <w:sz w:val="26"/>
                <w:szCs w:val="26"/>
                <w:lang w:eastAsia="lo-LA" w:bidi="lo-LA"/>
              </w:rPr>
              <w:t>Publisko iepirkumu likuma (pieņemts 2016.gada 15.decembrī) 54.panta otrā daļa.</w:t>
            </w:r>
          </w:p>
          <w:p w14:paraId="593AEAC3" w14:textId="1EC21A52" w:rsidR="00732DB2" w:rsidRPr="00E33B68" w:rsidRDefault="00DE2889" w:rsidP="00DE2889">
            <w:pPr>
              <w:snapToGrid w:val="0"/>
              <w:spacing w:after="60"/>
              <w:ind w:left="28"/>
              <w:jc w:val="both"/>
              <w:rPr>
                <w:sz w:val="26"/>
                <w:szCs w:val="26"/>
                <w:lang w:eastAsia="lo-LA" w:bidi="lo-LA"/>
              </w:rPr>
            </w:pPr>
            <w:r>
              <w:rPr>
                <w:sz w:val="26"/>
                <w:szCs w:val="26"/>
                <w:lang w:eastAsia="lo-LA" w:bidi="lo-LA"/>
              </w:rPr>
              <w:t>3. </w:t>
            </w:r>
            <w:r w:rsidR="00732DB2" w:rsidRPr="00E33B68">
              <w:rPr>
                <w:sz w:val="26"/>
                <w:szCs w:val="26"/>
                <w:lang w:eastAsia="lo-LA" w:bidi="lo-LA"/>
              </w:rPr>
              <w:t>Sabiedrisko pakalpojumu sniedzēju iepirkumu likuma (pieņemts 2017.gada 2.februārī) 21.panta otrā daļa.</w:t>
            </w:r>
          </w:p>
        </w:tc>
      </w:tr>
      <w:tr w:rsidR="000910DF" w:rsidRPr="00E33B68" w14:paraId="6FDB0B1F" w14:textId="77777777" w:rsidTr="00DE7881">
        <w:tc>
          <w:tcPr>
            <w:tcW w:w="2835" w:type="dxa"/>
            <w:tcBorders>
              <w:left w:val="single" w:sz="1" w:space="0" w:color="000000"/>
              <w:bottom w:val="single" w:sz="1" w:space="0" w:color="000000"/>
            </w:tcBorders>
          </w:tcPr>
          <w:p w14:paraId="5D279CFC" w14:textId="77777777" w:rsidR="002322A6" w:rsidRPr="00E33B68" w:rsidRDefault="00B6599F" w:rsidP="00DE7881">
            <w:pPr>
              <w:snapToGrid w:val="0"/>
              <w:spacing w:after="60"/>
              <w:rPr>
                <w:sz w:val="26"/>
                <w:szCs w:val="26"/>
              </w:rPr>
            </w:pPr>
            <w:r w:rsidRPr="00E33B68">
              <w:rPr>
                <w:sz w:val="26"/>
                <w:szCs w:val="26"/>
              </w:rPr>
              <w:t>2. Pašreizējā situācija un problēmas</w:t>
            </w:r>
            <w:r w:rsidR="00B23F47" w:rsidRPr="00E33B68">
              <w:rPr>
                <w:sz w:val="26"/>
                <w:szCs w:val="26"/>
              </w:rPr>
              <w:t>, kuru risināšanai tiesību akta projekts izstrādāts, tiesiskā regulējuma mērķis un būtība</w:t>
            </w:r>
          </w:p>
        </w:tc>
        <w:tc>
          <w:tcPr>
            <w:tcW w:w="6379" w:type="dxa"/>
            <w:tcBorders>
              <w:left w:val="single" w:sz="1" w:space="0" w:color="000000"/>
              <w:bottom w:val="single" w:sz="1" w:space="0" w:color="000000"/>
              <w:right w:val="single" w:sz="1" w:space="0" w:color="000000"/>
            </w:tcBorders>
          </w:tcPr>
          <w:p w14:paraId="53BE4D6E" w14:textId="77777777" w:rsidR="00927CEF" w:rsidRPr="00DE2889" w:rsidRDefault="00927CEF" w:rsidP="00DE2889">
            <w:pPr>
              <w:spacing w:after="60"/>
              <w:ind w:left="31"/>
              <w:jc w:val="both"/>
              <w:rPr>
                <w:sz w:val="26"/>
                <w:szCs w:val="26"/>
              </w:rPr>
            </w:pPr>
            <w:r w:rsidRPr="00DE2889">
              <w:rPr>
                <w:sz w:val="26"/>
                <w:szCs w:val="26"/>
              </w:rPr>
              <w:t xml:space="preserve">Saskaņā ar </w:t>
            </w:r>
            <w:r w:rsidR="00D311AF" w:rsidRPr="00DE2889">
              <w:rPr>
                <w:sz w:val="26"/>
                <w:szCs w:val="26"/>
              </w:rPr>
              <w:t>E</w:t>
            </w:r>
            <w:r w:rsidR="00196CF8" w:rsidRPr="00DE2889">
              <w:rPr>
                <w:sz w:val="26"/>
                <w:szCs w:val="26"/>
              </w:rPr>
              <w:t>iropas Parlamenta un Padomes 2014.gada 26</w:t>
            </w:r>
            <w:r w:rsidR="00D311AF" w:rsidRPr="00DE2889">
              <w:rPr>
                <w:sz w:val="26"/>
                <w:szCs w:val="26"/>
              </w:rPr>
              <w:t>.</w:t>
            </w:r>
            <w:r w:rsidR="00196CF8" w:rsidRPr="00DE2889">
              <w:rPr>
                <w:sz w:val="26"/>
                <w:szCs w:val="26"/>
              </w:rPr>
              <w:t>februāra direktīvas 2014/24/ES</w:t>
            </w:r>
            <w:r w:rsidR="00D311AF" w:rsidRPr="00DE2889">
              <w:rPr>
                <w:sz w:val="26"/>
                <w:szCs w:val="26"/>
              </w:rPr>
              <w:t xml:space="preserve"> </w:t>
            </w:r>
            <w:r w:rsidR="00196CF8" w:rsidRPr="00DE2889">
              <w:rPr>
                <w:bCs/>
                <w:sz w:val="26"/>
                <w:szCs w:val="26"/>
              </w:rPr>
              <w:t>par pub</w:t>
            </w:r>
            <w:r w:rsidR="00D6625B" w:rsidRPr="00DE2889">
              <w:rPr>
                <w:bCs/>
                <w:sz w:val="26"/>
                <w:szCs w:val="26"/>
              </w:rPr>
              <w:t>lisko iepirkumu un ar ko atceļ d</w:t>
            </w:r>
            <w:r w:rsidR="00196CF8" w:rsidRPr="00DE2889">
              <w:rPr>
                <w:bCs/>
                <w:sz w:val="26"/>
                <w:szCs w:val="26"/>
              </w:rPr>
              <w:t>irektīvu 2004/18/EK</w:t>
            </w:r>
            <w:r w:rsidR="00D311AF" w:rsidRPr="00DE2889">
              <w:rPr>
                <w:sz w:val="26"/>
                <w:szCs w:val="26"/>
              </w:rPr>
              <w:t xml:space="preserve"> (turpmāk – direktīva 20</w:t>
            </w:r>
            <w:r w:rsidR="00196CF8" w:rsidRPr="00DE2889">
              <w:rPr>
                <w:sz w:val="26"/>
                <w:szCs w:val="26"/>
              </w:rPr>
              <w:t>14/24/ES</w:t>
            </w:r>
            <w:r w:rsidR="008B1C69" w:rsidRPr="00DE2889">
              <w:rPr>
                <w:sz w:val="26"/>
                <w:szCs w:val="26"/>
              </w:rPr>
              <w:t>), kas</w:t>
            </w:r>
            <w:r w:rsidR="00D311AF" w:rsidRPr="00DE2889">
              <w:rPr>
                <w:sz w:val="26"/>
                <w:szCs w:val="26"/>
              </w:rPr>
              <w:t xml:space="preserve"> pārņemta </w:t>
            </w:r>
            <w:r w:rsidR="002C5AC5" w:rsidRPr="00DE2889">
              <w:rPr>
                <w:sz w:val="26"/>
                <w:szCs w:val="26"/>
              </w:rPr>
              <w:t xml:space="preserve">2016.gada 15.decembrī pieņemtajā </w:t>
            </w:r>
            <w:r w:rsidR="00D311AF" w:rsidRPr="00DE2889">
              <w:rPr>
                <w:sz w:val="26"/>
                <w:szCs w:val="26"/>
              </w:rPr>
              <w:t xml:space="preserve">Publisko iepirkumu likumā, </w:t>
            </w:r>
            <w:r w:rsidR="007C191C" w:rsidRPr="00DE2889">
              <w:rPr>
                <w:sz w:val="26"/>
                <w:szCs w:val="26"/>
              </w:rPr>
              <w:t xml:space="preserve">preambulas </w:t>
            </w:r>
            <w:r w:rsidR="00C926D3" w:rsidRPr="00DE2889">
              <w:rPr>
                <w:sz w:val="26"/>
                <w:szCs w:val="26"/>
              </w:rPr>
              <w:t>deviņdesmit pirmo</w:t>
            </w:r>
            <w:r w:rsidR="00D311AF" w:rsidRPr="00DE2889">
              <w:rPr>
                <w:sz w:val="26"/>
                <w:szCs w:val="26"/>
              </w:rPr>
              <w:t xml:space="preserve"> apsvērumu</w:t>
            </w:r>
            <w:r w:rsidRPr="00DE2889">
              <w:rPr>
                <w:sz w:val="26"/>
                <w:szCs w:val="26"/>
              </w:rPr>
              <w:t xml:space="preserve"> minētā direktīva precizē to, kādā veidā līgumslēdzējas iestādes</w:t>
            </w:r>
            <w:r w:rsidR="007C191C" w:rsidRPr="00DE2889">
              <w:rPr>
                <w:sz w:val="26"/>
                <w:szCs w:val="26"/>
              </w:rPr>
              <w:t xml:space="preserve"> (pasūtītāji) </w:t>
            </w:r>
            <w:r w:rsidRPr="00DE2889">
              <w:rPr>
                <w:sz w:val="26"/>
                <w:szCs w:val="26"/>
              </w:rPr>
              <w:t>var dot ieguldījumu vides aizsardzībā un ilgtspējīgas attīstības veicināšanā, vienlaikus nodrošinot iespē</w:t>
            </w:r>
            <w:r w:rsidR="00481C94" w:rsidRPr="00DE2889">
              <w:rPr>
                <w:sz w:val="26"/>
                <w:szCs w:val="26"/>
              </w:rPr>
              <w:t xml:space="preserve">ju </w:t>
            </w:r>
            <w:r w:rsidR="000F1A06" w:rsidRPr="00DE2889">
              <w:rPr>
                <w:sz w:val="26"/>
                <w:szCs w:val="26"/>
              </w:rPr>
              <w:t>iegūt</w:t>
            </w:r>
            <w:r w:rsidRPr="00DE2889">
              <w:rPr>
                <w:sz w:val="26"/>
                <w:szCs w:val="26"/>
              </w:rPr>
              <w:t xml:space="preserve"> visizdevīgāko piedāvājumu.</w:t>
            </w:r>
            <w:r w:rsidR="007C191C" w:rsidRPr="00DE2889">
              <w:rPr>
                <w:sz w:val="26"/>
                <w:szCs w:val="26"/>
              </w:rPr>
              <w:t xml:space="preserve"> Šāds apsvērums iekļauts arī Eiropas Parlamenta un Padomes</w:t>
            </w:r>
            <w:r w:rsidR="00B7599D" w:rsidRPr="00DE2889">
              <w:rPr>
                <w:sz w:val="26"/>
                <w:szCs w:val="26"/>
              </w:rPr>
              <w:t xml:space="preserve"> 201</w:t>
            </w:r>
            <w:r w:rsidR="007C191C" w:rsidRPr="00DE2889">
              <w:rPr>
                <w:sz w:val="26"/>
                <w:szCs w:val="26"/>
              </w:rPr>
              <w:t xml:space="preserve">4.gada </w:t>
            </w:r>
            <w:r w:rsidR="00B7599D" w:rsidRPr="00DE2889">
              <w:rPr>
                <w:sz w:val="26"/>
                <w:szCs w:val="26"/>
              </w:rPr>
              <w:t>26.februāra</w:t>
            </w:r>
            <w:r w:rsidR="007C191C" w:rsidRPr="00DE2889">
              <w:rPr>
                <w:sz w:val="26"/>
                <w:szCs w:val="26"/>
              </w:rPr>
              <w:t xml:space="preserve"> direktīvas </w:t>
            </w:r>
            <w:r w:rsidR="00B7599D" w:rsidRPr="00DE2889">
              <w:rPr>
                <w:sz w:val="26"/>
                <w:szCs w:val="26"/>
              </w:rPr>
              <w:t>2014/25/ES</w:t>
            </w:r>
            <w:r w:rsidR="00B7599D" w:rsidRPr="00DE2889">
              <w:rPr>
                <w:rStyle w:val="Absatz-Standardschriftart"/>
                <w:sz w:val="26"/>
                <w:szCs w:val="26"/>
                <w:bdr w:val="none" w:sz="0" w:space="0" w:color="auto" w:frame="1"/>
                <w:shd w:val="clear" w:color="auto" w:fill="FFFFFF"/>
              </w:rPr>
              <w:t xml:space="preserve"> </w:t>
            </w:r>
            <w:r w:rsidR="00B7599D" w:rsidRPr="00DE2889">
              <w:rPr>
                <w:bCs/>
                <w:sz w:val="26"/>
                <w:szCs w:val="26"/>
              </w:rPr>
              <w:t>par iepirkumu, ko īsteno subjekti, kuri darbojas ūdensapgādes, enerģētikas, transporta un pasta pakalpojumu nozarēs,</w:t>
            </w:r>
            <w:r w:rsidR="00D6625B" w:rsidRPr="00DE2889">
              <w:rPr>
                <w:bCs/>
                <w:sz w:val="26"/>
                <w:szCs w:val="26"/>
              </w:rPr>
              <w:t xml:space="preserve"> un ar ko atceļ d</w:t>
            </w:r>
            <w:r w:rsidR="00B7599D" w:rsidRPr="00DE2889">
              <w:rPr>
                <w:bCs/>
                <w:sz w:val="26"/>
                <w:szCs w:val="26"/>
              </w:rPr>
              <w:t>irektīvu 2004/17/EK</w:t>
            </w:r>
            <w:r w:rsidR="007C191C" w:rsidRPr="00DE2889">
              <w:rPr>
                <w:sz w:val="26"/>
                <w:szCs w:val="26"/>
              </w:rPr>
              <w:t xml:space="preserve"> (turpmāk – direktīva </w:t>
            </w:r>
            <w:r w:rsidR="00B7599D" w:rsidRPr="00DE2889">
              <w:rPr>
                <w:sz w:val="26"/>
                <w:szCs w:val="26"/>
              </w:rPr>
              <w:t>2014/25/ES</w:t>
            </w:r>
            <w:r w:rsidR="007C191C" w:rsidRPr="00DE2889">
              <w:rPr>
                <w:sz w:val="26"/>
                <w:szCs w:val="26"/>
              </w:rPr>
              <w:t>)</w:t>
            </w:r>
            <w:r w:rsidR="008B1C69" w:rsidRPr="00DE2889">
              <w:rPr>
                <w:sz w:val="26"/>
                <w:szCs w:val="26"/>
              </w:rPr>
              <w:t xml:space="preserve">, kas pārņemta </w:t>
            </w:r>
            <w:r w:rsidR="004E2EE7" w:rsidRPr="00DE2889">
              <w:rPr>
                <w:sz w:val="26"/>
                <w:szCs w:val="26"/>
              </w:rPr>
              <w:t>Sabiedrisko pakalpojumu sniedz</w:t>
            </w:r>
            <w:r w:rsidR="008B1C69" w:rsidRPr="00DE2889">
              <w:rPr>
                <w:sz w:val="26"/>
                <w:szCs w:val="26"/>
              </w:rPr>
              <w:t>ēju iepirkumu likumā</w:t>
            </w:r>
            <w:r w:rsidR="001215A1" w:rsidRPr="00DE2889">
              <w:rPr>
                <w:sz w:val="26"/>
                <w:szCs w:val="26"/>
              </w:rPr>
              <w:t xml:space="preserve">, kas </w:t>
            </w:r>
            <w:r w:rsidR="005B7164" w:rsidRPr="00DE2889">
              <w:rPr>
                <w:sz w:val="26"/>
                <w:szCs w:val="26"/>
              </w:rPr>
              <w:t xml:space="preserve">pieņemts 2017.gada </w:t>
            </w:r>
            <w:r w:rsidR="001215A1" w:rsidRPr="00DE2889">
              <w:rPr>
                <w:sz w:val="26"/>
                <w:szCs w:val="26"/>
              </w:rPr>
              <w:t>2.februārī</w:t>
            </w:r>
            <w:r w:rsidR="00333F96" w:rsidRPr="00DE2889">
              <w:rPr>
                <w:sz w:val="26"/>
                <w:szCs w:val="26"/>
              </w:rPr>
              <w:t>,</w:t>
            </w:r>
            <w:r w:rsidR="007C191C" w:rsidRPr="00DE2889">
              <w:rPr>
                <w:sz w:val="26"/>
                <w:szCs w:val="26"/>
              </w:rPr>
              <w:t xml:space="preserve"> preambulas </w:t>
            </w:r>
            <w:r w:rsidR="00196CF8" w:rsidRPr="00DE2889">
              <w:rPr>
                <w:sz w:val="26"/>
                <w:szCs w:val="26"/>
              </w:rPr>
              <w:t>deviņdesmit sestajā</w:t>
            </w:r>
            <w:r w:rsidR="007C191C" w:rsidRPr="00DE2889">
              <w:rPr>
                <w:sz w:val="26"/>
                <w:szCs w:val="26"/>
              </w:rPr>
              <w:t xml:space="preserve"> apsvērumā</w:t>
            </w:r>
            <w:r w:rsidR="00333F96" w:rsidRPr="00DE2889">
              <w:rPr>
                <w:sz w:val="26"/>
                <w:szCs w:val="26"/>
              </w:rPr>
              <w:t xml:space="preserve"> attiecībā uz sabiedrisko pakalpojumu sniedzējiem.</w:t>
            </w:r>
          </w:p>
          <w:p w14:paraId="46AD65A7" w14:textId="77777777" w:rsidR="00A41A16" w:rsidRPr="00DE2889" w:rsidRDefault="000E0112" w:rsidP="00DE2889">
            <w:pPr>
              <w:spacing w:after="60"/>
              <w:ind w:left="31"/>
              <w:jc w:val="both"/>
              <w:rPr>
                <w:sz w:val="26"/>
                <w:szCs w:val="26"/>
                <w:lang w:eastAsia="lo-LA" w:bidi="lo-LA"/>
              </w:rPr>
            </w:pPr>
            <w:r w:rsidRPr="00DE2889">
              <w:rPr>
                <w:sz w:val="26"/>
                <w:szCs w:val="26"/>
              </w:rPr>
              <w:t xml:space="preserve">Ņemot vērā </w:t>
            </w:r>
            <w:r w:rsidR="007D7B71" w:rsidRPr="00DE2889">
              <w:rPr>
                <w:sz w:val="26"/>
                <w:szCs w:val="26"/>
              </w:rPr>
              <w:t xml:space="preserve">iepriekš </w:t>
            </w:r>
            <w:r w:rsidRPr="00DE2889">
              <w:rPr>
                <w:sz w:val="26"/>
                <w:szCs w:val="26"/>
              </w:rPr>
              <w:t xml:space="preserve">minētos apsvērumus, abas direktīvas un arī likumi, ar kuriem tās pārņemtas, paredz, ka iepirkuma veicējs tehniskajās specifikācijās </w:t>
            </w:r>
            <w:r w:rsidR="00151B58" w:rsidRPr="00DE2889">
              <w:rPr>
                <w:sz w:val="26"/>
                <w:szCs w:val="26"/>
              </w:rPr>
              <w:t xml:space="preserve">var </w:t>
            </w:r>
            <w:r w:rsidRPr="00DE2889">
              <w:rPr>
                <w:sz w:val="26"/>
                <w:szCs w:val="26"/>
              </w:rPr>
              <w:t>ietver</w:t>
            </w:r>
            <w:r w:rsidR="00151B58" w:rsidRPr="00DE2889">
              <w:rPr>
                <w:sz w:val="26"/>
                <w:szCs w:val="26"/>
              </w:rPr>
              <w:t>t</w:t>
            </w:r>
            <w:r w:rsidRPr="00DE2889">
              <w:rPr>
                <w:sz w:val="26"/>
                <w:szCs w:val="26"/>
              </w:rPr>
              <w:t xml:space="preserve"> arī vides aizsardzības prasības</w:t>
            </w:r>
            <w:r w:rsidR="00151B58" w:rsidRPr="00DE2889">
              <w:rPr>
                <w:sz w:val="26"/>
                <w:szCs w:val="26"/>
              </w:rPr>
              <w:t xml:space="preserve"> </w:t>
            </w:r>
            <w:r w:rsidR="00197BD8" w:rsidRPr="00DE2889">
              <w:rPr>
                <w:sz w:val="26"/>
                <w:szCs w:val="26"/>
              </w:rPr>
              <w:t>un noteikumus par klimata pārmaiņu samazināšanu (siltumnīcefekta gāzu emisiju samazināšanu) un pielāgošanos klimata pārmaiņām, turklāt arī</w:t>
            </w:r>
            <w:r w:rsidR="00151B58" w:rsidRPr="00DE2889">
              <w:rPr>
                <w:sz w:val="26"/>
                <w:szCs w:val="26"/>
              </w:rPr>
              <w:t xml:space="preserve"> saimnieciski visizdevīgāk</w:t>
            </w:r>
            <w:r w:rsidR="00197BD8" w:rsidRPr="00DE2889">
              <w:rPr>
                <w:sz w:val="26"/>
                <w:szCs w:val="26"/>
              </w:rPr>
              <w:t>ā piedāvājuma izvēlei</w:t>
            </w:r>
            <w:r w:rsidR="00E3606F" w:rsidRPr="00DE2889">
              <w:rPr>
                <w:sz w:val="26"/>
                <w:szCs w:val="26"/>
              </w:rPr>
              <w:t xml:space="preserve"> </w:t>
            </w:r>
            <w:r w:rsidR="00151B58" w:rsidRPr="00DE2889">
              <w:rPr>
                <w:sz w:val="26"/>
                <w:szCs w:val="26"/>
              </w:rPr>
              <w:t xml:space="preserve">kā vienu no </w:t>
            </w:r>
            <w:r w:rsidR="00197BD8" w:rsidRPr="00DE2889">
              <w:rPr>
                <w:sz w:val="26"/>
                <w:szCs w:val="26"/>
              </w:rPr>
              <w:t xml:space="preserve">vērtējamiem </w:t>
            </w:r>
            <w:r w:rsidR="00151B58" w:rsidRPr="00DE2889">
              <w:rPr>
                <w:sz w:val="26"/>
                <w:szCs w:val="26"/>
              </w:rPr>
              <w:t>faktoriem var noteikt vides aizsardzības prasības</w:t>
            </w:r>
            <w:r w:rsidR="002E686B" w:rsidRPr="00DE2889">
              <w:rPr>
                <w:sz w:val="26"/>
                <w:szCs w:val="26"/>
              </w:rPr>
              <w:t xml:space="preserve">, </w:t>
            </w:r>
            <w:r w:rsidR="00197BD8" w:rsidRPr="00DE2889">
              <w:rPr>
                <w:sz w:val="26"/>
                <w:szCs w:val="26"/>
              </w:rPr>
              <w:t>tāpat</w:t>
            </w:r>
            <w:r w:rsidR="002E686B" w:rsidRPr="00DE2889">
              <w:rPr>
                <w:sz w:val="26"/>
                <w:szCs w:val="26"/>
              </w:rPr>
              <w:t xml:space="preserve"> ir paredzēta</w:t>
            </w:r>
            <w:r w:rsidR="00EF2A20" w:rsidRPr="00DE2889">
              <w:rPr>
                <w:sz w:val="26"/>
                <w:szCs w:val="26"/>
              </w:rPr>
              <w:t xml:space="preserve"> iespēja iepirkumu ve</w:t>
            </w:r>
            <w:r w:rsidR="00197BD8" w:rsidRPr="00DE2889">
              <w:rPr>
                <w:sz w:val="26"/>
                <w:szCs w:val="26"/>
              </w:rPr>
              <w:t xml:space="preserve">icējiem izvirzīt arī speciālus </w:t>
            </w:r>
            <w:r w:rsidR="00EF2A20" w:rsidRPr="00DE2889">
              <w:rPr>
                <w:sz w:val="26"/>
                <w:szCs w:val="26"/>
              </w:rPr>
              <w:t>līguma izpildes noteikumus saistībā ar vides aizsardzības prasībām</w:t>
            </w:r>
            <w:r w:rsidR="00151B58" w:rsidRPr="00DE2889">
              <w:rPr>
                <w:sz w:val="26"/>
                <w:szCs w:val="26"/>
              </w:rPr>
              <w:t>.</w:t>
            </w:r>
            <w:r w:rsidR="00A64A47" w:rsidRPr="00DE2889">
              <w:rPr>
                <w:sz w:val="26"/>
                <w:szCs w:val="26"/>
              </w:rPr>
              <w:t xml:space="preserve"> Tādējādi, </w:t>
            </w:r>
            <w:r w:rsidR="00E3606F" w:rsidRPr="00DE2889">
              <w:rPr>
                <w:sz w:val="26"/>
                <w:szCs w:val="26"/>
              </w:rPr>
              <w:t xml:space="preserve">ar </w:t>
            </w:r>
            <w:r w:rsidR="004561AC" w:rsidRPr="00DE2889">
              <w:rPr>
                <w:sz w:val="26"/>
                <w:szCs w:val="26"/>
              </w:rPr>
              <w:t>Publisko iepirkumu likumu</w:t>
            </w:r>
            <w:r w:rsidR="00E3606F" w:rsidRPr="00DE2889">
              <w:rPr>
                <w:sz w:val="26"/>
                <w:szCs w:val="26"/>
              </w:rPr>
              <w:t xml:space="preserve"> un </w:t>
            </w:r>
            <w:r w:rsidR="004561AC" w:rsidRPr="00DE2889">
              <w:rPr>
                <w:sz w:val="26"/>
                <w:szCs w:val="26"/>
              </w:rPr>
              <w:t>Sabiedrisko pakalpojumu sniedzēju iepirkumu likumu</w:t>
            </w:r>
            <w:r w:rsidR="00E3606F" w:rsidRPr="00DE2889">
              <w:rPr>
                <w:sz w:val="26"/>
                <w:szCs w:val="26"/>
              </w:rPr>
              <w:t xml:space="preserve"> </w:t>
            </w:r>
            <w:r w:rsidR="00197BD8" w:rsidRPr="00DE2889">
              <w:rPr>
                <w:sz w:val="26"/>
                <w:szCs w:val="26"/>
              </w:rPr>
              <w:t>pārņemot attiecīgi direktīvu 2014/24/ES un direktīvu 2014/25/ES</w:t>
            </w:r>
            <w:r w:rsidR="00A64A47" w:rsidRPr="00DE2889">
              <w:rPr>
                <w:sz w:val="26"/>
                <w:szCs w:val="26"/>
              </w:rPr>
              <w:t xml:space="preserve">, </w:t>
            </w:r>
            <w:r w:rsidR="000409CA" w:rsidRPr="00DE2889">
              <w:rPr>
                <w:sz w:val="26"/>
                <w:szCs w:val="26"/>
              </w:rPr>
              <w:t>tiek</w:t>
            </w:r>
            <w:r w:rsidR="00A64A47" w:rsidRPr="00DE2889">
              <w:rPr>
                <w:sz w:val="26"/>
                <w:szCs w:val="26"/>
              </w:rPr>
              <w:t xml:space="preserve"> nodrošināts tiesiskais pamats vides </w:t>
            </w:r>
            <w:r w:rsidR="00A64A47" w:rsidRPr="00DE2889">
              <w:rPr>
                <w:sz w:val="26"/>
                <w:szCs w:val="26"/>
              </w:rPr>
              <w:lastRenderedPageBreak/>
              <w:t xml:space="preserve">kritēriju iekļaušanai iepirkumos. Tomēr vides kritēriju izmantošana vai neizmantošana </w:t>
            </w:r>
            <w:r w:rsidR="00AC15C0" w:rsidRPr="00DE2889">
              <w:rPr>
                <w:sz w:val="26"/>
                <w:szCs w:val="26"/>
              </w:rPr>
              <w:t>iepirkumos</w:t>
            </w:r>
            <w:r w:rsidR="00A64A47" w:rsidRPr="00DE2889">
              <w:rPr>
                <w:sz w:val="26"/>
                <w:szCs w:val="26"/>
              </w:rPr>
              <w:t xml:space="preserve"> ir </w:t>
            </w:r>
            <w:r w:rsidR="00AC15C0" w:rsidRPr="00DE2889">
              <w:rPr>
                <w:sz w:val="26"/>
                <w:szCs w:val="26"/>
              </w:rPr>
              <w:t xml:space="preserve">katra </w:t>
            </w:r>
            <w:r w:rsidR="00A64A47" w:rsidRPr="00DE2889">
              <w:rPr>
                <w:sz w:val="26"/>
                <w:szCs w:val="26"/>
              </w:rPr>
              <w:t>pasūtītāja</w:t>
            </w:r>
            <w:r w:rsidR="00E3606F" w:rsidRPr="00DE2889">
              <w:rPr>
                <w:sz w:val="26"/>
                <w:szCs w:val="26"/>
              </w:rPr>
              <w:t xml:space="preserve"> un sabiedrisko pakalpojumu sniedzēja</w:t>
            </w:r>
            <w:r w:rsidR="00A64A47" w:rsidRPr="00DE2889">
              <w:rPr>
                <w:sz w:val="26"/>
                <w:szCs w:val="26"/>
              </w:rPr>
              <w:t xml:space="preserve"> brīva izvēle</w:t>
            </w:r>
            <w:r w:rsidR="00A41A16" w:rsidRPr="00DE2889">
              <w:rPr>
                <w:sz w:val="26"/>
                <w:szCs w:val="26"/>
              </w:rPr>
              <w:t>, izņemot tos gadījumus, kad normatīvie akti paredz pienākumu iepirkumā noteikt vides aizsardzības prasības vai noteikumus par klimata pārmaiņu samazināšanu (siltumnīcefekta gāzu emisiju samazināšanu) un pielāgošanos klimata pārmaiņām</w:t>
            </w:r>
            <w:r w:rsidR="00A64A47" w:rsidRPr="00DE2889">
              <w:rPr>
                <w:sz w:val="26"/>
                <w:szCs w:val="26"/>
              </w:rPr>
              <w:t xml:space="preserve">. </w:t>
            </w:r>
            <w:r w:rsidR="00B94CFB" w:rsidRPr="00DE2889">
              <w:rPr>
                <w:sz w:val="26"/>
                <w:szCs w:val="26"/>
              </w:rPr>
              <w:t xml:space="preserve">Šāds pienākums ir ietverts arī </w:t>
            </w:r>
            <w:r w:rsidR="00174D7A" w:rsidRPr="00DE2889">
              <w:rPr>
                <w:sz w:val="26"/>
                <w:szCs w:val="26"/>
              </w:rPr>
              <w:t>Publisko iepirkumu likuma</w:t>
            </w:r>
            <w:r w:rsidR="00B94CFB" w:rsidRPr="00DE2889">
              <w:rPr>
                <w:sz w:val="26"/>
                <w:szCs w:val="26"/>
              </w:rPr>
              <w:t xml:space="preserve"> 54.pantā un </w:t>
            </w:r>
            <w:r w:rsidR="00174D7A" w:rsidRPr="00DE2889">
              <w:rPr>
                <w:sz w:val="26"/>
                <w:szCs w:val="26"/>
              </w:rPr>
              <w:t>Sabiedrisko pakalpojumu sniedzēju iepirkumu likuma</w:t>
            </w:r>
            <w:r w:rsidR="00B94CFB" w:rsidRPr="00DE2889">
              <w:rPr>
                <w:sz w:val="26"/>
                <w:szCs w:val="26"/>
              </w:rPr>
              <w:t xml:space="preserve"> 21.pantā, kuri </w:t>
            </w:r>
            <w:r w:rsidR="002A3B5E" w:rsidRPr="00DE2889">
              <w:rPr>
                <w:sz w:val="26"/>
                <w:szCs w:val="26"/>
              </w:rPr>
              <w:t xml:space="preserve">paredz īpašus noteikumus iepirkumiem autotransporta jomā un daļēji </w:t>
            </w:r>
            <w:r w:rsidR="00B94CFB" w:rsidRPr="00DE2889">
              <w:rPr>
                <w:sz w:val="26"/>
                <w:szCs w:val="26"/>
              </w:rPr>
              <w:t xml:space="preserve">pārņem </w:t>
            </w:r>
            <w:r w:rsidR="00B94CFB" w:rsidRPr="00DE2889">
              <w:rPr>
                <w:sz w:val="26"/>
                <w:szCs w:val="26"/>
                <w:lang w:eastAsia="lo-LA" w:bidi="lo-LA"/>
              </w:rPr>
              <w:t xml:space="preserve">Eiropas Parlamenta un Padomes 2009.gada 23.aprīļa direktīvas 2009/33/EK par „tīro” un energoefektīvo autotransporta līdzekļu izmantošanas veicināšanu (turpmāk arī – direktīva 2009/33/EK) </w:t>
            </w:r>
            <w:r w:rsidR="002A3B5E" w:rsidRPr="00DE2889">
              <w:rPr>
                <w:sz w:val="26"/>
                <w:szCs w:val="26"/>
                <w:lang w:eastAsia="lo-LA" w:bidi="lo-LA"/>
              </w:rPr>
              <w:t>normas</w:t>
            </w:r>
            <w:r w:rsidR="00B94CFB" w:rsidRPr="00DE2889">
              <w:rPr>
                <w:sz w:val="26"/>
                <w:szCs w:val="26"/>
                <w:lang w:eastAsia="lo-LA" w:bidi="lo-LA"/>
              </w:rPr>
              <w:t>.</w:t>
            </w:r>
          </w:p>
          <w:p w14:paraId="052198B4" w14:textId="77777777" w:rsidR="002A3B5E" w:rsidRPr="00DE2889" w:rsidRDefault="002A3B5E" w:rsidP="00DE2889">
            <w:pPr>
              <w:spacing w:after="60"/>
              <w:ind w:left="31"/>
              <w:jc w:val="both"/>
              <w:rPr>
                <w:sz w:val="26"/>
                <w:szCs w:val="26"/>
              </w:rPr>
            </w:pPr>
            <w:r w:rsidRPr="00DE2889">
              <w:rPr>
                <w:sz w:val="26"/>
                <w:szCs w:val="26"/>
                <w:lang w:eastAsia="lo-LA" w:bidi="lo-LA"/>
              </w:rPr>
              <w:t>Direktīva 2009/33/EK attiecībā uz pasūtītājiem un sabiedrisko pakalpojumu sniedzējiem Latvijas normatīvajos aktos jau bija pārņemta ar 2006.gada Publisko iepirkumu likuma 46.</w:t>
            </w:r>
            <w:r w:rsidRPr="00DE2889">
              <w:rPr>
                <w:sz w:val="26"/>
                <w:szCs w:val="26"/>
                <w:vertAlign w:val="superscript"/>
                <w:lang w:eastAsia="lo-LA" w:bidi="lo-LA"/>
              </w:rPr>
              <w:t>1</w:t>
            </w:r>
            <w:r w:rsidR="00FF7216" w:rsidRPr="00DE2889">
              <w:rPr>
                <w:sz w:val="26"/>
                <w:szCs w:val="26"/>
                <w:lang w:eastAsia="lo-LA" w:bidi="lo-LA"/>
              </w:rPr>
              <w:t> </w:t>
            </w:r>
            <w:r w:rsidRPr="00DE2889">
              <w:rPr>
                <w:sz w:val="26"/>
                <w:szCs w:val="26"/>
                <w:lang w:eastAsia="lo-LA" w:bidi="lo-LA"/>
              </w:rPr>
              <w:t>pantu un 2010.gada Sabiedrisko pakalpojumu sniedzēju iepirkumu likuma 19.pantu, kā arī Ministru kabineta 2010.gada 21.decembra noteikumiem Nr.</w:t>
            </w:r>
            <w:r w:rsidR="00FF7216" w:rsidRPr="00DE2889">
              <w:rPr>
                <w:sz w:val="26"/>
                <w:szCs w:val="26"/>
                <w:lang w:eastAsia="lo-LA" w:bidi="lo-LA"/>
              </w:rPr>
              <w:t> </w:t>
            </w:r>
            <w:r w:rsidRPr="00DE2889">
              <w:rPr>
                <w:sz w:val="26"/>
                <w:szCs w:val="26"/>
                <w:lang w:eastAsia="lo-LA" w:bidi="lo-LA"/>
              </w:rPr>
              <w:t xml:space="preserve">1184 </w:t>
            </w:r>
            <w:r w:rsidRPr="00DE2889">
              <w:rPr>
                <w:sz w:val="26"/>
                <w:szCs w:val="26"/>
              </w:rPr>
              <w:t>„</w:t>
            </w:r>
            <w:r w:rsidRPr="00DE2889">
              <w:rPr>
                <w:rFonts w:eastAsia="EUAlbertina"/>
                <w:bCs/>
                <w:sz w:val="26"/>
                <w:szCs w:val="26"/>
              </w:rPr>
              <w:t>Noteikumi par transportlīdzekļu kategorijām, uz kurām iepirkumos attiecināmas īpašas prasības, un t</w:t>
            </w:r>
            <w:r w:rsidRPr="00DE2889">
              <w:rPr>
                <w:bCs/>
                <w:sz w:val="26"/>
                <w:szCs w:val="26"/>
              </w:rPr>
              <w:t xml:space="preserve">ransportlīdzekļu darbmūža ekspluatācijas izmaksu aprēķināšanas metodiku” (turpmāk arī – Noteikumi Nr.1184). Savukārt attiecībā uz </w:t>
            </w:r>
            <w:r w:rsidRPr="00DE2889">
              <w:rPr>
                <w:sz w:val="26"/>
                <w:szCs w:val="26"/>
              </w:rPr>
              <w:t>atsevišķiem pakalpojumu sniedzējiem, kas pilda sabiedrisko pakalpojumu sniegšanas saistības atbilstīgi pakalpojumu valsts līgumam Eiropas Parlamenta un Padomes 2</w:t>
            </w:r>
            <w:r w:rsidR="00FF7216" w:rsidRPr="00DE2889">
              <w:rPr>
                <w:sz w:val="26"/>
                <w:szCs w:val="26"/>
              </w:rPr>
              <w:t>007.gada 23.oktobra regulas Nr. </w:t>
            </w:r>
            <w:r w:rsidRPr="00DE2889">
              <w:rPr>
                <w:sz w:val="26"/>
                <w:szCs w:val="26"/>
              </w:rPr>
              <w:t xml:space="preserve">1370/2007 par sabiedriskā pasažieru transporta pakalpojumiem, izmantojot dzelzceļu un autoceļus, </w:t>
            </w:r>
            <w:bookmarkStart w:id="4" w:name="http://eur-lex.europa.eu/legal-content/A"/>
            <w:r w:rsidR="00AA5BC2" w:rsidRPr="00DE2889">
              <w:rPr>
                <w:bCs/>
                <w:sz w:val="26"/>
                <w:szCs w:val="26"/>
              </w:rPr>
              <w:fldChar w:fldCharType="begin"/>
            </w:r>
            <w:r w:rsidR="00AA5BC2" w:rsidRPr="00DE2889">
              <w:rPr>
                <w:bCs/>
                <w:sz w:val="26"/>
                <w:szCs w:val="26"/>
              </w:rPr>
              <w:instrText xml:space="preserve"> HYPERLINK "http://eur-lex.europa.eu/legal-content/AUTO/?uri=CELEX:02007R1370-20091203&amp;qid=1472832917592&amp;rid=2" </w:instrText>
            </w:r>
            <w:r w:rsidR="00AA5BC2" w:rsidRPr="00DE2889">
              <w:rPr>
                <w:bCs/>
                <w:sz w:val="26"/>
                <w:szCs w:val="26"/>
              </w:rPr>
              <w:fldChar w:fldCharType="separate"/>
            </w:r>
            <w:r w:rsidR="00AA5BC2" w:rsidRPr="00DE2889">
              <w:rPr>
                <w:sz w:val="26"/>
                <w:szCs w:val="26"/>
              </w:rPr>
              <w:t>un ar ko atceļ P</w:t>
            </w:r>
            <w:r w:rsidR="00FF7216" w:rsidRPr="00DE2889">
              <w:rPr>
                <w:sz w:val="26"/>
                <w:szCs w:val="26"/>
              </w:rPr>
              <w:t>adomes r</w:t>
            </w:r>
            <w:r w:rsidR="00AA5BC2" w:rsidRPr="00DE2889">
              <w:rPr>
                <w:sz w:val="26"/>
                <w:szCs w:val="26"/>
              </w:rPr>
              <w:t>egul</w:t>
            </w:r>
            <w:r w:rsidR="00FF7216" w:rsidRPr="00DE2889">
              <w:rPr>
                <w:sz w:val="26"/>
                <w:szCs w:val="26"/>
              </w:rPr>
              <w:t>u (EEK) Nr. 1191/69 un Padomes r</w:t>
            </w:r>
            <w:r w:rsidR="00AA5BC2" w:rsidRPr="00DE2889">
              <w:rPr>
                <w:sz w:val="26"/>
                <w:szCs w:val="26"/>
              </w:rPr>
              <w:t>egulu (EEK) Nr. 1107/70</w:t>
            </w:r>
            <w:r w:rsidR="00AA5BC2" w:rsidRPr="00DE2889">
              <w:rPr>
                <w:bCs/>
                <w:sz w:val="26"/>
                <w:szCs w:val="26"/>
              </w:rPr>
              <w:fldChar w:fldCharType="end"/>
            </w:r>
            <w:bookmarkEnd w:id="4"/>
            <w:r w:rsidR="00AA5BC2" w:rsidRPr="00DE2889">
              <w:rPr>
                <w:bCs/>
                <w:sz w:val="26"/>
                <w:szCs w:val="26"/>
              </w:rPr>
              <w:t xml:space="preserve"> </w:t>
            </w:r>
            <w:r w:rsidRPr="00DE2889">
              <w:rPr>
                <w:sz w:val="26"/>
                <w:szCs w:val="26"/>
              </w:rPr>
              <w:t xml:space="preserve">izpratnē, </w:t>
            </w:r>
            <w:r w:rsidR="00AA5BC2" w:rsidRPr="00DE2889">
              <w:rPr>
                <w:sz w:val="26"/>
                <w:szCs w:val="26"/>
              </w:rPr>
              <w:t>direktīva 2009/33/EK</w:t>
            </w:r>
            <w:r w:rsidRPr="00DE2889">
              <w:rPr>
                <w:sz w:val="26"/>
                <w:szCs w:val="26"/>
              </w:rPr>
              <w:t xml:space="preserve"> tika pārņemta </w:t>
            </w:r>
            <w:r w:rsidR="00AA5BC2" w:rsidRPr="00DE2889">
              <w:rPr>
                <w:sz w:val="26"/>
                <w:szCs w:val="26"/>
              </w:rPr>
              <w:t xml:space="preserve">ar Sabiedriskā transporta pakalpojumu likuma 18.pantu un Ministru kabineta 2013.gada 25.jūnija noteikumiem </w:t>
            </w:r>
            <w:r w:rsidR="009A086E" w:rsidRPr="00DE2889">
              <w:rPr>
                <w:sz w:val="26"/>
                <w:szCs w:val="26"/>
              </w:rPr>
              <w:t>Nr.</w:t>
            </w:r>
            <w:r w:rsidR="009A086E" w:rsidRPr="00DE2889">
              <w:rPr>
                <w:sz w:val="26"/>
                <w:szCs w:val="26"/>
                <w:lang w:eastAsia="lo-LA" w:bidi="lo-LA"/>
              </w:rPr>
              <w:t> </w:t>
            </w:r>
            <w:r w:rsidR="009A086E" w:rsidRPr="00DE2889">
              <w:rPr>
                <w:sz w:val="26"/>
                <w:szCs w:val="26"/>
              </w:rPr>
              <w:t xml:space="preserve">351 </w:t>
            </w:r>
            <w:r w:rsidR="00AA5BC2" w:rsidRPr="00DE2889">
              <w:rPr>
                <w:sz w:val="26"/>
                <w:szCs w:val="26"/>
              </w:rPr>
              <w:t>„Sabiedrisko autotransporta līdzekļu iepirkuma noteikumi”, kuros arī iekļauta atsauce uz Not</w:t>
            </w:r>
            <w:r w:rsidR="00FF7216" w:rsidRPr="00DE2889">
              <w:rPr>
                <w:sz w:val="26"/>
                <w:szCs w:val="26"/>
              </w:rPr>
              <w:t>e</w:t>
            </w:r>
            <w:r w:rsidR="00AA5BC2" w:rsidRPr="00DE2889">
              <w:rPr>
                <w:sz w:val="26"/>
                <w:szCs w:val="26"/>
              </w:rPr>
              <w:t>ikumiem Nr.</w:t>
            </w:r>
            <w:r w:rsidR="00FF7216" w:rsidRPr="00DE2889">
              <w:rPr>
                <w:sz w:val="26"/>
                <w:szCs w:val="26"/>
                <w:lang w:eastAsia="lo-LA" w:bidi="lo-LA"/>
              </w:rPr>
              <w:t> </w:t>
            </w:r>
            <w:r w:rsidR="00AA5BC2" w:rsidRPr="00DE2889">
              <w:rPr>
                <w:sz w:val="26"/>
                <w:szCs w:val="26"/>
              </w:rPr>
              <w:t>1184.</w:t>
            </w:r>
          </w:p>
          <w:p w14:paraId="74EBED7B" w14:textId="5E3BC000" w:rsidR="00AA5BC2" w:rsidRPr="00DE2889" w:rsidRDefault="004C20D0" w:rsidP="00DE2889">
            <w:pPr>
              <w:tabs>
                <w:tab w:val="left" w:pos="540"/>
              </w:tabs>
              <w:spacing w:after="60"/>
              <w:jc w:val="both"/>
              <w:rPr>
                <w:rFonts w:eastAsia="Times New Roman"/>
                <w:sz w:val="26"/>
                <w:szCs w:val="26"/>
              </w:rPr>
            </w:pPr>
            <w:r w:rsidRPr="00DE2889">
              <w:rPr>
                <w:sz w:val="26"/>
                <w:szCs w:val="26"/>
              </w:rPr>
              <w:t xml:space="preserve">Zaudējot spēku </w:t>
            </w:r>
            <w:r w:rsidR="00BD12A9" w:rsidRPr="00DE2889">
              <w:rPr>
                <w:sz w:val="26"/>
                <w:szCs w:val="26"/>
                <w:lang w:eastAsia="lo-LA" w:bidi="lo-LA"/>
              </w:rPr>
              <w:t>2006.gadā pieņemtajam</w:t>
            </w:r>
            <w:r w:rsidRPr="00DE2889">
              <w:rPr>
                <w:sz w:val="26"/>
                <w:szCs w:val="26"/>
                <w:lang w:eastAsia="lo-LA" w:bidi="lo-LA"/>
              </w:rPr>
              <w:t xml:space="preserve"> Publisko iepirkumu likumam un </w:t>
            </w:r>
            <w:r w:rsidR="00BD12A9" w:rsidRPr="00DE2889">
              <w:rPr>
                <w:sz w:val="26"/>
                <w:szCs w:val="26"/>
                <w:lang w:eastAsia="lo-LA" w:bidi="lo-LA"/>
              </w:rPr>
              <w:t>2010.gadā pieņemtajam</w:t>
            </w:r>
            <w:r w:rsidRPr="00DE2889">
              <w:rPr>
                <w:sz w:val="26"/>
                <w:szCs w:val="26"/>
                <w:lang w:eastAsia="lo-LA" w:bidi="lo-LA"/>
              </w:rPr>
              <w:t xml:space="preserve"> Sabiedrisko pakalpojumu sniedzēju iepirkumu likum</w:t>
            </w:r>
            <w:r w:rsidR="000409CA" w:rsidRPr="00DE2889">
              <w:rPr>
                <w:sz w:val="26"/>
                <w:szCs w:val="26"/>
                <w:lang w:eastAsia="lo-LA" w:bidi="lo-LA"/>
              </w:rPr>
              <w:t>am, spēku zaudēs</w:t>
            </w:r>
            <w:r w:rsidRPr="00DE2889">
              <w:rPr>
                <w:sz w:val="26"/>
                <w:szCs w:val="26"/>
                <w:lang w:eastAsia="lo-LA" w:bidi="lo-LA"/>
              </w:rPr>
              <w:t xml:space="preserve"> arī Noteikumi </w:t>
            </w:r>
            <w:r w:rsidRPr="00DE2889">
              <w:rPr>
                <w:sz w:val="26"/>
                <w:szCs w:val="26"/>
              </w:rPr>
              <w:t>Nr.</w:t>
            </w:r>
            <w:r w:rsidRPr="00DE2889">
              <w:rPr>
                <w:sz w:val="26"/>
                <w:szCs w:val="26"/>
                <w:lang w:eastAsia="lo-LA" w:bidi="lo-LA"/>
              </w:rPr>
              <w:t> </w:t>
            </w:r>
            <w:r w:rsidRPr="00DE2889">
              <w:rPr>
                <w:sz w:val="26"/>
                <w:szCs w:val="26"/>
              </w:rPr>
              <w:t xml:space="preserve">1184. </w:t>
            </w:r>
            <w:r w:rsidR="005F400F" w:rsidRPr="00DE2889">
              <w:rPr>
                <w:sz w:val="26"/>
                <w:szCs w:val="26"/>
              </w:rPr>
              <w:t>Lai turpinātu nodrošināt direktīvas 2009/33/EK prasību ievērošanu</w:t>
            </w:r>
            <w:r w:rsidRPr="00DE2889">
              <w:rPr>
                <w:sz w:val="26"/>
                <w:szCs w:val="26"/>
              </w:rPr>
              <w:t xml:space="preserve">, </w:t>
            </w:r>
            <w:r w:rsidR="005A0710" w:rsidRPr="00DE2889">
              <w:rPr>
                <w:sz w:val="26"/>
                <w:szCs w:val="26"/>
              </w:rPr>
              <w:t>ir sagatavots</w:t>
            </w:r>
            <w:r w:rsidR="009B2299" w:rsidRPr="00DE2889">
              <w:rPr>
                <w:sz w:val="26"/>
                <w:szCs w:val="26"/>
              </w:rPr>
              <w:t xml:space="preserve"> noteikumu projekts</w:t>
            </w:r>
            <w:r w:rsidRPr="00DE2889">
              <w:rPr>
                <w:sz w:val="26"/>
                <w:szCs w:val="26"/>
              </w:rPr>
              <w:t xml:space="preserve"> „</w:t>
            </w:r>
            <w:r w:rsidR="00064D0C" w:rsidRPr="00DE2889">
              <w:rPr>
                <w:sz w:val="26"/>
                <w:szCs w:val="26"/>
              </w:rPr>
              <w:t>Noteikumi par auto</w:t>
            </w:r>
            <w:r w:rsidR="00064D0C" w:rsidRPr="00DE2889">
              <w:rPr>
                <w:rFonts w:eastAsia="EUAlbertina"/>
                <w:sz w:val="26"/>
                <w:szCs w:val="26"/>
              </w:rPr>
              <w:t>transporta līdzekļu kategorijām, kuru iepirkumos piemēro īpašas prasības, un autot</w:t>
            </w:r>
            <w:r w:rsidR="00064D0C" w:rsidRPr="00DE2889">
              <w:rPr>
                <w:sz w:val="26"/>
                <w:szCs w:val="26"/>
              </w:rPr>
              <w:t>ransporta līdzekļu ekspluatācijas izmaksu aprēķināšanas metodiku</w:t>
            </w:r>
            <w:r w:rsidRPr="00DE2889">
              <w:rPr>
                <w:bCs/>
                <w:sz w:val="26"/>
                <w:szCs w:val="26"/>
              </w:rPr>
              <w:t>”</w:t>
            </w:r>
            <w:r w:rsidR="00F6453A" w:rsidRPr="00DE2889">
              <w:rPr>
                <w:bCs/>
                <w:sz w:val="26"/>
                <w:szCs w:val="26"/>
              </w:rPr>
              <w:t>.</w:t>
            </w:r>
            <w:r w:rsidRPr="00DE2889">
              <w:rPr>
                <w:bCs/>
                <w:sz w:val="26"/>
                <w:szCs w:val="26"/>
              </w:rPr>
              <w:t xml:space="preserve"> </w:t>
            </w:r>
            <w:r w:rsidR="00F6453A" w:rsidRPr="00DE2889">
              <w:rPr>
                <w:bCs/>
                <w:sz w:val="26"/>
                <w:szCs w:val="26"/>
              </w:rPr>
              <w:t xml:space="preserve">Tajā </w:t>
            </w:r>
            <w:r w:rsidRPr="00DE2889">
              <w:rPr>
                <w:bCs/>
                <w:sz w:val="26"/>
                <w:szCs w:val="26"/>
              </w:rPr>
              <w:t xml:space="preserve">ir ietvertas Noteikumu </w:t>
            </w:r>
            <w:r w:rsidRPr="00DE2889">
              <w:rPr>
                <w:sz w:val="26"/>
                <w:szCs w:val="26"/>
              </w:rPr>
              <w:lastRenderedPageBreak/>
              <w:t>Nr.</w:t>
            </w:r>
            <w:r w:rsidRPr="00DE2889">
              <w:rPr>
                <w:sz w:val="26"/>
                <w:szCs w:val="26"/>
                <w:lang w:eastAsia="lo-LA" w:bidi="lo-LA"/>
              </w:rPr>
              <w:t> </w:t>
            </w:r>
            <w:r w:rsidRPr="00DE2889">
              <w:rPr>
                <w:sz w:val="26"/>
                <w:szCs w:val="26"/>
              </w:rPr>
              <w:t xml:space="preserve">1184 normas, </w:t>
            </w:r>
            <w:r w:rsidR="008E36EA" w:rsidRPr="00DE2889">
              <w:rPr>
                <w:sz w:val="26"/>
                <w:szCs w:val="26"/>
              </w:rPr>
              <w:t>mainot atsauces uz likumu normām</w:t>
            </w:r>
            <w:r w:rsidR="00F6453A" w:rsidRPr="00DE2889">
              <w:rPr>
                <w:sz w:val="26"/>
                <w:szCs w:val="26"/>
              </w:rPr>
              <w:t>,</w:t>
            </w:r>
            <w:r w:rsidR="008E36EA" w:rsidRPr="00DE2889">
              <w:rPr>
                <w:sz w:val="26"/>
                <w:szCs w:val="26"/>
              </w:rPr>
              <w:t xml:space="preserve"> </w:t>
            </w:r>
            <w:r w:rsidRPr="00DE2889">
              <w:rPr>
                <w:sz w:val="26"/>
                <w:szCs w:val="26"/>
              </w:rPr>
              <w:t>precizējot terminus</w:t>
            </w:r>
            <w:r w:rsidR="00E34D3F" w:rsidRPr="00DE2889">
              <w:rPr>
                <w:sz w:val="26"/>
                <w:szCs w:val="26"/>
              </w:rPr>
              <w:t xml:space="preserve"> (frāze „mājaslapa internetā” aizstāta ar terminu „tīmekļvietne”</w:t>
            </w:r>
            <w:r w:rsidR="003B42D5" w:rsidRPr="00DE2889">
              <w:rPr>
                <w:sz w:val="26"/>
                <w:szCs w:val="26"/>
              </w:rPr>
              <w:t xml:space="preserve"> un termins „transportlīdzeklis” ar terminu „autotransporta līdzeklis”</w:t>
            </w:r>
            <w:r w:rsidR="00E34D3F" w:rsidRPr="00DE2889">
              <w:rPr>
                <w:sz w:val="26"/>
                <w:szCs w:val="26"/>
              </w:rPr>
              <w:t>)</w:t>
            </w:r>
            <w:r w:rsidRPr="00DE2889">
              <w:rPr>
                <w:sz w:val="26"/>
                <w:szCs w:val="26"/>
              </w:rPr>
              <w:t xml:space="preserve"> un </w:t>
            </w:r>
            <w:r w:rsidR="00E34D3F" w:rsidRPr="00DE2889">
              <w:rPr>
                <w:sz w:val="26"/>
                <w:szCs w:val="26"/>
              </w:rPr>
              <w:t xml:space="preserve">noteikumu </w:t>
            </w:r>
            <w:r w:rsidR="00AE4645" w:rsidRPr="00DE2889">
              <w:rPr>
                <w:sz w:val="26"/>
                <w:szCs w:val="26"/>
              </w:rPr>
              <w:t xml:space="preserve">1., 2., 3., </w:t>
            </w:r>
            <w:r w:rsidR="00692E99" w:rsidRPr="00DE2889">
              <w:rPr>
                <w:sz w:val="26"/>
                <w:szCs w:val="26"/>
              </w:rPr>
              <w:t>9., 13. un 14.punktu</w:t>
            </w:r>
            <w:r w:rsidR="00F6453A" w:rsidRPr="00DE2889">
              <w:rPr>
                <w:sz w:val="26"/>
                <w:szCs w:val="26"/>
              </w:rPr>
              <w:t>, kā arī</w:t>
            </w:r>
            <w:r w:rsidR="00692E99" w:rsidRPr="00DE2889">
              <w:rPr>
                <w:sz w:val="26"/>
                <w:szCs w:val="26"/>
              </w:rPr>
              <w:t xml:space="preserve"> izslēdzot noteikumu 15.punktu, kas vairs nav aktuāls, tā vietā paredzot </w:t>
            </w:r>
            <w:r w:rsidR="00F80869" w:rsidRPr="00DE2889">
              <w:rPr>
                <w:sz w:val="26"/>
                <w:szCs w:val="26"/>
              </w:rPr>
              <w:t xml:space="preserve">jauno </w:t>
            </w:r>
            <w:r w:rsidR="00692E99" w:rsidRPr="00DE2889">
              <w:rPr>
                <w:sz w:val="26"/>
                <w:szCs w:val="26"/>
              </w:rPr>
              <w:t>noteikumu stāšanās spēkā datumu (2017.gada 1.martu), no kura noteikumus piemēros pasūtītāji, jo tad stājas spēkā jaunais Publisko iepirkumu likums, un pārejas noteikumu attiecībā uz sabiedrisko pakalpojumu sniedzējiem šo noteikumu piemērošanai no 2017.gada 1.aprīļa, kad stāsies spēkā jaunais Sabiedrisko pakalpojumu sniedzēju iepirkumu likums, un</w:t>
            </w:r>
            <w:r w:rsidR="00C95971" w:rsidRPr="00DE2889">
              <w:rPr>
                <w:sz w:val="26"/>
                <w:szCs w:val="26"/>
              </w:rPr>
              <w:t xml:space="preserve"> </w:t>
            </w:r>
            <w:r w:rsidR="00C95971" w:rsidRPr="00DE2889">
              <w:rPr>
                <w:bCs/>
                <w:sz w:val="26"/>
                <w:szCs w:val="26"/>
              </w:rPr>
              <w:t xml:space="preserve">Noteikumu </w:t>
            </w:r>
            <w:r w:rsidR="00C95971" w:rsidRPr="00DE2889">
              <w:rPr>
                <w:sz w:val="26"/>
                <w:szCs w:val="26"/>
              </w:rPr>
              <w:t>Nr.</w:t>
            </w:r>
            <w:r w:rsidR="00C95971" w:rsidRPr="00DE2889">
              <w:rPr>
                <w:sz w:val="26"/>
                <w:szCs w:val="26"/>
                <w:lang w:eastAsia="lo-LA" w:bidi="lo-LA"/>
              </w:rPr>
              <w:t> </w:t>
            </w:r>
            <w:r w:rsidR="00C95971" w:rsidRPr="00DE2889">
              <w:rPr>
                <w:sz w:val="26"/>
                <w:szCs w:val="26"/>
              </w:rPr>
              <w:t xml:space="preserve">1184 piemērošanai līdz </w:t>
            </w:r>
            <w:r w:rsidR="00882A1C" w:rsidRPr="00DE2889">
              <w:rPr>
                <w:sz w:val="26"/>
                <w:szCs w:val="26"/>
              </w:rPr>
              <w:t>tam</w:t>
            </w:r>
            <w:r w:rsidR="00E34D3F" w:rsidRPr="00DE2889">
              <w:rPr>
                <w:sz w:val="26"/>
                <w:szCs w:val="26"/>
              </w:rPr>
              <w:t>.</w:t>
            </w:r>
          </w:p>
          <w:p w14:paraId="1A027B73" w14:textId="77777777" w:rsidR="005164BF" w:rsidRPr="00DE2889" w:rsidRDefault="005164BF" w:rsidP="00DE2889">
            <w:pPr>
              <w:spacing w:after="60"/>
              <w:ind w:left="31"/>
              <w:jc w:val="both"/>
              <w:rPr>
                <w:sz w:val="26"/>
                <w:szCs w:val="26"/>
              </w:rPr>
            </w:pPr>
            <w:r w:rsidRPr="00DE2889">
              <w:rPr>
                <w:sz w:val="26"/>
                <w:szCs w:val="26"/>
              </w:rPr>
              <w:t xml:space="preserve">Noteikumu projekta 13.punktā </w:t>
            </w:r>
            <w:r w:rsidRPr="00DE2889">
              <w:rPr>
                <w:bCs/>
                <w:sz w:val="26"/>
                <w:szCs w:val="26"/>
              </w:rPr>
              <w:t>Eiropas Komisijas Uzņēmējdarbības un rūpniecības ģenerāldirektorāta nosaukums aizstāts ar Iekšējā tirgus, rūpniecības, uzņēmējdarbības un MVU ģenerāldirektorāta</w:t>
            </w:r>
            <w:r w:rsidR="000E54EA" w:rsidRPr="00DE2889">
              <w:rPr>
                <w:bCs/>
                <w:sz w:val="26"/>
                <w:szCs w:val="26"/>
              </w:rPr>
              <w:t xml:space="preserve"> </w:t>
            </w:r>
            <w:r w:rsidRPr="00DE2889">
              <w:rPr>
                <w:bCs/>
                <w:sz w:val="26"/>
                <w:szCs w:val="26"/>
              </w:rPr>
              <w:t>nosaukumu (</w:t>
            </w:r>
            <w:hyperlink r:id="rId8" w:history="1">
              <w:r w:rsidRPr="00DE2889">
                <w:rPr>
                  <w:rStyle w:val="Hyperlink"/>
                  <w:bCs/>
                  <w:sz w:val="26"/>
                  <w:szCs w:val="26"/>
                </w:rPr>
                <w:t>http://publications.europa.eu/code/lv/lv-390600.htm</w:t>
              </w:r>
            </w:hyperlink>
            <w:r w:rsidRPr="00DE2889">
              <w:rPr>
                <w:bCs/>
                <w:sz w:val="26"/>
                <w:szCs w:val="26"/>
              </w:rPr>
              <w:t xml:space="preserve">). </w:t>
            </w:r>
          </w:p>
          <w:p w14:paraId="6C46B6AD" w14:textId="77777777" w:rsidR="004807AC" w:rsidRPr="00DE2889" w:rsidRDefault="008C397B" w:rsidP="00DE2889">
            <w:pPr>
              <w:spacing w:after="60"/>
              <w:ind w:left="31"/>
              <w:jc w:val="both"/>
              <w:rPr>
                <w:sz w:val="26"/>
                <w:szCs w:val="26"/>
              </w:rPr>
            </w:pPr>
            <w:r w:rsidRPr="00DE2889">
              <w:rPr>
                <w:sz w:val="26"/>
                <w:szCs w:val="26"/>
              </w:rPr>
              <w:t xml:space="preserve">Noteikumu projekta 9. un 14.punktā precizēts, kā tiek aprēķināta monetārā vērtība uz vienību, ko Iepirkumu uzraudzības birojs </w:t>
            </w:r>
            <w:r w:rsidR="00603AAF" w:rsidRPr="00DE2889">
              <w:rPr>
                <w:sz w:val="26"/>
                <w:szCs w:val="26"/>
              </w:rPr>
              <w:t xml:space="preserve">katru mēnesi </w:t>
            </w:r>
            <w:r w:rsidRPr="00DE2889">
              <w:rPr>
                <w:sz w:val="26"/>
                <w:szCs w:val="26"/>
              </w:rPr>
              <w:t>publicē tā tīmekļvietn</w:t>
            </w:r>
            <w:r w:rsidR="00603AAF" w:rsidRPr="00DE2889">
              <w:rPr>
                <w:sz w:val="26"/>
                <w:szCs w:val="26"/>
              </w:rPr>
              <w:t>ē</w:t>
            </w:r>
            <w:r w:rsidR="00221983" w:rsidRPr="00DE2889">
              <w:rPr>
                <w:sz w:val="26"/>
                <w:szCs w:val="26"/>
              </w:rPr>
              <w:t>. No Noteikumu Nr.</w:t>
            </w:r>
            <w:r w:rsidR="00221983" w:rsidRPr="00DE2889">
              <w:rPr>
                <w:sz w:val="26"/>
                <w:szCs w:val="26"/>
                <w:lang w:eastAsia="lo-LA" w:bidi="lo-LA"/>
              </w:rPr>
              <w:t> </w:t>
            </w:r>
            <w:r w:rsidR="00221983" w:rsidRPr="00DE2889">
              <w:rPr>
                <w:sz w:val="26"/>
                <w:szCs w:val="26"/>
              </w:rPr>
              <w:t xml:space="preserve">1184 9. un 14.punkta izrietēja, ka Iepirkumu uzraudzības birojs publicē zemāko no </w:t>
            </w:r>
            <w:r w:rsidR="00441BBF" w:rsidRPr="00DE2889">
              <w:rPr>
                <w:sz w:val="26"/>
                <w:szCs w:val="26"/>
              </w:rPr>
              <w:t xml:space="preserve">Centrālās statistikas pārvaldes norādītajām </w:t>
            </w:r>
            <w:r w:rsidR="00221983" w:rsidRPr="00DE2889">
              <w:rPr>
                <w:sz w:val="26"/>
                <w:szCs w:val="26"/>
              </w:rPr>
              <w:t xml:space="preserve">degvielas cenām pirms nodokļu nomaksas, tomēr aprēķinos ir izmantojama nevis degvielas cena </w:t>
            </w:r>
            <w:proofErr w:type="spellStart"/>
            <w:r w:rsidR="00221983" w:rsidRPr="00DE2889">
              <w:rPr>
                <w:i/>
                <w:sz w:val="26"/>
                <w:szCs w:val="26"/>
              </w:rPr>
              <w:t>euro</w:t>
            </w:r>
            <w:proofErr w:type="spellEnd"/>
            <w:r w:rsidR="00221983" w:rsidRPr="00DE2889">
              <w:rPr>
                <w:sz w:val="26"/>
                <w:szCs w:val="26"/>
              </w:rPr>
              <w:t xml:space="preserve">/l, bet gan izmaksas uz vienību, kas izteiktas ar mērvienību </w:t>
            </w:r>
            <w:proofErr w:type="spellStart"/>
            <w:r w:rsidR="00221983" w:rsidRPr="00DE2889">
              <w:rPr>
                <w:i/>
                <w:sz w:val="26"/>
                <w:szCs w:val="26"/>
              </w:rPr>
              <w:t>euro</w:t>
            </w:r>
            <w:proofErr w:type="spellEnd"/>
            <w:r w:rsidR="00221983" w:rsidRPr="00DE2889">
              <w:rPr>
                <w:sz w:val="26"/>
                <w:szCs w:val="26"/>
              </w:rPr>
              <w:t>/MJ</w:t>
            </w:r>
            <w:r w:rsidR="00441BBF" w:rsidRPr="00DE2889">
              <w:rPr>
                <w:sz w:val="26"/>
                <w:szCs w:val="26"/>
              </w:rPr>
              <w:t xml:space="preserve">, tādējādi, lai tās iegūtu, attiecīgā degvielas cena </w:t>
            </w:r>
            <w:proofErr w:type="spellStart"/>
            <w:r w:rsidR="00441BBF" w:rsidRPr="00DE2889">
              <w:rPr>
                <w:i/>
                <w:sz w:val="26"/>
                <w:szCs w:val="26"/>
              </w:rPr>
              <w:t>euro</w:t>
            </w:r>
            <w:proofErr w:type="spellEnd"/>
            <w:r w:rsidR="00441BBF" w:rsidRPr="00DE2889">
              <w:rPr>
                <w:sz w:val="26"/>
                <w:szCs w:val="26"/>
              </w:rPr>
              <w:t>/l ir jādala ar degvielas energoietilpības vērtību MJ/l</w:t>
            </w:r>
            <w:r w:rsidR="00221983" w:rsidRPr="00DE2889">
              <w:rPr>
                <w:sz w:val="26"/>
                <w:szCs w:val="26"/>
              </w:rPr>
              <w:t>.</w:t>
            </w:r>
          </w:p>
        </w:tc>
      </w:tr>
      <w:tr w:rsidR="000910DF" w:rsidRPr="00E33B68" w14:paraId="611CCAED" w14:textId="77777777" w:rsidTr="00DE7881">
        <w:tc>
          <w:tcPr>
            <w:tcW w:w="2835" w:type="dxa"/>
            <w:tcBorders>
              <w:left w:val="single" w:sz="1" w:space="0" w:color="000000"/>
              <w:bottom w:val="single" w:sz="1" w:space="0" w:color="000000"/>
            </w:tcBorders>
          </w:tcPr>
          <w:p w14:paraId="4146A344" w14:textId="77777777" w:rsidR="001B14A5" w:rsidRPr="00E33B68" w:rsidRDefault="001B14A5" w:rsidP="00DE7881">
            <w:pPr>
              <w:snapToGrid w:val="0"/>
              <w:spacing w:after="60"/>
              <w:rPr>
                <w:rFonts w:eastAsia="Times New Roman"/>
                <w:kern w:val="0"/>
                <w:sz w:val="26"/>
                <w:szCs w:val="26"/>
              </w:rPr>
            </w:pPr>
            <w:r w:rsidRPr="00E33B68">
              <w:rPr>
                <w:sz w:val="26"/>
                <w:szCs w:val="26"/>
              </w:rPr>
              <w:lastRenderedPageBreak/>
              <w:t xml:space="preserve">3. </w:t>
            </w:r>
            <w:r w:rsidR="00063B08" w:rsidRPr="00E33B68">
              <w:rPr>
                <w:sz w:val="26"/>
                <w:szCs w:val="26"/>
              </w:rPr>
              <w:t>Projekta izstrādē iesaistītās institūcijas</w:t>
            </w:r>
          </w:p>
        </w:tc>
        <w:tc>
          <w:tcPr>
            <w:tcW w:w="6379" w:type="dxa"/>
            <w:tcBorders>
              <w:left w:val="single" w:sz="1" w:space="0" w:color="000000"/>
              <w:bottom w:val="single" w:sz="1" w:space="0" w:color="000000"/>
              <w:right w:val="single" w:sz="1" w:space="0" w:color="000000"/>
            </w:tcBorders>
          </w:tcPr>
          <w:p w14:paraId="4DF23D0C" w14:textId="77777777" w:rsidR="001B14A5" w:rsidRPr="00E33B68" w:rsidRDefault="00063B08" w:rsidP="008F32D8">
            <w:pPr>
              <w:snapToGrid w:val="0"/>
              <w:spacing w:after="60"/>
              <w:ind w:left="31"/>
              <w:jc w:val="both"/>
              <w:rPr>
                <w:rFonts w:eastAsia="EUAlbertina_Bold"/>
                <w:sz w:val="26"/>
                <w:szCs w:val="26"/>
              </w:rPr>
            </w:pPr>
            <w:r w:rsidRPr="00E33B68">
              <w:rPr>
                <w:rFonts w:eastAsia="EUAlbertina_Bold"/>
                <w:sz w:val="26"/>
                <w:szCs w:val="26"/>
              </w:rPr>
              <w:t>Finanšu ministrija un Iepirkumu uzraudzības birojs.</w:t>
            </w:r>
          </w:p>
        </w:tc>
      </w:tr>
      <w:tr w:rsidR="000910DF" w:rsidRPr="00E33B68" w14:paraId="2CA8440A" w14:textId="77777777" w:rsidTr="00DE7881">
        <w:tc>
          <w:tcPr>
            <w:tcW w:w="2835" w:type="dxa"/>
            <w:tcBorders>
              <w:left w:val="single" w:sz="1" w:space="0" w:color="000000"/>
              <w:bottom w:val="single" w:sz="1" w:space="0" w:color="000000"/>
            </w:tcBorders>
          </w:tcPr>
          <w:p w14:paraId="28A1D093" w14:textId="77777777" w:rsidR="00706F35" w:rsidRPr="00E33B68" w:rsidRDefault="002330A2" w:rsidP="00DE7881">
            <w:pPr>
              <w:snapToGrid w:val="0"/>
              <w:spacing w:after="60"/>
              <w:rPr>
                <w:sz w:val="26"/>
                <w:szCs w:val="26"/>
              </w:rPr>
            </w:pPr>
            <w:r w:rsidRPr="00E33B68">
              <w:rPr>
                <w:sz w:val="26"/>
                <w:szCs w:val="26"/>
              </w:rPr>
              <w:t>4</w:t>
            </w:r>
            <w:r w:rsidR="00706F35" w:rsidRPr="00E33B68">
              <w:rPr>
                <w:sz w:val="26"/>
                <w:szCs w:val="26"/>
              </w:rPr>
              <w:t>. Cita informācija</w:t>
            </w:r>
          </w:p>
        </w:tc>
        <w:tc>
          <w:tcPr>
            <w:tcW w:w="6379" w:type="dxa"/>
            <w:tcBorders>
              <w:left w:val="single" w:sz="1" w:space="0" w:color="000000"/>
              <w:bottom w:val="single" w:sz="1" w:space="0" w:color="000000"/>
              <w:right w:val="single" w:sz="1" w:space="0" w:color="000000"/>
            </w:tcBorders>
          </w:tcPr>
          <w:p w14:paraId="62CB4F26" w14:textId="77777777" w:rsidR="00706F35" w:rsidRPr="00E33B68" w:rsidRDefault="00706F35" w:rsidP="008F32D8">
            <w:pPr>
              <w:pStyle w:val="TableContents"/>
              <w:snapToGrid w:val="0"/>
              <w:spacing w:after="60"/>
              <w:ind w:left="31"/>
              <w:rPr>
                <w:sz w:val="26"/>
                <w:szCs w:val="26"/>
              </w:rPr>
            </w:pPr>
            <w:r w:rsidRPr="00E33B68">
              <w:rPr>
                <w:sz w:val="26"/>
                <w:szCs w:val="26"/>
              </w:rPr>
              <w:t>Nav.</w:t>
            </w:r>
          </w:p>
        </w:tc>
      </w:tr>
    </w:tbl>
    <w:p w14:paraId="4E47084D" w14:textId="77777777" w:rsidR="002322A6" w:rsidRPr="00935FCC" w:rsidRDefault="002322A6">
      <w:pPr>
        <w:rPr>
          <w:sz w:val="26"/>
          <w:szCs w:val="26"/>
        </w:rPr>
      </w:pPr>
    </w:p>
    <w:p w14:paraId="1616558E" w14:textId="77777777" w:rsidR="00D070D4" w:rsidRPr="00935FCC" w:rsidRDefault="00D070D4">
      <w:pPr>
        <w:rPr>
          <w:sz w:val="26"/>
          <w:szCs w:val="26"/>
        </w:rPr>
      </w:pPr>
    </w:p>
    <w:tbl>
      <w:tblPr>
        <w:tblW w:w="9214" w:type="dxa"/>
        <w:tblInd w:w="55" w:type="dxa"/>
        <w:tblLayout w:type="fixed"/>
        <w:tblCellMar>
          <w:top w:w="55" w:type="dxa"/>
          <w:left w:w="55" w:type="dxa"/>
          <w:bottom w:w="55" w:type="dxa"/>
          <w:right w:w="55" w:type="dxa"/>
        </w:tblCellMar>
        <w:tblLook w:val="0000" w:firstRow="0" w:lastRow="0" w:firstColumn="0" w:lastColumn="0" w:noHBand="0" w:noVBand="0"/>
      </w:tblPr>
      <w:tblGrid>
        <w:gridCol w:w="2835"/>
        <w:gridCol w:w="6379"/>
      </w:tblGrid>
      <w:tr w:rsidR="000910DF" w:rsidRPr="00935FCC" w14:paraId="434068F9" w14:textId="77777777">
        <w:tc>
          <w:tcPr>
            <w:tcW w:w="9214" w:type="dxa"/>
            <w:gridSpan w:val="2"/>
            <w:tcBorders>
              <w:top w:val="single" w:sz="1" w:space="0" w:color="000000"/>
              <w:left w:val="single" w:sz="1" w:space="0" w:color="000000"/>
              <w:bottom w:val="single" w:sz="1" w:space="0" w:color="000000"/>
              <w:right w:val="single" w:sz="1" w:space="0" w:color="000000"/>
            </w:tcBorders>
          </w:tcPr>
          <w:p w14:paraId="71DCEB6B" w14:textId="77777777" w:rsidR="002322A6" w:rsidRPr="00935FCC" w:rsidRDefault="002322A6" w:rsidP="0096347E">
            <w:pPr>
              <w:pStyle w:val="TableContents"/>
              <w:snapToGrid w:val="0"/>
              <w:jc w:val="center"/>
              <w:rPr>
                <w:b/>
                <w:bCs/>
                <w:sz w:val="26"/>
                <w:szCs w:val="26"/>
              </w:rPr>
            </w:pPr>
            <w:r w:rsidRPr="00935FCC">
              <w:rPr>
                <w:b/>
                <w:bCs/>
                <w:sz w:val="26"/>
                <w:szCs w:val="26"/>
              </w:rPr>
              <w:t xml:space="preserve">II. </w:t>
            </w:r>
            <w:r w:rsidR="0096347E" w:rsidRPr="00935FCC">
              <w:rPr>
                <w:b/>
                <w:bCs/>
                <w:sz w:val="26"/>
                <w:szCs w:val="26"/>
              </w:rPr>
              <w:t>Tiesību akta projekta ietekme uz sabiedrību</w:t>
            </w:r>
            <w:r w:rsidR="005302D7" w:rsidRPr="00935FCC">
              <w:rPr>
                <w:b/>
                <w:bCs/>
                <w:sz w:val="26"/>
                <w:szCs w:val="26"/>
              </w:rPr>
              <w:t>, tautsaimniecības attīstību un administratīvo slogu</w:t>
            </w:r>
          </w:p>
        </w:tc>
      </w:tr>
      <w:tr w:rsidR="000910DF" w:rsidRPr="00935FCC" w14:paraId="67C03CD7" w14:textId="77777777">
        <w:tc>
          <w:tcPr>
            <w:tcW w:w="2835" w:type="dxa"/>
            <w:tcBorders>
              <w:left w:val="single" w:sz="1" w:space="0" w:color="000000"/>
              <w:bottom w:val="single" w:sz="1" w:space="0" w:color="000000"/>
            </w:tcBorders>
          </w:tcPr>
          <w:p w14:paraId="1907F11A" w14:textId="77777777" w:rsidR="002322A6" w:rsidRPr="00935FCC" w:rsidRDefault="002322A6" w:rsidP="00D55A77">
            <w:pPr>
              <w:pStyle w:val="TableContents"/>
              <w:snapToGrid w:val="0"/>
              <w:rPr>
                <w:sz w:val="26"/>
                <w:szCs w:val="26"/>
              </w:rPr>
            </w:pPr>
            <w:r w:rsidRPr="00935FCC">
              <w:rPr>
                <w:sz w:val="26"/>
                <w:szCs w:val="26"/>
              </w:rPr>
              <w:t xml:space="preserve">1. </w:t>
            </w:r>
            <w:r w:rsidR="00D55A77" w:rsidRPr="00935FCC">
              <w:rPr>
                <w:sz w:val="26"/>
                <w:szCs w:val="26"/>
              </w:rPr>
              <w:t xml:space="preserve">Sabiedrības </w:t>
            </w:r>
            <w:proofErr w:type="spellStart"/>
            <w:r w:rsidR="00D55A77" w:rsidRPr="00935FCC">
              <w:rPr>
                <w:sz w:val="26"/>
                <w:szCs w:val="26"/>
              </w:rPr>
              <w:t>mērķgrupa</w:t>
            </w:r>
            <w:r w:rsidR="00F87003" w:rsidRPr="00935FCC">
              <w:rPr>
                <w:sz w:val="26"/>
                <w:szCs w:val="26"/>
              </w:rPr>
              <w:t>s</w:t>
            </w:r>
            <w:proofErr w:type="spellEnd"/>
            <w:r w:rsidR="00F87003" w:rsidRPr="00935FCC">
              <w:rPr>
                <w:sz w:val="26"/>
                <w:szCs w:val="26"/>
              </w:rPr>
              <w:t>, kuras tiesiskais regulējums ietekmē vai varētu ietekmēt</w:t>
            </w:r>
          </w:p>
        </w:tc>
        <w:tc>
          <w:tcPr>
            <w:tcW w:w="6379" w:type="dxa"/>
            <w:tcBorders>
              <w:left w:val="single" w:sz="1" w:space="0" w:color="000000"/>
              <w:bottom w:val="single" w:sz="1" w:space="0" w:color="000000"/>
              <w:right w:val="single" w:sz="1" w:space="0" w:color="000000"/>
            </w:tcBorders>
          </w:tcPr>
          <w:p w14:paraId="60B92159" w14:textId="17D49E9A" w:rsidR="007C0D5C" w:rsidRPr="00935FCC" w:rsidRDefault="00DE2889" w:rsidP="008F32D8">
            <w:pPr>
              <w:snapToGrid w:val="0"/>
              <w:spacing w:after="60"/>
              <w:ind w:left="31"/>
              <w:jc w:val="both"/>
              <w:rPr>
                <w:rFonts w:eastAsia="EUAlbertina_Bold"/>
                <w:sz w:val="26"/>
                <w:szCs w:val="26"/>
              </w:rPr>
            </w:pPr>
            <w:r>
              <w:rPr>
                <w:rFonts w:eastAsia="EUAlbertina_Bold"/>
                <w:sz w:val="26"/>
                <w:szCs w:val="26"/>
              </w:rPr>
              <w:t>1. </w:t>
            </w:r>
            <w:r w:rsidR="001D2CBE" w:rsidRPr="00935FCC">
              <w:rPr>
                <w:rFonts w:eastAsia="EUAlbertina_Bold"/>
                <w:sz w:val="26"/>
                <w:szCs w:val="26"/>
              </w:rPr>
              <w:t>Pasūtītāji</w:t>
            </w:r>
            <w:r w:rsidR="00FA4C1B" w:rsidRPr="00935FCC">
              <w:rPr>
                <w:rFonts w:eastAsia="EUAlbertina_Bold"/>
                <w:sz w:val="26"/>
                <w:szCs w:val="26"/>
              </w:rPr>
              <w:t xml:space="preserve"> Publisko iepirkumu likuma izpratnē</w:t>
            </w:r>
            <w:r w:rsidR="00515022" w:rsidRPr="00935FCC">
              <w:rPr>
                <w:rFonts w:eastAsia="EUAlbertina_Bold"/>
                <w:sz w:val="26"/>
                <w:szCs w:val="26"/>
              </w:rPr>
              <w:t xml:space="preserve"> un sabiedrisko pakalpojumu sniedzēji Sabiedrisko pakalpojumu sniedzēju iepirkumu likuma izpratnē</w:t>
            </w:r>
            <w:r w:rsidR="002E7D02" w:rsidRPr="00935FCC">
              <w:rPr>
                <w:rFonts w:eastAsia="EUAlbertina_Bold"/>
                <w:sz w:val="26"/>
                <w:szCs w:val="26"/>
              </w:rPr>
              <w:t>.</w:t>
            </w:r>
            <w:r w:rsidR="00957FE6" w:rsidRPr="00935FCC">
              <w:rPr>
                <w:rFonts w:eastAsia="EUAlbertina_Bold"/>
                <w:sz w:val="26"/>
                <w:szCs w:val="26"/>
              </w:rPr>
              <w:t xml:space="preserve"> </w:t>
            </w:r>
            <w:r w:rsidR="00F87003" w:rsidRPr="00935FCC">
              <w:rPr>
                <w:sz w:val="26"/>
                <w:szCs w:val="26"/>
                <w:shd w:val="clear" w:color="auto" w:fill="FFFFFF"/>
              </w:rPr>
              <w:t>Atbilstoši Iepirkumu uzraudzības biroja uzturētajā publikāciju vadības sistēm</w:t>
            </w:r>
            <w:r w:rsidR="00CC7974">
              <w:rPr>
                <w:sz w:val="26"/>
                <w:szCs w:val="26"/>
                <w:shd w:val="clear" w:color="auto" w:fill="FFFFFF"/>
              </w:rPr>
              <w:t>ā esošajai informācijai par 2016</w:t>
            </w:r>
            <w:r w:rsidR="00F87003" w:rsidRPr="00935FCC">
              <w:rPr>
                <w:sz w:val="26"/>
                <w:szCs w:val="26"/>
                <w:shd w:val="clear" w:color="auto" w:fill="FFFFFF"/>
              </w:rPr>
              <w:t xml:space="preserve">.gadu Latvijā ir </w:t>
            </w:r>
            <w:r w:rsidR="00CC7974">
              <w:rPr>
                <w:sz w:val="26"/>
                <w:szCs w:val="26"/>
                <w:shd w:val="clear" w:color="auto" w:fill="FFFFFF"/>
              </w:rPr>
              <w:t>2037 pasūtītāji</w:t>
            </w:r>
            <w:r w:rsidR="00BC10D7" w:rsidRPr="00935FCC">
              <w:rPr>
                <w:rFonts w:eastAsia="EUAlbertina_Bold"/>
                <w:sz w:val="26"/>
                <w:szCs w:val="26"/>
              </w:rPr>
              <w:t xml:space="preserve"> un 2</w:t>
            </w:r>
            <w:r w:rsidR="00CC7974">
              <w:rPr>
                <w:rFonts w:eastAsia="EUAlbertina_Bold"/>
                <w:sz w:val="26"/>
                <w:szCs w:val="26"/>
              </w:rPr>
              <w:t>41</w:t>
            </w:r>
            <w:r w:rsidR="001D255E" w:rsidRPr="00935FCC">
              <w:rPr>
                <w:rFonts w:eastAsia="EUAlbertina_Bold"/>
                <w:sz w:val="26"/>
                <w:szCs w:val="26"/>
              </w:rPr>
              <w:t xml:space="preserve"> sabiedrisko </w:t>
            </w:r>
            <w:r w:rsidR="00CC7974">
              <w:rPr>
                <w:rFonts w:eastAsia="EUAlbertina_Bold"/>
                <w:sz w:val="26"/>
                <w:szCs w:val="26"/>
              </w:rPr>
              <w:t>pakalpojumu sniedzējs</w:t>
            </w:r>
            <w:r w:rsidR="007C0D5C" w:rsidRPr="00935FCC">
              <w:rPr>
                <w:rFonts w:eastAsia="EUAlbertina_Bold"/>
                <w:sz w:val="26"/>
                <w:szCs w:val="26"/>
              </w:rPr>
              <w:t>.</w:t>
            </w:r>
          </w:p>
          <w:p w14:paraId="3941484C" w14:textId="04A13C47" w:rsidR="002E5D0E" w:rsidRPr="00935FCC" w:rsidRDefault="00DE2889" w:rsidP="008F32D8">
            <w:pPr>
              <w:snapToGrid w:val="0"/>
              <w:spacing w:after="60"/>
              <w:ind w:left="31"/>
              <w:jc w:val="both"/>
              <w:rPr>
                <w:rFonts w:eastAsia="EUAlbertina_Bold"/>
                <w:sz w:val="26"/>
                <w:szCs w:val="26"/>
              </w:rPr>
            </w:pPr>
            <w:r>
              <w:rPr>
                <w:rFonts w:eastAsia="EUAlbertina_Bold"/>
                <w:sz w:val="26"/>
                <w:szCs w:val="26"/>
              </w:rPr>
              <w:t>2. </w:t>
            </w:r>
            <w:r w:rsidR="002E5D0E" w:rsidRPr="00935FCC">
              <w:rPr>
                <w:rFonts w:eastAsia="EUAlbertina_Bold"/>
                <w:sz w:val="26"/>
                <w:szCs w:val="26"/>
              </w:rPr>
              <w:t xml:space="preserve">Pārvadātāji, kas piemēro </w:t>
            </w:r>
            <w:r w:rsidR="002E5D0E" w:rsidRPr="00935FCC">
              <w:rPr>
                <w:sz w:val="26"/>
                <w:szCs w:val="26"/>
              </w:rPr>
              <w:t xml:space="preserve">Ministru kabineta 2013.gada 25.jūnija noteikumus </w:t>
            </w:r>
            <w:r w:rsidR="00FA3438" w:rsidRPr="00935FCC">
              <w:rPr>
                <w:sz w:val="26"/>
                <w:szCs w:val="26"/>
              </w:rPr>
              <w:t>Nr.</w:t>
            </w:r>
            <w:r w:rsidR="00FA3438" w:rsidRPr="00935FCC">
              <w:rPr>
                <w:sz w:val="26"/>
                <w:szCs w:val="26"/>
                <w:lang w:eastAsia="lo-LA" w:bidi="lo-LA"/>
              </w:rPr>
              <w:t> </w:t>
            </w:r>
            <w:r w:rsidR="00FA3438" w:rsidRPr="00935FCC">
              <w:rPr>
                <w:sz w:val="26"/>
                <w:szCs w:val="26"/>
              </w:rPr>
              <w:t xml:space="preserve">351 </w:t>
            </w:r>
            <w:r w:rsidR="002E5D0E" w:rsidRPr="00935FCC">
              <w:rPr>
                <w:sz w:val="26"/>
                <w:szCs w:val="26"/>
              </w:rPr>
              <w:t xml:space="preserve">„Sabiedrisko autotransporta </w:t>
            </w:r>
            <w:r w:rsidR="002E5D0E" w:rsidRPr="00935FCC">
              <w:rPr>
                <w:sz w:val="26"/>
                <w:szCs w:val="26"/>
              </w:rPr>
              <w:lastRenderedPageBreak/>
              <w:t>līdzekļu iepirkuma noteikumi”.</w:t>
            </w:r>
          </w:p>
          <w:p w14:paraId="187F53D8" w14:textId="2F498DBD" w:rsidR="00CB0133" w:rsidRPr="00935FCC" w:rsidRDefault="002E5D0E" w:rsidP="008F32D8">
            <w:pPr>
              <w:snapToGrid w:val="0"/>
              <w:spacing w:after="60"/>
              <w:ind w:left="31"/>
              <w:jc w:val="both"/>
              <w:rPr>
                <w:rFonts w:eastAsia="EUAlbertina_Bold"/>
                <w:sz w:val="26"/>
                <w:szCs w:val="26"/>
              </w:rPr>
            </w:pPr>
            <w:r w:rsidRPr="00935FCC">
              <w:rPr>
                <w:rFonts w:eastAsia="EUAlbertina_Bold"/>
                <w:sz w:val="26"/>
                <w:szCs w:val="26"/>
              </w:rPr>
              <w:t>3</w:t>
            </w:r>
            <w:r w:rsidR="00DE2889">
              <w:rPr>
                <w:rFonts w:eastAsia="EUAlbertina_Bold"/>
                <w:sz w:val="26"/>
                <w:szCs w:val="26"/>
              </w:rPr>
              <w:t>. </w:t>
            </w:r>
            <w:r w:rsidR="00CB0133" w:rsidRPr="00935FCC">
              <w:rPr>
                <w:rFonts w:eastAsia="EUAlbertina_Bold"/>
                <w:sz w:val="26"/>
                <w:szCs w:val="26"/>
              </w:rPr>
              <w:t xml:space="preserve">Piegādātāji – </w:t>
            </w:r>
            <w:r w:rsidR="004B1069">
              <w:rPr>
                <w:rFonts w:eastAsia="EUAlbertina_Bold"/>
                <w:sz w:val="26"/>
                <w:szCs w:val="26"/>
              </w:rPr>
              <w:t>auto</w:t>
            </w:r>
            <w:r w:rsidR="00CB0133" w:rsidRPr="00935FCC">
              <w:rPr>
                <w:rFonts w:eastAsia="EUAlbertina_Bold"/>
                <w:sz w:val="26"/>
                <w:szCs w:val="26"/>
              </w:rPr>
              <w:t>transport</w:t>
            </w:r>
            <w:r w:rsidR="004B1069">
              <w:rPr>
                <w:rFonts w:eastAsia="EUAlbertina_Bold"/>
                <w:sz w:val="26"/>
                <w:szCs w:val="26"/>
              </w:rPr>
              <w:t xml:space="preserve">a </w:t>
            </w:r>
            <w:r w:rsidR="00CB0133" w:rsidRPr="00935FCC">
              <w:rPr>
                <w:rFonts w:eastAsia="EUAlbertina_Bold"/>
                <w:sz w:val="26"/>
                <w:szCs w:val="26"/>
              </w:rPr>
              <w:t>līdzekļu tirgotāji. To aptuvenais skaits nav zināms, jo par piegādātāju var būt gan fiziskas, gan juridiskas personas, tajā skaitā personas no ārvalstīm.</w:t>
            </w:r>
          </w:p>
        </w:tc>
      </w:tr>
      <w:tr w:rsidR="000910DF" w:rsidRPr="00935FCC" w14:paraId="7C61B2DE" w14:textId="77777777">
        <w:tc>
          <w:tcPr>
            <w:tcW w:w="2835" w:type="dxa"/>
            <w:tcBorders>
              <w:left w:val="single" w:sz="1" w:space="0" w:color="000000"/>
              <w:bottom w:val="single" w:sz="1" w:space="0" w:color="000000"/>
            </w:tcBorders>
          </w:tcPr>
          <w:p w14:paraId="54EAE6DC" w14:textId="77777777" w:rsidR="00863A47" w:rsidRPr="00935FCC" w:rsidRDefault="00991018" w:rsidP="00D55A77">
            <w:pPr>
              <w:pStyle w:val="TableContents"/>
              <w:snapToGrid w:val="0"/>
              <w:rPr>
                <w:sz w:val="26"/>
                <w:szCs w:val="26"/>
              </w:rPr>
            </w:pPr>
            <w:r w:rsidRPr="00935FCC">
              <w:rPr>
                <w:sz w:val="26"/>
                <w:szCs w:val="26"/>
                <w:shd w:val="clear" w:color="auto" w:fill="FFFFFF"/>
              </w:rPr>
              <w:lastRenderedPageBreak/>
              <w:t>2. Tiesiskā regulējuma ietekme uz tautsaimniecību un administratīvo slogu</w:t>
            </w:r>
          </w:p>
        </w:tc>
        <w:tc>
          <w:tcPr>
            <w:tcW w:w="6379" w:type="dxa"/>
            <w:tcBorders>
              <w:left w:val="single" w:sz="1" w:space="0" w:color="000000"/>
              <w:bottom w:val="single" w:sz="1" w:space="0" w:color="000000"/>
              <w:right w:val="single" w:sz="1" w:space="0" w:color="000000"/>
            </w:tcBorders>
          </w:tcPr>
          <w:p w14:paraId="52A76F32" w14:textId="77777777" w:rsidR="003B61E3" w:rsidRPr="00935FCC" w:rsidRDefault="00C22D53" w:rsidP="008F32D8">
            <w:pPr>
              <w:spacing w:after="60"/>
              <w:ind w:left="31"/>
              <w:jc w:val="both"/>
              <w:rPr>
                <w:sz w:val="26"/>
                <w:szCs w:val="26"/>
              </w:rPr>
            </w:pPr>
            <w:r w:rsidRPr="00935FCC">
              <w:rPr>
                <w:sz w:val="26"/>
                <w:szCs w:val="26"/>
                <w:shd w:val="clear" w:color="auto" w:fill="FFFFFF"/>
              </w:rPr>
              <w:t>Sabiedrības grupām un institūcijām projekta tiesiskais regulējums nemaina tiesības un pienākumus, kā arī veicamās darbības.</w:t>
            </w:r>
          </w:p>
        </w:tc>
      </w:tr>
      <w:tr w:rsidR="000910DF" w:rsidRPr="00935FCC" w14:paraId="69D11FC7" w14:textId="77777777">
        <w:tc>
          <w:tcPr>
            <w:tcW w:w="2835" w:type="dxa"/>
            <w:tcBorders>
              <w:left w:val="single" w:sz="1" w:space="0" w:color="000000"/>
              <w:bottom w:val="single" w:sz="1" w:space="0" w:color="000000"/>
            </w:tcBorders>
          </w:tcPr>
          <w:p w14:paraId="4B17E975" w14:textId="77777777" w:rsidR="00D102F2" w:rsidRPr="00935FCC" w:rsidRDefault="00991018" w:rsidP="00C002BC">
            <w:pPr>
              <w:widowControl/>
              <w:suppressAutoHyphens w:val="0"/>
              <w:rPr>
                <w:sz w:val="26"/>
                <w:szCs w:val="26"/>
              </w:rPr>
            </w:pPr>
            <w:r w:rsidRPr="00935FCC">
              <w:rPr>
                <w:sz w:val="26"/>
                <w:szCs w:val="26"/>
              </w:rPr>
              <w:t>3. Administratīvo izmaksu monetārs novērtējums</w:t>
            </w:r>
          </w:p>
        </w:tc>
        <w:tc>
          <w:tcPr>
            <w:tcW w:w="6379" w:type="dxa"/>
            <w:tcBorders>
              <w:left w:val="single" w:sz="1" w:space="0" w:color="000000"/>
              <w:bottom w:val="single" w:sz="1" w:space="0" w:color="000000"/>
              <w:right w:val="single" w:sz="1" w:space="0" w:color="000000"/>
            </w:tcBorders>
          </w:tcPr>
          <w:p w14:paraId="6F63FC40" w14:textId="77777777" w:rsidR="00325632" w:rsidRPr="00935FCC" w:rsidRDefault="004E7370" w:rsidP="008F32D8">
            <w:pPr>
              <w:spacing w:after="60"/>
              <w:ind w:left="31"/>
              <w:jc w:val="both"/>
              <w:rPr>
                <w:rFonts w:eastAsia="EUAlbertina_Bold"/>
                <w:sz w:val="26"/>
                <w:szCs w:val="26"/>
              </w:rPr>
            </w:pPr>
            <w:r w:rsidRPr="00935FCC">
              <w:rPr>
                <w:rFonts w:eastAsia="EUAlbertina_Bold"/>
                <w:sz w:val="26"/>
                <w:szCs w:val="26"/>
              </w:rPr>
              <w:t>Projekts šo jomu neskar.</w:t>
            </w:r>
          </w:p>
        </w:tc>
      </w:tr>
      <w:tr w:rsidR="000910DF" w:rsidRPr="00935FCC" w14:paraId="2E8306B7" w14:textId="77777777">
        <w:tc>
          <w:tcPr>
            <w:tcW w:w="2835" w:type="dxa"/>
            <w:tcBorders>
              <w:left w:val="single" w:sz="1" w:space="0" w:color="000000"/>
              <w:bottom w:val="single" w:sz="1" w:space="0" w:color="000000"/>
            </w:tcBorders>
          </w:tcPr>
          <w:p w14:paraId="16BD114D" w14:textId="77777777" w:rsidR="00D102F2" w:rsidRPr="00935FCC" w:rsidRDefault="004E7370" w:rsidP="002F08EF">
            <w:pPr>
              <w:pStyle w:val="TableContents"/>
              <w:snapToGrid w:val="0"/>
              <w:rPr>
                <w:sz w:val="26"/>
                <w:szCs w:val="26"/>
              </w:rPr>
            </w:pPr>
            <w:r w:rsidRPr="00935FCC">
              <w:rPr>
                <w:sz w:val="26"/>
                <w:szCs w:val="26"/>
              </w:rPr>
              <w:t>4</w:t>
            </w:r>
            <w:r w:rsidR="00D102F2" w:rsidRPr="00935FCC">
              <w:rPr>
                <w:sz w:val="26"/>
                <w:szCs w:val="26"/>
              </w:rPr>
              <w:t>. Cita informācija</w:t>
            </w:r>
          </w:p>
        </w:tc>
        <w:tc>
          <w:tcPr>
            <w:tcW w:w="6379" w:type="dxa"/>
            <w:tcBorders>
              <w:left w:val="single" w:sz="1" w:space="0" w:color="000000"/>
              <w:bottom w:val="single" w:sz="1" w:space="0" w:color="000000"/>
              <w:right w:val="single" w:sz="1" w:space="0" w:color="000000"/>
            </w:tcBorders>
          </w:tcPr>
          <w:p w14:paraId="6E4D820C" w14:textId="77777777" w:rsidR="00D102F2" w:rsidRPr="00935FCC" w:rsidRDefault="00EF2620" w:rsidP="008F32D8">
            <w:pPr>
              <w:snapToGrid w:val="0"/>
              <w:ind w:left="31"/>
              <w:jc w:val="both"/>
              <w:rPr>
                <w:rFonts w:eastAsia="EUAlbertina_Bold"/>
                <w:sz w:val="26"/>
                <w:szCs w:val="26"/>
              </w:rPr>
            </w:pPr>
            <w:r w:rsidRPr="00935FCC">
              <w:rPr>
                <w:rFonts w:eastAsia="EUAlbertina_Bold"/>
                <w:sz w:val="26"/>
                <w:szCs w:val="26"/>
              </w:rPr>
              <w:t>Nav.</w:t>
            </w:r>
          </w:p>
        </w:tc>
      </w:tr>
    </w:tbl>
    <w:p w14:paraId="73A553CC" w14:textId="77777777" w:rsidR="002322A6" w:rsidRPr="00935FCC" w:rsidRDefault="002322A6">
      <w:pPr>
        <w:rPr>
          <w:sz w:val="26"/>
          <w:szCs w:val="26"/>
        </w:rPr>
      </w:pPr>
    </w:p>
    <w:p w14:paraId="288CB797" w14:textId="77777777" w:rsidR="00D8433C" w:rsidRPr="00935FCC" w:rsidRDefault="00D8433C">
      <w:pPr>
        <w:rPr>
          <w:sz w:val="26"/>
          <w:szCs w:val="26"/>
        </w:rPr>
      </w:pPr>
    </w:p>
    <w:tbl>
      <w:tblPr>
        <w:tblW w:w="9214" w:type="dxa"/>
        <w:tblInd w:w="55" w:type="dxa"/>
        <w:tblLayout w:type="fixed"/>
        <w:tblCellMar>
          <w:top w:w="55" w:type="dxa"/>
          <w:left w:w="55" w:type="dxa"/>
          <w:bottom w:w="55" w:type="dxa"/>
          <w:right w:w="55" w:type="dxa"/>
        </w:tblCellMar>
        <w:tblLook w:val="0000" w:firstRow="0" w:lastRow="0" w:firstColumn="0" w:lastColumn="0" w:noHBand="0" w:noVBand="0"/>
      </w:tblPr>
      <w:tblGrid>
        <w:gridCol w:w="2819"/>
        <w:gridCol w:w="6395"/>
      </w:tblGrid>
      <w:tr w:rsidR="000910DF" w:rsidRPr="00935FCC" w14:paraId="7B7E9933" w14:textId="77777777" w:rsidTr="00BC521C">
        <w:tc>
          <w:tcPr>
            <w:tcW w:w="9214" w:type="dxa"/>
            <w:gridSpan w:val="2"/>
            <w:tcBorders>
              <w:top w:val="single" w:sz="1" w:space="0" w:color="000000"/>
              <w:left w:val="single" w:sz="1" w:space="0" w:color="000000"/>
              <w:bottom w:val="single" w:sz="1" w:space="0" w:color="000000"/>
              <w:right w:val="single" w:sz="1" w:space="0" w:color="000000"/>
            </w:tcBorders>
          </w:tcPr>
          <w:p w14:paraId="396BE6B6" w14:textId="77777777" w:rsidR="006D1A13" w:rsidRPr="00935FCC" w:rsidRDefault="006D1A13" w:rsidP="00BC521C">
            <w:pPr>
              <w:snapToGrid w:val="0"/>
              <w:ind w:firstLine="720"/>
              <w:jc w:val="center"/>
              <w:rPr>
                <w:b/>
                <w:bCs/>
                <w:sz w:val="26"/>
                <w:szCs w:val="26"/>
              </w:rPr>
            </w:pPr>
            <w:r w:rsidRPr="00935FCC">
              <w:rPr>
                <w:b/>
                <w:bCs/>
                <w:sz w:val="26"/>
                <w:szCs w:val="26"/>
              </w:rPr>
              <w:t>IV. Tiesību akta projekta ietekme uz spēkā esošo tiesību normu sistēmu</w:t>
            </w:r>
          </w:p>
        </w:tc>
      </w:tr>
      <w:tr w:rsidR="000910DF" w:rsidRPr="00935FCC" w14:paraId="02ED2118" w14:textId="77777777" w:rsidTr="00BC521C">
        <w:tc>
          <w:tcPr>
            <w:tcW w:w="2819" w:type="dxa"/>
            <w:tcBorders>
              <w:left w:val="single" w:sz="1" w:space="0" w:color="000000"/>
              <w:bottom w:val="single" w:sz="1" w:space="0" w:color="000000"/>
            </w:tcBorders>
          </w:tcPr>
          <w:p w14:paraId="42C82580" w14:textId="77777777" w:rsidR="006D1A13" w:rsidRPr="00935FCC" w:rsidRDefault="006D1A13" w:rsidP="00BC521C">
            <w:pPr>
              <w:snapToGrid w:val="0"/>
              <w:jc w:val="both"/>
              <w:rPr>
                <w:sz w:val="26"/>
                <w:szCs w:val="26"/>
              </w:rPr>
            </w:pPr>
            <w:r w:rsidRPr="00935FCC">
              <w:rPr>
                <w:sz w:val="26"/>
                <w:szCs w:val="26"/>
              </w:rPr>
              <w:t>1. Nepi</w:t>
            </w:r>
            <w:r w:rsidR="0080711E" w:rsidRPr="00935FCC">
              <w:rPr>
                <w:sz w:val="26"/>
                <w:szCs w:val="26"/>
              </w:rPr>
              <w:t>eciešamie saistītie tiesību aktu</w:t>
            </w:r>
            <w:r w:rsidRPr="00935FCC">
              <w:rPr>
                <w:sz w:val="26"/>
                <w:szCs w:val="26"/>
              </w:rPr>
              <w:t xml:space="preserve"> projekti</w:t>
            </w:r>
          </w:p>
        </w:tc>
        <w:tc>
          <w:tcPr>
            <w:tcW w:w="6395" w:type="dxa"/>
            <w:tcBorders>
              <w:left w:val="single" w:sz="1" w:space="0" w:color="000000"/>
              <w:bottom w:val="single" w:sz="1" w:space="0" w:color="000000"/>
              <w:right w:val="single" w:sz="1" w:space="0" w:color="000000"/>
            </w:tcBorders>
          </w:tcPr>
          <w:p w14:paraId="13536F9A" w14:textId="2D353C8E" w:rsidR="006D1A13" w:rsidRPr="00935FCC" w:rsidRDefault="002422E3" w:rsidP="008F32D8">
            <w:pPr>
              <w:spacing w:after="60"/>
              <w:ind w:left="47"/>
              <w:jc w:val="both"/>
              <w:rPr>
                <w:rFonts w:eastAsia="EUAlbertina_Bold"/>
                <w:sz w:val="26"/>
                <w:szCs w:val="26"/>
              </w:rPr>
            </w:pPr>
            <w:r w:rsidRPr="00935FCC">
              <w:rPr>
                <w:rFonts w:eastAsia="EUAlbertina_Bold"/>
                <w:sz w:val="26"/>
                <w:szCs w:val="26"/>
              </w:rPr>
              <w:t>Nepieciešams sagatavot</w:t>
            </w:r>
            <w:r w:rsidR="006D1A13" w:rsidRPr="00935FCC">
              <w:rPr>
                <w:rFonts w:eastAsia="EUAlbertina_Bold"/>
                <w:sz w:val="26"/>
                <w:szCs w:val="26"/>
              </w:rPr>
              <w:t xml:space="preserve"> </w:t>
            </w:r>
            <w:r w:rsidR="004D7C7E" w:rsidRPr="00935FCC">
              <w:rPr>
                <w:rFonts w:eastAsia="EUAlbertina_Bold"/>
                <w:sz w:val="26"/>
                <w:szCs w:val="26"/>
              </w:rPr>
              <w:t xml:space="preserve">un pieņemt </w:t>
            </w:r>
            <w:r w:rsidR="00980B70" w:rsidRPr="00935FCC">
              <w:rPr>
                <w:rFonts w:eastAsia="EUAlbertina_Bold"/>
                <w:sz w:val="26"/>
                <w:szCs w:val="26"/>
              </w:rPr>
              <w:t>g</w:t>
            </w:r>
            <w:r w:rsidR="00856C0A" w:rsidRPr="00935FCC">
              <w:rPr>
                <w:rFonts w:eastAsia="EUAlbertina_Bold"/>
                <w:sz w:val="26"/>
                <w:szCs w:val="26"/>
              </w:rPr>
              <w:t>roz</w:t>
            </w:r>
            <w:r w:rsidRPr="00935FCC">
              <w:rPr>
                <w:rFonts w:eastAsia="EUAlbertina_Bold"/>
                <w:sz w:val="26"/>
                <w:szCs w:val="26"/>
              </w:rPr>
              <w:t>ījumus</w:t>
            </w:r>
            <w:r w:rsidR="00C22D10" w:rsidRPr="00935FCC">
              <w:rPr>
                <w:rFonts w:eastAsia="EUAlbertina_Bold"/>
                <w:sz w:val="26"/>
                <w:szCs w:val="26"/>
              </w:rPr>
              <w:t xml:space="preserve"> </w:t>
            </w:r>
            <w:r w:rsidR="008D050A" w:rsidRPr="00935FCC">
              <w:rPr>
                <w:sz w:val="26"/>
                <w:szCs w:val="26"/>
              </w:rPr>
              <w:t xml:space="preserve">Ministru kabineta 2013.gada 25.jūnija noteikumos </w:t>
            </w:r>
            <w:r w:rsidR="009A086E" w:rsidRPr="00935FCC">
              <w:rPr>
                <w:sz w:val="26"/>
                <w:szCs w:val="26"/>
              </w:rPr>
              <w:t>Nr.</w:t>
            </w:r>
            <w:r w:rsidR="009A086E" w:rsidRPr="00935FCC">
              <w:rPr>
                <w:sz w:val="26"/>
                <w:szCs w:val="26"/>
                <w:lang w:eastAsia="lo-LA" w:bidi="lo-LA"/>
              </w:rPr>
              <w:t> </w:t>
            </w:r>
            <w:r w:rsidR="009A086E" w:rsidRPr="00935FCC">
              <w:rPr>
                <w:sz w:val="26"/>
                <w:szCs w:val="26"/>
              </w:rPr>
              <w:t xml:space="preserve">351 </w:t>
            </w:r>
            <w:r w:rsidR="008D050A" w:rsidRPr="00935FCC">
              <w:rPr>
                <w:sz w:val="26"/>
                <w:szCs w:val="26"/>
              </w:rPr>
              <w:t>„Sabiedrisko autotransporta līdzekļu iepirkuma noteikumi”</w:t>
            </w:r>
            <w:r w:rsidR="009A086E" w:rsidRPr="00935FCC">
              <w:rPr>
                <w:sz w:val="26"/>
                <w:szCs w:val="26"/>
              </w:rPr>
              <w:t xml:space="preserve"> (turpmāk arī – Noteikumi </w:t>
            </w:r>
            <w:r w:rsidR="006262CD" w:rsidRPr="00935FCC">
              <w:rPr>
                <w:sz w:val="26"/>
                <w:szCs w:val="26"/>
              </w:rPr>
              <w:t>Nr.</w:t>
            </w:r>
            <w:r w:rsidR="006262CD" w:rsidRPr="00935FCC">
              <w:rPr>
                <w:sz w:val="26"/>
                <w:szCs w:val="26"/>
                <w:lang w:eastAsia="lo-LA" w:bidi="lo-LA"/>
              </w:rPr>
              <w:t> </w:t>
            </w:r>
            <w:r w:rsidR="006262CD" w:rsidRPr="00935FCC">
              <w:rPr>
                <w:sz w:val="26"/>
                <w:szCs w:val="26"/>
              </w:rPr>
              <w:t>351)</w:t>
            </w:r>
            <w:r w:rsidR="008D050A" w:rsidRPr="00935FCC">
              <w:rPr>
                <w:sz w:val="26"/>
                <w:szCs w:val="26"/>
              </w:rPr>
              <w:t xml:space="preserve">, jo tajos ir ietverta atsauce uz iepriekšējiem </w:t>
            </w:r>
            <w:r w:rsidR="008D050A" w:rsidRPr="00935FCC">
              <w:rPr>
                <w:sz w:val="26"/>
                <w:szCs w:val="26"/>
                <w:lang w:eastAsia="lo-LA" w:bidi="lo-LA"/>
              </w:rPr>
              <w:t xml:space="preserve">Ministru kabineta 2010.gada 21.decembra noteikumiem Nr. 1184 </w:t>
            </w:r>
            <w:r w:rsidR="008D050A" w:rsidRPr="00935FCC">
              <w:rPr>
                <w:sz w:val="26"/>
                <w:szCs w:val="26"/>
              </w:rPr>
              <w:t>„</w:t>
            </w:r>
            <w:r w:rsidR="008D050A" w:rsidRPr="00935FCC">
              <w:rPr>
                <w:rFonts w:eastAsia="EUAlbertina"/>
                <w:bCs/>
                <w:sz w:val="26"/>
                <w:szCs w:val="26"/>
              </w:rPr>
              <w:t>Noteikumi par transportlīdzekļu kategorijām, uz kurām iepirkumos attiecināmas īpašas prasības, un t</w:t>
            </w:r>
            <w:r w:rsidR="008D050A" w:rsidRPr="00935FCC">
              <w:rPr>
                <w:bCs/>
                <w:sz w:val="26"/>
                <w:szCs w:val="26"/>
              </w:rPr>
              <w:t>ransportlīdzekļu darbmūža ekspluatācijas izmaksu aprēķināšanas metodiku”.</w:t>
            </w:r>
          </w:p>
        </w:tc>
      </w:tr>
      <w:tr w:rsidR="008D050A" w:rsidRPr="00935FCC" w14:paraId="1DFF18C3" w14:textId="77777777" w:rsidTr="00BC521C">
        <w:tc>
          <w:tcPr>
            <w:tcW w:w="2819" w:type="dxa"/>
            <w:tcBorders>
              <w:left w:val="single" w:sz="1" w:space="0" w:color="000000"/>
              <w:bottom w:val="single" w:sz="1" w:space="0" w:color="000000"/>
            </w:tcBorders>
          </w:tcPr>
          <w:p w14:paraId="5E1B4765" w14:textId="77777777" w:rsidR="008D050A" w:rsidRPr="00935FCC" w:rsidRDefault="008D050A" w:rsidP="00BC521C">
            <w:pPr>
              <w:snapToGrid w:val="0"/>
              <w:jc w:val="both"/>
              <w:rPr>
                <w:sz w:val="26"/>
                <w:szCs w:val="26"/>
              </w:rPr>
            </w:pPr>
            <w:r w:rsidRPr="00935FCC">
              <w:rPr>
                <w:sz w:val="26"/>
                <w:szCs w:val="26"/>
              </w:rPr>
              <w:t>2. Atbildīgā institūcija</w:t>
            </w:r>
          </w:p>
        </w:tc>
        <w:tc>
          <w:tcPr>
            <w:tcW w:w="6395" w:type="dxa"/>
            <w:tcBorders>
              <w:left w:val="single" w:sz="1" w:space="0" w:color="000000"/>
              <w:bottom w:val="single" w:sz="1" w:space="0" w:color="000000"/>
              <w:right w:val="single" w:sz="1" w:space="0" w:color="000000"/>
            </w:tcBorders>
          </w:tcPr>
          <w:p w14:paraId="578ED7F1" w14:textId="77777777" w:rsidR="008D050A" w:rsidRPr="00935FCC" w:rsidRDefault="008D050A" w:rsidP="008F32D8">
            <w:pPr>
              <w:pStyle w:val="TableContents"/>
              <w:snapToGrid w:val="0"/>
              <w:ind w:left="47"/>
              <w:rPr>
                <w:sz w:val="26"/>
                <w:szCs w:val="26"/>
              </w:rPr>
            </w:pPr>
            <w:r w:rsidRPr="00935FCC">
              <w:rPr>
                <w:sz w:val="26"/>
                <w:szCs w:val="26"/>
              </w:rPr>
              <w:t>Satiksmes ministrija.</w:t>
            </w:r>
          </w:p>
        </w:tc>
      </w:tr>
      <w:tr w:rsidR="000910DF" w:rsidRPr="00935FCC" w14:paraId="234958CA" w14:textId="77777777" w:rsidTr="00BC521C">
        <w:tc>
          <w:tcPr>
            <w:tcW w:w="2819" w:type="dxa"/>
            <w:tcBorders>
              <w:left w:val="single" w:sz="1" w:space="0" w:color="000000"/>
              <w:bottom w:val="single" w:sz="1" w:space="0" w:color="000000"/>
            </w:tcBorders>
          </w:tcPr>
          <w:p w14:paraId="5E65AD01" w14:textId="77777777" w:rsidR="006D1A13" w:rsidRPr="00935FCC" w:rsidRDefault="006D1A13" w:rsidP="00BC521C">
            <w:pPr>
              <w:snapToGrid w:val="0"/>
              <w:jc w:val="both"/>
              <w:rPr>
                <w:sz w:val="26"/>
                <w:szCs w:val="26"/>
              </w:rPr>
            </w:pPr>
            <w:r w:rsidRPr="00935FCC">
              <w:rPr>
                <w:sz w:val="26"/>
                <w:szCs w:val="26"/>
              </w:rPr>
              <w:t>2. Cita informācija</w:t>
            </w:r>
          </w:p>
        </w:tc>
        <w:tc>
          <w:tcPr>
            <w:tcW w:w="6395" w:type="dxa"/>
            <w:tcBorders>
              <w:left w:val="single" w:sz="1" w:space="0" w:color="000000"/>
              <w:bottom w:val="single" w:sz="1" w:space="0" w:color="000000"/>
              <w:right w:val="single" w:sz="1" w:space="0" w:color="000000"/>
            </w:tcBorders>
          </w:tcPr>
          <w:p w14:paraId="7DAAFA18" w14:textId="77777777" w:rsidR="006D1A13" w:rsidRPr="00935FCC" w:rsidRDefault="006D1A13" w:rsidP="008F32D8">
            <w:pPr>
              <w:pStyle w:val="TableContents"/>
              <w:snapToGrid w:val="0"/>
              <w:ind w:left="47"/>
              <w:rPr>
                <w:sz w:val="26"/>
                <w:szCs w:val="26"/>
              </w:rPr>
            </w:pPr>
            <w:r w:rsidRPr="00935FCC">
              <w:rPr>
                <w:sz w:val="26"/>
                <w:szCs w:val="26"/>
              </w:rPr>
              <w:t>Nav.</w:t>
            </w:r>
          </w:p>
        </w:tc>
      </w:tr>
    </w:tbl>
    <w:p w14:paraId="4FE010C7" w14:textId="77777777" w:rsidR="0004102F" w:rsidRPr="00935FCC" w:rsidRDefault="0004102F">
      <w:pPr>
        <w:rPr>
          <w:sz w:val="26"/>
          <w:szCs w:val="26"/>
        </w:rPr>
      </w:pPr>
    </w:p>
    <w:p w14:paraId="61F08280" w14:textId="77777777" w:rsidR="00724E05" w:rsidRPr="00935FCC" w:rsidRDefault="00724E05">
      <w:pPr>
        <w:rPr>
          <w:sz w:val="26"/>
          <w:szCs w:val="26"/>
        </w:rPr>
      </w:pPr>
    </w:p>
    <w:tbl>
      <w:tblPr>
        <w:tblW w:w="9214" w:type="dxa"/>
        <w:tblInd w:w="55" w:type="dxa"/>
        <w:tblLayout w:type="fixed"/>
        <w:tblCellMar>
          <w:top w:w="55" w:type="dxa"/>
          <w:left w:w="55" w:type="dxa"/>
          <w:bottom w:w="55" w:type="dxa"/>
          <w:right w:w="55" w:type="dxa"/>
        </w:tblCellMar>
        <w:tblLook w:val="0000" w:firstRow="0" w:lastRow="0" w:firstColumn="0" w:lastColumn="0" w:noHBand="0" w:noVBand="0"/>
      </w:tblPr>
      <w:tblGrid>
        <w:gridCol w:w="2830"/>
        <w:gridCol w:w="6384"/>
      </w:tblGrid>
      <w:tr w:rsidR="000910DF" w:rsidRPr="00935FCC" w14:paraId="2C0A4647" w14:textId="77777777">
        <w:tc>
          <w:tcPr>
            <w:tcW w:w="9214" w:type="dxa"/>
            <w:gridSpan w:val="2"/>
            <w:tcBorders>
              <w:top w:val="single" w:sz="1" w:space="0" w:color="000000"/>
              <w:left w:val="single" w:sz="1" w:space="0" w:color="000000"/>
              <w:bottom w:val="single" w:sz="1" w:space="0" w:color="000000"/>
              <w:right w:val="single" w:sz="1" w:space="0" w:color="000000"/>
            </w:tcBorders>
          </w:tcPr>
          <w:p w14:paraId="62CB4B07" w14:textId="31DFA6FD" w:rsidR="002322A6" w:rsidRPr="00935FCC" w:rsidRDefault="002322A6" w:rsidP="00DE2889">
            <w:pPr>
              <w:snapToGrid w:val="0"/>
              <w:jc w:val="center"/>
              <w:rPr>
                <w:b/>
                <w:bCs/>
                <w:sz w:val="26"/>
                <w:szCs w:val="26"/>
              </w:rPr>
            </w:pPr>
            <w:r w:rsidRPr="00935FCC">
              <w:rPr>
                <w:b/>
                <w:bCs/>
                <w:sz w:val="26"/>
                <w:szCs w:val="26"/>
              </w:rPr>
              <w:t xml:space="preserve">V. </w:t>
            </w:r>
            <w:r w:rsidR="00223DC7" w:rsidRPr="00935FCC">
              <w:rPr>
                <w:b/>
                <w:bCs/>
                <w:sz w:val="26"/>
                <w:szCs w:val="26"/>
              </w:rPr>
              <w:t>Tiesību akta projekta atbilstība Latvijas Republikas starptautiskajām saistībām</w:t>
            </w:r>
          </w:p>
        </w:tc>
      </w:tr>
      <w:tr w:rsidR="000910DF" w:rsidRPr="00935FCC" w14:paraId="082D44AA" w14:textId="77777777">
        <w:tc>
          <w:tcPr>
            <w:tcW w:w="2830" w:type="dxa"/>
            <w:tcBorders>
              <w:left w:val="single" w:sz="1" w:space="0" w:color="000000"/>
              <w:bottom w:val="single" w:sz="1" w:space="0" w:color="000000"/>
            </w:tcBorders>
          </w:tcPr>
          <w:p w14:paraId="2136D980" w14:textId="77777777" w:rsidR="002322A6" w:rsidRPr="00935FCC" w:rsidRDefault="002322A6" w:rsidP="00F30535">
            <w:pPr>
              <w:snapToGrid w:val="0"/>
              <w:rPr>
                <w:sz w:val="26"/>
                <w:szCs w:val="26"/>
              </w:rPr>
            </w:pPr>
            <w:r w:rsidRPr="00935FCC">
              <w:rPr>
                <w:sz w:val="26"/>
                <w:szCs w:val="26"/>
              </w:rPr>
              <w:t>1. Saistības pret Eiropas Savienību</w:t>
            </w:r>
          </w:p>
        </w:tc>
        <w:tc>
          <w:tcPr>
            <w:tcW w:w="6384" w:type="dxa"/>
            <w:tcBorders>
              <w:left w:val="single" w:sz="1" w:space="0" w:color="000000"/>
              <w:bottom w:val="single" w:sz="1" w:space="0" w:color="000000"/>
              <w:right w:val="single" w:sz="1" w:space="0" w:color="000000"/>
            </w:tcBorders>
          </w:tcPr>
          <w:p w14:paraId="5042D6D2" w14:textId="77777777" w:rsidR="00E13829" w:rsidRPr="00935FCC" w:rsidRDefault="00E13829" w:rsidP="00DE2889">
            <w:pPr>
              <w:spacing w:after="60"/>
              <w:ind w:left="36"/>
              <w:jc w:val="both"/>
              <w:rPr>
                <w:rFonts w:eastAsia="EUAlbertina_Bold"/>
                <w:b/>
                <w:bCs/>
                <w:sz w:val="26"/>
                <w:szCs w:val="26"/>
              </w:rPr>
            </w:pPr>
            <w:r w:rsidRPr="00935FCC">
              <w:rPr>
                <w:rFonts w:eastAsia="EUAlbertina_Bold"/>
                <w:b/>
                <w:bCs/>
                <w:sz w:val="26"/>
                <w:szCs w:val="26"/>
              </w:rPr>
              <w:t xml:space="preserve">Eiropas Parlamenta un Padomes 2009.gada 23.aprīļa direktīva 2009/33/EK par </w:t>
            </w:r>
            <w:r w:rsidR="00243A3F" w:rsidRPr="00935FCC">
              <w:rPr>
                <w:sz w:val="26"/>
                <w:szCs w:val="26"/>
              </w:rPr>
              <w:t>„</w:t>
            </w:r>
            <w:r w:rsidRPr="00935FCC">
              <w:rPr>
                <w:rFonts w:eastAsia="EUAlbertina_Bold"/>
                <w:b/>
                <w:bCs/>
                <w:sz w:val="26"/>
                <w:szCs w:val="26"/>
              </w:rPr>
              <w:t>tīro” un energoefektīvo autotransporta līdzekļu izmantošanas veicināšanu.</w:t>
            </w:r>
          </w:p>
          <w:p w14:paraId="2F380F88" w14:textId="77777777" w:rsidR="00B06BFC" w:rsidRPr="00935FCC" w:rsidRDefault="00B06BFC" w:rsidP="00DE2889">
            <w:pPr>
              <w:spacing w:after="60"/>
              <w:ind w:left="36"/>
              <w:jc w:val="both"/>
              <w:rPr>
                <w:sz w:val="26"/>
                <w:szCs w:val="26"/>
              </w:rPr>
            </w:pPr>
            <w:r w:rsidRPr="00935FCC">
              <w:rPr>
                <w:rFonts w:eastAsia="EUAlbertina_Bold"/>
                <w:sz w:val="26"/>
                <w:szCs w:val="26"/>
              </w:rPr>
              <w:t xml:space="preserve">Direktīva 2009/33/EK jau bija pārņemta ar iepriekšējo tiesisko regulējumu (sk. šīs anotācijas I sadaļas 2.punktu). Šajā noteikumu projektā </w:t>
            </w:r>
            <w:r w:rsidRPr="00935FCC">
              <w:rPr>
                <w:bCs/>
                <w:sz w:val="26"/>
                <w:szCs w:val="26"/>
              </w:rPr>
              <w:t xml:space="preserve">ietvertas iepriekšējo </w:t>
            </w:r>
            <w:r w:rsidRPr="00935FCC">
              <w:rPr>
                <w:sz w:val="26"/>
                <w:szCs w:val="26"/>
                <w:lang w:eastAsia="lo-LA" w:bidi="lo-LA"/>
              </w:rPr>
              <w:t xml:space="preserve">Ministru kabineta 2010.gada 21.decembra noteikumu Nr. 1184 </w:t>
            </w:r>
            <w:r w:rsidRPr="00935FCC">
              <w:rPr>
                <w:sz w:val="26"/>
                <w:szCs w:val="26"/>
              </w:rPr>
              <w:t>„</w:t>
            </w:r>
            <w:r w:rsidRPr="00935FCC">
              <w:rPr>
                <w:rFonts w:eastAsia="EUAlbertina"/>
                <w:bCs/>
                <w:sz w:val="26"/>
                <w:szCs w:val="26"/>
              </w:rPr>
              <w:t>Noteikumi par transportlīdzekļu kategorijām, uz kurām iepirkumos attiecināmas īpašas prasības, un t</w:t>
            </w:r>
            <w:r w:rsidRPr="00935FCC">
              <w:rPr>
                <w:bCs/>
                <w:sz w:val="26"/>
                <w:szCs w:val="26"/>
              </w:rPr>
              <w:t xml:space="preserve">ransportlīdzekļu darbmūža ekspluatācijas izmaksu aprēķināšanas metodiku” </w:t>
            </w:r>
            <w:r w:rsidRPr="00935FCC">
              <w:rPr>
                <w:sz w:val="26"/>
                <w:szCs w:val="26"/>
              </w:rPr>
              <w:t>normas, mainot atsauces uz likumu normām</w:t>
            </w:r>
            <w:r w:rsidR="00255E8B" w:rsidRPr="00935FCC">
              <w:rPr>
                <w:sz w:val="26"/>
                <w:szCs w:val="26"/>
              </w:rPr>
              <w:t>,</w:t>
            </w:r>
            <w:r w:rsidRPr="00935FCC">
              <w:rPr>
                <w:sz w:val="26"/>
                <w:szCs w:val="26"/>
              </w:rPr>
              <w:t xml:space="preserve"> precizējot terminus un noteikumu </w:t>
            </w:r>
            <w:r w:rsidR="00AE4645">
              <w:rPr>
                <w:sz w:val="26"/>
                <w:szCs w:val="26"/>
              </w:rPr>
              <w:t xml:space="preserve">1., 2., 3., </w:t>
            </w:r>
            <w:r w:rsidRPr="00935FCC">
              <w:rPr>
                <w:sz w:val="26"/>
                <w:szCs w:val="26"/>
              </w:rPr>
              <w:lastRenderedPageBreak/>
              <w:t>9.</w:t>
            </w:r>
            <w:r w:rsidR="00692E99" w:rsidRPr="00935FCC">
              <w:rPr>
                <w:sz w:val="26"/>
                <w:szCs w:val="26"/>
              </w:rPr>
              <w:t>, 13.</w:t>
            </w:r>
            <w:r w:rsidRPr="00935FCC">
              <w:rPr>
                <w:sz w:val="26"/>
                <w:szCs w:val="26"/>
              </w:rPr>
              <w:t xml:space="preserve"> un 14.punktu</w:t>
            </w:r>
            <w:r w:rsidR="00255E8B" w:rsidRPr="00935FCC">
              <w:rPr>
                <w:sz w:val="26"/>
                <w:szCs w:val="26"/>
              </w:rPr>
              <w:t xml:space="preserve"> un </w:t>
            </w:r>
            <w:r w:rsidRPr="00935FCC">
              <w:rPr>
                <w:sz w:val="26"/>
                <w:szCs w:val="26"/>
              </w:rPr>
              <w:t>izslēdzot noteikumu 15.punktu, kas vairs nav aktuāls</w:t>
            </w:r>
            <w:r w:rsidR="00691EDE" w:rsidRPr="00935FCC">
              <w:rPr>
                <w:sz w:val="26"/>
                <w:szCs w:val="26"/>
              </w:rPr>
              <w:t xml:space="preserve">, tā vietā paredzot </w:t>
            </w:r>
            <w:r w:rsidR="00F80869" w:rsidRPr="00935FCC">
              <w:rPr>
                <w:sz w:val="26"/>
                <w:szCs w:val="26"/>
              </w:rPr>
              <w:t xml:space="preserve">jauno </w:t>
            </w:r>
            <w:r w:rsidR="00692E99" w:rsidRPr="00935FCC">
              <w:rPr>
                <w:sz w:val="26"/>
                <w:szCs w:val="26"/>
              </w:rPr>
              <w:t xml:space="preserve">noteikumu stāšanās spēkā datumu (2017.gada 1.martu), no kura noteikumus piemēros pasūtītāji, jo tad stājas spēkā jaunais Publisko iepirkumu likums, un </w:t>
            </w:r>
            <w:r w:rsidR="00691EDE" w:rsidRPr="00935FCC">
              <w:rPr>
                <w:sz w:val="26"/>
                <w:szCs w:val="26"/>
              </w:rPr>
              <w:t>pārejas noteikumu attiecībā uz sabiedrisko pakalpojumu sniedzējiem šo noteikumu piem</w:t>
            </w:r>
            <w:r w:rsidR="00692E99" w:rsidRPr="00935FCC">
              <w:rPr>
                <w:sz w:val="26"/>
                <w:szCs w:val="26"/>
              </w:rPr>
              <w:t xml:space="preserve">ērošanai no 2017.gada 1.aprīļa, </w:t>
            </w:r>
            <w:r w:rsidR="00691EDE" w:rsidRPr="00935FCC">
              <w:rPr>
                <w:sz w:val="26"/>
                <w:szCs w:val="26"/>
              </w:rPr>
              <w:t>kad stāsies spēkā jaunais Sabiedrisko pakalpo</w:t>
            </w:r>
            <w:r w:rsidR="00692E99" w:rsidRPr="00935FCC">
              <w:rPr>
                <w:sz w:val="26"/>
                <w:szCs w:val="26"/>
              </w:rPr>
              <w:t>jumu sniedzēju iepirkumu likums,</w:t>
            </w:r>
            <w:r w:rsidR="00691EDE" w:rsidRPr="00935FCC">
              <w:rPr>
                <w:sz w:val="26"/>
                <w:szCs w:val="26"/>
              </w:rPr>
              <w:t xml:space="preserve"> un </w:t>
            </w:r>
            <w:r w:rsidR="00691EDE" w:rsidRPr="00935FCC">
              <w:rPr>
                <w:bCs/>
                <w:sz w:val="26"/>
                <w:szCs w:val="26"/>
              </w:rPr>
              <w:t xml:space="preserve">Noteikumu </w:t>
            </w:r>
            <w:r w:rsidR="00691EDE" w:rsidRPr="00935FCC">
              <w:rPr>
                <w:sz w:val="26"/>
                <w:szCs w:val="26"/>
              </w:rPr>
              <w:t>Nr.</w:t>
            </w:r>
            <w:r w:rsidR="00691EDE" w:rsidRPr="00935FCC">
              <w:rPr>
                <w:sz w:val="26"/>
                <w:szCs w:val="26"/>
                <w:lang w:eastAsia="lo-LA" w:bidi="lo-LA"/>
              </w:rPr>
              <w:t> </w:t>
            </w:r>
            <w:r w:rsidR="00691EDE" w:rsidRPr="00935FCC">
              <w:rPr>
                <w:sz w:val="26"/>
                <w:szCs w:val="26"/>
              </w:rPr>
              <w:t>1184 piemērošanai līdz tam.</w:t>
            </w:r>
          </w:p>
          <w:p w14:paraId="14B894B3" w14:textId="77777777" w:rsidR="002322A6" w:rsidRPr="00935FCC" w:rsidRDefault="00A51734" w:rsidP="00DE2889">
            <w:pPr>
              <w:spacing w:after="60"/>
              <w:ind w:left="36"/>
              <w:jc w:val="both"/>
              <w:rPr>
                <w:rFonts w:eastAsia="EUAlbertina_Bold"/>
                <w:sz w:val="26"/>
                <w:szCs w:val="26"/>
              </w:rPr>
            </w:pPr>
            <w:r w:rsidRPr="00935FCC">
              <w:rPr>
                <w:rFonts w:eastAsia="EUAlbertina_Bold"/>
                <w:sz w:val="26"/>
                <w:szCs w:val="26"/>
              </w:rPr>
              <w:t>Saistībā ar direktīvu 2009/33/EK nav pieņemts neviens Eiropas Savienības Tiesas spriedums.</w:t>
            </w:r>
          </w:p>
        </w:tc>
      </w:tr>
      <w:tr w:rsidR="000910DF" w:rsidRPr="00935FCC" w14:paraId="5457084E" w14:textId="77777777">
        <w:tc>
          <w:tcPr>
            <w:tcW w:w="2830" w:type="dxa"/>
            <w:tcBorders>
              <w:left w:val="single" w:sz="1" w:space="0" w:color="000000"/>
              <w:bottom w:val="single" w:sz="1" w:space="0" w:color="000000"/>
            </w:tcBorders>
          </w:tcPr>
          <w:p w14:paraId="4BAFD29F" w14:textId="77777777" w:rsidR="002322A6" w:rsidRPr="00935FCC" w:rsidRDefault="002322A6" w:rsidP="00F30535">
            <w:pPr>
              <w:snapToGrid w:val="0"/>
              <w:rPr>
                <w:sz w:val="26"/>
                <w:szCs w:val="26"/>
              </w:rPr>
            </w:pPr>
            <w:r w:rsidRPr="00935FCC">
              <w:rPr>
                <w:sz w:val="26"/>
                <w:szCs w:val="26"/>
              </w:rPr>
              <w:lastRenderedPageBreak/>
              <w:t xml:space="preserve">2. </w:t>
            </w:r>
            <w:r w:rsidR="00D92220" w:rsidRPr="00935FCC">
              <w:rPr>
                <w:sz w:val="26"/>
                <w:szCs w:val="26"/>
              </w:rPr>
              <w:t>Citas starptautiskās saistības</w:t>
            </w:r>
          </w:p>
        </w:tc>
        <w:tc>
          <w:tcPr>
            <w:tcW w:w="6384" w:type="dxa"/>
            <w:tcBorders>
              <w:left w:val="single" w:sz="1" w:space="0" w:color="000000"/>
              <w:bottom w:val="single" w:sz="1" w:space="0" w:color="000000"/>
              <w:right w:val="single" w:sz="1" w:space="0" w:color="000000"/>
            </w:tcBorders>
          </w:tcPr>
          <w:p w14:paraId="333005B0" w14:textId="77777777" w:rsidR="002322A6" w:rsidRPr="00935FCC" w:rsidRDefault="007F5E43" w:rsidP="00D4224A">
            <w:pPr>
              <w:pStyle w:val="TableContents"/>
              <w:snapToGrid w:val="0"/>
              <w:ind w:left="36"/>
              <w:rPr>
                <w:sz w:val="26"/>
                <w:szCs w:val="26"/>
              </w:rPr>
            </w:pPr>
            <w:r w:rsidRPr="00935FCC">
              <w:rPr>
                <w:sz w:val="26"/>
                <w:szCs w:val="26"/>
              </w:rPr>
              <w:t>Projekts šo jomu neskar.</w:t>
            </w:r>
          </w:p>
        </w:tc>
      </w:tr>
      <w:tr w:rsidR="000910DF" w:rsidRPr="00935FCC" w14:paraId="457A92CC" w14:textId="77777777">
        <w:tc>
          <w:tcPr>
            <w:tcW w:w="2830" w:type="dxa"/>
            <w:tcBorders>
              <w:left w:val="single" w:sz="1" w:space="0" w:color="000000"/>
              <w:bottom w:val="single" w:sz="1" w:space="0" w:color="000000"/>
            </w:tcBorders>
          </w:tcPr>
          <w:p w14:paraId="29E66A3C" w14:textId="77777777" w:rsidR="002322A6" w:rsidRPr="00935FCC" w:rsidRDefault="002322A6" w:rsidP="00F30535">
            <w:pPr>
              <w:snapToGrid w:val="0"/>
              <w:rPr>
                <w:sz w:val="26"/>
                <w:szCs w:val="26"/>
              </w:rPr>
            </w:pPr>
            <w:r w:rsidRPr="00935FCC">
              <w:rPr>
                <w:sz w:val="26"/>
                <w:szCs w:val="26"/>
              </w:rPr>
              <w:t xml:space="preserve">3. </w:t>
            </w:r>
            <w:r w:rsidR="00D92220" w:rsidRPr="00935FCC">
              <w:rPr>
                <w:sz w:val="26"/>
                <w:szCs w:val="26"/>
              </w:rPr>
              <w:t>Cita informācija</w:t>
            </w:r>
          </w:p>
        </w:tc>
        <w:tc>
          <w:tcPr>
            <w:tcW w:w="6384" w:type="dxa"/>
            <w:tcBorders>
              <w:left w:val="single" w:sz="1" w:space="0" w:color="000000"/>
              <w:bottom w:val="single" w:sz="1" w:space="0" w:color="000000"/>
              <w:right w:val="single" w:sz="1" w:space="0" w:color="000000"/>
            </w:tcBorders>
          </w:tcPr>
          <w:p w14:paraId="078647BB" w14:textId="77777777" w:rsidR="002322A6" w:rsidRPr="00935FCC" w:rsidRDefault="002322A6" w:rsidP="00D4224A">
            <w:pPr>
              <w:pStyle w:val="TableContents"/>
              <w:snapToGrid w:val="0"/>
              <w:ind w:left="36"/>
              <w:rPr>
                <w:sz w:val="26"/>
                <w:szCs w:val="26"/>
              </w:rPr>
            </w:pPr>
            <w:r w:rsidRPr="00935FCC">
              <w:rPr>
                <w:sz w:val="26"/>
                <w:szCs w:val="26"/>
              </w:rPr>
              <w:t>Nav</w:t>
            </w:r>
            <w:r w:rsidR="00D92220" w:rsidRPr="00935FCC">
              <w:rPr>
                <w:sz w:val="26"/>
                <w:szCs w:val="26"/>
              </w:rPr>
              <w:t>.</w:t>
            </w:r>
          </w:p>
        </w:tc>
      </w:tr>
    </w:tbl>
    <w:p w14:paraId="0A5E68FD" w14:textId="77777777" w:rsidR="00A31939" w:rsidRPr="00935FCC" w:rsidRDefault="00A31939">
      <w:pPr>
        <w:rPr>
          <w:sz w:val="26"/>
          <w:szCs w:val="26"/>
        </w:rPr>
      </w:pPr>
    </w:p>
    <w:tbl>
      <w:tblPr>
        <w:tblW w:w="9216" w:type="dxa"/>
        <w:tblInd w:w="55" w:type="dxa"/>
        <w:tblLayout w:type="fixed"/>
        <w:tblCellMar>
          <w:top w:w="55" w:type="dxa"/>
          <w:left w:w="55" w:type="dxa"/>
          <w:bottom w:w="55" w:type="dxa"/>
          <w:right w:w="55" w:type="dxa"/>
        </w:tblCellMar>
        <w:tblLook w:val="0000" w:firstRow="0" w:lastRow="0" w:firstColumn="0" w:lastColumn="0" w:noHBand="0" w:noVBand="0"/>
      </w:tblPr>
      <w:tblGrid>
        <w:gridCol w:w="1075"/>
        <w:gridCol w:w="284"/>
        <w:gridCol w:w="1134"/>
        <w:gridCol w:w="708"/>
        <w:gridCol w:w="142"/>
        <w:gridCol w:w="1903"/>
        <w:gridCol w:w="2634"/>
        <w:gridCol w:w="1336"/>
      </w:tblGrid>
      <w:tr w:rsidR="000910DF" w:rsidRPr="00935FCC" w14:paraId="36E22E45" w14:textId="77777777" w:rsidTr="004B1069">
        <w:tc>
          <w:tcPr>
            <w:tcW w:w="9216" w:type="dxa"/>
            <w:gridSpan w:val="8"/>
            <w:tcBorders>
              <w:top w:val="single" w:sz="4" w:space="0" w:color="auto"/>
              <w:left w:val="single" w:sz="4" w:space="0" w:color="auto"/>
              <w:bottom w:val="single" w:sz="4" w:space="0" w:color="auto"/>
              <w:right w:val="single" w:sz="4" w:space="0" w:color="auto"/>
            </w:tcBorders>
          </w:tcPr>
          <w:p w14:paraId="62EE7352" w14:textId="77777777" w:rsidR="0038116F" w:rsidRPr="00935FCC" w:rsidRDefault="0038116F" w:rsidP="0038116F">
            <w:pPr>
              <w:snapToGrid w:val="0"/>
              <w:jc w:val="center"/>
              <w:rPr>
                <w:b/>
                <w:sz w:val="26"/>
                <w:szCs w:val="26"/>
              </w:rPr>
            </w:pPr>
            <w:r w:rsidRPr="00935FCC">
              <w:rPr>
                <w:b/>
                <w:sz w:val="26"/>
                <w:szCs w:val="26"/>
              </w:rPr>
              <w:t>1.tabula</w:t>
            </w:r>
          </w:p>
          <w:p w14:paraId="70CB0094" w14:textId="77777777" w:rsidR="002322A6" w:rsidRPr="00935FCC" w:rsidRDefault="0038116F" w:rsidP="0038116F">
            <w:pPr>
              <w:snapToGrid w:val="0"/>
              <w:jc w:val="center"/>
              <w:rPr>
                <w:sz w:val="26"/>
                <w:szCs w:val="26"/>
              </w:rPr>
            </w:pPr>
            <w:r w:rsidRPr="00935FCC">
              <w:rPr>
                <w:b/>
                <w:sz w:val="26"/>
                <w:szCs w:val="26"/>
              </w:rPr>
              <w:t>Tiesību akta projekta atbilstība Eiropas Savienības tiesību aktiem</w:t>
            </w:r>
          </w:p>
        </w:tc>
      </w:tr>
      <w:tr w:rsidR="000910DF" w:rsidRPr="00935FCC" w14:paraId="1B618C26" w14:textId="77777777" w:rsidTr="004B1069">
        <w:tc>
          <w:tcPr>
            <w:tcW w:w="2493" w:type="dxa"/>
            <w:gridSpan w:val="3"/>
            <w:tcBorders>
              <w:left w:val="single" w:sz="1" w:space="0" w:color="000000"/>
              <w:bottom w:val="single" w:sz="1" w:space="0" w:color="000000"/>
            </w:tcBorders>
          </w:tcPr>
          <w:p w14:paraId="1E15D453" w14:textId="77777777" w:rsidR="003A43B6" w:rsidRPr="00935FCC" w:rsidRDefault="003A43B6" w:rsidP="00C1670B">
            <w:pPr>
              <w:snapToGrid w:val="0"/>
              <w:rPr>
                <w:sz w:val="26"/>
                <w:szCs w:val="26"/>
              </w:rPr>
            </w:pPr>
            <w:r w:rsidRPr="00935FCC">
              <w:rPr>
                <w:sz w:val="26"/>
                <w:szCs w:val="26"/>
              </w:rPr>
              <w:t>Attiecīgā Eiropas Savienīb</w:t>
            </w:r>
            <w:r w:rsidR="00203061" w:rsidRPr="00935FCC">
              <w:rPr>
                <w:sz w:val="26"/>
                <w:szCs w:val="26"/>
              </w:rPr>
              <w:t xml:space="preserve">as tiesību akta datums, numurs un </w:t>
            </w:r>
            <w:r w:rsidRPr="00935FCC">
              <w:rPr>
                <w:sz w:val="26"/>
                <w:szCs w:val="26"/>
              </w:rPr>
              <w:t>nosaukums</w:t>
            </w:r>
          </w:p>
        </w:tc>
        <w:tc>
          <w:tcPr>
            <w:tcW w:w="6723" w:type="dxa"/>
            <w:gridSpan w:val="5"/>
            <w:tcBorders>
              <w:left w:val="single" w:sz="1" w:space="0" w:color="000000"/>
              <w:bottom w:val="single" w:sz="1" w:space="0" w:color="000000"/>
              <w:right w:val="single" w:sz="1" w:space="0" w:color="000000"/>
            </w:tcBorders>
          </w:tcPr>
          <w:p w14:paraId="467F4407" w14:textId="77777777" w:rsidR="003A43B6" w:rsidRPr="00935FCC" w:rsidRDefault="00F9551C" w:rsidP="00DE2889">
            <w:pPr>
              <w:spacing w:after="60"/>
              <w:jc w:val="both"/>
              <w:rPr>
                <w:rFonts w:eastAsia="EUAlbertina_Bold"/>
                <w:b/>
                <w:bCs/>
                <w:sz w:val="26"/>
                <w:szCs w:val="26"/>
              </w:rPr>
            </w:pPr>
            <w:r w:rsidRPr="00935FCC">
              <w:rPr>
                <w:rFonts w:eastAsia="EUAlbertina_Bold"/>
                <w:b/>
                <w:bCs/>
                <w:sz w:val="26"/>
                <w:szCs w:val="26"/>
              </w:rPr>
              <w:t>Eiropas Parlamenta un Padomes 2009.gada 23.aprīļa direktīva 2009/33/EK par “tīro” un energoefektīvo autotransporta līdzekļu izmantošanas veicināšanu</w:t>
            </w:r>
          </w:p>
        </w:tc>
      </w:tr>
      <w:tr w:rsidR="000910DF" w:rsidRPr="00935FCC" w14:paraId="254C8698" w14:textId="77777777" w:rsidTr="004B1069">
        <w:tc>
          <w:tcPr>
            <w:tcW w:w="9216" w:type="dxa"/>
            <w:gridSpan w:val="8"/>
            <w:tcBorders>
              <w:left w:val="single" w:sz="1" w:space="0" w:color="000000"/>
              <w:bottom w:val="single" w:sz="1" w:space="0" w:color="000000"/>
              <w:right w:val="single" w:sz="1" w:space="0" w:color="000000"/>
            </w:tcBorders>
          </w:tcPr>
          <w:p w14:paraId="084A4BD9" w14:textId="77777777" w:rsidR="003A43B6" w:rsidRPr="00935FCC" w:rsidRDefault="003A43B6" w:rsidP="001B21BD">
            <w:pPr>
              <w:pStyle w:val="TableContents"/>
              <w:snapToGrid w:val="0"/>
              <w:rPr>
                <w:sz w:val="26"/>
                <w:szCs w:val="26"/>
              </w:rPr>
            </w:pPr>
          </w:p>
        </w:tc>
      </w:tr>
      <w:tr w:rsidR="000910DF" w:rsidRPr="00935FCC" w14:paraId="64F3D50E" w14:textId="77777777" w:rsidTr="004B1069">
        <w:tc>
          <w:tcPr>
            <w:tcW w:w="3343" w:type="dxa"/>
            <w:gridSpan w:val="5"/>
            <w:tcBorders>
              <w:top w:val="single" w:sz="2" w:space="0" w:color="000000"/>
              <w:left w:val="single" w:sz="2" w:space="0" w:color="000000"/>
              <w:bottom w:val="single" w:sz="2" w:space="0" w:color="000000"/>
              <w:right w:val="single" w:sz="2" w:space="0" w:color="000000"/>
            </w:tcBorders>
            <w:vAlign w:val="center"/>
          </w:tcPr>
          <w:p w14:paraId="03D448FE" w14:textId="77777777" w:rsidR="001A3426" w:rsidRPr="00935FCC" w:rsidRDefault="001A3426" w:rsidP="001A0CEA">
            <w:pPr>
              <w:snapToGrid w:val="0"/>
              <w:jc w:val="center"/>
              <w:rPr>
                <w:sz w:val="26"/>
                <w:szCs w:val="26"/>
              </w:rPr>
            </w:pPr>
            <w:r w:rsidRPr="00935FCC">
              <w:rPr>
                <w:sz w:val="26"/>
                <w:szCs w:val="26"/>
              </w:rPr>
              <w:t>A</w:t>
            </w:r>
          </w:p>
        </w:tc>
        <w:tc>
          <w:tcPr>
            <w:tcW w:w="1903" w:type="dxa"/>
            <w:tcBorders>
              <w:top w:val="single" w:sz="2" w:space="0" w:color="000000"/>
              <w:left w:val="single" w:sz="2" w:space="0" w:color="000000"/>
              <w:bottom w:val="single" w:sz="2" w:space="0" w:color="000000"/>
              <w:right w:val="single" w:sz="2" w:space="0" w:color="000000"/>
            </w:tcBorders>
            <w:vAlign w:val="center"/>
          </w:tcPr>
          <w:p w14:paraId="0200EE9A" w14:textId="77777777" w:rsidR="001A3426" w:rsidRPr="00935FCC" w:rsidRDefault="001A3426" w:rsidP="001A0CEA">
            <w:pPr>
              <w:snapToGrid w:val="0"/>
              <w:jc w:val="center"/>
              <w:rPr>
                <w:sz w:val="26"/>
                <w:szCs w:val="26"/>
              </w:rPr>
            </w:pPr>
            <w:r w:rsidRPr="00935FCC">
              <w:rPr>
                <w:sz w:val="26"/>
                <w:szCs w:val="26"/>
              </w:rPr>
              <w:t>B</w:t>
            </w:r>
          </w:p>
        </w:tc>
        <w:tc>
          <w:tcPr>
            <w:tcW w:w="2634" w:type="dxa"/>
            <w:tcBorders>
              <w:top w:val="single" w:sz="2" w:space="0" w:color="000000"/>
              <w:left w:val="single" w:sz="2" w:space="0" w:color="000000"/>
              <w:bottom w:val="single" w:sz="4" w:space="0" w:color="auto"/>
              <w:right w:val="single" w:sz="2" w:space="0" w:color="000000"/>
            </w:tcBorders>
            <w:vAlign w:val="center"/>
          </w:tcPr>
          <w:p w14:paraId="78CE3181" w14:textId="77777777" w:rsidR="001A3426" w:rsidRPr="00935FCC" w:rsidRDefault="001A3426" w:rsidP="001A0CEA">
            <w:pPr>
              <w:pStyle w:val="TableContents"/>
              <w:snapToGrid w:val="0"/>
              <w:jc w:val="center"/>
              <w:rPr>
                <w:sz w:val="26"/>
                <w:szCs w:val="26"/>
              </w:rPr>
            </w:pPr>
            <w:r w:rsidRPr="00935FCC">
              <w:rPr>
                <w:sz w:val="26"/>
                <w:szCs w:val="26"/>
              </w:rPr>
              <w:t>C</w:t>
            </w:r>
          </w:p>
        </w:tc>
        <w:tc>
          <w:tcPr>
            <w:tcW w:w="1336" w:type="dxa"/>
            <w:tcBorders>
              <w:top w:val="single" w:sz="2" w:space="0" w:color="000000"/>
              <w:left w:val="single" w:sz="2" w:space="0" w:color="000000"/>
              <w:bottom w:val="single" w:sz="4" w:space="0" w:color="auto"/>
              <w:right w:val="single" w:sz="2" w:space="0" w:color="000000"/>
            </w:tcBorders>
            <w:vAlign w:val="center"/>
          </w:tcPr>
          <w:p w14:paraId="194E1E79" w14:textId="77777777" w:rsidR="001A3426" w:rsidRPr="00935FCC" w:rsidRDefault="001A3426" w:rsidP="001A0CEA">
            <w:pPr>
              <w:pStyle w:val="TableContents"/>
              <w:snapToGrid w:val="0"/>
              <w:jc w:val="center"/>
              <w:rPr>
                <w:sz w:val="26"/>
                <w:szCs w:val="26"/>
              </w:rPr>
            </w:pPr>
            <w:r w:rsidRPr="00935FCC">
              <w:rPr>
                <w:sz w:val="26"/>
                <w:szCs w:val="26"/>
              </w:rPr>
              <w:t>D</w:t>
            </w:r>
          </w:p>
        </w:tc>
      </w:tr>
      <w:tr w:rsidR="000910DF" w:rsidRPr="00935FCC" w14:paraId="0BFBCAAA" w14:textId="77777777" w:rsidTr="004B1069">
        <w:tc>
          <w:tcPr>
            <w:tcW w:w="3343" w:type="dxa"/>
            <w:gridSpan w:val="5"/>
            <w:tcBorders>
              <w:top w:val="single" w:sz="2" w:space="0" w:color="000000"/>
              <w:left w:val="single" w:sz="2" w:space="0" w:color="000000"/>
              <w:bottom w:val="single" w:sz="2" w:space="0" w:color="000000"/>
              <w:right w:val="single" w:sz="2" w:space="0" w:color="000000"/>
            </w:tcBorders>
          </w:tcPr>
          <w:p w14:paraId="794176C3" w14:textId="77777777" w:rsidR="001A3426" w:rsidRPr="00935FCC" w:rsidRDefault="001A3426" w:rsidP="001A0CEA">
            <w:pPr>
              <w:pStyle w:val="TableContents"/>
              <w:snapToGrid w:val="0"/>
              <w:rPr>
                <w:sz w:val="26"/>
                <w:szCs w:val="26"/>
              </w:rPr>
            </w:pPr>
            <w:r w:rsidRPr="00935FCC">
              <w:rPr>
                <w:sz w:val="26"/>
                <w:szCs w:val="26"/>
              </w:rPr>
              <w:t>1.pants</w:t>
            </w:r>
          </w:p>
        </w:tc>
        <w:tc>
          <w:tcPr>
            <w:tcW w:w="1903" w:type="dxa"/>
            <w:tcBorders>
              <w:top w:val="single" w:sz="2" w:space="0" w:color="000000"/>
              <w:left w:val="single" w:sz="2" w:space="0" w:color="000000"/>
              <w:bottom w:val="single" w:sz="2" w:space="0" w:color="000000"/>
              <w:right w:val="single" w:sz="4" w:space="0" w:color="auto"/>
            </w:tcBorders>
          </w:tcPr>
          <w:p w14:paraId="5F7620A2" w14:textId="77777777" w:rsidR="001A3426" w:rsidRPr="00935FCC" w:rsidRDefault="001A3426" w:rsidP="001A0CEA">
            <w:pPr>
              <w:pStyle w:val="TableContents"/>
              <w:snapToGrid w:val="0"/>
              <w:rPr>
                <w:sz w:val="26"/>
                <w:szCs w:val="26"/>
              </w:rPr>
            </w:pPr>
            <w:r w:rsidRPr="00935FCC">
              <w:rPr>
                <w:sz w:val="26"/>
                <w:szCs w:val="26"/>
              </w:rPr>
              <w:t>Netiek pārņemts.</w:t>
            </w:r>
          </w:p>
        </w:tc>
        <w:tc>
          <w:tcPr>
            <w:tcW w:w="2634" w:type="dxa"/>
            <w:tcBorders>
              <w:top w:val="single" w:sz="4" w:space="0" w:color="auto"/>
              <w:left w:val="single" w:sz="4" w:space="0" w:color="auto"/>
              <w:bottom w:val="single" w:sz="4" w:space="0" w:color="auto"/>
              <w:right w:val="single" w:sz="4" w:space="0" w:color="auto"/>
            </w:tcBorders>
          </w:tcPr>
          <w:p w14:paraId="51CEC230" w14:textId="77777777" w:rsidR="001A3426" w:rsidRPr="00935FCC" w:rsidRDefault="001A3426" w:rsidP="000D448E">
            <w:pPr>
              <w:pStyle w:val="TableContents"/>
              <w:snapToGrid w:val="0"/>
              <w:rPr>
                <w:sz w:val="26"/>
                <w:szCs w:val="26"/>
              </w:rPr>
            </w:pPr>
            <w:r w:rsidRPr="00935FCC">
              <w:rPr>
                <w:sz w:val="26"/>
                <w:szCs w:val="26"/>
              </w:rPr>
              <w:t xml:space="preserve">Pārņemts </w:t>
            </w:r>
            <w:r w:rsidR="002B5732" w:rsidRPr="00935FCC">
              <w:rPr>
                <w:sz w:val="26"/>
                <w:szCs w:val="26"/>
              </w:rPr>
              <w:t>Publisko iepirkumu likuma (</w:t>
            </w:r>
            <w:r w:rsidR="000D448E" w:rsidRPr="00935FCC">
              <w:rPr>
                <w:sz w:val="26"/>
                <w:szCs w:val="26"/>
              </w:rPr>
              <w:t xml:space="preserve">šajā </w:t>
            </w:r>
            <w:r w:rsidR="002B5732" w:rsidRPr="00935FCC">
              <w:rPr>
                <w:sz w:val="26"/>
                <w:szCs w:val="26"/>
              </w:rPr>
              <w:t xml:space="preserve">tabulā – </w:t>
            </w:r>
            <w:r w:rsidRPr="00935FCC">
              <w:rPr>
                <w:sz w:val="26"/>
                <w:szCs w:val="26"/>
              </w:rPr>
              <w:t>PIL</w:t>
            </w:r>
            <w:r w:rsidR="002B5732" w:rsidRPr="00935FCC">
              <w:rPr>
                <w:sz w:val="26"/>
                <w:szCs w:val="26"/>
              </w:rPr>
              <w:t>)</w:t>
            </w:r>
            <w:r w:rsidRPr="00935FCC">
              <w:rPr>
                <w:sz w:val="26"/>
                <w:szCs w:val="26"/>
              </w:rPr>
              <w:t xml:space="preserve"> </w:t>
            </w:r>
            <w:r w:rsidR="009E62DA" w:rsidRPr="00935FCC">
              <w:rPr>
                <w:sz w:val="26"/>
                <w:szCs w:val="26"/>
              </w:rPr>
              <w:t>54.</w:t>
            </w:r>
            <w:r w:rsidR="00774A07" w:rsidRPr="00935FCC">
              <w:rPr>
                <w:sz w:val="26"/>
                <w:szCs w:val="26"/>
              </w:rPr>
              <w:t xml:space="preserve">panta pirmajā daļā, </w:t>
            </w:r>
            <w:r w:rsidR="002B5732" w:rsidRPr="00935FCC">
              <w:rPr>
                <w:sz w:val="26"/>
                <w:szCs w:val="26"/>
              </w:rPr>
              <w:t>Sabiedrisko pakalpojumu sniedzēju iepirkumu likuma (</w:t>
            </w:r>
            <w:r w:rsidR="000D448E" w:rsidRPr="00935FCC">
              <w:rPr>
                <w:sz w:val="26"/>
                <w:szCs w:val="26"/>
              </w:rPr>
              <w:t xml:space="preserve">šajā </w:t>
            </w:r>
            <w:r w:rsidR="002B5732" w:rsidRPr="00935FCC">
              <w:rPr>
                <w:sz w:val="26"/>
                <w:szCs w:val="26"/>
              </w:rPr>
              <w:t xml:space="preserve">tabulā – </w:t>
            </w:r>
            <w:r w:rsidRPr="00935FCC">
              <w:rPr>
                <w:sz w:val="26"/>
                <w:szCs w:val="26"/>
              </w:rPr>
              <w:t>SPSIL</w:t>
            </w:r>
            <w:r w:rsidR="002B5732" w:rsidRPr="00935FCC">
              <w:rPr>
                <w:sz w:val="26"/>
                <w:szCs w:val="26"/>
              </w:rPr>
              <w:t>)</w:t>
            </w:r>
            <w:r w:rsidR="009E62DA" w:rsidRPr="00935FCC">
              <w:rPr>
                <w:sz w:val="26"/>
                <w:szCs w:val="26"/>
              </w:rPr>
              <w:t xml:space="preserve"> 21</w:t>
            </w:r>
            <w:r w:rsidR="001E107B" w:rsidRPr="00935FCC">
              <w:rPr>
                <w:sz w:val="26"/>
                <w:szCs w:val="26"/>
              </w:rPr>
              <w:t>.</w:t>
            </w:r>
            <w:r w:rsidRPr="00935FCC">
              <w:rPr>
                <w:sz w:val="26"/>
                <w:szCs w:val="26"/>
              </w:rPr>
              <w:t>panta pirmajā daļā</w:t>
            </w:r>
            <w:r w:rsidR="00774A07" w:rsidRPr="00935FCC">
              <w:rPr>
                <w:sz w:val="26"/>
                <w:szCs w:val="26"/>
              </w:rPr>
              <w:t xml:space="preserve"> un Sabiedriskā transporta pakalpojumu likuma (</w:t>
            </w:r>
            <w:r w:rsidR="000D448E" w:rsidRPr="00935FCC">
              <w:rPr>
                <w:sz w:val="26"/>
                <w:szCs w:val="26"/>
              </w:rPr>
              <w:t>šajā tabulā</w:t>
            </w:r>
            <w:r w:rsidR="00774A07" w:rsidRPr="00935FCC">
              <w:rPr>
                <w:sz w:val="26"/>
                <w:szCs w:val="26"/>
              </w:rPr>
              <w:t xml:space="preserve"> – STPL)18.panta pirmās daļas 1.punktā</w:t>
            </w:r>
            <w:r w:rsidRPr="00935FCC">
              <w:rPr>
                <w:sz w:val="26"/>
                <w:szCs w:val="26"/>
              </w:rPr>
              <w:t>.</w:t>
            </w:r>
          </w:p>
        </w:tc>
        <w:tc>
          <w:tcPr>
            <w:tcW w:w="1336" w:type="dxa"/>
            <w:tcBorders>
              <w:top w:val="single" w:sz="4" w:space="0" w:color="auto"/>
              <w:left w:val="single" w:sz="4" w:space="0" w:color="auto"/>
              <w:bottom w:val="single" w:sz="4" w:space="0" w:color="auto"/>
              <w:right w:val="single" w:sz="4" w:space="0" w:color="auto"/>
            </w:tcBorders>
          </w:tcPr>
          <w:p w14:paraId="03FC9564" w14:textId="77777777" w:rsidR="001A3426" w:rsidRPr="00935FCC" w:rsidRDefault="001A3426" w:rsidP="001A0CEA">
            <w:pPr>
              <w:pStyle w:val="TableContents"/>
              <w:snapToGrid w:val="0"/>
              <w:rPr>
                <w:sz w:val="26"/>
                <w:szCs w:val="26"/>
              </w:rPr>
            </w:pPr>
          </w:p>
        </w:tc>
      </w:tr>
      <w:tr w:rsidR="000910DF" w:rsidRPr="00935FCC" w14:paraId="6C161D63" w14:textId="77777777" w:rsidTr="004B1069">
        <w:tc>
          <w:tcPr>
            <w:tcW w:w="3343" w:type="dxa"/>
            <w:gridSpan w:val="5"/>
            <w:tcBorders>
              <w:top w:val="single" w:sz="2" w:space="0" w:color="000000"/>
              <w:left w:val="single" w:sz="2" w:space="0" w:color="000000"/>
              <w:bottom w:val="single" w:sz="2" w:space="0" w:color="000000"/>
              <w:right w:val="single" w:sz="2" w:space="0" w:color="000000"/>
            </w:tcBorders>
          </w:tcPr>
          <w:p w14:paraId="559A8B1D" w14:textId="77777777" w:rsidR="007B1F8F" w:rsidRPr="00935FCC" w:rsidRDefault="007B1F8F" w:rsidP="001A0CEA">
            <w:pPr>
              <w:pStyle w:val="TableContents"/>
              <w:snapToGrid w:val="0"/>
              <w:rPr>
                <w:sz w:val="26"/>
                <w:szCs w:val="26"/>
              </w:rPr>
            </w:pPr>
            <w:r w:rsidRPr="00935FCC">
              <w:rPr>
                <w:sz w:val="26"/>
                <w:szCs w:val="26"/>
              </w:rPr>
              <w:t>2.pants</w:t>
            </w:r>
          </w:p>
        </w:tc>
        <w:tc>
          <w:tcPr>
            <w:tcW w:w="1903" w:type="dxa"/>
            <w:tcBorders>
              <w:top w:val="single" w:sz="2" w:space="0" w:color="000000"/>
              <w:left w:val="single" w:sz="2" w:space="0" w:color="000000"/>
              <w:bottom w:val="single" w:sz="2" w:space="0" w:color="000000"/>
              <w:right w:val="single" w:sz="4" w:space="0" w:color="auto"/>
            </w:tcBorders>
          </w:tcPr>
          <w:p w14:paraId="24D7A995" w14:textId="77777777" w:rsidR="007B1F8F" w:rsidRPr="00935FCC" w:rsidRDefault="001F6AEA" w:rsidP="001A0CEA">
            <w:pPr>
              <w:pStyle w:val="TableContents"/>
              <w:snapToGrid w:val="0"/>
              <w:rPr>
                <w:sz w:val="26"/>
                <w:szCs w:val="26"/>
              </w:rPr>
            </w:pPr>
            <w:r w:rsidRPr="00935FCC">
              <w:rPr>
                <w:sz w:val="26"/>
                <w:szCs w:val="26"/>
              </w:rPr>
              <w:t>2.punkts</w:t>
            </w:r>
          </w:p>
        </w:tc>
        <w:tc>
          <w:tcPr>
            <w:tcW w:w="2634" w:type="dxa"/>
            <w:tcBorders>
              <w:top w:val="single" w:sz="4" w:space="0" w:color="auto"/>
              <w:left w:val="single" w:sz="4" w:space="0" w:color="auto"/>
              <w:bottom w:val="single" w:sz="4" w:space="0" w:color="auto"/>
              <w:right w:val="single" w:sz="4" w:space="0" w:color="auto"/>
            </w:tcBorders>
          </w:tcPr>
          <w:p w14:paraId="00918F00" w14:textId="77777777" w:rsidR="007B1F8F" w:rsidRPr="00935FCC" w:rsidRDefault="00655012" w:rsidP="001F6AEA">
            <w:pPr>
              <w:pStyle w:val="TableContents"/>
              <w:snapToGrid w:val="0"/>
              <w:rPr>
                <w:sz w:val="26"/>
                <w:szCs w:val="26"/>
              </w:rPr>
            </w:pPr>
            <w:r w:rsidRPr="00935FCC">
              <w:rPr>
                <w:sz w:val="26"/>
                <w:szCs w:val="26"/>
              </w:rPr>
              <w:t>Atbilst pilnībā.</w:t>
            </w:r>
          </w:p>
        </w:tc>
        <w:tc>
          <w:tcPr>
            <w:tcW w:w="1336" w:type="dxa"/>
            <w:tcBorders>
              <w:top w:val="single" w:sz="4" w:space="0" w:color="auto"/>
              <w:left w:val="single" w:sz="4" w:space="0" w:color="auto"/>
              <w:bottom w:val="single" w:sz="4" w:space="0" w:color="auto"/>
              <w:right w:val="single" w:sz="4" w:space="0" w:color="auto"/>
            </w:tcBorders>
          </w:tcPr>
          <w:p w14:paraId="6B27AC9E" w14:textId="77777777" w:rsidR="007B1F8F" w:rsidRPr="00935FCC" w:rsidRDefault="000D771A" w:rsidP="00655012">
            <w:pPr>
              <w:pStyle w:val="TableContents"/>
              <w:snapToGrid w:val="0"/>
              <w:rPr>
                <w:sz w:val="26"/>
                <w:szCs w:val="26"/>
              </w:rPr>
            </w:pPr>
            <w:r w:rsidRPr="00935FCC">
              <w:rPr>
                <w:sz w:val="26"/>
                <w:szCs w:val="26"/>
              </w:rPr>
              <w:t>N</w:t>
            </w:r>
            <w:r w:rsidR="00203061" w:rsidRPr="00935FCC">
              <w:rPr>
                <w:sz w:val="26"/>
                <w:szCs w:val="26"/>
              </w:rPr>
              <w:t>eparedz stingrākas prasības.</w:t>
            </w:r>
          </w:p>
        </w:tc>
      </w:tr>
      <w:tr w:rsidR="000910DF" w:rsidRPr="00935FCC" w14:paraId="46BB0D26" w14:textId="77777777" w:rsidTr="004B1069">
        <w:tc>
          <w:tcPr>
            <w:tcW w:w="1075" w:type="dxa"/>
            <w:vMerge w:val="restart"/>
            <w:tcBorders>
              <w:top w:val="single" w:sz="2" w:space="0" w:color="000000"/>
              <w:left w:val="single" w:sz="2" w:space="0" w:color="000000"/>
              <w:right w:val="single" w:sz="2" w:space="0" w:color="000000"/>
            </w:tcBorders>
          </w:tcPr>
          <w:p w14:paraId="27724B3D" w14:textId="77777777" w:rsidR="007B1F8F" w:rsidRPr="00935FCC" w:rsidRDefault="007B1F8F" w:rsidP="001A0CEA">
            <w:pPr>
              <w:pStyle w:val="TableContents"/>
              <w:snapToGrid w:val="0"/>
              <w:rPr>
                <w:sz w:val="26"/>
                <w:szCs w:val="26"/>
              </w:rPr>
            </w:pPr>
            <w:r w:rsidRPr="00935FCC">
              <w:rPr>
                <w:sz w:val="26"/>
                <w:szCs w:val="26"/>
              </w:rPr>
              <w:t>3.pants</w:t>
            </w:r>
          </w:p>
        </w:tc>
        <w:tc>
          <w:tcPr>
            <w:tcW w:w="2268" w:type="dxa"/>
            <w:gridSpan w:val="4"/>
            <w:tcBorders>
              <w:top w:val="single" w:sz="2" w:space="0" w:color="000000"/>
              <w:left w:val="single" w:sz="2" w:space="0" w:color="000000"/>
              <w:bottom w:val="single" w:sz="2" w:space="0" w:color="000000"/>
              <w:right w:val="single" w:sz="2" w:space="0" w:color="000000"/>
            </w:tcBorders>
          </w:tcPr>
          <w:p w14:paraId="66BD28C4" w14:textId="77777777" w:rsidR="007B1F8F" w:rsidRPr="00935FCC" w:rsidRDefault="007B1F8F" w:rsidP="001A0CEA">
            <w:pPr>
              <w:pStyle w:val="TableContents"/>
              <w:snapToGrid w:val="0"/>
              <w:rPr>
                <w:sz w:val="26"/>
                <w:szCs w:val="26"/>
              </w:rPr>
            </w:pPr>
            <w:r w:rsidRPr="00935FCC">
              <w:rPr>
                <w:sz w:val="26"/>
                <w:szCs w:val="26"/>
              </w:rPr>
              <w:t>„a” apakšpunkts</w:t>
            </w:r>
          </w:p>
        </w:tc>
        <w:tc>
          <w:tcPr>
            <w:tcW w:w="1903" w:type="dxa"/>
            <w:tcBorders>
              <w:top w:val="single" w:sz="2" w:space="0" w:color="000000"/>
              <w:left w:val="single" w:sz="2" w:space="0" w:color="000000"/>
              <w:bottom w:val="single" w:sz="2" w:space="0" w:color="000000"/>
              <w:right w:val="single" w:sz="4" w:space="0" w:color="auto"/>
            </w:tcBorders>
          </w:tcPr>
          <w:p w14:paraId="01D1DD98" w14:textId="77777777" w:rsidR="007B1F8F" w:rsidRPr="00935FCC" w:rsidRDefault="001E107B" w:rsidP="001A0CEA">
            <w:pPr>
              <w:pStyle w:val="TableContents"/>
              <w:snapToGrid w:val="0"/>
              <w:rPr>
                <w:sz w:val="26"/>
                <w:szCs w:val="26"/>
              </w:rPr>
            </w:pPr>
            <w:r w:rsidRPr="00935FCC">
              <w:rPr>
                <w:sz w:val="26"/>
                <w:szCs w:val="26"/>
              </w:rPr>
              <w:t>Netiek pārņemts.</w:t>
            </w:r>
          </w:p>
        </w:tc>
        <w:tc>
          <w:tcPr>
            <w:tcW w:w="2634" w:type="dxa"/>
            <w:tcBorders>
              <w:top w:val="single" w:sz="4" w:space="0" w:color="auto"/>
              <w:left w:val="single" w:sz="4" w:space="0" w:color="auto"/>
              <w:bottom w:val="single" w:sz="4" w:space="0" w:color="auto"/>
              <w:right w:val="single" w:sz="4" w:space="0" w:color="auto"/>
            </w:tcBorders>
          </w:tcPr>
          <w:p w14:paraId="6B2EC364" w14:textId="77777777" w:rsidR="007B1F8F" w:rsidRPr="00935FCC" w:rsidRDefault="009E62DA" w:rsidP="001A0CEA">
            <w:pPr>
              <w:pStyle w:val="TableContents"/>
              <w:snapToGrid w:val="0"/>
              <w:rPr>
                <w:sz w:val="26"/>
                <w:szCs w:val="26"/>
              </w:rPr>
            </w:pPr>
            <w:r w:rsidRPr="00935FCC">
              <w:rPr>
                <w:sz w:val="26"/>
                <w:szCs w:val="26"/>
              </w:rPr>
              <w:t>Pārņemts PIL 54.pantā un SPSIL</w:t>
            </w:r>
            <w:r w:rsidR="00B754E5" w:rsidRPr="00935FCC">
              <w:rPr>
                <w:sz w:val="26"/>
                <w:szCs w:val="26"/>
              </w:rPr>
              <w:t xml:space="preserve"> </w:t>
            </w:r>
            <w:r w:rsidRPr="00935FCC">
              <w:rPr>
                <w:sz w:val="26"/>
                <w:szCs w:val="26"/>
              </w:rPr>
              <w:t>21</w:t>
            </w:r>
            <w:r w:rsidR="001E107B" w:rsidRPr="00935FCC">
              <w:rPr>
                <w:sz w:val="26"/>
                <w:szCs w:val="26"/>
              </w:rPr>
              <w:t>.pantā.</w:t>
            </w:r>
          </w:p>
        </w:tc>
        <w:tc>
          <w:tcPr>
            <w:tcW w:w="1336" w:type="dxa"/>
            <w:tcBorders>
              <w:top w:val="single" w:sz="4" w:space="0" w:color="auto"/>
              <w:left w:val="single" w:sz="4" w:space="0" w:color="auto"/>
              <w:bottom w:val="single" w:sz="4" w:space="0" w:color="auto"/>
              <w:right w:val="single" w:sz="4" w:space="0" w:color="auto"/>
            </w:tcBorders>
          </w:tcPr>
          <w:p w14:paraId="7C0AD5DA" w14:textId="77777777" w:rsidR="007B1F8F" w:rsidRPr="00935FCC" w:rsidRDefault="007B1F8F" w:rsidP="001A0CEA">
            <w:pPr>
              <w:pStyle w:val="TableContents"/>
              <w:snapToGrid w:val="0"/>
              <w:rPr>
                <w:sz w:val="26"/>
                <w:szCs w:val="26"/>
              </w:rPr>
            </w:pPr>
          </w:p>
        </w:tc>
      </w:tr>
      <w:tr w:rsidR="000910DF" w:rsidRPr="00935FCC" w14:paraId="5E5DE2A8" w14:textId="77777777" w:rsidTr="004B1069">
        <w:tc>
          <w:tcPr>
            <w:tcW w:w="1075" w:type="dxa"/>
            <w:vMerge/>
            <w:tcBorders>
              <w:left w:val="single" w:sz="2" w:space="0" w:color="000000"/>
              <w:bottom w:val="single" w:sz="2" w:space="0" w:color="000000"/>
              <w:right w:val="single" w:sz="2" w:space="0" w:color="000000"/>
            </w:tcBorders>
          </w:tcPr>
          <w:p w14:paraId="10F43583" w14:textId="77777777" w:rsidR="007B1F8F" w:rsidRPr="00935FCC" w:rsidRDefault="007B1F8F" w:rsidP="001A0CEA">
            <w:pPr>
              <w:pStyle w:val="TableContents"/>
              <w:snapToGrid w:val="0"/>
              <w:rPr>
                <w:sz w:val="26"/>
                <w:szCs w:val="26"/>
              </w:rPr>
            </w:pPr>
          </w:p>
        </w:tc>
        <w:tc>
          <w:tcPr>
            <w:tcW w:w="2268" w:type="dxa"/>
            <w:gridSpan w:val="4"/>
            <w:tcBorders>
              <w:top w:val="single" w:sz="2" w:space="0" w:color="000000"/>
              <w:left w:val="single" w:sz="2" w:space="0" w:color="000000"/>
              <w:bottom w:val="single" w:sz="2" w:space="0" w:color="000000"/>
              <w:right w:val="single" w:sz="2" w:space="0" w:color="000000"/>
            </w:tcBorders>
          </w:tcPr>
          <w:p w14:paraId="03B599BE" w14:textId="77777777" w:rsidR="007B1F8F" w:rsidRPr="00935FCC" w:rsidRDefault="007B1F8F" w:rsidP="001A0CEA">
            <w:pPr>
              <w:pStyle w:val="TableContents"/>
              <w:snapToGrid w:val="0"/>
              <w:rPr>
                <w:sz w:val="26"/>
                <w:szCs w:val="26"/>
              </w:rPr>
            </w:pPr>
            <w:r w:rsidRPr="00935FCC">
              <w:rPr>
                <w:sz w:val="26"/>
                <w:szCs w:val="26"/>
              </w:rPr>
              <w:t>„b” apakšpunkts</w:t>
            </w:r>
          </w:p>
        </w:tc>
        <w:tc>
          <w:tcPr>
            <w:tcW w:w="1903" w:type="dxa"/>
            <w:tcBorders>
              <w:top w:val="single" w:sz="2" w:space="0" w:color="000000"/>
              <w:left w:val="single" w:sz="2" w:space="0" w:color="000000"/>
              <w:bottom w:val="single" w:sz="2" w:space="0" w:color="000000"/>
              <w:right w:val="single" w:sz="4" w:space="0" w:color="auto"/>
            </w:tcBorders>
          </w:tcPr>
          <w:p w14:paraId="68D7B582" w14:textId="77777777" w:rsidR="007B1F8F" w:rsidRPr="00935FCC" w:rsidRDefault="007B1F8F" w:rsidP="001A0CEA">
            <w:pPr>
              <w:pStyle w:val="TableContents"/>
              <w:snapToGrid w:val="0"/>
              <w:rPr>
                <w:sz w:val="26"/>
                <w:szCs w:val="26"/>
              </w:rPr>
            </w:pPr>
            <w:r w:rsidRPr="00935FCC">
              <w:rPr>
                <w:sz w:val="26"/>
                <w:szCs w:val="26"/>
              </w:rPr>
              <w:t>Netiek pārņemts.</w:t>
            </w:r>
          </w:p>
        </w:tc>
        <w:tc>
          <w:tcPr>
            <w:tcW w:w="2634" w:type="dxa"/>
            <w:tcBorders>
              <w:top w:val="single" w:sz="4" w:space="0" w:color="auto"/>
              <w:left w:val="single" w:sz="4" w:space="0" w:color="auto"/>
              <w:bottom w:val="single" w:sz="4" w:space="0" w:color="auto"/>
              <w:right w:val="single" w:sz="4" w:space="0" w:color="auto"/>
            </w:tcBorders>
          </w:tcPr>
          <w:p w14:paraId="365B31DD" w14:textId="77777777" w:rsidR="007B1F8F" w:rsidRPr="00935FCC" w:rsidRDefault="00B754E5" w:rsidP="001A0CEA">
            <w:pPr>
              <w:pStyle w:val="TableContents"/>
              <w:snapToGrid w:val="0"/>
              <w:rPr>
                <w:sz w:val="26"/>
                <w:szCs w:val="26"/>
              </w:rPr>
            </w:pPr>
            <w:r w:rsidRPr="00935FCC">
              <w:rPr>
                <w:sz w:val="26"/>
                <w:szCs w:val="26"/>
              </w:rPr>
              <w:t>Pār</w:t>
            </w:r>
            <w:r w:rsidR="00B85EAF" w:rsidRPr="00935FCC">
              <w:rPr>
                <w:sz w:val="26"/>
                <w:szCs w:val="26"/>
              </w:rPr>
              <w:t xml:space="preserve">ņemts STPL </w:t>
            </w:r>
            <w:r w:rsidR="00B85EAF" w:rsidRPr="00935FCC">
              <w:rPr>
                <w:sz w:val="26"/>
                <w:szCs w:val="26"/>
              </w:rPr>
              <w:lastRenderedPageBreak/>
              <w:t>18.pant</w:t>
            </w:r>
            <w:r w:rsidRPr="00935FCC">
              <w:rPr>
                <w:sz w:val="26"/>
                <w:szCs w:val="26"/>
              </w:rPr>
              <w:t>ā.</w:t>
            </w:r>
          </w:p>
        </w:tc>
        <w:tc>
          <w:tcPr>
            <w:tcW w:w="1336" w:type="dxa"/>
            <w:tcBorders>
              <w:top w:val="single" w:sz="4" w:space="0" w:color="auto"/>
              <w:left w:val="single" w:sz="4" w:space="0" w:color="auto"/>
              <w:bottom w:val="single" w:sz="4" w:space="0" w:color="auto"/>
              <w:right w:val="single" w:sz="4" w:space="0" w:color="auto"/>
            </w:tcBorders>
          </w:tcPr>
          <w:p w14:paraId="6394CBDE" w14:textId="77777777" w:rsidR="007B1F8F" w:rsidRPr="00935FCC" w:rsidRDefault="007B1F8F" w:rsidP="001A0CEA">
            <w:pPr>
              <w:pStyle w:val="TableContents"/>
              <w:snapToGrid w:val="0"/>
              <w:rPr>
                <w:sz w:val="26"/>
                <w:szCs w:val="26"/>
              </w:rPr>
            </w:pPr>
          </w:p>
        </w:tc>
      </w:tr>
      <w:tr w:rsidR="000910DF" w:rsidRPr="00935FCC" w14:paraId="017C041D" w14:textId="77777777" w:rsidTr="004B1069">
        <w:tc>
          <w:tcPr>
            <w:tcW w:w="1075" w:type="dxa"/>
            <w:vMerge w:val="restart"/>
            <w:tcBorders>
              <w:top w:val="single" w:sz="2" w:space="0" w:color="000000"/>
              <w:left w:val="single" w:sz="2" w:space="0" w:color="000000"/>
              <w:right w:val="single" w:sz="2" w:space="0" w:color="000000"/>
            </w:tcBorders>
          </w:tcPr>
          <w:p w14:paraId="52CD2D28" w14:textId="77777777" w:rsidR="007B1F8F" w:rsidRPr="00935FCC" w:rsidRDefault="007B1F8F" w:rsidP="001A0CEA">
            <w:pPr>
              <w:pStyle w:val="TableContents"/>
              <w:snapToGrid w:val="0"/>
              <w:rPr>
                <w:sz w:val="26"/>
                <w:szCs w:val="26"/>
              </w:rPr>
            </w:pPr>
            <w:r w:rsidRPr="00935FCC">
              <w:rPr>
                <w:sz w:val="26"/>
                <w:szCs w:val="26"/>
              </w:rPr>
              <w:t>4.pants</w:t>
            </w:r>
          </w:p>
        </w:tc>
        <w:tc>
          <w:tcPr>
            <w:tcW w:w="2268" w:type="dxa"/>
            <w:gridSpan w:val="4"/>
            <w:tcBorders>
              <w:top w:val="single" w:sz="2" w:space="0" w:color="000000"/>
              <w:left w:val="single" w:sz="2" w:space="0" w:color="000000"/>
              <w:bottom w:val="single" w:sz="2" w:space="0" w:color="000000"/>
              <w:right w:val="single" w:sz="2" w:space="0" w:color="000000"/>
            </w:tcBorders>
          </w:tcPr>
          <w:p w14:paraId="244A477A" w14:textId="77777777" w:rsidR="007B1F8F" w:rsidRPr="00935FCC" w:rsidRDefault="007B1F8F" w:rsidP="001A0CEA">
            <w:pPr>
              <w:pStyle w:val="TableContents"/>
              <w:snapToGrid w:val="0"/>
              <w:rPr>
                <w:sz w:val="26"/>
                <w:szCs w:val="26"/>
              </w:rPr>
            </w:pPr>
            <w:r w:rsidRPr="00935FCC">
              <w:rPr>
                <w:sz w:val="26"/>
                <w:szCs w:val="26"/>
              </w:rPr>
              <w:t>1.punkts</w:t>
            </w:r>
          </w:p>
        </w:tc>
        <w:tc>
          <w:tcPr>
            <w:tcW w:w="1903" w:type="dxa"/>
            <w:tcBorders>
              <w:top w:val="single" w:sz="2" w:space="0" w:color="000000"/>
              <w:left w:val="single" w:sz="2" w:space="0" w:color="000000"/>
              <w:bottom w:val="single" w:sz="2" w:space="0" w:color="000000"/>
              <w:right w:val="single" w:sz="4" w:space="0" w:color="auto"/>
            </w:tcBorders>
          </w:tcPr>
          <w:p w14:paraId="50A4D508" w14:textId="77777777" w:rsidR="007B1F8F" w:rsidRPr="00935FCC" w:rsidRDefault="00A64842" w:rsidP="001A0CEA">
            <w:pPr>
              <w:pStyle w:val="TableContents"/>
              <w:snapToGrid w:val="0"/>
              <w:rPr>
                <w:sz w:val="26"/>
                <w:szCs w:val="26"/>
              </w:rPr>
            </w:pPr>
            <w:r w:rsidRPr="00935FCC">
              <w:rPr>
                <w:sz w:val="26"/>
                <w:szCs w:val="26"/>
              </w:rPr>
              <w:t>Netiek pārņemts.</w:t>
            </w:r>
          </w:p>
        </w:tc>
        <w:tc>
          <w:tcPr>
            <w:tcW w:w="2634" w:type="dxa"/>
            <w:tcBorders>
              <w:top w:val="single" w:sz="4" w:space="0" w:color="auto"/>
              <w:left w:val="single" w:sz="4" w:space="0" w:color="auto"/>
              <w:bottom w:val="single" w:sz="4" w:space="0" w:color="auto"/>
              <w:right w:val="single" w:sz="4" w:space="0" w:color="auto"/>
            </w:tcBorders>
          </w:tcPr>
          <w:p w14:paraId="5E8D7935" w14:textId="77777777" w:rsidR="007B1F8F" w:rsidRPr="00935FCC" w:rsidRDefault="00AB43B5" w:rsidP="001A0CEA">
            <w:pPr>
              <w:pStyle w:val="TableContents"/>
              <w:snapToGrid w:val="0"/>
              <w:rPr>
                <w:sz w:val="26"/>
                <w:szCs w:val="26"/>
              </w:rPr>
            </w:pPr>
            <w:r w:rsidRPr="00935FCC">
              <w:rPr>
                <w:sz w:val="26"/>
                <w:szCs w:val="26"/>
              </w:rPr>
              <w:t>Atbilst PIL 1.panta 19</w:t>
            </w:r>
            <w:r w:rsidR="00A64842" w:rsidRPr="00935FCC">
              <w:rPr>
                <w:sz w:val="26"/>
                <w:szCs w:val="26"/>
              </w:rPr>
              <w:t>.punktam un SPSIL 1.panta 1</w:t>
            </w:r>
            <w:r w:rsidR="00205606" w:rsidRPr="00935FCC">
              <w:rPr>
                <w:sz w:val="26"/>
                <w:szCs w:val="26"/>
              </w:rPr>
              <w:t>9</w:t>
            </w:r>
            <w:r w:rsidR="00A64842" w:rsidRPr="00935FCC">
              <w:rPr>
                <w:sz w:val="26"/>
                <w:szCs w:val="26"/>
              </w:rPr>
              <w:t>.punktam</w:t>
            </w:r>
            <w:r w:rsidR="00961FB2" w:rsidRPr="00935FCC">
              <w:rPr>
                <w:sz w:val="26"/>
                <w:szCs w:val="26"/>
              </w:rPr>
              <w:t>.</w:t>
            </w:r>
          </w:p>
        </w:tc>
        <w:tc>
          <w:tcPr>
            <w:tcW w:w="1336" w:type="dxa"/>
            <w:tcBorders>
              <w:top w:val="single" w:sz="4" w:space="0" w:color="auto"/>
              <w:left w:val="single" w:sz="4" w:space="0" w:color="auto"/>
              <w:bottom w:val="single" w:sz="4" w:space="0" w:color="auto"/>
              <w:right w:val="single" w:sz="4" w:space="0" w:color="auto"/>
            </w:tcBorders>
          </w:tcPr>
          <w:p w14:paraId="746FD645" w14:textId="77777777" w:rsidR="007B1F8F" w:rsidRPr="00935FCC" w:rsidRDefault="007B1F8F" w:rsidP="001A0CEA">
            <w:pPr>
              <w:pStyle w:val="TableContents"/>
              <w:snapToGrid w:val="0"/>
              <w:rPr>
                <w:sz w:val="26"/>
                <w:szCs w:val="26"/>
              </w:rPr>
            </w:pPr>
          </w:p>
        </w:tc>
      </w:tr>
      <w:tr w:rsidR="000910DF" w:rsidRPr="00935FCC" w14:paraId="5C92557C" w14:textId="77777777" w:rsidTr="004B1069">
        <w:tc>
          <w:tcPr>
            <w:tcW w:w="1075" w:type="dxa"/>
            <w:vMerge/>
            <w:tcBorders>
              <w:left w:val="single" w:sz="2" w:space="0" w:color="000000"/>
              <w:right w:val="single" w:sz="2" w:space="0" w:color="000000"/>
            </w:tcBorders>
          </w:tcPr>
          <w:p w14:paraId="0DB68782" w14:textId="77777777" w:rsidR="007B1F8F" w:rsidRPr="00935FCC" w:rsidRDefault="007B1F8F" w:rsidP="001A0CEA">
            <w:pPr>
              <w:pStyle w:val="TableContents"/>
              <w:snapToGrid w:val="0"/>
              <w:rPr>
                <w:sz w:val="26"/>
                <w:szCs w:val="26"/>
              </w:rPr>
            </w:pPr>
          </w:p>
        </w:tc>
        <w:tc>
          <w:tcPr>
            <w:tcW w:w="2268" w:type="dxa"/>
            <w:gridSpan w:val="4"/>
            <w:tcBorders>
              <w:top w:val="single" w:sz="2" w:space="0" w:color="000000"/>
              <w:left w:val="single" w:sz="2" w:space="0" w:color="000000"/>
              <w:bottom w:val="single" w:sz="2" w:space="0" w:color="000000"/>
              <w:right w:val="single" w:sz="2" w:space="0" w:color="000000"/>
            </w:tcBorders>
          </w:tcPr>
          <w:p w14:paraId="2E7937D5" w14:textId="77777777" w:rsidR="007B1F8F" w:rsidRPr="00935FCC" w:rsidRDefault="007B1F8F" w:rsidP="001A0CEA">
            <w:pPr>
              <w:pStyle w:val="TableContents"/>
              <w:snapToGrid w:val="0"/>
              <w:rPr>
                <w:sz w:val="26"/>
                <w:szCs w:val="26"/>
              </w:rPr>
            </w:pPr>
            <w:r w:rsidRPr="00935FCC">
              <w:rPr>
                <w:sz w:val="26"/>
                <w:szCs w:val="26"/>
              </w:rPr>
              <w:t>2.punkts</w:t>
            </w:r>
          </w:p>
        </w:tc>
        <w:tc>
          <w:tcPr>
            <w:tcW w:w="1903" w:type="dxa"/>
            <w:tcBorders>
              <w:top w:val="single" w:sz="2" w:space="0" w:color="000000"/>
              <w:left w:val="single" w:sz="2" w:space="0" w:color="000000"/>
              <w:bottom w:val="single" w:sz="2" w:space="0" w:color="000000"/>
              <w:right w:val="single" w:sz="4" w:space="0" w:color="auto"/>
            </w:tcBorders>
          </w:tcPr>
          <w:p w14:paraId="7B5FAECB" w14:textId="77777777" w:rsidR="007B1F8F" w:rsidRPr="00935FCC" w:rsidRDefault="00961FB2" w:rsidP="001A0CEA">
            <w:pPr>
              <w:pStyle w:val="TableContents"/>
              <w:snapToGrid w:val="0"/>
              <w:rPr>
                <w:sz w:val="26"/>
                <w:szCs w:val="26"/>
              </w:rPr>
            </w:pPr>
            <w:r w:rsidRPr="00935FCC">
              <w:rPr>
                <w:sz w:val="26"/>
                <w:szCs w:val="26"/>
              </w:rPr>
              <w:t>Netiek pārņemts.</w:t>
            </w:r>
          </w:p>
        </w:tc>
        <w:tc>
          <w:tcPr>
            <w:tcW w:w="2634" w:type="dxa"/>
            <w:tcBorders>
              <w:top w:val="single" w:sz="4" w:space="0" w:color="auto"/>
              <w:left w:val="single" w:sz="4" w:space="0" w:color="auto"/>
              <w:bottom w:val="single" w:sz="4" w:space="0" w:color="auto"/>
              <w:right w:val="single" w:sz="4" w:space="0" w:color="auto"/>
            </w:tcBorders>
          </w:tcPr>
          <w:p w14:paraId="20C1A416" w14:textId="77777777" w:rsidR="007B1F8F" w:rsidRPr="00935FCC" w:rsidRDefault="009E62DA" w:rsidP="001A0CEA">
            <w:pPr>
              <w:pStyle w:val="TableContents"/>
              <w:snapToGrid w:val="0"/>
              <w:rPr>
                <w:sz w:val="26"/>
                <w:szCs w:val="26"/>
              </w:rPr>
            </w:pPr>
            <w:r w:rsidRPr="00935FCC">
              <w:rPr>
                <w:sz w:val="26"/>
                <w:szCs w:val="26"/>
              </w:rPr>
              <w:t>Atbilst SPSIL 1.panta 27</w:t>
            </w:r>
            <w:r w:rsidR="00961FB2" w:rsidRPr="00935FCC">
              <w:rPr>
                <w:sz w:val="26"/>
                <w:szCs w:val="26"/>
              </w:rPr>
              <w:t>.punktam.</w:t>
            </w:r>
          </w:p>
        </w:tc>
        <w:tc>
          <w:tcPr>
            <w:tcW w:w="1336" w:type="dxa"/>
            <w:tcBorders>
              <w:top w:val="single" w:sz="4" w:space="0" w:color="auto"/>
              <w:left w:val="single" w:sz="4" w:space="0" w:color="auto"/>
              <w:bottom w:val="single" w:sz="4" w:space="0" w:color="auto"/>
              <w:right w:val="single" w:sz="4" w:space="0" w:color="auto"/>
            </w:tcBorders>
          </w:tcPr>
          <w:p w14:paraId="3FC0A54D" w14:textId="77777777" w:rsidR="007B1F8F" w:rsidRPr="00935FCC" w:rsidRDefault="007B1F8F" w:rsidP="001A0CEA">
            <w:pPr>
              <w:pStyle w:val="TableContents"/>
              <w:snapToGrid w:val="0"/>
              <w:rPr>
                <w:sz w:val="26"/>
                <w:szCs w:val="26"/>
              </w:rPr>
            </w:pPr>
          </w:p>
        </w:tc>
      </w:tr>
      <w:tr w:rsidR="000910DF" w:rsidRPr="00935FCC" w14:paraId="4569B25B" w14:textId="77777777" w:rsidTr="004B1069">
        <w:tc>
          <w:tcPr>
            <w:tcW w:w="1075" w:type="dxa"/>
            <w:vMerge/>
            <w:tcBorders>
              <w:left w:val="single" w:sz="2" w:space="0" w:color="000000"/>
              <w:bottom w:val="single" w:sz="2" w:space="0" w:color="000000"/>
              <w:right w:val="single" w:sz="2" w:space="0" w:color="000000"/>
            </w:tcBorders>
          </w:tcPr>
          <w:p w14:paraId="74E66011" w14:textId="77777777" w:rsidR="007B1F8F" w:rsidRPr="00935FCC" w:rsidRDefault="007B1F8F" w:rsidP="001A0CEA">
            <w:pPr>
              <w:pStyle w:val="TableContents"/>
              <w:snapToGrid w:val="0"/>
              <w:rPr>
                <w:sz w:val="26"/>
                <w:szCs w:val="26"/>
              </w:rPr>
            </w:pPr>
          </w:p>
        </w:tc>
        <w:tc>
          <w:tcPr>
            <w:tcW w:w="2268" w:type="dxa"/>
            <w:gridSpan w:val="4"/>
            <w:tcBorders>
              <w:top w:val="single" w:sz="2" w:space="0" w:color="000000"/>
              <w:left w:val="single" w:sz="2" w:space="0" w:color="000000"/>
              <w:bottom w:val="single" w:sz="2" w:space="0" w:color="000000"/>
              <w:right w:val="single" w:sz="2" w:space="0" w:color="000000"/>
            </w:tcBorders>
          </w:tcPr>
          <w:p w14:paraId="45006D34" w14:textId="77777777" w:rsidR="007B1F8F" w:rsidRPr="00935FCC" w:rsidRDefault="007B1F8F" w:rsidP="001A0CEA">
            <w:pPr>
              <w:pStyle w:val="TableContents"/>
              <w:snapToGrid w:val="0"/>
              <w:rPr>
                <w:sz w:val="26"/>
                <w:szCs w:val="26"/>
              </w:rPr>
            </w:pPr>
            <w:r w:rsidRPr="00935FCC">
              <w:rPr>
                <w:sz w:val="26"/>
                <w:szCs w:val="26"/>
              </w:rPr>
              <w:t>3.punkts</w:t>
            </w:r>
          </w:p>
        </w:tc>
        <w:tc>
          <w:tcPr>
            <w:tcW w:w="1903" w:type="dxa"/>
            <w:tcBorders>
              <w:top w:val="single" w:sz="2" w:space="0" w:color="000000"/>
              <w:left w:val="single" w:sz="2" w:space="0" w:color="000000"/>
              <w:bottom w:val="single" w:sz="2" w:space="0" w:color="000000"/>
              <w:right w:val="single" w:sz="4" w:space="0" w:color="auto"/>
            </w:tcBorders>
          </w:tcPr>
          <w:p w14:paraId="3C6A35A3" w14:textId="77777777" w:rsidR="007B1F8F" w:rsidRPr="00935FCC" w:rsidRDefault="00961FB2" w:rsidP="001A0CEA">
            <w:pPr>
              <w:pStyle w:val="TableContents"/>
              <w:snapToGrid w:val="0"/>
              <w:rPr>
                <w:sz w:val="26"/>
                <w:szCs w:val="26"/>
              </w:rPr>
            </w:pPr>
            <w:r w:rsidRPr="00935FCC">
              <w:rPr>
                <w:sz w:val="26"/>
                <w:szCs w:val="26"/>
              </w:rPr>
              <w:t>2.punkts un pielikuma 1.tabula</w:t>
            </w:r>
          </w:p>
        </w:tc>
        <w:tc>
          <w:tcPr>
            <w:tcW w:w="2634" w:type="dxa"/>
            <w:tcBorders>
              <w:top w:val="single" w:sz="4" w:space="0" w:color="auto"/>
              <w:left w:val="single" w:sz="4" w:space="0" w:color="auto"/>
              <w:bottom w:val="single" w:sz="4" w:space="0" w:color="auto"/>
              <w:right w:val="single" w:sz="4" w:space="0" w:color="auto"/>
            </w:tcBorders>
          </w:tcPr>
          <w:p w14:paraId="51988E92" w14:textId="77777777" w:rsidR="007B1F8F" w:rsidRPr="00935FCC" w:rsidRDefault="00961FB2" w:rsidP="001A0CEA">
            <w:pPr>
              <w:pStyle w:val="TableContents"/>
              <w:snapToGrid w:val="0"/>
              <w:rPr>
                <w:sz w:val="26"/>
                <w:szCs w:val="26"/>
              </w:rPr>
            </w:pPr>
            <w:r w:rsidRPr="00935FCC">
              <w:rPr>
                <w:sz w:val="26"/>
                <w:szCs w:val="26"/>
              </w:rPr>
              <w:t>Atbilst pilnībā</w:t>
            </w:r>
            <w:r w:rsidR="004542A7" w:rsidRPr="00935FCC">
              <w:rPr>
                <w:sz w:val="26"/>
                <w:szCs w:val="26"/>
              </w:rPr>
              <w:t>.</w:t>
            </w:r>
          </w:p>
        </w:tc>
        <w:tc>
          <w:tcPr>
            <w:tcW w:w="1336" w:type="dxa"/>
            <w:tcBorders>
              <w:top w:val="single" w:sz="4" w:space="0" w:color="auto"/>
              <w:left w:val="single" w:sz="4" w:space="0" w:color="auto"/>
              <w:bottom w:val="single" w:sz="4" w:space="0" w:color="auto"/>
              <w:right w:val="single" w:sz="4" w:space="0" w:color="auto"/>
            </w:tcBorders>
          </w:tcPr>
          <w:p w14:paraId="64A26781" w14:textId="77777777" w:rsidR="007B1F8F" w:rsidRPr="00935FCC" w:rsidRDefault="00687577" w:rsidP="001A0CEA">
            <w:pPr>
              <w:pStyle w:val="TableContents"/>
              <w:snapToGrid w:val="0"/>
              <w:rPr>
                <w:sz w:val="26"/>
                <w:szCs w:val="26"/>
              </w:rPr>
            </w:pPr>
            <w:r w:rsidRPr="00935FCC">
              <w:rPr>
                <w:sz w:val="26"/>
                <w:szCs w:val="26"/>
              </w:rPr>
              <w:t>Neparedz stingrākas prasības.</w:t>
            </w:r>
          </w:p>
        </w:tc>
      </w:tr>
      <w:tr w:rsidR="000910DF" w:rsidRPr="00935FCC" w14:paraId="76A53A12" w14:textId="77777777" w:rsidTr="004B1069">
        <w:tc>
          <w:tcPr>
            <w:tcW w:w="1075" w:type="dxa"/>
            <w:vMerge w:val="restart"/>
            <w:tcBorders>
              <w:left w:val="single" w:sz="1" w:space="0" w:color="000000"/>
              <w:bottom w:val="single" w:sz="1" w:space="0" w:color="000000"/>
              <w:right w:val="single" w:sz="2" w:space="0" w:color="000000"/>
            </w:tcBorders>
          </w:tcPr>
          <w:p w14:paraId="02EC1585" w14:textId="77777777" w:rsidR="007B1F8F" w:rsidRPr="00935FCC" w:rsidRDefault="007B1F8F" w:rsidP="001A0CEA">
            <w:pPr>
              <w:pStyle w:val="TableContents"/>
              <w:snapToGrid w:val="0"/>
              <w:rPr>
                <w:sz w:val="26"/>
                <w:szCs w:val="26"/>
              </w:rPr>
            </w:pPr>
            <w:r w:rsidRPr="00935FCC">
              <w:rPr>
                <w:sz w:val="26"/>
                <w:szCs w:val="26"/>
              </w:rPr>
              <w:t>5.pants</w:t>
            </w:r>
          </w:p>
        </w:tc>
        <w:tc>
          <w:tcPr>
            <w:tcW w:w="2268" w:type="dxa"/>
            <w:gridSpan w:val="4"/>
            <w:tcBorders>
              <w:top w:val="single" w:sz="2" w:space="0" w:color="000000"/>
              <w:left w:val="single" w:sz="2" w:space="0" w:color="000000"/>
              <w:bottom w:val="single" w:sz="2" w:space="0" w:color="000000"/>
              <w:right w:val="single" w:sz="2" w:space="0" w:color="000000"/>
            </w:tcBorders>
          </w:tcPr>
          <w:p w14:paraId="3602353B" w14:textId="77777777" w:rsidR="007B1F8F" w:rsidRPr="00935FCC" w:rsidRDefault="007B1F8F" w:rsidP="001A0CEA">
            <w:pPr>
              <w:pStyle w:val="TableContents"/>
              <w:snapToGrid w:val="0"/>
              <w:rPr>
                <w:sz w:val="26"/>
                <w:szCs w:val="26"/>
              </w:rPr>
            </w:pPr>
            <w:r w:rsidRPr="00935FCC">
              <w:rPr>
                <w:sz w:val="26"/>
                <w:szCs w:val="26"/>
              </w:rPr>
              <w:t>1.punkts</w:t>
            </w:r>
          </w:p>
        </w:tc>
        <w:tc>
          <w:tcPr>
            <w:tcW w:w="1903" w:type="dxa"/>
            <w:tcBorders>
              <w:top w:val="single" w:sz="2" w:space="0" w:color="000000"/>
              <w:left w:val="single" w:sz="2" w:space="0" w:color="000000"/>
              <w:bottom w:val="single" w:sz="2" w:space="0" w:color="000000"/>
              <w:right w:val="single" w:sz="4" w:space="0" w:color="auto"/>
            </w:tcBorders>
          </w:tcPr>
          <w:p w14:paraId="0DC0EED5" w14:textId="77777777" w:rsidR="007B1F8F" w:rsidRPr="00935FCC" w:rsidRDefault="00071D2C" w:rsidP="001A0CEA">
            <w:pPr>
              <w:pStyle w:val="TableContents"/>
              <w:snapToGrid w:val="0"/>
              <w:rPr>
                <w:sz w:val="26"/>
                <w:szCs w:val="26"/>
              </w:rPr>
            </w:pPr>
            <w:r w:rsidRPr="00935FCC">
              <w:rPr>
                <w:sz w:val="26"/>
                <w:szCs w:val="26"/>
              </w:rPr>
              <w:t>Netiek pārņemts.</w:t>
            </w:r>
          </w:p>
        </w:tc>
        <w:tc>
          <w:tcPr>
            <w:tcW w:w="2634" w:type="dxa"/>
            <w:tcBorders>
              <w:top w:val="single" w:sz="4" w:space="0" w:color="auto"/>
              <w:left w:val="single" w:sz="4" w:space="0" w:color="auto"/>
              <w:bottom w:val="single" w:sz="4" w:space="0" w:color="auto"/>
              <w:right w:val="single" w:sz="4" w:space="0" w:color="auto"/>
            </w:tcBorders>
          </w:tcPr>
          <w:p w14:paraId="3D97160E" w14:textId="77777777" w:rsidR="007B1F8F" w:rsidRPr="00935FCC" w:rsidRDefault="00322C50" w:rsidP="009A086E">
            <w:pPr>
              <w:pStyle w:val="TableContents"/>
              <w:snapToGrid w:val="0"/>
              <w:rPr>
                <w:sz w:val="26"/>
                <w:szCs w:val="26"/>
              </w:rPr>
            </w:pPr>
            <w:r w:rsidRPr="00935FCC">
              <w:rPr>
                <w:sz w:val="26"/>
                <w:szCs w:val="26"/>
              </w:rPr>
              <w:t>Pārņemts PIL 54.</w:t>
            </w:r>
            <w:r w:rsidR="000D4066" w:rsidRPr="00935FCC">
              <w:rPr>
                <w:sz w:val="26"/>
                <w:szCs w:val="26"/>
              </w:rPr>
              <w:t>panta pir</w:t>
            </w:r>
            <w:r w:rsidR="009A086E" w:rsidRPr="00935FCC">
              <w:rPr>
                <w:sz w:val="26"/>
                <w:szCs w:val="26"/>
              </w:rPr>
              <w:t xml:space="preserve">majā un trešajā daļā, </w:t>
            </w:r>
            <w:r w:rsidRPr="00935FCC">
              <w:rPr>
                <w:sz w:val="26"/>
                <w:szCs w:val="26"/>
              </w:rPr>
              <w:t>SPSIL 21</w:t>
            </w:r>
            <w:r w:rsidR="000D4066" w:rsidRPr="00935FCC">
              <w:rPr>
                <w:sz w:val="26"/>
                <w:szCs w:val="26"/>
              </w:rPr>
              <w:t>.panta pirmajā un trešajā daļ</w:t>
            </w:r>
            <w:r w:rsidR="00241695" w:rsidRPr="00935FCC">
              <w:rPr>
                <w:sz w:val="26"/>
                <w:szCs w:val="26"/>
              </w:rPr>
              <w:t>ā</w:t>
            </w:r>
            <w:r w:rsidR="00E37913" w:rsidRPr="00935FCC">
              <w:rPr>
                <w:sz w:val="26"/>
                <w:szCs w:val="26"/>
              </w:rPr>
              <w:t>, STPL</w:t>
            </w:r>
            <w:r w:rsidR="00FC0842" w:rsidRPr="00935FCC">
              <w:rPr>
                <w:sz w:val="26"/>
                <w:szCs w:val="26"/>
              </w:rPr>
              <w:t xml:space="preserve"> 18.panta pirm</w:t>
            </w:r>
            <w:r w:rsidR="00E37913" w:rsidRPr="00935FCC">
              <w:rPr>
                <w:sz w:val="26"/>
                <w:szCs w:val="26"/>
              </w:rPr>
              <w:t>ā</w:t>
            </w:r>
            <w:r w:rsidR="00FC0842" w:rsidRPr="00935FCC">
              <w:rPr>
                <w:sz w:val="26"/>
                <w:szCs w:val="26"/>
              </w:rPr>
              <w:t>s</w:t>
            </w:r>
            <w:r w:rsidR="00E37913" w:rsidRPr="00935FCC">
              <w:rPr>
                <w:sz w:val="26"/>
                <w:szCs w:val="26"/>
              </w:rPr>
              <w:t xml:space="preserve"> daļ</w:t>
            </w:r>
            <w:r w:rsidR="00FC0842" w:rsidRPr="00935FCC">
              <w:rPr>
                <w:sz w:val="26"/>
                <w:szCs w:val="26"/>
              </w:rPr>
              <w:t>as 1.punkt</w:t>
            </w:r>
            <w:r w:rsidR="00E37913" w:rsidRPr="00935FCC">
              <w:rPr>
                <w:sz w:val="26"/>
                <w:szCs w:val="26"/>
              </w:rPr>
              <w:t>ā un Noteikumu Nr.</w:t>
            </w:r>
            <w:r w:rsidR="00E37913" w:rsidRPr="00935FCC">
              <w:rPr>
                <w:sz w:val="26"/>
                <w:szCs w:val="26"/>
                <w:lang w:eastAsia="lo-LA" w:bidi="lo-LA"/>
              </w:rPr>
              <w:t> </w:t>
            </w:r>
            <w:r w:rsidR="00E37913" w:rsidRPr="00935FCC">
              <w:rPr>
                <w:sz w:val="26"/>
                <w:szCs w:val="26"/>
              </w:rPr>
              <w:t>351</w:t>
            </w:r>
            <w:r w:rsidR="009A086E" w:rsidRPr="00935FCC">
              <w:rPr>
                <w:sz w:val="26"/>
                <w:szCs w:val="26"/>
              </w:rPr>
              <w:t xml:space="preserve"> </w:t>
            </w:r>
            <w:r w:rsidR="00E37913" w:rsidRPr="00935FCC">
              <w:rPr>
                <w:sz w:val="26"/>
                <w:szCs w:val="26"/>
              </w:rPr>
              <w:t>7.punktā.</w:t>
            </w:r>
          </w:p>
        </w:tc>
        <w:tc>
          <w:tcPr>
            <w:tcW w:w="1336" w:type="dxa"/>
            <w:tcBorders>
              <w:top w:val="single" w:sz="4" w:space="0" w:color="auto"/>
              <w:left w:val="single" w:sz="4" w:space="0" w:color="auto"/>
              <w:bottom w:val="single" w:sz="4" w:space="0" w:color="auto"/>
              <w:right w:val="single" w:sz="4" w:space="0" w:color="auto"/>
            </w:tcBorders>
          </w:tcPr>
          <w:p w14:paraId="6835E529" w14:textId="77777777" w:rsidR="007B1F8F" w:rsidRPr="00935FCC" w:rsidRDefault="007B1F8F" w:rsidP="001A0CEA">
            <w:pPr>
              <w:pStyle w:val="TableContents"/>
              <w:snapToGrid w:val="0"/>
              <w:rPr>
                <w:sz w:val="26"/>
                <w:szCs w:val="26"/>
              </w:rPr>
            </w:pPr>
          </w:p>
        </w:tc>
      </w:tr>
      <w:tr w:rsidR="000910DF" w:rsidRPr="00935FCC" w14:paraId="6E9906EB" w14:textId="77777777" w:rsidTr="004B1069">
        <w:tc>
          <w:tcPr>
            <w:tcW w:w="1075" w:type="dxa"/>
            <w:vMerge/>
            <w:tcBorders>
              <w:left w:val="single" w:sz="1" w:space="0" w:color="000000"/>
              <w:bottom w:val="single" w:sz="1" w:space="0" w:color="000000"/>
              <w:right w:val="single" w:sz="2" w:space="0" w:color="000000"/>
            </w:tcBorders>
          </w:tcPr>
          <w:p w14:paraId="3BB1BF1F" w14:textId="77777777" w:rsidR="007B1F8F" w:rsidRPr="00935FCC" w:rsidRDefault="007B1F8F" w:rsidP="001A0CEA">
            <w:pPr>
              <w:pStyle w:val="TableContents"/>
              <w:snapToGrid w:val="0"/>
              <w:rPr>
                <w:sz w:val="26"/>
                <w:szCs w:val="26"/>
              </w:rPr>
            </w:pPr>
          </w:p>
        </w:tc>
        <w:tc>
          <w:tcPr>
            <w:tcW w:w="2268" w:type="dxa"/>
            <w:gridSpan w:val="4"/>
            <w:tcBorders>
              <w:top w:val="single" w:sz="2" w:space="0" w:color="000000"/>
              <w:left w:val="single" w:sz="2" w:space="0" w:color="000000"/>
              <w:bottom w:val="single" w:sz="2" w:space="0" w:color="000000"/>
              <w:right w:val="single" w:sz="2" w:space="0" w:color="000000"/>
            </w:tcBorders>
          </w:tcPr>
          <w:p w14:paraId="2CFDE865" w14:textId="77777777" w:rsidR="007B1F8F" w:rsidRPr="00935FCC" w:rsidRDefault="007B1F8F" w:rsidP="001A0CEA">
            <w:pPr>
              <w:pStyle w:val="TableContents"/>
              <w:snapToGrid w:val="0"/>
              <w:rPr>
                <w:sz w:val="26"/>
                <w:szCs w:val="26"/>
              </w:rPr>
            </w:pPr>
            <w:r w:rsidRPr="00935FCC">
              <w:rPr>
                <w:sz w:val="26"/>
                <w:szCs w:val="26"/>
              </w:rPr>
              <w:t>2.punkts</w:t>
            </w:r>
          </w:p>
        </w:tc>
        <w:tc>
          <w:tcPr>
            <w:tcW w:w="1903" w:type="dxa"/>
            <w:tcBorders>
              <w:top w:val="single" w:sz="2" w:space="0" w:color="000000"/>
              <w:left w:val="single" w:sz="2" w:space="0" w:color="000000"/>
              <w:bottom w:val="single" w:sz="2" w:space="0" w:color="000000"/>
              <w:right w:val="single" w:sz="4" w:space="0" w:color="auto"/>
            </w:tcBorders>
          </w:tcPr>
          <w:p w14:paraId="23C94641" w14:textId="77777777" w:rsidR="007B1F8F" w:rsidRPr="00935FCC" w:rsidRDefault="00860172" w:rsidP="001A0CEA">
            <w:pPr>
              <w:pStyle w:val="TableContents"/>
              <w:snapToGrid w:val="0"/>
              <w:rPr>
                <w:sz w:val="26"/>
                <w:szCs w:val="26"/>
              </w:rPr>
            </w:pPr>
            <w:r w:rsidRPr="00935FCC">
              <w:rPr>
                <w:sz w:val="26"/>
                <w:szCs w:val="26"/>
              </w:rPr>
              <w:t>Netiek pārņemts.</w:t>
            </w:r>
          </w:p>
        </w:tc>
        <w:tc>
          <w:tcPr>
            <w:tcW w:w="2634" w:type="dxa"/>
            <w:tcBorders>
              <w:top w:val="single" w:sz="4" w:space="0" w:color="auto"/>
              <w:left w:val="single" w:sz="4" w:space="0" w:color="auto"/>
              <w:bottom w:val="single" w:sz="4" w:space="0" w:color="auto"/>
              <w:right w:val="single" w:sz="4" w:space="0" w:color="auto"/>
            </w:tcBorders>
          </w:tcPr>
          <w:p w14:paraId="7B99041A" w14:textId="77777777" w:rsidR="007B1F8F" w:rsidRPr="00935FCC" w:rsidRDefault="00322C50" w:rsidP="00711D9C">
            <w:pPr>
              <w:pStyle w:val="TableContents"/>
              <w:snapToGrid w:val="0"/>
              <w:rPr>
                <w:sz w:val="26"/>
                <w:szCs w:val="26"/>
              </w:rPr>
            </w:pPr>
            <w:r w:rsidRPr="00935FCC">
              <w:rPr>
                <w:sz w:val="26"/>
                <w:szCs w:val="26"/>
              </w:rPr>
              <w:t>Pārņemts PIL 54.</w:t>
            </w:r>
            <w:r w:rsidR="000C0930" w:rsidRPr="00935FCC">
              <w:rPr>
                <w:sz w:val="26"/>
                <w:szCs w:val="26"/>
              </w:rPr>
              <w:t xml:space="preserve">panta pirmajā daļā, </w:t>
            </w:r>
            <w:r w:rsidRPr="00935FCC">
              <w:rPr>
                <w:sz w:val="26"/>
                <w:szCs w:val="26"/>
              </w:rPr>
              <w:t>SPSIL 21</w:t>
            </w:r>
            <w:r w:rsidR="00860172" w:rsidRPr="00935FCC">
              <w:rPr>
                <w:sz w:val="26"/>
                <w:szCs w:val="26"/>
              </w:rPr>
              <w:t>.panta pirmajā daļā</w:t>
            </w:r>
            <w:r w:rsidR="000C0930" w:rsidRPr="00935FCC">
              <w:rPr>
                <w:sz w:val="26"/>
                <w:szCs w:val="26"/>
              </w:rPr>
              <w:t xml:space="preserve"> un STPL 18.panta pirm</w:t>
            </w:r>
            <w:r w:rsidR="00CA337D" w:rsidRPr="00935FCC">
              <w:rPr>
                <w:sz w:val="26"/>
                <w:szCs w:val="26"/>
              </w:rPr>
              <w:t>ajā</w:t>
            </w:r>
            <w:r w:rsidR="000C0930" w:rsidRPr="00935FCC">
              <w:rPr>
                <w:sz w:val="26"/>
                <w:szCs w:val="26"/>
              </w:rPr>
              <w:t xml:space="preserve"> daļ</w:t>
            </w:r>
            <w:r w:rsidR="000F3673" w:rsidRPr="00935FCC">
              <w:rPr>
                <w:sz w:val="26"/>
                <w:szCs w:val="26"/>
              </w:rPr>
              <w:t>ā</w:t>
            </w:r>
            <w:r w:rsidR="00711D9C" w:rsidRPr="00935FCC">
              <w:rPr>
                <w:sz w:val="26"/>
                <w:szCs w:val="26"/>
              </w:rPr>
              <w:t>.</w:t>
            </w:r>
          </w:p>
        </w:tc>
        <w:tc>
          <w:tcPr>
            <w:tcW w:w="1336" w:type="dxa"/>
            <w:tcBorders>
              <w:top w:val="single" w:sz="4" w:space="0" w:color="auto"/>
              <w:left w:val="single" w:sz="4" w:space="0" w:color="auto"/>
              <w:bottom w:val="single" w:sz="4" w:space="0" w:color="auto"/>
              <w:right w:val="single" w:sz="4" w:space="0" w:color="auto"/>
            </w:tcBorders>
          </w:tcPr>
          <w:p w14:paraId="383F4724" w14:textId="77777777" w:rsidR="007B1F8F" w:rsidRPr="00935FCC" w:rsidRDefault="007B1F8F" w:rsidP="001A0CEA">
            <w:pPr>
              <w:pStyle w:val="TableContents"/>
              <w:snapToGrid w:val="0"/>
              <w:rPr>
                <w:sz w:val="26"/>
                <w:szCs w:val="26"/>
              </w:rPr>
            </w:pPr>
          </w:p>
        </w:tc>
      </w:tr>
      <w:tr w:rsidR="000910DF" w:rsidRPr="00935FCC" w14:paraId="113AE8F6" w14:textId="77777777" w:rsidTr="004B1069">
        <w:tc>
          <w:tcPr>
            <w:tcW w:w="1075" w:type="dxa"/>
            <w:vMerge/>
            <w:tcBorders>
              <w:left w:val="single" w:sz="1" w:space="0" w:color="000000"/>
              <w:bottom w:val="single" w:sz="1" w:space="0" w:color="000000"/>
              <w:right w:val="single" w:sz="2" w:space="0" w:color="000000"/>
            </w:tcBorders>
          </w:tcPr>
          <w:p w14:paraId="7FAB5336" w14:textId="77777777" w:rsidR="007B1F8F" w:rsidRPr="00935FCC" w:rsidRDefault="007B1F8F" w:rsidP="001A0CEA">
            <w:pPr>
              <w:pStyle w:val="TableContents"/>
              <w:snapToGrid w:val="0"/>
              <w:rPr>
                <w:sz w:val="26"/>
                <w:szCs w:val="26"/>
              </w:rPr>
            </w:pPr>
          </w:p>
        </w:tc>
        <w:tc>
          <w:tcPr>
            <w:tcW w:w="2268" w:type="dxa"/>
            <w:gridSpan w:val="4"/>
            <w:tcBorders>
              <w:top w:val="single" w:sz="2" w:space="0" w:color="000000"/>
              <w:left w:val="single" w:sz="2" w:space="0" w:color="000000"/>
              <w:bottom w:val="dashSmallGap" w:sz="2" w:space="0" w:color="auto"/>
              <w:right w:val="single" w:sz="4" w:space="0" w:color="auto"/>
            </w:tcBorders>
          </w:tcPr>
          <w:p w14:paraId="6AA449E8" w14:textId="77777777" w:rsidR="007B1F8F" w:rsidRPr="00935FCC" w:rsidRDefault="007B1F8F" w:rsidP="001A0CEA">
            <w:pPr>
              <w:pStyle w:val="TableContents"/>
              <w:snapToGrid w:val="0"/>
              <w:rPr>
                <w:sz w:val="26"/>
                <w:szCs w:val="26"/>
              </w:rPr>
            </w:pPr>
            <w:r w:rsidRPr="00935FCC">
              <w:rPr>
                <w:sz w:val="26"/>
                <w:szCs w:val="26"/>
              </w:rPr>
              <w:t>3.punkt</w:t>
            </w:r>
            <w:r w:rsidR="003D2BCF" w:rsidRPr="00935FCC">
              <w:rPr>
                <w:sz w:val="26"/>
                <w:szCs w:val="26"/>
              </w:rPr>
              <w:t>a</w:t>
            </w:r>
          </w:p>
        </w:tc>
        <w:tc>
          <w:tcPr>
            <w:tcW w:w="1903" w:type="dxa"/>
            <w:tcBorders>
              <w:top w:val="single" w:sz="2" w:space="0" w:color="000000"/>
              <w:left w:val="single" w:sz="4" w:space="0" w:color="auto"/>
              <w:bottom w:val="dashSmallGap" w:sz="2" w:space="0" w:color="auto"/>
              <w:right w:val="single" w:sz="4" w:space="0" w:color="auto"/>
            </w:tcBorders>
          </w:tcPr>
          <w:p w14:paraId="3BB43CE5" w14:textId="77777777" w:rsidR="007B1F8F" w:rsidRPr="00935FCC" w:rsidRDefault="007B1F8F" w:rsidP="001A0CEA">
            <w:pPr>
              <w:pStyle w:val="TableContents"/>
              <w:snapToGrid w:val="0"/>
              <w:rPr>
                <w:sz w:val="26"/>
                <w:szCs w:val="26"/>
              </w:rPr>
            </w:pPr>
          </w:p>
        </w:tc>
        <w:tc>
          <w:tcPr>
            <w:tcW w:w="2634" w:type="dxa"/>
            <w:tcBorders>
              <w:top w:val="single" w:sz="4" w:space="0" w:color="auto"/>
              <w:left w:val="single" w:sz="4" w:space="0" w:color="auto"/>
              <w:bottom w:val="dashSmallGap" w:sz="2" w:space="0" w:color="auto"/>
              <w:right w:val="single" w:sz="4" w:space="0" w:color="auto"/>
            </w:tcBorders>
          </w:tcPr>
          <w:p w14:paraId="0C910173" w14:textId="77777777" w:rsidR="007B1F8F" w:rsidRPr="00935FCC" w:rsidRDefault="007B1F8F" w:rsidP="001A0CEA">
            <w:pPr>
              <w:pStyle w:val="TableContents"/>
              <w:snapToGrid w:val="0"/>
              <w:rPr>
                <w:sz w:val="26"/>
                <w:szCs w:val="26"/>
              </w:rPr>
            </w:pPr>
          </w:p>
        </w:tc>
        <w:tc>
          <w:tcPr>
            <w:tcW w:w="1336" w:type="dxa"/>
            <w:tcBorders>
              <w:top w:val="single" w:sz="4" w:space="0" w:color="auto"/>
              <w:left w:val="single" w:sz="4" w:space="0" w:color="auto"/>
              <w:bottom w:val="dashSmallGap" w:sz="2" w:space="0" w:color="auto"/>
              <w:right w:val="single" w:sz="4" w:space="0" w:color="auto"/>
            </w:tcBorders>
          </w:tcPr>
          <w:p w14:paraId="31F14D9A" w14:textId="77777777" w:rsidR="007B1F8F" w:rsidRPr="00935FCC" w:rsidRDefault="007B1F8F" w:rsidP="001A0CEA">
            <w:pPr>
              <w:pStyle w:val="TableContents"/>
              <w:snapToGrid w:val="0"/>
              <w:rPr>
                <w:sz w:val="26"/>
                <w:szCs w:val="26"/>
              </w:rPr>
            </w:pPr>
          </w:p>
        </w:tc>
      </w:tr>
      <w:tr w:rsidR="000910DF" w:rsidRPr="00935FCC" w14:paraId="2824103F" w14:textId="77777777" w:rsidTr="004B1069">
        <w:tc>
          <w:tcPr>
            <w:tcW w:w="1075" w:type="dxa"/>
            <w:vMerge/>
            <w:tcBorders>
              <w:left w:val="single" w:sz="1" w:space="0" w:color="000000"/>
              <w:bottom w:val="single" w:sz="1" w:space="0" w:color="000000"/>
              <w:right w:val="single" w:sz="2" w:space="0" w:color="000000"/>
            </w:tcBorders>
          </w:tcPr>
          <w:p w14:paraId="1C07DAF2" w14:textId="77777777" w:rsidR="007B1F8F" w:rsidRPr="00935FCC" w:rsidRDefault="007B1F8F" w:rsidP="001A0CEA">
            <w:pPr>
              <w:pStyle w:val="TableContents"/>
              <w:snapToGrid w:val="0"/>
              <w:rPr>
                <w:sz w:val="26"/>
                <w:szCs w:val="26"/>
              </w:rPr>
            </w:pPr>
          </w:p>
        </w:tc>
        <w:tc>
          <w:tcPr>
            <w:tcW w:w="2268" w:type="dxa"/>
            <w:gridSpan w:val="4"/>
            <w:tcBorders>
              <w:top w:val="dashSmallGap" w:sz="2" w:space="0" w:color="auto"/>
              <w:left w:val="single" w:sz="2" w:space="0" w:color="000000"/>
              <w:bottom w:val="dashSmallGap" w:sz="2" w:space="0" w:color="auto"/>
              <w:right w:val="single" w:sz="4" w:space="0" w:color="auto"/>
            </w:tcBorders>
          </w:tcPr>
          <w:p w14:paraId="74672484" w14:textId="77777777" w:rsidR="007B1F8F" w:rsidRPr="00935FCC" w:rsidRDefault="007B1F8F" w:rsidP="001A0CEA">
            <w:pPr>
              <w:snapToGrid w:val="0"/>
              <w:ind w:firstLine="170"/>
              <w:rPr>
                <w:sz w:val="26"/>
                <w:szCs w:val="26"/>
              </w:rPr>
            </w:pPr>
            <w:r w:rsidRPr="00935FCC">
              <w:rPr>
                <w:sz w:val="26"/>
                <w:szCs w:val="26"/>
              </w:rPr>
              <w:t>„a” apakšpunkts</w:t>
            </w:r>
          </w:p>
        </w:tc>
        <w:tc>
          <w:tcPr>
            <w:tcW w:w="1903" w:type="dxa"/>
            <w:tcBorders>
              <w:top w:val="dashSmallGap" w:sz="2" w:space="0" w:color="auto"/>
              <w:left w:val="single" w:sz="4" w:space="0" w:color="auto"/>
              <w:bottom w:val="dashSmallGap" w:sz="2" w:space="0" w:color="auto"/>
              <w:right w:val="single" w:sz="4" w:space="0" w:color="auto"/>
            </w:tcBorders>
          </w:tcPr>
          <w:p w14:paraId="33F0DB68" w14:textId="77777777" w:rsidR="007B1F8F" w:rsidRPr="00935FCC" w:rsidRDefault="009279C5" w:rsidP="001A0CEA">
            <w:pPr>
              <w:pStyle w:val="TableContents"/>
              <w:snapToGrid w:val="0"/>
              <w:rPr>
                <w:sz w:val="26"/>
                <w:szCs w:val="26"/>
              </w:rPr>
            </w:pPr>
            <w:r w:rsidRPr="00935FCC">
              <w:rPr>
                <w:sz w:val="26"/>
                <w:szCs w:val="26"/>
              </w:rPr>
              <w:t>Netiek pārņemts.</w:t>
            </w:r>
          </w:p>
        </w:tc>
        <w:tc>
          <w:tcPr>
            <w:tcW w:w="2634" w:type="dxa"/>
            <w:tcBorders>
              <w:top w:val="dashSmallGap" w:sz="2" w:space="0" w:color="auto"/>
              <w:left w:val="single" w:sz="4" w:space="0" w:color="auto"/>
              <w:bottom w:val="dashSmallGap" w:sz="2" w:space="0" w:color="auto"/>
              <w:right w:val="single" w:sz="4" w:space="0" w:color="auto"/>
            </w:tcBorders>
          </w:tcPr>
          <w:p w14:paraId="3A1DFD92" w14:textId="77777777" w:rsidR="007B1F8F" w:rsidRPr="00935FCC" w:rsidRDefault="002F6DA7" w:rsidP="001A0CEA">
            <w:pPr>
              <w:pStyle w:val="TableContents"/>
              <w:snapToGrid w:val="0"/>
              <w:rPr>
                <w:sz w:val="26"/>
                <w:szCs w:val="26"/>
              </w:rPr>
            </w:pPr>
            <w:r w:rsidRPr="00935FCC">
              <w:rPr>
                <w:sz w:val="26"/>
                <w:szCs w:val="26"/>
              </w:rPr>
              <w:t>Pārņe</w:t>
            </w:r>
            <w:r w:rsidR="00322C50" w:rsidRPr="00935FCC">
              <w:rPr>
                <w:sz w:val="26"/>
                <w:szCs w:val="26"/>
              </w:rPr>
              <w:t>mts PIL 54.</w:t>
            </w:r>
            <w:r w:rsidRPr="00935FCC">
              <w:rPr>
                <w:sz w:val="26"/>
                <w:szCs w:val="26"/>
              </w:rPr>
              <w:t xml:space="preserve">panta </w:t>
            </w:r>
            <w:r w:rsidR="00E260A0" w:rsidRPr="00935FCC">
              <w:rPr>
                <w:sz w:val="26"/>
                <w:szCs w:val="26"/>
              </w:rPr>
              <w:t>trešās daļas 1.</w:t>
            </w:r>
            <w:r w:rsidR="000F3673" w:rsidRPr="00935FCC">
              <w:rPr>
                <w:sz w:val="26"/>
                <w:szCs w:val="26"/>
              </w:rPr>
              <w:t>punktā,</w:t>
            </w:r>
            <w:r w:rsidR="00322C50" w:rsidRPr="00935FCC">
              <w:rPr>
                <w:sz w:val="26"/>
                <w:szCs w:val="26"/>
              </w:rPr>
              <w:t xml:space="preserve"> SPSIL 21</w:t>
            </w:r>
            <w:r w:rsidRPr="00935FCC">
              <w:rPr>
                <w:sz w:val="26"/>
                <w:szCs w:val="26"/>
              </w:rPr>
              <w:t xml:space="preserve">.panta </w:t>
            </w:r>
            <w:r w:rsidR="00E260A0" w:rsidRPr="00935FCC">
              <w:rPr>
                <w:sz w:val="26"/>
                <w:szCs w:val="26"/>
              </w:rPr>
              <w:t>trešās daļas 1.</w:t>
            </w:r>
            <w:r w:rsidRPr="00935FCC">
              <w:rPr>
                <w:sz w:val="26"/>
                <w:szCs w:val="26"/>
              </w:rPr>
              <w:t>punktā</w:t>
            </w:r>
            <w:r w:rsidR="00711D9C" w:rsidRPr="00935FCC">
              <w:rPr>
                <w:sz w:val="26"/>
                <w:szCs w:val="26"/>
              </w:rPr>
              <w:t xml:space="preserve"> un Noteikumu Nr.</w:t>
            </w:r>
            <w:r w:rsidR="00711D9C" w:rsidRPr="00935FCC">
              <w:rPr>
                <w:sz w:val="26"/>
                <w:szCs w:val="26"/>
                <w:lang w:eastAsia="lo-LA" w:bidi="lo-LA"/>
              </w:rPr>
              <w:t> </w:t>
            </w:r>
            <w:r w:rsidR="00711D9C" w:rsidRPr="00935FCC">
              <w:rPr>
                <w:sz w:val="26"/>
                <w:szCs w:val="26"/>
              </w:rPr>
              <w:t>351 7.1.apakšpunktā</w:t>
            </w:r>
            <w:r w:rsidRPr="00935FCC">
              <w:rPr>
                <w:sz w:val="26"/>
                <w:szCs w:val="26"/>
              </w:rPr>
              <w:t>.</w:t>
            </w:r>
          </w:p>
        </w:tc>
        <w:tc>
          <w:tcPr>
            <w:tcW w:w="1336" w:type="dxa"/>
            <w:tcBorders>
              <w:top w:val="dashSmallGap" w:sz="2" w:space="0" w:color="auto"/>
              <w:left w:val="single" w:sz="4" w:space="0" w:color="auto"/>
              <w:bottom w:val="dashSmallGap" w:sz="2" w:space="0" w:color="auto"/>
              <w:right w:val="single" w:sz="4" w:space="0" w:color="auto"/>
            </w:tcBorders>
          </w:tcPr>
          <w:p w14:paraId="2B95AD3F" w14:textId="77777777" w:rsidR="007B1F8F" w:rsidRPr="00935FCC" w:rsidRDefault="007B1F8F" w:rsidP="001A0CEA">
            <w:pPr>
              <w:pStyle w:val="TableContents"/>
              <w:snapToGrid w:val="0"/>
              <w:rPr>
                <w:sz w:val="26"/>
                <w:szCs w:val="26"/>
              </w:rPr>
            </w:pPr>
          </w:p>
        </w:tc>
      </w:tr>
      <w:tr w:rsidR="000910DF" w:rsidRPr="00935FCC" w14:paraId="3AF07D67" w14:textId="77777777" w:rsidTr="004B1069">
        <w:tc>
          <w:tcPr>
            <w:tcW w:w="1075" w:type="dxa"/>
            <w:vMerge/>
            <w:tcBorders>
              <w:left w:val="single" w:sz="1" w:space="0" w:color="000000"/>
              <w:bottom w:val="single" w:sz="1" w:space="0" w:color="000000"/>
              <w:right w:val="single" w:sz="2" w:space="0" w:color="000000"/>
            </w:tcBorders>
          </w:tcPr>
          <w:p w14:paraId="0A9009DF" w14:textId="77777777" w:rsidR="007B1F8F" w:rsidRPr="00935FCC" w:rsidRDefault="007B1F8F" w:rsidP="001A0CEA">
            <w:pPr>
              <w:pStyle w:val="TableContents"/>
              <w:snapToGrid w:val="0"/>
              <w:rPr>
                <w:sz w:val="26"/>
                <w:szCs w:val="26"/>
              </w:rPr>
            </w:pPr>
          </w:p>
        </w:tc>
        <w:tc>
          <w:tcPr>
            <w:tcW w:w="2268" w:type="dxa"/>
            <w:gridSpan w:val="4"/>
            <w:tcBorders>
              <w:top w:val="dashSmallGap" w:sz="2" w:space="0" w:color="auto"/>
              <w:left w:val="single" w:sz="2" w:space="0" w:color="000000"/>
              <w:bottom w:val="single" w:sz="2" w:space="0" w:color="000000"/>
              <w:right w:val="single" w:sz="4" w:space="0" w:color="auto"/>
            </w:tcBorders>
          </w:tcPr>
          <w:p w14:paraId="52D76057" w14:textId="77777777" w:rsidR="007B1F8F" w:rsidRPr="00935FCC" w:rsidRDefault="007B1F8F" w:rsidP="001A0CEA">
            <w:pPr>
              <w:snapToGrid w:val="0"/>
              <w:ind w:firstLine="170"/>
              <w:rPr>
                <w:sz w:val="26"/>
                <w:szCs w:val="26"/>
              </w:rPr>
            </w:pPr>
            <w:r w:rsidRPr="00935FCC">
              <w:rPr>
                <w:sz w:val="26"/>
                <w:szCs w:val="26"/>
              </w:rPr>
              <w:t xml:space="preserve">„b” apakšpunkts </w:t>
            </w:r>
          </w:p>
        </w:tc>
        <w:tc>
          <w:tcPr>
            <w:tcW w:w="1903" w:type="dxa"/>
            <w:tcBorders>
              <w:top w:val="dashSmallGap" w:sz="2" w:space="0" w:color="auto"/>
              <w:left w:val="single" w:sz="4" w:space="0" w:color="auto"/>
              <w:bottom w:val="single" w:sz="2" w:space="0" w:color="000000"/>
              <w:right w:val="single" w:sz="4" w:space="0" w:color="auto"/>
            </w:tcBorders>
          </w:tcPr>
          <w:p w14:paraId="2B97C984" w14:textId="77777777" w:rsidR="007B1F8F" w:rsidRPr="00935FCC" w:rsidRDefault="006E704D" w:rsidP="001A0CEA">
            <w:pPr>
              <w:pStyle w:val="TableContents"/>
              <w:snapToGrid w:val="0"/>
              <w:rPr>
                <w:sz w:val="26"/>
                <w:szCs w:val="26"/>
              </w:rPr>
            </w:pPr>
            <w:r w:rsidRPr="00935FCC">
              <w:rPr>
                <w:sz w:val="26"/>
                <w:szCs w:val="26"/>
              </w:rPr>
              <w:t>Netiek pārņemts.</w:t>
            </w:r>
          </w:p>
        </w:tc>
        <w:tc>
          <w:tcPr>
            <w:tcW w:w="2634" w:type="dxa"/>
            <w:tcBorders>
              <w:top w:val="dashSmallGap" w:sz="2" w:space="0" w:color="auto"/>
              <w:left w:val="single" w:sz="4" w:space="0" w:color="auto"/>
              <w:bottom w:val="single" w:sz="4" w:space="0" w:color="auto"/>
              <w:right w:val="single" w:sz="4" w:space="0" w:color="auto"/>
            </w:tcBorders>
          </w:tcPr>
          <w:p w14:paraId="791A939B" w14:textId="77777777" w:rsidR="007B1F8F" w:rsidRPr="00935FCC" w:rsidRDefault="00322C50" w:rsidP="001A0CEA">
            <w:pPr>
              <w:pStyle w:val="TableContents"/>
              <w:snapToGrid w:val="0"/>
              <w:rPr>
                <w:sz w:val="26"/>
                <w:szCs w:val="26"/>
              </w:rPr>
            </w:pPr>
            <w:r w:rsidRPr="00935FCC">
              <w:rPr>
                <w:sz w:val="26"/>
                <w:szCs w:val="26"/>
              </w:rPr>
              <w:t>Pārņemts PIL 54.</w:t>
            </w:r>
            <w:r w:rsidR="00E260A0" w:rsidRPr="00935FCC">
              <w:rPr>
                <w:sz w:val="26"/>
                <w:szCs w:val="26"/>
              </w:rPr>
              <w:t>panta t</w:t>
            </w:r>
            <w:r w:rsidR="0045437C" w:rsidRPr="00935FCC">
              <w:rPr>
                <w:sz w:val="26"/>
                <w:szCs w:val="26"/>
              </w:rPr>
              <w:t>rešās daļas 2.punktā,</w:t>
            </w:r>
            <w:r w:rsidRPr="00935FCC">
              <w:rPr>
                <w:sz w:val="26"/>
                <w:szCs w:val="26"/>
              </w:rPr>
              <w:t xml:space="preserve"> SPSIL 21</w:t>
            </w:r>
            <w:r w:rsidR="0045437C" w:rsidRPr="00935FCC">
              <w:rPr>
                <w:sz w:val="26"/>
                <w:szCs w:val="26"/>
              </w:rPr>
              <w:t>.panta trešās daļas 2.punktā un Noteikumu Nr.</w:t>
            </w:r>
            <w:r w:rsidR="0045437C" w:rsidRPr="00935FCC">
              <w:rPr>
                <w:sz w:val="26"/>
                <w:szCs w:val="26"/>
                <w:lang w:eastAsia="lo-LA" w:bidi="lo-LA"/>
              </w:rPr>
              <w:t> </w:t>
            </w:r>
            <w:r w:rsidR="0045437C" w:rsidRPr="00935FCC">
              <w:rPr>
                <w:sz w:val="26"/>
                <w:szCs w:val="26"/>
              </w:rPr>
              <w:t>351 7.2.apakšpunktā.</w:t>
            </w:r>
          </w:p>
        </w:tc>
        <w:tc>
          <w:tcPr>
            <w:tcW w:w="1336" w:type="dxa"/>
            <w:tcBorders>
              <w:top w:val="dashSmallGap" w:sz="2" w:space="0" w:color="auto"/>
              <w:left w:val="single" w:sz="4" w:space="0" w:color="auto"/>
              <w:bottom w:val="single" w:sz="4" w:space="0" w:color="auto"/>
              <w:right w:val="single" w:sz="4" w:space="0" w:color="auto"/>
            </w:tcBorders>
          </w:tcPr>
          <w:p w14:paraId="0B9DAC87" w14:textId="77777777" w:rsidR="007B1F8F" w:rsidRPr="00935FCC" w:rsidRDefault="007B1F8F" w:rsidP="001A0CEA">
            <w:pPr>
              <w:pStyle w:val="TableContents"/>
              <w:snapToGrid w:val="0"/>
              <w:rPr>
                <w:sz w:val="26"/>
                <w:szCs w:val="26"/>
              </w:rPr>
            </w:pPr>
          </w:p>
        </w:tc>
      </w:tr>
      <w:tr w:rsidR="000910DF" w:rsidRPr="00935FCC" w14:paraId="3F5FA628" w14:textId="77777777" w:rsidTr="004B1069">
        <w:tc>
          <w:tcPr>
            <w:tcW w:w="1075" w:type="dxa"/>
            <w:vMerge w:val="restart"/>
            <w:tcBorders>
              <w:top w:val="single" w:sz="2" w:space="0" w:color="000000"/>
              <w:left w:val="single" w:sz="2" w:space="0" w:color="000000"/>
              <w:right w:val="single" w:sz="2" w:space="0" w:color="000000"/>
            </w:tcBorders>
          </w:tcPr>
          <w:p w14:paraId="3707A166" w14:textId="77777777" w:rsidR="004A4DF6" w:rsidRPr="00935FCC" w:rsidRDefault="004A4DF6" w:rsidP="001A0CEA">
            <w:pPr>
              <w:pStyle w:val="TableContents"/>
              <w:snapToGrid w:val="0"/>
              <w:rPr>
                <w:sz w:val="26"/>
                <w:szCs w:val="26"/>
              </w:rPr>
            </w:pPr>
            <w:r w:rsidRPr="00935FCC">
              <w:rPr>
                <w:sz w:val="26"/>
                <w:szCs w:val="26"/>
              </w:rPr>
              <w:t>6.pants</w:t>
            </w:r>
          </w:p>
        </w:tc>
        <w:tc>
          <w:tcPr>
            <w:tcW w:w="2268" w:type="dxa"/>
            <w:gridSpan w:val="4"/>
            <w:tcBorders>
              <w:top w:val="single" w:sz="2" w:space="0" w:color="000000"/>
              <w:left w:val="single" w:sz="2" w:space="0" w:color="000000"/>
              <w:bottom w:val="dashSmallGap" w:sz="2" w:space="0" w:color="auto"/>
              <w:right w:val="single" w:sz="2" w:space="0" w:color="000000"/>
            </w:tcBorders>
          </w:tcPr>
          <w:p w14:paraId="3AC79CBF" w14:textId="77777777" w:rsidR="004A4DF6" w:rsidRPr="00935FCC" w:rsidRDefault="004A4DF6" w:rsidP="001A0CEA">
            <w:pPr>
              <w:pStyle w:val="TableContents"/>
              <w:snapToGrid w:val="0"/>
              <w:rPr>
                <w:sz w:val="26"/>
                <w:szCs w:val="26"/>
              </w:rPr>
            </w:pPr>
            <w:r w:rsidRPr="00935FCC">
              <w:rPr>
                <w:sz w:val="26"/>
                <w:szCs w:val="26"/>
              </w:rPr>
              <w:t>1.punkt</w:t>
            </w:r>
            <w:r w:rsidR="003D2BCF" w:rsidRPr="00935FCC">
              <w:rPr>
                <w:sz w:val="26"/>
                <w:szCs w:val="26"/>
              </w:rPr>
              <w:t>s</w:t>
            </w:r>
          </w:p>
        </w:tc>
        <w:tc>
          <w:tcPr>
            <w:tcW w:w="1903" w:type="dxa"/>
            <w:tcBorders>
              <w:top w:val="single" w:sz="2" w:space="0" w:color="000000"/>
              <w:left w:val="single" w:sz="2" w:space="0" w:color="000000"/>
              <w:bottom w:val="dashSmallGap" w:sz="2" w:space="0" w:color="auto"/>
              <w:right w:val="single" w:sz="2" w:space="0" w:color="000000"/>
            </w:tcBorders>
          </w:tcPr>
          <w:p w14:paraId="16D52B4C" w14:textId="77777777" w:rsidR="004A4DF6" w:rsidRPr="00935FCC" w:rsidRDefault="00C94994" w:rsidP="001A0CEA">
            <w:pPr>
              <w:pStyle w:val="TableContents"/>
              <w:snapToGrid w:val="0"/>
              <w:rPr>
                <w:sz w:val="26"/>
                <w:szCs w:val="26"/>
              </w:rPr>
            </w:pPr>
            <w:r w:rsidRPr="00935FCC">
              <w:rPr>
                <w:sz w:val="26"/>
                <w:szCs w:val="26"/>
              </w:rPr>
              <w:t>5</w:t>
            </w:r>
            <w:r w:rsidR="003D2BCF" w:rsidRPr="00935FCC">
              <w:rPr>
                <w:sz w:val="26"/>
                <w:szCs w:val="26"/>
              </w:rPr>
              <w:t>.punkts</w:t>
            </w:r>
          </w:p>
        </w:tc>
        <w:tc>
          <w:tcPr>
            <w:tcW w:w="2634" w:type="dxa"/>
            <w:tcBorders>
              <w:top w:val="single" w:sz="4" w:space="0" w:color="auto"/>
              <w:left w:val="single" w:sz="2" w:space="0" w:color="000000"/>
              <w:bottom w:val="dashSmallGap" w:sz="2" w:space="0" w:color="auto"/>
              <w:right w:val="single" w:sz="2" w:space="0" w:color="000000"/>
            </w:tcBorders>
          </w:tcPr>
          <w:p w14:paraId="0AEAC945" w14:textId="77777777" w:rsidR="004A4DF6" w:rsidRPr="00935FCC" w:rsidRDefault="003D2BCF" w:rsidP="001A0CEA">
            <w:pPr>
              <w:snapToGrid w:val="0"/>
              <w:jc w:val="both"/>
              <w:rPr>
                <w:rFonts w:eastAsia="EUAlbertina_Bold"/>
                <w:sz w:val="26"/>
                <w:szCs w:val="26"/>
              </w:rPr>
            </w:pPr>
            <w:r w:rsidRPr="00935FCC">
              <w:rPr>
                <w:rFonts w:eastAsia="EUAlbertina_Bold"/>
                <w:sz w:val="26"/>
                <w:szCs w:val="26"/>
              </w:rPr>
              <w:t>Atbilst pilnībā.</w:t>
            </w:r>
          </w:p>
        </w:tc>
        <w:tc>
          <w:tcPr>
            <w:tcW w:w="1336" w:type="dxa"/>
            <w:tcBorders>
              <w:top w:val="single" w:sz="4" w:space="0" w:color="auto"/>
              <w:left w:val="single" w:sz="2" w:space="0" w:color="000000"/>
              <w:bottom w:val="dashSmallGap" w:sz="2" w:space="0" w:color="auto"/>
              <w:right w:val="single" w:sz="2" w:space="0" w:color="000000"/>
            </w:tcBorders>
          </w:tcPr>
          <w:p w14:paraId="6C381A8E" w14:textId="77777777" w:rsidR="004A4DF6" w:rsidRPr="00935FCC" w:rsidRDefault="0085456C" w:rsidP="001A0CEA">
            <w:pPr>
              <w:snapToGrid w:val="0"/>
              <w:jc w:val="both"/>
              <w:rPr>
                <w:rFonts w:eastAsia="EUAlbertina_Bold"/>
                <w:sz w:val="26"/>
                <w:szCs w:val="26"/>
              </w:rPr>
            </w:pPr>
            <w:r w:rsidRPr="00935FCC">
              <w:rPr>
                <w:sz w:val="26"/>
                <w:szCs w:val="26"/>
              </w:rPr>
              <w:t>Neparedz stingrākas prasības.</w:t>
            </w:r>
          </w:p>
        </w:tc>
      </w:tr>
      <w:tr w:rsidR="000910DF" w:rsidRPr="00935FCC" w14:paraId="6082514D" w14:textId="77777777" w:rsidTr="004B1069">
        <w:tc>
          <w:tcPr>
            <w:tcW w:w="1075" w:type="dxa"/>
            <w:vMerge/>
            <w:tcBorders>
              <w:left w:val="single" w:sz="2" w:space="0" w:color="000000"/>
              <w:right w:val="single" w:sz="2" w:space="0" w:color="000000"/>
            </w:tcBorders>
          </w:tcPr>
          <w:p w14:paraId="53762E03" w14:textId="77777777" w:rsidR="004A4DF6" w:rsidRPr="00935FCC" w:rsidRDefault="004A4DF6" w:rsidP="001A0CEA">
            <w:pPr>
              <w:pStyle w:val="TableContents"/>
              <w:snapToGrid w:val="0"/>
              <w:rPr>
                <w:sz w:val="26"/>
                <w:szCs w:val="26"/>
              </w:rPr>
            </w:pPr>
          </w:p>
        </w:tc>
        <w:tc>
          <w:tcPr>
            <w:tcW w:w="2268" w:type="dxa"/>
            <w:gridSpan w:val="4"/>
            <w:tcBorders>
              <w:top w:val="dashSmallGap" w:sz="2" w:space="0" w:color="auto"/>
              <w:left w:val="single" w:sz="2" w:space="0" w:color="000000"/>
              <w:bottom w:val="dashSmallGap" w:sz="2" w:space="0" w:color="auto"/>
              <w:right w:val="single" w:sz="2" w:space="0" w:color="000000"/>
            </w:tcBorders>
          </w:tcPr>
          <w:p w14:paraId="77D00EFD" w14:textId="77777777" w:rsidR="004A4DF6" w:rsidRPr="00935FCC" w:rsidRDefault="004A4DF6" w:rsidP="003E21F4">
            <w:pPr>
              <w:snapToGrid w:val="0"/>
              <w:ind w:firstLine="87"/>
              <w:rPr>
                <w:sz w:val="26"/>
                <w:szCs w:val="26"/>
              </w:rPr>
            </w:pPr>
            <w:r w:rsidRPr="00935FCC">
              <w:rPr>
                <w:sz w:val="26"/>
                <w:szCs w:val="26"/>
              </w:rPr>
              <w:t>„a” apakšpunkta</w:t>
            </w:r>
          </w:p>
        </w:tc>
        <w:tc>
          <w:tcPr>
            <w:tcW w:w="1903" w:type="dxa"/>
            <w:tcBorders>
              <w:top w:val="dashSmallGap" w:sz="2" w:space="0" w:color="auto"/>
              <w:left w:val="single" w:sz="2" w:space="0" w:color="000000"/>
              <w:bottom w:val="dashSmallGap" w:sz="2" w:space="0" w:color="auto"/>
              <w:right w:val="single" w:sz="2" w:space="0" w:color="000000"/>
            </w:tcBorders>
          </w:tcPr>
          <w:p w14:paraId="03DC0151" w14:textId="77777777" w:rsidR="004A4DF6" w:rsidRPr="00935FCC" w:rsidRDefault="004A4DF6" w:rsidP="001A0CEA">
            <w:pPr>
              <w:pStyle w:val="TableContents"/>
              <w:snapToGrid w:val="0"/>
              <w:rPr>
                <w:sz w:val="26"/>
                <w:szCs w:val="26"/>
              </w:rPr>
            </w:pPr>
          </w:p>
        </w:tc>
        <w:tc>
          <w:tcPr>
            <w:tcW w:w="2634" w:type="dxa"/>
            <w:tcBorders>
              <w:top w:val="dashSmallGap" w:sz="2" w:space="0" w:color="auto"/>
              <w:left w:val="single" w:sz="2" w:space="0" w:color="000000"/>
              <w:bottom w:val="dashSmallGap" w:sz="2" w:space="0" w:color="auto"/>
              <w:right w:val="single" w:sz="2" w:space="0" w:color="000000"/>
            </w:tcBorders>
          </w:tcPr>
          <w:p w14:paraId="2A2B2837" w14:textId="77777777" w:rsidR="004A4DF6" w:rsidRPr="00935FCC" w:rsidRDefault="004A4DF6" w:rsidP="001A0CEA">
            <w:pPr>
              <w:snapToGrid w:val="0"/>
              <w:jc w:val="both"/>
              <w:rPr>
                <w:rFonts w:eastAsia="EUAlbertina_Bold"/>
                <w:sz w:val="26"/>
                <w:szCs w:val="26"/>
              </w:rPr>
            </w:pPr>
          </w:p>
        </w:tc>
        <w:tc>
          <w:tcPr>
            <w:tcW w:w="1336" w:type="dxa"/>
            <w:tcBorders>
              <w:top w:val="dashSmallGap" w:sz="2" w:space="0" w:color="auto"/>
              <w:left w:val="single" w:sz="2" w:space="0" w:color="000000"/>
              <w:bottom w:val="dashSmallGap" w:sz="2" w:space="0" w:color="auto"/>
              <w:right w:val="single" w:sz="2" w:space="0" w:color="000000"/>
            </w:tcBorders>
          </w:tcPr>
          <w:p w14:paraId="54B28AC4" w14:textId="77777777" w:rsidR="004A4DF6" w:rsidRPr="00935FCC" w:rsidRDefault="004A4DF6" w:rsidP="001A0CEA">
            <w:pPr>
              <w:snapToGrid w:val="0"/>
              <w:jc w:val="both"/>
              <w:rPr>
                <w:rFonts w:eastAsia="EUAlbertina_Bold"/>
                <w:sz w:val="26"/>
                <w:szCs w:val="26"/>
              </w:rPr>
            </w:pPr>
          </w:p>
        </w:tc>
      </w:tr>
      <w:tr w:rsidR="000910DF" w:rsidRPr="00935FCC" w14:paraId="3F6E8E83" w14:textId="77777777" w:rsidTr="004B1069">
        <w:tc>
          <w:tcPr>
            <w:tcW w:w="1075" w:type="dxa"/>
            <w:vMerge/>
            <w:tcBorders>
              <w:left w:val="single" w:sz="2" w:space="0" w:color="000000"/>
              <w:right w:val="single" w:sz="2" w:space="0" w:color="000000"/>
            </w:tcBorders>
          </w:tcPr>
          <w:p w14:paraId="0275D77C" w14:textId="77777777" w:rsidR="004A4DF6" w:rsidRPr="00935FCC" w:rsidRDefault="004A4DF6" w:rsidP="001A0CEA">
            <w:pPr>
              <w:pStyle w:val="TableContents"/>
              <w:snapToGrid w:val="0"/>
              <w:rPr>
                <w:sz w:val="26"/>
                <w:szCs w:val="26"/>
              </w:rPr>
            </w:pPr>
          </w:p>
        </w:tc>
        <w:tc>
          <w:tcPr>
            <w:tcW w:w="2268" w:type="dxa"/>
            <w:gridSpan w:val="4"/>
            <w:tcBorders>
              <w:top w:val="dashSmallGap" w:sz="2" w:space="0" w:color="auto"/>
              <w:left w:val="single" w:sz="2" w:space="0" w:color="000000"/>
              <w:bottom w:val="dashSmallGap" w:sz="2" w:space="0" w:color="auto"/>
              <w:right w:val="single" w:sz="2" w:space="0" w:color="000000"/>
            </w:tcBorders>
          </w:tcPr>
          <w:p w14:paraId="7DD861B9" w14:textId="77777777" w:rsidR="004A4DF6" w:rsidRPr="00935FCC" w:rsidRDefault="004A4DF6" w:rsidP="003E21F4">
            <w:pPr>
              <w:snapToGrid w:val="0"/>
              <w:ind w:left="305" w:hanging="76"/>
              <w:rPr>
                <w:sz w:val="26"/>
                <w:szCs w:val="26"/>
              </w:rPr>
            </w:pPr>
            <w:r w:rsidRPr="00935FCC">
              <w:rPr>
                <w:sz w:val="26"/>
                <w:szCs w:val="26"/>
              </w:rPr>
              <w:t>pirmais ievilkums</w:t>
            </w:r>
          </w:p>
        </w:tc>
        <w:tc>
          <w:tcPr>
            <w:tcW w:w="1903" w:type="dxa"/>
            <w:tcBorders>
              <w:top w:val="dashSmallGap" w:sz="2" w:space="0" w:color="auto"/>
              <w:left w:val="single" w:sz="2" w:space="0" w:color="000000"/>
              <w:bottom w:val="dashSmallGap" w:sz="2" w:space="0" w:color="auto"/>
              <w:right w:val="single" w:sz="2" w:space="0" w:color="000000"/>
            </w:tcBorders>
          </w:tcPr>
          <w:p w14:paraId="7129E074" w14:textId="77777777" w:rsidR="004A4DF6" w:rsidRPr="00935FCC" w:rsidRDefault="00C94994" w:rsidP="001A0CEA">
            <w:pPr>
              <w:pStyle w:val="TableContents"/>
              <w:snapToGrid w:val="0"/>
              <w:rPr>
                <w:sz w:val="26"/>
                <w:szCs w:val="26"/>
              </w:rPr>
            </w:pPr>
            <w:r w:rsidRPr="00935FCC">
              <w:rPr>
                <w:sz w:val="26"/>
                <w:szCs w:val="26"/>
              </w:rPr>
              <w:t>8</w:t>
            </w:r>
            <w:r w:rsidR="003D2BCF" w:rsidRPr="00935FCC">
              <w:rPr>
                <w:sz w:val="26"/>
                <w:szCs w:val="26"/>
              </w:rPr>
              <w:t>.punkts</w:t>
            </w:r>
          </w:p>
        </w:tc>
        <w:tc>
          <w:tcPr>
            <w:tcW w:w="2634" w:type="dxa"/>
            <w:tcBorders>
              <w:top w:val="dashSmallGap" w:sz="2" w:space="0" w:color="auto"/>
              <w:left w:val="single" w:sz="2" w:space="0" w:color="000000"/>
              <w:bottom w:val="dashSmallGap" w:sz="2" w:space="0" w:color="auto"/>
              <w:right w:val="single" w:sz="2" w:space="0" w:color="000000"/>
            </w:tcBorders>
          </w:tcPr>
          <w:p w14:paraId="6E94C8C9" w14:textId="77777777" w:rsidR="004A4DF6" w:rsidRPr="00935FCC" w:rsidRDefault="003D2BCF" w:rsidP="001A0CEA">
            <w:pPr>
              <w:snapToGrid w:val="0"/>
              <w:jc w:val="both"/>
              <w:rPr>
                <w:rFonts w:eastAsia="EUAlbertina_Bold"/>
                <w:sz w:val="26"/>
                <w:szCs w:val="26"/>
              </w:rPr>
            </w:pPr>
            <w:r w:rsidRPr="00935FCC">
              <w:rPr>
                <w:rFonts w:eastAsia="EUAlbertina_Bold"/>
                <w:sz w:val="26"/>
                <w:szCs w:val="26"/>
              </w:rPr>
              <w:t>Atbilst pilnībā.</w:t>
            </w:r>
          </w:p>
        </w:tc>
        <w:tc>
          <w:tcPr>
            <w:tcW w:w="1336" w:type="dxa"/>
            <w:tcBorders>
              <w:top w:val="dashSmallGap" w:sz="2" w:space="0" w:color="auto"/>
              <w:left w:val="single" w:sz="2" w:space="0" w:color="000000"/>
              <w:bottom w:val="dashSmallGap" w:sz="2" w:space="0" w:color="auto"/>
              <w:right w:val="single" w:sz="2" w:space="0" w:color="000000"/>
            </w:tcBorders>
          </w:tcPr>
          <w:p w14:paraId="5CE7B098" w14:textId="77777777" w:rsidR="004A4DF6" w:rsidRPr="00935FCC" w:rsidRDefault="0085456C" w:rsidP="001A0CEA">
            <w:pPr>
              <w:snapToGrid w:val="0"/>
              <w:jc w:val="both"/>
              <w:rPr>
                <w:rFonts w:eastAsia="EUAlbertina_Bold"/>
                <w:sz w:val="26"/>
                <w:szCs w:val="26"/>
              </w:rPr>
            </w:pPr>
            <w:r w:rsidRPr="00935FCC">
              <w:rPr>
                <w:sz w:val="26"/>
                <w:szCs w:val="26"/>
              </w:rPr>
              <w:t>Neparedz stingrākas prasības.</w:t>
            </w:r>
          </w:p>
        </w:tc>
      </w:tr>
      <w:tr w:rsidR="000910DF" w:rsidRPr="00935FCC" w14:paraId="2330BD41" w14:textId="77777777" w:rsidTr="004B1069">
        <w:tc>
          <w:tcPr>
            <w:tcW w:w="1075" w:type="dxa"/>
            <w:vMerge/>
            <w:tcBorders>
              <w:left w:val="single" w:sz="2" w:space="0" w:color="000000"/>
              <w:right w:val="single" w:sz="2" w:space="0" w:color="000000"/>
            </w:tcBorders>
          </w:tcPr>
          <w:p w14:paraId="0F5E0285" w14:textId="77777777" w:rsidR="004A4DF6" w:rsidRPr="00935FCC" w:rsidRDefault="004A4DF6" w:rsidP="001A0CEA">
            <w:pPr>
              <w:pStyle w:val="TableContents"/>
              <w:snapToGrid w:val="0"/>
              <w:rPr>
                <w:sz w:val="26"/>
                <w:szCs w:val="26"/>
              </w:rPr>
            </w:pPr>
          </w:p>
        </w:tc>
        <w:tc>
          <w:tcPr>
            <w:tcW w:w="2268" w:type="dxa"/>
            <w:gridSpan w:val="4"/>
            <w:tcBorders>
              <w:top w:val="dashSmallGap" w:sz="2" w:space="0" w:color="auto"/>
              <w:left w:val="single" w:sz="2" w:space="0" w:color="000000"/>
              <w:bottom w:val="dashSmallGap" w:sz="2" w:space="0" w:color="auto"/>
              <w:right w:val="single" w:sz="2" w:space="0" w:color="000000"/>
            </w:tcBorders>
          </w:tcPr>
          <w:p w14:paraId="2493745F" w14:textId="77777777" w:rsidR="004A4DF6" w:rsidRPr="00935FCC" w:rsidRDefault="004A4DF6" w:rsidP="003E21F4">
            <w:pPr>
              <w:snapToGrid w:val="0"/>
              <w:ind w:left="305" w:hanging="76"/>
              <w:rPr>
                <w:sz w:val="26"/>
                <w:szCs w:val="26"/>
              </w:rPr>
            </w:pPr>
            <w:r w:rsidRPr="00935FCC">
              <w:rPr>
                <w:sz w:val="26"/>
                <w:szCs w:val="26"/>
              </w:rPr>
              <w:t>otrais ievilkums</w:t>
            </w:r>
          </w:p>
        </w:tc>
        <w:tc>
          <w:tcPr>
            <w:tcW w:w="1903" w:type="dxa"/>
            <w:tcBorders>
              <w:top w:val="dashSmallGap" w:sz="2" w:space="0" w:color="auto"/>
              <w:left w:val="single" w:sz="2" w:space="0" w:color="000000"/>
              <w:bottom w:val="dashSmallGap" w:sz="2" w:space="0" w:color="auto"/>
              <w:right w:val="single" w:sz="2" w:space="0" w:color="000000"/>
            </w:tcBorders>
          </w:tcPr>
          <w:p w14:paraId="47E42200" w14:textId="77777777" w:rsidR="004A4DF6" w:rsidRPr="00935FCC" w:rsidRDefault="00C94994" w:rsidP="001A0CEA">
            <w:pPr>
              <w:pStyle w:val="TableContents"/>
              <w:snapToGrid w:val="0"/>
              <w:rPr>
                <w:sz w:val="26"/>
                <w:szCs w:val="26"/>
              </w:rPr>
            </w:pPr>
            <w:r w:rsidRPr="00935FCC">
              <w:rPr>
                <w:sz w:val="26"/>
                <w:szCs w:val="26"/>
              </w:rPr>
              <w:t>9</w:t>
            </w:r>
            <w:r w:rsidR="003D2BCF" w:rsidRPr="00935FCC">
              <w:rPr>
                <w:sz w:val="26"/>
                <w:szCs w:val="26"/>
              </w:rPr>
              <w:t>.punkts</w:t>
            </w:r>
          </w:p>
        </w:tc>
        <w:tc>
          <w:tcPr>
            <w:tcW w:w="2634" w:type="dxa"/>
            <w:tcBorders>
              <w:top w:val="dashSmallGap" w:sz="2" w:space="0" w:color="auto"/>
              <w:left w:val="single" w:sz="2" w:space="0" w:color="000000"/>
              <w:bottom w:val="dashSmallGap" w:sz="2" w:space="0" w:color="auto"/>
              <w:right w:val="single" w:sz="2" w:space="0" w:color="000000"/>
            </w:tcBorders>
          </w:tcPr>
          <w:p w14:paraId="15F92A67" w14:textId="77777777" w:rsidR="004A4DF6" w:rsidRPr="00935FCC" w:rsidRDefault="003D2BCF" w:rsidP="001A0CEA">
            <w:pPr>
              <w:snapToGrid w:val="0"/>
              <w:jc w:val="both"/>
              <w:rPr>
                <w:rFonts w:eastAsia="EUAlbertina_Bold"/>
                <w:sz w:val="26"/>
                <w:szCs w:val="26"/>
              </w:rPr>
            </w:pPr>
            <w:r w:rsidRPr="00935FCC">
              <w:rPr>
                <w:rFonts w:eastAsia="EUAlbertina_Bold"/>
                <w:sz w:val="26"/>
                <w:szCs w:val="26"/>
              </w:rPr>
              <w:t>Atbilst pilnībā.</w:t>
            </w:r>
          </w:p>
          <w:p w14:paraId="12DC6113" w14:textId="77777777" w:rsidR="0067328B" w:rsidRPr="00935FCC" w:rsidRDefault="003D2BCF" w:rsidP="00033377">
            <w:pPr>
              <w:snapToGrid w:val="0"/>
              <w:rPr>
                <w:rFonts w:eastAsia="EUAlbertina_Bold"/>
                <w:sz w:val="26"/>
                <w:szCs w:val="26"/>
              </w:rPr>
            </w:pPr>
            <w:r w:rsidRPr="00935FCC">
              <w:rPr>
                <w:rFonts w:eastAsia="EUAlbertina_Bold"/>
                <w:sz w:val="26"/>
                <w:szCs w:val="26"/>
              </w:rPr>
              <w:t xml:space="preserve">Direktīvas 6.panta </w:t>
            </w:r>
            <w:r w:rsidRPr="00935FCC">
              <w:rPr>
                <w:rFonts w:eastAsia="EUAlbertina_Bold"/>
                <w:sz w:val="26"/>
                <w:szCs w:val="26"/>
              </w:rPr>
              <w:lastRenderedPageBreak/>
              <w:t>1.punkta „a” apakšpunkta otra</w:t>
            </w:r>
            <w:r w:rsidR="009A60DB" w:rsidRPr="00935FCC">
              <w:rPr>
                <w:rFonts w:eastAsia="EUAlbertina_Bold"/>
                <w:sz w:val="26"/>
                <w:szCs w:val="26"/>
              </w:rPr>
              <w:t>is</w:t>
            </w:r>
            <w:r w:rsidRPr="00935FCC">
              <w:rPr>
                <w:rFonts w:eastAsia="EUAlbertina_Bold"/>
                <w:sz w:val="26"/>
                <w:szCs w:val="26"/>
              </w:rPr>
              <w:t xml:space="preserve">  ievilkum</w:t>
            </w:r>
            <w:r w:rsidR="00B47896" w:rsidRPr="00935FCC">
              <w:rPr>
                <w:rFonts w:eastAsia="EUAlbertina_Bold"/>
                <w:sz w:val="26"/>
                <w:szCs w:val="26"/>
              </w:rPr>
              <w:t xml:space="preserve">s latviešu valodā ir neprecīzi iztulkots, jo </w:t>
            </w:r>
            <w:r w:rsidR="009A60DB" w:rsidRPr="00935FCC">
              <w:rPr>
                <w:rFonts w:eastAsia="EUAlbertina_Bold"/>
                <w:sz w:val="26"/>
                <w:szCs w:val="26"/>
              </w:rPr>
              <w:t xml:space="preserve">atbilstoši direktīvas tekstam angļu, vācu un franču valodā </w:t>
            </w:r>
            <w:r w:rsidR="00B47896" w:rsidRPr="00935FCC">
              <w:rPr>
                <w:rFonts w:eastAsia="EUAlbertina_Bold"/>
                <w:sz w:val="26"/>
                <w:szCs w:val="26"/>
              </w:rPr>
              <w:t xml:space="preserve">ir jāizvēlas zemākā no abu degvielu cenām, nevis cena, kas būtu zemāka par </w:t>
            </w:r>
            <w:r w:rsidR="00412EFC" w:rsidRPr="00935FCC">
              <w:rPr>
                <w:rFonts w:eastAsia="EUAlbertina_Bold"/>
                <w:sz w:val="26"/>
                <w:szCs w:val="26"/>
              </w:rPr>
              <w:t>attiecīgās</w:t>
            </w:r>
            <w:r w:rsidR="00B47896" w:rsidRPr="00935FCC">
              <w:rPr>
                <w:rFonts w:eastAsia="EUAlbertina_Bold"/>
                <w:sz w:val="26"/>
                <w:szCs w:val="26"/>
              </w:rPr>
              <w:t xml:space="preserve"> degvielas cenu.</w:t>
            </w:r>
          </w:p>
        </w:tc>
        <w:tc>
          <w:tcPr>
            <w:tcW w:w="1336" w:type="dxa"/>
            <w:tcBorders>
              <w:top w:val="dashSmallGap" w:sz="2" w:space="0" w:color="auto"/>
              <w:left w:val="single" w:sz="2" w:space="0" w:color="000000"/>
              <w:bottom w:val="dashSmallGap" w:sz="2" w:space="0" w:color="auto"/>
              <w:right w:val="single" w:sz="2" w:space="0" w:color="000000"/>
            </w:tcBorders>
          </w:tcPr>
          <w:p w14:paraId="2B84DD76" w14:textId="77777777" w:rsidR="004A4DF6" w:rsidRPr="00935FCC" w:rsidRDefault="000D771A" w:rsidP="001A0CEA">
            <w:pPr>
              <w:snapToGrid w:val="0"/>
              <w:jc w:val="both"/>
              <w:rPr>
                <w:rFonts w:eastAsia="EUAlbertina_Bold"/>
                <w:sz w:val="26"/>
                <w:szCs w:val="26"/>
              </w:rPr>
            </w:pPr>
            <w:r w:rsidRPr="00935FCC">
              <w:rPr>
                <w:sz w:val="26"/>
                <w:szCs w:val="26"/>
              </w:rPr>
              <w:lastRenderedPageBreak/>
              <w:t xml:space="preserve">Neparedz stingrākas </w:t>
            </w:r>
            <w:r w:rsidRPr="00935FCC">
              <w:rPr>
                <w:sz w:val="26"/>
                <w:szCs w:val="26"/>
              </w:rPr>
              <w:lastRenderedPageBreak/>
              <w:t>prasības.</w:t>
            </w:r>
          </w:p>
        </w:tc>
      </w:tr>
      <w:tr w:rsidR="000910DF" w:rsidRPr="00935FCC" w14:paraId="33E86892" w14:textId="77777777" w:rsidTr="004B1069">
        <w:tc>
          <w:tcPr>
            <w:tcW w:w="1075" w:type="dxa"/>
            <w:vMerge w:val="restart"/>
            <w:tcBorders>
              <w:left w:val="single" w:sz="2" w:space="0" w:color="000000"/>
              <w:right w:val="single" w:sz="2" w:space="0" w:color="000000"/>
            </w:tcBorders>
          </w:tcPr>
          <w:p w14:paraId="1FD921BC" w14:textId="77777777" w:rsidR="004A4DF6" w:rsidRPr="00935FCC" w:rsidRDefault="004A4DF6" w:rsidP="001A0CEA">
            <w:pPr>
              <w:pStyle w:val="TableContents"/>
              <w:snapToGrid w:val="0"/>
              <w:rPr>
                <w:sz w:val="26"/>
                <w:szCs w:val="26"/>
              </w:rPr>
            </w:pPr>
          </w:p>
        </w:tc>
        <w:tc>
          <w:tcPr>
            <w:tcW w:w="2268" w:type="dxa"/>
            <w:gridSpan w:val="4"/>
            <w:tcBorders>
              <w:top w:val="dashSmallGap" w:sz="2" w:space="0" w:color="auto"/>
              <w:left w:val="single" w:sz="2" w:space="0" w:color="000000"/>
              <w:bottom w:val="dashSmallGap" w:sz="2" w:space="0" w:color="auto"/>
              <w:right w:val="single" w:sz="2" w:space="0" w:color="000000"/>
            </w:tcBorders>
          </w:tcPr>
          <w:p w14:paraId="67EFE8D5" w14:textId="77777777" w:rsidR="004A4DF6" w:rsidRPr="00935FCC" w:rsidRDefault="004A4DF6" w:rsidP="003E21F4">
            <w:pPr>
              <w:snapToGrid w:val="0"/>
              <w:ind w:left="305" w:firstLine="66"/>
              <w:rPr>
                <w:sz w:val="26"/>
                <w:szCs w:val="26"/>
              </w:rPr>
            </w:pPr>
            <w:r w:rsidRPr="00935FCC">
              <w:rPr>
                <w:sz w:val="26"/>
                <w:szCs w:val="26"/>
              </w:rPr>
              <w:t>trešais ievilkums</w:t>
            </w:r>
          </w:p>
        </w:tc>
        <w:tc>
          <w:tcPr>
            <w:tcW w:w="1903" w:type="dxa"/>
            <w:tcBorders>
              <w:top w:val="dashSmallGap" w:sz="2" w:space="0" w:color="auto"/>
              <w:left w:val="single" w:sz="2" w:space="0" w:color="000000"/>
              <w:bottom w:val="dashSmallGap" w:sz="2" w:space="0" w:color="auto"/>
              <w:right w:val="single" w:sz="2" w:space="0" w:color="000000"/>
            </w:tcBorders>
          </w:tcPr>
          <w:p w14:paraId="79C434C7" w14:textId="77777777" w:rsidR="004A4DF6" w:rsidRPr="00935FCC" w:rsidRDefault="00213F88" w:rsidP="001A0CEA">
            <w:pPr>
              <w:pStyle w:val="TableContents"/>
              <w:snapToGrid w:val="0"/>
              <w:rPr>
                <w:sz w:val="26"/>
                <w:szCs w:val="26"/>
              </w:rPr>
            </w:pPr>
            <w:r w:rsidRPr="00935FCC">
              <w:rPr>
                <w:sz w:val="26"/>
                <w:szCs w:val="26"/>
              </w:rPr>
              <w:t>6</w:t>
            </w:r>
            <w:r w:rsidR="00582897" w:rsidRPr="00935FCC">
              <w:rPr>
                <w:sz w:val="26"/>
                <w:szCs w:val="26"/>
              </w:rPr>
              <w:t>.punkts</w:t>
            </w:r>
          </w:p>
        </w:tc>
        <w:tc>
          <w:tcPr>
            <w:tcW w:w="2634" w:type="dxa"/>
            <w:tcBorders>
              <w:top w:val="dashSmallGap" w:sz="2" w:space="0" w:color="auto"/>
              <w:left w:val="single" w:sz="2" w:space="0" w:color="000000"/>
              <w:bottom w:val="dashSmallGap" w:sz="2" w:space="0" w:color="auto"/>
              <w:right w:val="single" w:sz="2" w:space="0" w:color="000000"/>
            </w:tcBorders>
          </w:tcPr>
          <w:p w14:paraId="7729AABA" w14:textId="77777777" w:rsidR="004A4DF6" w:rsidRPr="00935FCC" w:rsidRDefault="00582897" w:rsidP="001A0CEA">
            <w:pPr>
              <w:snapToGrid w:val="0"/>
              <w:jc w:val="both"/>
              <w:rPr>
                <w:rFonts w:eastAsia="EUAlbertina_Bold"/>
                <w:sz w:val="26"/>
                <w:szCs w:val="26"/>
              </w:rPr>
            </w:pPr>
            <w:r w:rsidRPr="00935FCC">
              <w:rPr>
                <w:rFonts w:eastAsia="EUAlbertina_Bold"/>
                <w:sz w:val="26"/>
                <w:szCs w:val="26"/>
              </w:rPr>
              <w:t>Atbilst pilnībā.</w:t>
            </w:r>
          </w:p>
        </w:tc>
        <w:tc>
          <w:tcPr>
            <w:tcW w:w="1336" w:type="dxa"/>
            <w:tcBorders>
              <w:top w:val="dashSmallGap" w:sz="2" w:space="0" w:color="auto"/>
              <w:left w:val="single" w:sz="2" w:space="0" w:color="000000"/>
              <w:bottom w:val="dashSmallGap" w:sz="2" w:space="0" w:color="auto"/>
              <w:right w:val="single" w:sz="2" w:space="0" w:color="000000"/>
            </w:tcBorders>
          </w:tcPr>
          <w:p w14:paraId="1487AC44" w14:textId="77777777" w:rsidR="004A4DF6" w:rsidRPr="00935FCC" w:rsidRDefault="0085456C" w:rsidP="001A0CEA">
            <w:pPr>
              <w:snapToGrid w:val="0"/>
              <w:jc w:val="both"/>
              <w:rPr>
                <w:rFonts w:eastAsia="EUAlbertina_Bold"/>
                <w:sz w:val="26"/>
                <w:szCs w:val="26"/>
              </w:rPr>
            </w:pPr>
            <w:r w:rsidRPr="00935FCC">
              <w:rPr>
                <w:sz w:val="26"/>
                <w:szCs w:val="26"/>
              </w:rPr>
              <w:t>Neparedz stingrākas prasības.</w:t>
            </w:r>
          </w:p>
        </w:tc>
      </w:tr>
      <w:tr w:rsidR="000910DF" w:rsidRPr="00935FCC" w14:paraId="07F02E3E" w14:textId="77777777" w:rsidTr="004B1069">
        <w:tc>
          <w:tcPr>
            <w:tcW w:w="1075" w:type="dxa"/>
            <w:vMerge/>
            <w:tcBorders>
              <w:left w:val="single" w:sz="2" w:space="0" w:color="000000"/>
              <w:right w:val="single" w:sz="2" w:space="0" w:color="000000"/>
            </w:tcBorders>
          </w:tcPr>
          <w:p w14:paraId="760087E5" w14:textId="77777777" w:rsidR="004A4DF6" w:rsidRPr="00935FCC" w:rsidRDefault="004A4DF6" w:rsidP="001A0CEA">
            <w:pPr>
              <w:pStyle w:val="TableContents"/>
              <w:snapToGrid w:val="0"/>
              <w:rPr>
                <w:sz w:val="26"/>
                <w:szCs w:val="26"/>
              </w:rPr>
            </w:pPr>
          </w:p>
        </w:tc>
        <w:tc>
          <w:tcPr>
            <w:tcW w:w="2268" w:type="dxa"/>
            <w:gridSpan w:val="4"/>
            <w:tcBorders>
              <w:top w:val="dashSmallGap" w:sz="2" w:space="0" w:color="auto"/>
              <w:left w:val="single" w:sz="2" w:space="0" w:color="000000"/>
              <w:bottom w:val="dashSmallGap" w:sz="2" w:space="0" w:color="auto"/>
              <w:right w:val="single" w:sz="2" w:space="0" w:color="000000"/>
            </w:tcBorders>
          </w:tcPr>
          <w:p w14:paraId="0D6A5AC0" w14:textId="77777777" w:rsidR="004A4DF6" w:rsidRPr="00935FCC" w:rsidRDefault="004A4DF6" w:rsidP="003E21F4">
            <w:pPr>
              <w:snapToGrid w:val="0"/>
              <w:ind w:firstLine="87"/>
              <w:rPr>
                <w:sz w:val="26"/>
                <w:szCs w:val="26"/>
              </w:rPr>
            </w:pPr>
            <w:r w:rsidRPr="00935FCC">
              <w:rPr>
                <w:sz w:val="26"/>
                <w:szCs w:val="26"/>
              </w:rPr>
              <w:t>„b” apakšpunkts</w:t>
            </w:r>
          </w:p>
        </w:tc>
        <w:tc>
          <w:tcPr>
            <w:tcW w:w="1903" w:type="dxa"/>
            <w:tcBorders>
              <w:top w:val="dashSmallGap" w:sz="2" w:space="0" w:color="auto"/>
              <w:left w:val="single" w:sz="2" w:space="0" w:color="000000"/>
              <w:bottom w:val="dashSmallGap" w:sz="2" w:space="0" w:color="auto"/>
              <w:right w:val="single" w:sz="2" w:space="0" w:color="000000"/>
            </w:tcBorders>
          </w:tcPr>
          <w:p w14:paraId="44282349" w14:textId="77777777" w:rsidR="004A4DF6" w:rsidRPr="00935FCC" w:rsidRDefault="00213F88" w:rsidP="001A0CEA">
            <w:pPr>
              <w:pStyle w:val="TableContents"/>
              <w:snapToGrid w:val="0"/>
              <w:rPr>
                <w:sz w:val="26"/>
                <w:szCs w:val="26"/>
              </w:rPr>
            </w:pPr>
            <w:r w:rsidRPr="00935FCC">
              <w:rPr>
                <w:sz w:val="26"/>
                <w:szCs w:val="26"/>
              </w:rPr>
              <w:t>10</w:t>
            </w:r>
            <w:r w:rsidR="001A0CEA" w:rsidRPr="00935FCC">
              <w:rPr>
                <w:sz w:val="26"/>
                <w:szCs w:val="26"/>
              </w:rPr>
              <w:t>.punkts</w:t>
            </w:r>
          </w:p>
        </w:tc>
        <w:tc>
          <w:tcPr>
            <w:tcW w:w="2634" w:type="dxa"/>
            <w:tcBorders>
              <w:top w:val="dashSmallGap" w:sz="2" w:space="0" w:color="auto"/>
              <w:left w:val="single" w:sz="2" w:space="0" w:color="000000"/>
              <w:bottom w:val="dashSmallGap" w:sz="2" w:space="0" w:color="auto"/>
              <w:right w:val="single" w:sz="2" w:space="0" w:color="000000"/>
            </w:tcBorders>
          </w:tcPr>
          <w:p w14:paraId="52DE6F73" w14:textId="77777777" w:rsidR="004A4DF6" w:rsidRPr="00935FCC" w:rsidRDefault="001A0CEA" w:rsidP="001A0CEA">
            <w:pPr>
              <w:snapToGrid w:val="0"/>
              <w:jc w:val="both"/>
              <w:rPr>
                <w:rFonts w:eastAsia="EUAlbertina_Bold"/>
                <w:sz w:val="26"/>
                <w:szCs w:val="26"/>
              </w:rPr>
            </w:pPr>
            <w:r w:rsidRPr="00935FCC">
              <w:rPr>
                <w:rFonts w:eastAsia="EUAlbertina_Bold"/>
                <w:sz w:val="26"/>
                <w:szCs w:val="26"/>
              </w:rPr>
              <w:t>Atbilst pilnībā.</w:t>
            </w:r>
          </w:p>
        </w:tc>
        <w:tc>
          <w:tcPr>
            <w:tcW w:w="1336" w:type="dxa"/>
            <w:tcBorders>
              <w:top w:val="dashSmallGap" w:sz="2" w:space="0" w:color="auto"/>
              <w:left w:val="single" w:sz="2" w:space="0" w:color="000000"/>
              <w:bottom w:val="dashSmallGap" w:sz="2" w:space="0" w:color="auto"/>
              <w:right w:val="single" w:sz="2" w:space="0" w:color="000000"/>
            </w:tcBorders>
          </w:tcPr>
          <w:p w14:paraId="3A667701" w14:textId="77777777" w:rsidR="004A4DF6" w:rsidRPr="00935FCC" w:rsidRDefault="0085456C" w:rsidP="001A0CEA">
            <w:pPr>
              <w:snapToGrid w:val="0"/>
              <w:jc w:val="both"/>
              <w:rPr>
                <w:rFonts w:eastAsia="EUAlbertina_Bold"/>
                <w:sz w:val="26"/>
                <w:szCs w:val="26"/>
              </w:rPr>
            </w:pPr>
            <w:r w:rsidRPr="00935FCC">
              <w:rPr>
                <w:sz w:val="26"/>
                <w:szCs w:val="26"/>
              </w:rPr>
              <w:t>Neparedz stingrākas prasības.</w:t>
            </w:r>
          </w:p>
        </w:tc>
      </w:tr>
      <w:tr w:rsidR="000910DF" w:rsidRPr="00935FCC" w14:paraId="2761359B" w14:textId="77777777" w:rsidTr="004B1069">
        <w:tc>
          <w:tcPr>
            <w:tcW w:w="1075" w:type="dxa"/>
            <w:vMerge/>
            <w:tcBorders>
              <w:left w:val="single" w:sz="2" w:space="0" w:color="000000"/>
              <w:right w:val="single" w:sz="2" w:space="0" w:color="000000"/>
            </w:tcBorders>
          </w:tcPr>
          <w:p w14:paraId="242AC1F0" w14:textId="77777777" w:rsidR="004A4DF6" w:rsidRPr="00935FCC" w:rsidRDefault="004A4DF6" w:rsidP="001A0CEA">
            <w:pPr>
              <w:pStyle w:val="TableContents"/>
              <w:snapToGrid w:val="0"/>
              <w:rPr>
                <w:sz w:val="26"/>
                <w:szCs w:val="26"/>
              </w:rPr>
            </w:pPr>
          </w:p>
        </w:tc>
        <w:tc>
          <w:tcPr>
            <w:tcW w:w="2268" w:type="dxa"/>
            <w:gridSpan w:val="4"/>
            <w:tcBorders>
              <w:top w:val="dashSmallGap" w:sz="2" w:space="0" w:color="auto"/>
              <w:left w:val="single" w:sz="2" w:space="0" w:color="000000"/>
              <w:bottom w:val="dashSmallGap" w:sz="2" w:space="0" w:color="auto"/>
              <w:right w:val="single" w:sz="2" w:space="0" w:color="000000"/>
            </w:tcBorders>
          </w:tcPr>
          <w:p w14:paraId="175EDD9F" w14:textId="77777777" w:rsidR="004A4DF6" w:rsidRPr="00935FCC" w:rsidRDefault="004A4DF6" w:rsidP="003E21F4">
            <w:pPr>
              <w:snapToGrid w:val="0"/>
              <w:ind w:firstLine="87"/>
              <w:rPr>
                <w:sz w:val="26"/>
                <w:szCs w:val="26"/>
              </w:rPr>
            </w:pPr>
            <w:r w:rsidRPr="00935FCC">
              <w:rPr>
                <w:sz w:val="26"/>
                <w:szCs w:val="26"/>
              </w:rPr>
              <w:t>„c” apakšpunkta</w:t>
            </w:r>
          </w:p>
        </w:tc>
        <w:tc>
          <w:tcPr>
            <w:tcW w:w="1903" w:type="dxa"/>
            <w:tcBorders>
              <w:top w:val="dashSmallGap" w:sz="2" w:space="0" w:color="auto"/>
              <w:left w:val="single" w:sz="2" w:space="0" w:color="000000"/>
              <w:bottom w:val="dashSmallGap" w:sz="2" w:space="0" w:color="auto"/>
              <w:right w:val="single" w:sz="2" w:space="0" w:color="000000"/>
            </w:tcBorders>
          </w:tcPr>
          <w:p w14:paraId="2D68D08A" w14:textId="77777777" w:rsidR="004A4DF6" w:rsidRPr="00935FCC" w:rsidRDefault="004A4DF6" w:rsidP="001A0CEA">
            <w:pPr>
              <w:pStyle w:val="TableContents"/>
              <w:snapToGrid w:val="0"/>
              <w:rPr>
                <w:sz w:val="26"/>
                <w:szCs w:val="26"/>
              </w:rPr>
            </w:pPr>
          </w:p>
        </w:tc>
        <w:tc>
          <w:tcPr>
            <w:tcW w:w="2634" w:type="dxa"/>
            <w:tcBorders>
              <w:top w:val="dashSmallGap" w:sz="2" w:space="0" w:color="auto"/>
              <w:left w:val="single" w:sz="2" w:space="0" w:color="000000"/>
              <w:bottom w:val="dashSmallGap" w:sz="2" w:space="0" w:color="auto"/>
              <w:right w:val="single" w:sz="2" w:space="0" w:color="000000"/>
            </w:tcBorders>
          </w:tcPr>
          <w:p w14:paraId="29150551" w14:textId="77777777" w:rsidR="004A4DF6" w:rsidRPr="00935FCC" w:rsidRDefault="004A4DF6" w:rsidP="001A0CEA">
            <w:pPr>
              <w:snapToGrid w:val="0"/>
              <w:jc w:val="both"/>
              <w:rPr>
                <w:rFonts w:eastAsia="EUAlbertina_Bold"/>
                <w:sz w:val="26"/>
                <w:szCs w:val="26"/>
              </w:rPr>
            </w:pPr>
          </w:p>
        </w:tc>
        <w:tc>
          <w:tcPr>
            <w:tcW w:w="1336" w:type="dxa"/>
            <w:tcBorders>
              <w:top w:val="dashSmallGap" w:sz="2" w:space="0" w:color="auto"/>
              <w:left w:val="single" w:sz="2" w:space="0" w:color="000000"/>
              <w:bottom w:val="dashSmallGap" w:sz="2" w:space="0" w:color="auto"/>
              <w:right w:val="single" w:sz="2" w:space="0" w:color="000000"/>
            </w:tcBorders>
          </w:tcPr>
          <w:p w14:paraId="2679BD55" w14:textId="77777777" w:rsidR="004A4DF6" w:rsidRPr="00935FCC" w:rsidRDefault="004A4DF6" w:rsidP="001A0CEA">
            <w:pPr>
              <w:snapToGrid w:val="0"/>
              <w:jc w:val="both"/>
              <w:rPr>
                <w:rFonts w:eastAsia="EUAlbertina_Bold"/>
                <w:sz w:val="26"/>
                <w:szCs w:val="26"/>
              </w:rPr>
            </w:pPr>
          </w:p>
        </w:tc>
      </w:tr>
      <w:tr w:rsidR="000910DF" w:rsidRPr="00935FCC" w14:paraId="5ABE6C70" w14:textId="77777777" w:rsidTr="004B1069">
        <w:tc>
          <w:tcPr>
            <w:tcW w:w="1075" w:type="dxa"/>
            <w:vMerge/>
            <w:tcBorders>
              <w:left w:val="single" w:sz="2" w:space="0" w:color="000000"/>
              <w:right w:val="single" w:sz="2" w:space="0" w:color="000000"/>
            </w:tcBorders>
          </w:tcPr>
          <w:p w14:paraId="575238F9" w14:textId="77777777" w:rsidR="004A4DF6" w:rsidRPr="00935FCC" w:rsidRDefault="004A4DF6" w:rsidP="001A0CEA">
            <w:pPr>
              <w:pStyle w:val="TableContents"/>
              <w:snapToGrid w:val="0"/>
              <w:rPr>
                <w:sz w:val="26"/>
                <w:szCs w:val="26"/>
              </w:rPr>
            </w:pPr>
          </w:p>
        </w:tc>
        <w:tc>
          <w:tcPr>
            <w:tcW w:w="2268" w:type="dxa"/>
            <w:gridSpan w:val="4"/>
            <w:tcBorders>
              <w:top w:val="dashSmallGap" w:sz="2" w:space="0" w:color="auto"/>
              <w:left w:val="single" w:sz="2" w:space="0" w:color="000000"/>
              <w:bottom w:val="dashSmallGap" w:sz="2" w:space="0" w:color="auto"/>
              <w:right w:val="single" w:sz="2" w:space="0" w:color="000000"/>
            </w:tcBorders>
          </w:tcPr>
          <w:p w14:paraId="0860951B" w14:textId="77777777" w:rsidR="004A4DF6" w:rsidRPr="00935FCC" w:rsidRDefault="004A4DF6" w:rsidP="00935FCC">
            <w:pPr>
              <w:snapToGrid w:val="0"/>
              <w:ind w:left="305" w:hanging="76"/>
              <w:rPr>
                <w:sz w:val="26"/>
                <w:szCs w:val="26"/>
              </w:rPr>
            </w:pPr>
            <w:r w:rsidRPr="00935FCC">
              <w:rPr>
                <w:sz w:val="26"/>
                <w:szCs w:val="26"/>
              </w:rPr>
              <w:t>pirmais ievilkums</w:t>
            </w:r>
          </w:p>
        </w:tc>
        <w:tc>
          <w:tcPr>
            <w:tcW w:w="1903" w:type="dxa"/>
            <w:tcBorders>
              <w:top w:val="dashSmallGap" w:sz="2" w:space="0" w:color="auto"/>
              <w:left w:val="single" w:sz="2" w:space="0" w:color="000000"/>
              <w:bottom w:val="dashSmallGap" w:sz="2" w:space="0" w:color="auto"/>
              <w:right w:val="single" w:sz="2" w:space="0" w:color="000000"/>
            </w:tcBorders>
          </w:tcPr>
          <w:p w14:paraId="7C44EED1" w14:textId="77777777" w:rsidR="004A4DF6" w:rsidRPr="00935FCC" w:rsidRDefault="00213F88" w:rsidP="001A0CEA">
            <w:pPr>
              <w:pStyle w:val="TableContents"/>
              <w:snapToGrid w:val="0"/>
              <w:rPr>
                <w:sz w:val="26"/>
                <w:szCs w:val="26"/>
              </w:rPr>
            </w:pPr>
            <w:r w:rsidRPr="00935FCC">
              <w:rPr>
                <w:sz w:val="26"/>
                <w:szCs w:val="26"/>
              </w:rPr>
              <w:t>11</w:t>
            </w:r>
            <w:r w:rsidR="001A0CEA" w:rsidRPr="00935FCC">
              <w:rPr>
                <w:sz w:val="26"/>
                <w:szCs w:val="26"/>
              </w:rPr>
              <w:t>.punkts</w:t>
            </w:r>
          </w:p>
        </w:tc>
        <w:tc>
          <w:tcPr>
            <w:tcW w:w="2634" w:type="dxa"/>
            <w:tcBorders>
              <w:top w:val="dashSmallGap" w:sz="2" w:space="0" w:color="auto"/>
              <w:left w:val="single" w:sz="2" w:space="0" w:color="000000"/>
              <w:bottom w:val="dashSmallGap" w:sz="2" w:space="0" w:color="auto"/>
              <w:right w:val="single" w:sz="2" w:space="0" w:color="000000"/>
            </w:tcBorders>
          </w:tcPr>
          <w:p w14:paraId="7B8AC919" w14:textId="77777777" w:rsidR="004A4DF6" w:rsidRPr="00935FCC" w:rsidRDefault="001A0CEA" w:rsidP="001A0CEA">
            <w:pPr>
              <w:snapToGrid w:val="0"/>
              <w:jc w:val="both"/>
              <w:rPr>
                <w:rFonts w:eastAsia="EUAlbertina_Bold"/>
                <w:sz w:val="26"/>
                <w:szCs w:val="26"/>
              </w:rPr>
            </w:pPr>
            <w:r w:rsidRPr="00935FCC">
              <w:rPr>
                <w:rFonts w:eastAsia="EUAlbertina_Bold"/>
                <w:sz w:val="26"/>
                <w:szCs w:val="26"/>
              </w:rPr>
              <w:t>Atbilst pilnībā.</w:t>
            </w:r>
          </w:p>
        </w:tc>
        <w:tc>
          <w:tcPr>
            <w:tcW w:w="1336" w:type="dxa"/>
            <w:tcBorders>
              <w:top w:val="dashSmallGap" w:sz="2" w:space="0" w:color="auto"/>
              <w:left w:val="single" w:sz="2" w:space="0" w:color="000000"/>
              <w:bottom w:val="dashSmallGap" w:sz="2" w:space="0" w:color="auto"/>
              <w:right w:val="single" w:sz="2" w:space="0" w:color="000000"/>
            </w:tcBorders>
          </w:tcPr>
          <w:p w14:paraId="1651C9FB" w14:textId="77777777" w:rsidR="004A4DF6" w:rsidRPr="00935FCC" w:rsidRDefault="0085456C" w:rsidP="001A0CEA">
            <w:pPr>
              <w:snapToGrid w:val="0"/>
              <w:jc w:val="both"/>
              <w:rPr>
                <w:rFonts w:eastAsia="EUAlbertina_Bold"/>
                <w:sz w:val="26"/>
                <w:szCs w:val="26"/>
              </w:rPr>
            </w:pPr>
            <w:r w:rsidRPr="00935FCC">
              <w:rPr>
                <w:sz w:val="26"/>
                <w:szCs w:val="26"/>
              </w:rPr>
              <w:t>Neparedz stingrākas prasības.</w:t>
            </w:r>
          </w:p>
        </w:tc>
      </w:tr>
      <w:tr w:rsidR="000910DF" w:rsidRPr="00935FCC" w14:paraId="0373E4B5" w14:textId="77777777" w:rsidTr="004B1069">
        <w:tc>
          <w:tcPr>
            <w:tcW w:w="1075" w:type="dxa"/>
            <w:vMerge/>
            <w:tcBorders>
              <w:left w:val="single" w:sz="2" w:space="0" w:color="000000"/>
              <w:right w:val="single" w:sz="2" w:space="0" w:color="000000"/>
            </w:tcBorders>
          </w:tcPr>
          <w:p w14:paraId="5652DEC0" w14:textId="77777777" w:rsidR="004A4DF6" w:rsidRPr="00935FCC" w:rsidRDefault="004A4DF6" w:rsidP="001A0CEA">
            <w:pPr>
              <w:pStyle w:val="TableContents"/>
              <w:snapToGrid w:val="0"/>
              <w:rPr>
                <w:sz w:val="26"/>
                <w:szCs w:val="26"/>
              </w:rPr>
            </w:pPr>
          </w:p>
        </w:tc>
        <w:tc>
          <w:tcPr>
            <w:tcW w:w="2268" w:type="dxa"/>
            <w:gridSpan w:val="4"/>
            <w:tcBorders>
              <w:top w:val="dashSmallGap" w:sz="2" w:space="0" w:color="auto"/>
              <w:left w:val="single" w:sz="2" w:space="0" w:color="000000"/>
              <w:bottom w:val="single" w:sz="2" w:space="0" w:color="000000"/>
              <w:right w:val="single" w:sz="2" w:space="0" w:color="000000"/>
            </w:tcBorders>
          </w:tcPr>
          <w:p w14:paraId="44385254" w14:textId="77777777" w:rsidR="004A4DF6" w:rsidRPr="00935FCC" w:rsidRDefault="004A4DF6" w:rsidP="00935FCC">
            <w:pPr>
              <w:snapToGrid w:val="0"/>
              <w:ind w:left="305" w:hanging="76"/>
              <w:rPr>
                <w:sz w:val="26"/>
                <w:szCs w:val="26"/>
              </w:rPr>
            </w:pPr>
            <w:r w:rsidRPr="00935FCC">
              <w:rPr>
                <w:sz w:val="26"/>
                <w:szCs w:val="26"/>
              </w:rPr>
              <w:t>otrais ievilkums</w:t>
            </w:r>
          </w:p>
        </w:tc>
        <w:tc>
          <w:tcPr>
            <w:tcW w:w="1903" w:type="dxa"/>
            <w:tcBorders>
              <w:top w:val="dashSmallGap" w:sz="2" w:space="0" w:color="auto"/>
              <w:left w:val="single" w:sz="2" w:space="0" w:color="000000"/>
              <w:bottom w:val="single" w:sz="2" w:space="0" w:color="000000"/>
              <w:right w:val="single" w:sz="2" w:space="0" w:color="000000"/>
            </w:tcBorders>
          </w:tcPr>
          <w:p w14:paraId="3FBB2D8B" w14:textId="77777777" w:rsidR="004A4DF6" w:rsidRPr="00935FCC" w:rsidRDefault="00213F88" w:rsidP="001A0CEA">
            <w:pPr>
              <w:pStyle w:val="TableContents"/>
              <w:snapToGrid w:val="0"/>
              <w:rPr>
                <w:sz w:val="26"/>
                <w:szCs w:val="26"/>
              </w:rPr>
            </w:pPr>
            <w:r w:rsidRPr="00935FCC">
              <w:rPr>
                <w:sz w:val="26"/>
                <w:szCs w:val="26"/>
              </w:rPr>
              <w:t>12</w:t>
            </w:r>
            <w:r w:rsidR="001A0CEA" w:rsidRPr="00935FCC">
              <w:rPr>
                <w:sz w:val="26"/>
                <w:szCs w:val="26"/>
              </w:rPr>
              <w:t>.punkts</w:t>
            </w:r>
          </w:p>
        </w:tc>
        <w:tc>
          <w:tcPr>
            <w:tcW w:w="2634" w:type="dxa"/>
            <w:tcBorders>
              <w:top w:val="dashSmallGap" w:sz="2" w:space="0" w:color="auto"/>
              <w:left w:val="single" w:sz="2" w:space="0" w:color="000000"/>
              <w:bottom w:val="single" w:sz="2" w:space="0" w:color="000000"/>
              <w:right w:val="single" w:sz="2" w:space="0" w:color="000000"/>
            </w:tcBorders>
          </w:tcPr>
          <w:p w14:paraId="0ACEFCD9" w14:textId="77777777" w:rsidR="004A4DF6" w:rsidRPr="00935FCC" w:rsidRDefault="001A0CEA" w:rsidP="001A0CEA">
            <w:pPr>
              <w:snapToGrid w:val="0"/>
              <w:jc w:val="both"/>
              <w:rPr>
                <w:rFonts w:eastAsia="EUAlbertina_Bold"/>
                <w:sz w:val="26"/>
                <w:szCs w:val="26"/>
              </w:rPr>
            </w:pPr>
            <w:r w:rsidRPr="00935FCC">
              <w:rPr>
                <w:rFonts w:eastAsia="EUAlbertina_Bold"/>
                <w:sz w:val="26"/>
                <w:szCs w:val="26"/>
              </w:rPr>
              <w:t>Atbilst pilnībā.</w:t>
            </w:r>
          </w:p>
        </w:tc>
        <w:tc>
          <w:tcPr>
            <w:tcW w:w="1336" w:type="dxa"/>
            <w:tcBorders>
              <w:top w:val="dashSmallGap" w:sz="2" w:space="0" w:color="auto"/>
              <w:left w:val="single" w:sz="2" w:space="0" w:color="000000"/>
              <w:bottom w:val="single" w:sz="2" w:space="0" w:color="000000"/>
              <w:right w:val="single" w:sz="2" w:space="0" w:color="000000"/>
            </w:tcBorders>
          </w:tcPr>
          <w:p w14:paraId="41C6D205" w14:textId="77777777" w:rsidR="004A4DF6" w:rsidRPr="00935FCC" w:rsidRDefault="0085456C" w:rsidP="001A0CEA">
            <w:pPr>
              <w:snapToGrid w:val="0"/>
              <w:jc w:val="both"/>
              <w:rPr>
                <w:rFonts w:eastAsia="EUAlbertina_Bold"/>
                <w:sz w:val="26"/>
                <w:szCs w:val="26"/>
              </w:rPr>
            </w:pPr>
            <w:r w:rsidRPr="00935FCC">
              <w:rPr>
                <w:sz w:val="26"/>
                <w:szCs w:val="26"/>
              </w:rPr>
              <w:t>Neparedz stingrākas prasības.</w:t>
            </w:r>
          </w:p>
        </w:tc>
      </w:tr>
      <w:tr w:rsidR="000910DF" w:rsidRPr="00935FCC" w14:paraId="3C8E271C" w14:textId="77777777" w:rsidTr="004B1069">
        <w:tc>
          <w:tcPr>
            <w:tcW w:w="1075" w:type="dxa"/>
            <w:vMerge/>
            <w:tcBorders>
              <w:left w:val="single" w:sz="2" w:space="0" w:color="000000"/>
              <w:right w:val="single" w:sz="2" w:space="0" w:color="000000"/>
            </w:tcBorders>
          </w:tcPr>
          <w:p w14:paraId="1019B3E5" w14:textId="77777777" w:rsidR="004A4DF6" w:rsidRPr="00935FCC" w:rsidRDefault="004A4DF6" w:rsidP="001A0CEA">
            <w:pPr>
              <w:pStyle w:val="TableContents"/>
              <w:snapToGrid w:val="0"/>
              <w:rPr>
                <w:sz w:val="26"/>
                <w:szCs w:val="26"/>
              </w:rPr>
            </w:pPr>
          </w:p>
        </w:tc>
        <w:tc>
          <w:tcPr>
            <w:tcW w:w="2268" w:type="dxa"/>
            <w:gridSpan w:val="4"/>
            <w:tcBorders>
              <w:top w:val="single" w:sz="2" w:space="0" w:color="000000"/>
              <w:left w:val="single" w:sz="2" w:space="0" w:color="000000"/>
              <w:bottom w:val="single" w:sz="2" w:space="0" w:color="000000"/>
              <w:right w:val="single" w:sz="2" w:space="0" w:color="000000"/>
            </w:tcBorders>
          </w:tcPr>
          <w:p w14:paraId="45171E40" w14:textId="77777777" w:rsidR="004A4DF6" w:rsidRPr="00935FCC" w:rsidRDefault="004A4DF6" w:rsidP="001A0CEA">
            <w:pPr>
              <w:pStyle w:val="TableContents"/>
              <w:snapToGrid w:val="0"/>
              <w:rPr>
                <w:sz w:val="26"/>
                <w:szCs w:val="26"/>
              </w:rPr>
            </w:pPr>
            <w:r w:rsidRPr="00935FCC">
              <w:rPr>
                <w:sz w:val="26"/>
                <w:szCs w:val="26"/>
              </w:rPr>
              <w:t>2.punkts</w:t>
            </w:r>
          </w:p>
        </w:tc>
        <w:tc>
          <w:tcPr>
            <w:tcW w:w="1903" w:type="dxa"/>
            <w:tcBorders>
              <w:top w:val="single" w:sz="2" w:space="0" w:color="000000"/>
              <w:left w:val="single" w:sz="2" w:space="0" w:color="000000"/>
              <w:bottom w:val="single" w:sz="2" w:space="0" w:color="000000"/>
              <w:right w:val="single" w:sz="2" w:space="0" w:color="000000"/>
            </w:tcBorders>
          </w:tcPr>
          <w:p w14:paraId="22F050B9" w14:textId="77777777" w:rsidR="004A4DF6" w:rsidRPr="00935FCC" w:rsidRDefault="00213F88" w:rsidP="001A0CEA">
            <w:pPr>
              <w:pStyle w:val="TableContents"/>
              <w:snapToGrid w:val="0"/>
              <w:rPr>
                <w:sz w:val="26"/>
                <w:szCs w:val="26"/>
              </w:rPr>
            </w:pPr>
            <w:r w:rsidRPr="00935FCC">
              <w:rPr>
                <w:sz w:val="26"/>
                <w:szCs w:val="26"/>
              </w:rPr>
              <w:t>3., 13</w:t>
            </w:r>
            <w:r w:rsidR="00AF2C95" w:rsidRPr="00935FCC">
              <w:rPr>
                <w:sz w:val="26"/>
                <w:szCs w:val="26"/>
              </w:rPr>
              <w:t>.punkts</w:t>
            </w:r>
          </w:p>
        </w:tc>
        <w:tc>
          <w:tcPr>
            <w:tcW w:w="2634" w:type="dxa"/>
            <w:tcBorders>
              <w:top w:val="single" w:sz="4" w:space="0" w:color="auto"/>
              <w:left w:val="single" w:sz="2" w:space="0" w:color="000000"/>
              <w:bottom w:val="single" w:sz="2" w:space="0" w:color="000000"/>
              <w:right w:val="single" w:sz="2" w:space="0" w:color="000000"/>
            </w:tcBorders>
          </w:tcPr>
          <w:p w14:paraId="78558A04" w14:textId="77777777" w:rsidR="004A4DF6" w:rsidRPr="00935FCC" w:rsidRDefault="00AF2C95" w:rsidP="001A0CEA">
            <w:pPr>
              <w:snapToGrid w:val="0"/>
              <w:jc w:val="both"/>
              <w:rPr>
                <w:rFonts w:eastAsia="EUAlbertina_Bold"/>
                <w:sz w:val="26"/>
                <w:szCs w:val="26"/>
              </w:rPr>
            </w:pPr>
            <w:r w:rsidRPr="00935FCC">
              <w:rPr>
                <w:rFonts w:eastAsia="EUAlbertina_Bold"/>
                <w:sz w:val="26"/>
                <w:szCs w:val="26"/>
              </w:rPr>
              <w:t>Atbilst pilnībā.</w:t>
            </w:r>
          </w:p>
          <w:p w14:paraId="049CC03B" w14:textId="77777777" w:rsidR="00213F88" w:rsidRPr="00935FCC" w:rsidRDefault="00AF2C95" w:rsidP="00246F53">
            <w:pPr>
              <w:snapToGrid w:val="0"/>
              <w:rPr>
                <w:rFonts w:eastAsia="EUAlbertina_Bold"/>
                <w:sz w:val="26"/>
                <w:szCs w:val="26"/>
              </w:rPr>
            </w:pPr>
            <w:r w:rsidRPr="00935FCC">
              <w:rPr>
                <w:rFonts w:eastAsia="EUAlbertina_Bold"/>
                <w:sz w:val="26"/>
                <w:szCs w:val="26"/>
              </w:rPr>
              <w:t>Direktīvas 6.panta 2.punkts latviešu valodā ir neprecīzi iztulkots, jo atbilstoši direktīvas tekstam angļu un vācu valodā ražotāja sniegto inform</w:t>
            </w:r>
            <w:r w:rsidR="009E18B0" w:rsidRPr="00935FCC">
              <w:rPr>
                <w:rFonts w:eastAsia="EUAlbertina_Bold"/>
                <w:sz w:val="26"/>
                <w:szCs w:val="26"/>
              </w:rPr>
              <w:t>āc</w:t>
            </w:r>
            <w:r w:rsidRPr="00935FCC">
              <w:rPr>
                <w:rFonts w:eastAsia="EUAlbertina_Bold"/>
                <w:sz w:val="26"/>
                <w:szCs w:val="26"/>
              </w:rPr>
              <w:t>iju var izmantot</w:t>
            </w:r>
            <w:r w:rsidR="009E18B0" w:rsidRPr="00935FCC">
              <w:rPr>
                <w:rFonts w:eastAsia="EUAlbertina_Bold"/>
                <w:sz w:val="26"/>
                <w:szCs w:val="26"/>
              </w:rPr>
              <w:t xml:space="preserve"> neatkar</w:t>
            </w:r>
            <w:r w:rsidR="005312AB" w:rsidRPr="00935FCC">
              <w:rPr>
                <w:rFonts w:eastAsia="EUAlbertina_Bold"/>
                <w:sz w:val="26"/>
                <w:szCs w:val="26"/>
              </w:rPr>
              <w:t>īgi</w:t>
            </w:r>
            <w:r w:rsidR="009E18B0" w:rsidRPr="00935FCC">
              <w:rPr>
                <w:rFonts w:eastAsia="EUAlbertina_Bold"/>
                <w:sz w:val="26"/>
                <w:szCs w:val="26"/>
              </w:rPr>
              <w:t xml:space="preserve"> no tā, vai normā iepriekš minētie pierādīšanas līdzekļi ir pieejami, nevis tikai tad, „ja tādu nav”.</w:t>
            </w:r>
          </w:p>
        </w:tc>
        <w:tc>
          <w:tcPr>
            <w:tcW w:w="1336" w:type="dxa"/>
            <w:tcBorders>
              <w:top w:val="single" w:sz="4" w:space="0" w:color="auto"/>
              <w:left w:val="single" w:sz="2" w:space="0" w:color="000000"/>
              <w:bottom w:val="single" w:sz="2" w:space="0" w:color="000000"/>
              <w:right w:val="single" w:sz="2" w:space="0" w:color="000000"/>
            </w:tcBorders>
          </w:tcPr>
          <w:p w14:paraId="0C8745D1" w14:textId="77777777" w:rsidR="004A4DF6" w:rsidRPr="00935FCC" w:rsidRDefault="0085456C" w:rsidP="001A0CEA">
            <w:pPr>
              <w:snapToGrid w:val="0"/>
              <w:jc w:val="both"/>
              <w:rPr>
                <w:rFonts w:eastAsia="EUAlbertina_Bold"/>
                <w:sz w:val="26"/>
                <w:szCs w:val="26"/>
              </w:rPr>
            </w:pPr>
            <w:r w:rsidRPr="00935FCC">
              <w:rPr>
                <w:sz w:val="26"/>
                <w:szCs w:val="26"/>
              </w:rPr>
              <w:t>Neparedz stingrākas prasības.</w:t>
            </w:r>
          </w:p>
        </w:tc>
      </w:tr>
      <w:tr w:rsidR="000910DF" w:rsidRPr="00935FCC" w14:paraId="767D4ABF" w14:textId="77777777" w:rsidTr="004B1069">
        <w:tc>
          <w:tcPr>
            <w:tcW w:w="1075" w:type="dxa"/>
            <w:vMerge/>
            <w:tcBorders>
              <w:left w:val="single" w:sz="2" w:space="0" w:color="000000"/>
              <w:bottom w:val="single" w:sz="2" w:space="0" w:color="000000"/>
              <w:right w:val="single" w:sz="2" w:space="0" w:color="000000"/>
            </w:tcBorders>
          </w:tcPr>
          <w:p w14:paraId="347F4240" w14:textId="77777777" w:rsidR="004A4DF6" w:rsidRPr="00935FCC" w:rsidRDefault="004A4DF6" w:rsidP="001A0CEA">
            <w:pPr>
              <w:pStyle w:val="TableContents"/>
              <w:snapToGrid w:val="0"/>
              <w:rPr>
                <w:sz w:val="26"/>
                <w:szCs w:val="26"/>
              </w:rPr>
            </w:pPr>
          </w:p>
        </w:tc>
        <w:tc>
          <w:tcPr>
            <w:tcW w:w="2268" w:type="dxa"/>
            <w:gridSpan w:val="4"/>
            <w:tcBorders>
              <w:top w:val="single" w:sz="2" w:space="0" w:color="000000"/>
              <w:left w:val="single" w:sz="2" w:space="0" w:color="000000"/>
              <w:bottom w:val="single" w:sz="2" w:space="0" w:color="000000"/>
              <w:right w:val="single" w:sz="2" w:space="0" w:color="000000"/>
            </w:tcBorders>
          </w:tcPr>
          <w:p w14:paraId="111D6C5E" w14:textId="77777777" w:rsidR="004A4DF6" w:rsidRPr="00935FCC" w:rsidRDefault="004A4DF6" w:rsidP="001A0CEA">
            <w:pPr>
              <w:pStyle w:val="TableContents"/>
              <w:snapToGrid w:val="0"/>
              <w:rPr>
                <w:sz w:val="26"/>
                <w:szCs w:val="26"/>
              </w:rPr>
            </w:pPr>
            <w:r w:rsidRPr="00935FCC">
              <w:rPr>
                <w:sz w:val="26"/>
                <w:szCs w:val="26"/>
              </w:rPr>
              <w:t>3.punkts</w:t>
            </w:r>
          </w:p>
        </w:tc>
        <w:tc>
          <w:tcPr>
            <w:tcW w:w="1903" w:type="dxa"/>
            <w:tcBorders>
              <w:top w:val="single" w:sz="2" w:space="0" w:color="000000"/>
              <w:left w:val="single" w:sz="2" w:space="0" w:color="000000"/>
              <w:bottom w:val="single" w:sz="2" w:space="0" w:color="000000"/>
              <w:right w:val="single" w:sz="2" w:space="0" w:color="000000"/>
            </w:tcBorders>
          </w:tcPr>
          <w:p w14:paraId="30D300D4" w14:textId="77777777" w:rsidR="004A4DF6" w:rsidRPr="00935FCC" w:rsidRDefault="00A82AA4" w:rsidP="001A0CEA">
            <w:pPr>
              <w:pStyle w:val="TableContents"/>
              <w:snapToGrid w:val="0"/>
              <w:rPr>
                <w:sz w:val="26"/>
                <w:szCs w:val="26"/>
              </w:rPr>
            </w:pPr>
            <w:r w:rsidRPr="00935FCC">
              <w:rPr>
                <w:sz w:val="26"/>
                <w:szCs w:val="26"/>
              </w:rPr>
              <w:t>7</w:t>
            </w:r>
            <w:r w:rsidR="00AF2C95" w:rsidRPr="00935FCC">
              <w:rPr>
                <w:sz w:val="26"/>
                <w:szCs w:val="26"/>
              </w:rPr>
              <w:t>.punkts</w:t>
            </w:r>
          </w:p>
        </w:tc>
        <w:tc>
          <w:tcPr>
            <w:tcW w:w="2634" w:type="dxa"/>
            <w:tcBorders>
              <w:top w:val="single" w:sz="4" w:space="0" w:color="auto"/>
              <w:left w:val="single" w:sz="2" w:space="0" w:color="000000"/>
              <w:bottom w:val="single" w:sz="2" w:space="0" w:color="000000"/>
              <w:right w:val="single" w:sz="2" w:space="0" w:color="000000"/>
            </w:tcBorders>
          </w:tcPr>
          <w:p w14:paraId="29D3A513" w14:textId="77777777" w:rsidR="004A4DF6" w:rsidRPr="00935FCC" w:rsidRDefault="00AF2C95" w:rsidP="001A0CEA">
            <w:pPr>
              <w:snapToGrid w:val="0"/>
              <w:jc w:val="both"/>
              <w:rPr>
                <w:rFonts w:eastAsia="EUAlbertina_Bold"/>
                <w:sz w:val="26"/>
                <w:szCs w:val="26"/>
              </w:rPr>
            </w:pPr>
            <w:r w:rsidRPr="00935FCC">
              <w:rPr>
                <w:rFonts w:eastAsia="EUAlbertina_Bold"/>
                <w:sz w:val="26"/>
                <w:szCs w:val="26"/>
              </w:rPr>
              <w:t>Atbilst pilnībā.</w:t>
            </w:r>
          </w:p>
        </w:tc>
        <w:tc>
          <w:tcPr>
            <w:tcW w:w="1336" w:type="dxa"/>
            <w:tcBorders>
              <w:top w:val="single" w:sz="4" w:space="0" w:color="auto"/>
              <w:left w:val="single" w:sz="2" w:space="0" w:color="000000"/>
              <w:bottom w:val="single" w:sz="2" w:space="0" w:color="000000"/>
              <w:right w:val="single" w:sz="2" w:space="0" w:color="000000"/>
            </w:tcBorders>
          </w:tcPr>
          <w:p w14:paraId="37709E7F" w14:textId="77777777" w:rsidR="004A4DF6" w:rsidRPr="00935FCC" w:rsidRDefault="0085456C" w:rsidP="001A0CEA">
            <w:pPr>
              <w:snapToGrid w:val="0"/>
              <w:jc w:val="both"/>
              <w:rPr>
                <w:rFonts w:eastAsia="EUAlbertina_Bold"/>
                <w:sz w:val="26"/>
                <w:szCs w:val="26"/>
              </w:rPr>
            </w:pPr>
            <w:r w:rsidRPr="00935FCC">
              <w:rPr>
                <w:sz w:val="26"/>
                <w:szCs w:val="26"/>
              </w:rPr>
              <w:t>Neparedz stingrākas prasības.</w:t>
            </w:r>
          </w:p>
        </w:tc>
      </w:tr>
      <w:tr w:rsidR="000910DF" w:rsidRPr="00935FCC" w14:paraId="70332B30" w14:textId="77777777" w:rsidTr="004B1069">
        <w:tc>
          <w:tcPr>
            <w:tcW w:w="3343" w:type="dxa"/>
            <w:gridSpan w:val="5"/>
            <w:tcBorders>
              <w:top w:val="single" w:sz="2" w:space="0" w:color="000000"/>
              <w:left w:val="single" w:sz="2" w:space="0" w:color="000000"/>
              <w:bottom w:val="single" w:sz="2" w:space="0" w:color="000000"/>
              <w:right w:val="single" w:sz="2" w:space="0" w:color="000000"/>
            </w:tcBorders>
          </w:tcPr>
          <w:p w14:paraId="3FA96EB5" w14:textId="77777777" w:rsidR="005A1CC0" w:rsidRPr="00935FCC" w:rsidRDefault="005A1CC0" w:rsidP="001A0CEA">
            <w:pPr>
              <w:pStyle w:val="TableContents"/>
              <w:snapToGrid w:val="0"/>
              <w:rPr>
                <w:sz w:val="26"/>
                <w:szCs w:val="26"/>
              </w:rPr>
            </w:pPr>
            <w:r w:rsidRPr="00935FCC">
              <w:rPr>
                <w:sz w:val="26"/>
                <w:szCs w:val="26"/>
              </w:rPr>
              <w:t>7.pants</w:t>
            </w:r>
          </w:p>
        </w:tc>
        <w:tc>
          <w:tcPr>
            <w:tcW w:w="1903" w:type="dxa"/>
            <w:tcBorders>
              <w:top w:val="single" w:sz="2" w:space="0" w:color="000000"/>
              <w:left w:val="single" w:sz="2" w:space="0" w:color="000000"/>
              <w:bottom w:val="single" w:sz="2" w:space="0" w:color="000000"/>
              <w:right w:val="single" w:sz="2" w:space="0" w:color="000000"/>
            </w:tcBorders>
          </w:tcPr>
          <w:p w14:paraId="6208F031" w14:textId="77777777" w:rsidR="005A1CC0" w:rsidRPr="00935FCC" w:rsidRDefault="005A1CC0" w:rsidP="001A0CEA">
            <w:pPr>
              <w:pStyle w:val="TableContents"/>
              <w:snapToGrid w:val="0"/>
              <w:rPr>
                <w:sz w:val="26"/>
                <w:szCs w:val="26"/>
              </w:rPr>
            </w:pPr>
            <w:r w:rsidRPr="00935FCC">
              <w:rPr>
                <w:sz w:val="26"/>
                <w:szCs w:val="26"/>
              </w:rPr>
              <w:t>Nav jāpārņem.</w:t>
            </w:r>
          </w:p>
        </w:tc>
        <w:tc>
          <w:tcPr>
            <w:tcW w:w="2634" w:type="dxa"/>
            <w:tcBorders>
              <w:top w:val="single" w:sz="2" w:space="0" w:color="000000"/>
              <w:left w:val="single" w:sz="2" w:space="0" w:color="000000"/>
              <w:bottom w:val="single" w:sz="2" w:space="0" w:color="000000"/>
              <w:right w:val="single" w:sz="2" w:space="0" w:color="000000"/>
            </w:tcBorders>
          </w:tcPr>
          <w:p w14:paraId="0BF36ADC" w14:textId="77777777" w:rsidR="005A1CC0" w:rsidRPr="00935FCC" w:rsidRDefault="005A1CC0" w:rsidP="001A0CEA">
            <w:pPr>
              <w:snapToGrid w:val="0"/>
              <w:jc w:val="both"/>
              <w:rPr>
                <w:sz w:val="26"/>
                <w:szCs w:val="26"/>
              </w:rPr>
            </w:pPr>
          </w:p>
        </w:tc>
        <w:tc>
          <w:tcPr>
            <w:tcW w:w="1336" w:type="dxa"/>
            <w:tcBorders>
              <w:top w:val="single" w:sz="2" w:space="0" w:color="000000"/>
              <w:left w:val="single" w:sz="2" w:space="0" w:color="000000"/>
              <w:bottom w:val="single" w:sz="2" w:space="0" w:color="000000"/>
              <w:right w:val="single" w:sz="2" w:space="0" w:color="000000"/>
            </w:tcBorders>
          </w:tcPr>
          <w:p w14:paraId="14573259" w14:textId="77777777" w:rsidR="005A1CC0" w:rsidRPr="00935FCC" w:rsidRDefault="005A1CC0" w:rsidP="001A0CEA">
            <w:pPr>
              <w:snapToGrid w:val="0"/>
              <w:jc w:val="both"/>
              <w:rPr>
                <w:sz w:val="26"/>
                <w:szCs w:val="26"/>
              </w:rPr>
            </w:pPr>
          </w:p>
        </w:tc>
      </w:tr>
      <w:tr w:rsidR="000910DF" w:rsidRPr="00935FCC" w14:paraId="08239BA6" w14:textId="77777777" w:rsidTr="004B1069">
        <w:tc>
          <w:tcPr>
            <w:tcW w:w="3343" w:type="dxa"/>
            <w:gridSpan w:val="5"/>
            <w:tcBorders>
              <w:top w:val="single" w:sz="2" w:space="0" w:color="000000"/>
              <w:left w:val="single" w:sz="2" w:space="0" w:color="000000"/>
              <w:bottom w:val="single" w:sz="2" w:space="0" w:color="000000"/>
              <w:right w:val="single" w:sz="2" w:space="0" w:color="000000"/>
            </w:tcBorders>
          </w:tcPr>
          <w:p w14:paraId="760CCCBE" w14:textId="77777777" w:rsidR="005A1CC0" w:rsidRPr="00935FCC" w:rsidRDefault="005A1CC0" w:rsidP="001A0CEA">
            <w:pPr>
              <w:pStyle w:val="TableContents"/>
              <w:snapToGrid w:val="0"/>
              <w:rPr>
                <w:sz w:val="26"/>
                <w:szCs w:val="26"/>
              </w:rPr>
            </w:pPr>
            <w:r w:rsidRPr="00935FCC">
              <w:rPr>
                <w:sz w:val="26"/>
                <w:szCs w:val="26"/>
              </w:rPr>
              <w:lastRenderedPageBreak/>
              <w:t>8.pants</w:t>
            </w:r>
          </w:p>
        </w:tc>
        <w:tc>
          <w:tcPr>
            <w:tcW w:w="1903" w:type="dxa"/>
            <w:tcBorders>
              <w:top w:val="single" w:sz="2" w:space="0" w:color="000000"/>
              <w:left w:val="single" w:sz="2" w:space="0" w:color="000000"/>
              <w:bottom w:val="single" w:sz="2" w:space="0" w:color="000000"/>
              <w:right w:val="single" w:sz="2" w:space="0" w:color="000000"/>
            </w:tcBorders>
          </w:tcPr>
          <w:p w14:paraId="64177C0C" w14:textId="77777777" w:rsidR="005A1CC0" w:rsidRPr="00935FCC" w:rsidRDefault="005A1CC0" w:rsidP="001A0CEA">
            <w:pPr>
              <w:pStyle w:val="TableContents"/>
              <w:snapToGrid w:val="0"/>
              <w:rPr>
                <w:sz w:val="26"/>
                <w:szCs w:val="26"/>
              </w:rPr>
            </w:pPr>
            <w:r w:rsidRPr="00935FCC">
              <w:rPr>
                <w:sz w:val="26"/>
                <w:szCs w:val="26"/>
              </w:rPr>
              <w:t>Nav jāpārņem.</w:t>
            </w:r>
          </w:p>
        </w:tc>
        <w:tc>
          <w:tcPr>
            <w:tcW w:w="2634" w:type="dxa"/>
            <w:tcBorders>
              <w:top w:val="single" w:sz="2" w:space="0" w:color="000000"/>
              <w:left w:val="single" w:sz="2" w:space="0" w:color="000000"/>
              <w:bottom w:val="single" w:sz="2" w:space="0" w:color="000000"/>
              <w:right w:val="single" w:sz="2" w:space="0" w:color="000000"/>
            </w:tcBorders>
          </w:tcPr>
          <w:p w14:paraId="73FECF45" w14:textId="77777777" w:rsidR="005A1CC0" w:rsidRPr="00935FCC" w:rsidRDefault="005A1CC0" w:rsidP="001A0CEA">
            <w:pPr>
              <w:snapToGrid w:val="0"/>
              <w:jc w:val="both"/>
              <w:rPr>
                <w:sz w:val="26"/>
                <w:szCs w:val="26"/>
              </w:rPr>
            </w:pPr>
          </w:p>
        </w:tc>
        <w:tc>
          <w:tcPr>
            <w:tcW w:w="1336" w:type="dxa"/>
            <w:tcBorders>
              <w:top w:val="single" w:sz="2" w:space="0" w:color="000000"/>
              <w:left w:val="single" w:sz="2" w:space="0" w:color="000000"/>
              <w:bottom w:val="single" w:sz="2" w:space="0" w:color="000000"/>
              <w:right w:val="single" w:sz="2" w:space="0" w:color="000000"/>
            </w:tcBorders>
          </w:tcPr>
          <w:p w14:paraId="11626E06" w14:textId="77777777" w:rsidR="005A1CC0" w:rsidRPr="00935FCC" w:rsidRDefault="005A1CC0" w:rsidP="001A0CEA">
            <w:pPr>
              <w:snapToGrid w:val="0"/>
              <w:jc w:val="both"/>
              <w:rPr>
                <w:sz w:val="26"/>
                <w:szCs w:val="26"/>
              </w:rPr>
            </w:pPr>
          </w:p>
        </w:tc>
      </w:tr>
      <w:tr w:rsidR="000910DF" w:rsidRPr="00935FCC" w14:paraId="0FE12492" w14:textId="77777777" w:rsidTr="004B1069">
        <w:tc>
          <w:tcPr>
            <w:tcW w:w="3343" w:type="dxa"/>
            <w:gridSpan w:val="5"/>
            <w:tcBorders>
              <w:top w:val="single" w:sz="2" w:space="0" w:color="000000"/>
              <w:left w:val="single" w:sz="2" w:space="0" w:color="000000"/>
              <w:bottom w:val="single" w:sz="2" w:space="0" w:color="000000"/>
              <w:right w:val="single" w:sz="2" w:space="0" w:color="000000"/>
            </w:tcBorders>
          </w:tcPr>
          <w:p w14:paraId="5916DD02" w14:textId="77777777" w:rsidR="005A1CC0" w:rsidRPr="00935FCC" w:rsidRDefault="005A1CC0" w:rsidP="001A0CEA">
            <w:pPr>
              <w:pStyle w:val="TableContents"/>
              <w:snapToGrid w:val="0"/>
              <w:rPr>
                <w:sz w:val="26"/>
                <w:szCs w:val="26"/>
              </w:rPr>
            </w:pPr>
            <w:r w:rsidRPr="00935FCC">
              <w:rPr>
                <w:sz w:val="26"/>
                <w:szCs w:val="26"/>
              </w:rPr>
              <w:t>9.pants</w:t>
            </w:r>
          </w:p>
        </w:tc>
        <w:tc>
          <w:tcPr>
            <w:tcW w:w="1903" w:type="dxa"/>
            <w:tcBorders>
              <w:top w:val="single" w:sz="2" w:space="0" w:color="000000"/>
              <w:left w:val="single" w:sz="2" w:space="0" w:color="000000"/>
              <w:bottom w:val="single" w:sz="2" w:space="0" w:color="000000"/>
              <w:right w:val="single" w:sz="2" w:space="0" w:color="000000"/>
            </w:tcBorders>
          </w:tcPr>
          <w:p w14:paraId="5D298E49" w14:textId="77777777" w:rsidR="005A1CC0" w:rsidRPr="00935FCC" w:rsidRDefault="005A1CC0" w:rsidP="001A0CEA">
            <w:pPr>
              <w:pStyle w:val="TableContents"/>
              <w:snapToGrid w:val="0"/>
              <w:rPr>
                <w:sz w:val="26"/>
                <w:szCs w:val="26"/>
              </w:rPr>
            </w:pPr>
            <w:r w:rsidRPr="00935FCC">
              <w:rPr>
                <w:sz w:val="26"/>
                <w:szCs w:val="26"/>
              </w:rPr>
              <w:t>Nav jāpārņem.</w:t>
            </w:r>
          </w:p>
        </w:tc>
        <w:tc>
          <w:tcPr>
            <w:tcW w:w="2634" w:type="dxa"/>
            <w:tcBorders>
              <w:top w:val="single" w:sz="2" w:space="0" w:color="000000"/>
              <w:left w:val="single" w:sz="2" w:space="0" w:color="000000"/>
              <w:bottom w:val="single" w:sz="2" w:space="0" w:color="000000"/>
              <w:right w:val="single" w:sz="2" w:space="0" w:color="000000"/>
            </w:tcBorders>
          </w:tcPr>
          <w:p w14:paraId="1E446A54" w14:textId="77777777" w:rsidR="005A1CC0" w:rsidRPr="00935FCC" w:rsidRDefault="005A1CC0" w:rsidP="001A0CEA">
            <w:pPr>
              <w:snapToGrid w:val="0"/>
              <w:jc w:val="both"/>
              <w:rPr>
                <w:sz w:val="26"/>
                <w:szCs w:val="26"/>
              </w:rPr>
            </w:pPr>
          </w:p>
        </w:tc>
        <w:tc>
          <w:tcPr>
            <w:tcW w:w="1336" w:type="dxa"/>
            <w:tcBorders>
              <w:top w:val="single" w:sz="2" w:space="0" w:color="000000"/>
              <w:left w:val="single" w:sz="2" w:space="0" w:color="000000"/>
              <w:bottom w:val="single" w:sz="2" w:space="0" w:color="000000"/>
              <w:right w:val="single" w:sz="2" w:space="0" w:color="000000"/>
            </w:tcBorders>
          </w:tcPr>
          <w:p w14:paraId="41AFC9E5" w14:textId="77777777" w:rsidR="005A1CC0" w:rsidRPr="00935FCC" w:rsidRDefault="005A1CC0" w:rsidP="001A0CEA">
            <w:pPr>
              <w:snapToGrid w:val="0"/>
              <w:jc w:val="both"/>
              <w:rPr>
                <w:sz w:val="26"/>
                <w:szCs w:val="26"/>
              </w:rPr>
            </w:pPr>
          </w:p>
        </w:tc>
      </w:tr>
      <w:tr w:rsidR="000910DF" w:rsidRPr="00935FCC" w14:paraId="586D4FB9" w14:textId="77777777" w:rsidTr="004B1069">
        <w:tc>
          <w:tcPr>
            <w:tcW w:w="3343" w:type="dxa"/>
            <w:gridSpan w:val="5"/>
            <w:tcBorders>
              <w:top w:val="single" w:sz="2" w:space="0" w:color="000000"/>
              <w:left w:val="single" w:sz="2" w:space="0" w:color="000000"/>
              <w:bottom w:val="single" w:sz="2" w:space="0" w:color="000000"/>
              <w:right w:val="single" w:sz="2" w:space="0" w:color="000000"/>
            </w:tcBorders>
          </w:tcPr>
          <w:p w14:paraId="4B44A85D" w14:textId="77777777" w:rsidR="005A1CC0" w:rsidRPr="00935FCC" w:rsidRDefault="005A1CC0" w:rsidP="001A0CEA">
            <w:pPr>
              <w:pStyle w:val="TableContents"/>
              <w:snapToGrid w:val="0"/>
              <w:rPr>
                <w:sz w:val="26"/>
                <w:szCs w:val="26"/>
              </w:rPr>
            </w:pPr>
            <w:r w:rsidRPr="00935FCC">
              <w:rPr>
                <w:sz w:val="26"/>
                <w:szCs w:val="26"/>
              </w:rPr>
              <w:t>10.pants</w:t>
            </w:r>
          </w:p>
        </w:tc>
        <w:tc>
          <w:tcPr>
            <w:tcW w:w="1903" w:type="dxa"/>
            <w:tcBorders>
              <w:top w:val="single" w:sz="2" w:space="0" w:color="000000"/>
              <w:left w:val="single" w:sz="2" w:space="0" w:color="000000"/>
              <w:bottom w:val="single" w:sz="2" w:space="0" w:color="000000"/>
              <w:right w:val="single" w:sz="2" w:space="0" w:color="000000"/>
            </w:tcBorders>
          </w:tcPr>
          <w:p w14:paraId="23FBE1E3" w14:textId="77777777" w:rsidR="005A1CC0" w:rsidRPr="00935FCC" w:rsidRDefault="005A1CC0" w:rsidP="001A0CEA">
            <w:pPr>
              <w:pStyle w:val="TableContents"/>
              <w:snapToGrid w:val="0"/>
              <w:rPr>
                <w:sz w:val="26"/>
                <w:szCs w:val="26"/>
              </w:rPr>
            </w:pPr>
            <w:r w:rsidRPr="00935FCC">
              <w:rPr>
                <w:sz w:val="26"/>
                <w:szCs w:val="26"/>
              </w:rPr>
              <w:t>Nav jāpārņem.</w:t>
            </w:r>
          </w:p>
        </w:tc>
        <w:tc>
          <w:tcPr>
            <w:tcW w:w="2634" w:type="dxa"/>
            <w:tcBorders>
              <w:top w:val="single" w:sz="2" w:space="0" w:color="000000"/>
              <w:left w:val="single" w:sz="2" w:space="0" w:color="000000"/>
              <w:bottom w:val="single" w:sz="2" w:space="0" w:color="000000"/>
              <w:right w:val="single" w:sz="2" w:space="0" w:color="000000"/>
            </w:tcBorders>
          </w:tcPr>
          <w:p w14:paraId="11157CBC" w14:textId="77777777" w:rsidR="005A1CC0" w:rsidRPr="00935FCC" w:rsidRDefault="005A1CC0" w:rsidP="001A0CEA">
            <w:pPr>
              <w:snapToGrid w:val="0"/>
              <w:jc w:val="both"/>
              <w:rPr>
                <w:sz w:val="26"/>
                <w:szCs w:val="26"/>
              </w:rPr>
            </w:pPr>
          </w:p>
        </w:tc>
        <w:tc>
          <w:tcPr>
            <w:tcW w:w="1336" w:type="dxa"/>
            <w:tcBorders>
              <w:top w:val="single" w:sz="2" w:space="0" w:color="000000"/>
              <w:left w:val="single" w:sz="2" w:space="0" w:color="000000"/>
              <w:bottom w:val="single" w:sz="2" w:space="0" w:color="000000"/>
              <w:right w:val="single" w:sz="2" w:space="0" w:color="000000"/>
            </w:tcBorders>
          </w:tcPr>
          <w:p w14:paraId="005F05C7" w14:textId="77777777" w:rsidR="005A1CC0" w:rsidRPr="00935FCC" w:rsidRDefault="005A1CC0" w:rsidP="001A0CEA">
            <w:pPr>
              <w:snapToGrid w:val="0"/>
              <w:jc w:val="both"/>
              <w:rPr>
                <w:sz w:val="26"/>
                <w:szCs w:val="26"/>
              </w:rPr>
            </w:pPr>
          </w:p>
        </w:tc>
      </w:tr>
      <w:tr w:rsidR="000910DF" w:rsidRPr="00935FCC" w14:paraId="7FA8DA03" w14:textId="77777777" w:rsidTr="004B1069">
        <w:tc>
          <w:tcPr>
            <w:tcW w:w="1075" w:type="dxa"/>
            <w:vMerge w:val="restart"/>
            <w:tcBorders>
              <w:top w:val="single" w:sz="2" w:space="0" w:color="000000"/>
              <w:left w:val="single" w:sz="2" w:space="0" w:color="000000"/>
              <w:right w:val="single" w:sz="2" w:space="0" w:color="000000"/>
            </w:tcBorders>
          </w:tcPr>
          <w:p w14:paraId="74986165" w14:textId="77777777" w:rsidR="005A1CC0" w:rsidRPr="00935FCC" w:rsidRDefault="00333A2D" w:rsidP="001A0CEA">
            <w:pPr>
              <w:pStyle w:val="TableContents"/>
              <w:snapToGrid w:val="0"/>
              <w:rPr>
                <w:sz w:val="26"/>
                <w:szCs w:val="26"/>
              </w:rPr>
            </w:pPr>
            <w:r w:rsidRPr="00935FCC">
              <w:rPr>
                <w:sz w:val="26"/>
                <w:szCs w:val="26"/>
              </w:rPr>
              <w:br w:type="page"/>
            </w:r>
            <w:r w:rsidR="005A1CC0" w:rsidRPr="00935FCC">
              <w:rPr>
                <w:sz w:val="26"/>
                <w:szCs w:val="26"/>
              </w:rPr>
              <w:t>11.pants</w:t>
            </w:r>
          </w:p>
        </w:tc>
        <w:tc>
          <w:tcPr>
            <w:tcW w:w="2268" w:type="dxa"/>
            <w:gridSpan w:val="4"/>
            <w:tcBorders>
              <w:top w:val="single" w:sz="2" w:space="0" w:color="000000"/>
              <w:left w:val="single" w:sz="2" w:space="0" w:color="000000"/>
              <w:bottom w:val="dashSmallGap" w:sz="4" w:space="0" w:color="auto"/>
              <w:right w:val="single" w:sz="2" w:space="0" w:color="000000"/>
            </w:tcBorders>
          </w:tcPr>
          <w:p w14:paraId="14DD4B37" w14:textId="77777777" w:rsidR="005A1CC0" w:rsidRPr="00935FCC" w:rsidRDefault="005A1CC0" w:rsidP="001A0CEA">
            <w:pPr>
              <w:pStyle w:val="TableContents"/>
              <w:snapToGrid w:val="0"/>
              <w:rPr>
                <w:sz w:val="26"/>
                <w:szCs w:val="26"/>
              </w:rPr>
            </w:pPr>
            <w:r w:rsidRPr="00935FCC">
              <w:rPr>
                <w:sz w:val="26"/>
                <w:szCs w:val="26"/>
              </w:rPr>
              <w:t>1.punkta</w:t>
            </w:r>
          </w:p>
        </w:tc>
        <w:tc>
          <w:tcPr>
            <w:tcW w:w="1903" w:type="dxa"/>
            <w:tcBorders>
              <w:top w:val="single" w:sz="2" w:space="0" w:color="000000"/>
              <w:left w:val="single" w:sz="2" w:space="0" w:color="000000"/>
              <w:bottom w:val="dashSmallGap" w:sz="4" w:space="0" w:color="auto"/>
              <w:right w:val="single" w:sz="2" w:space="0" w:color="000000"/>
            </w:tcBorders>
          </w:tcPr>
          <w:p w14:paraId="089B49A3" w14:textId="77777777" w:rsidR="005A1CC0" w:rsidRPr="00935FCC" w:rsidRDefault="005A1CC0" w:rsidP="001A0CEA">
            <w:pPr>
              <w:pStyle w:val="TableContents"/>
              <w:snapToGrid w:val="0"/>
              <w:rPr>
                <w:sz w:val="26"/>
                <w:szCs w:val="26"/>
              </w:rPr>
            </w:pPr>
          </w:p>
        </w:tc>
        <w:tc>
          <w:tcPr>
            <w:tcW w:w="2634" w:type="dxa"/>
            <w:tcBorders>
              <w:top w:val="single" w:sz="2" w:space="0" w:color="000000"/>
              <w:left w:val="single" w:sz="2" w:space="0" w:color="000000"/>
              <w:bottom w:val="dashSmallGap" w:sz="4" w:space="0" w:color="auto"/>
              <w:right w:val="single" w:sz="2" w:space="0" w:color="000000"/>
            </w:tcBorders>
          </w:tcPr>
          <w:p w14:paraId="48649EB9" w14:textId="77777777" w:rsidR="005A1CC0" w:rsidRPr="00935FCC" w:rsidRDefault="005A1CC0" w:rsidP="001A0CEA">
            <w:pPr>
              <w:pStyle w:val="TableContents"/>
              <w:snapToGrid w:val="0"/>
              <w:rPr>
                <w:sz w:val="26"/>
                <w:szCs w:val="26"/>
              </w:rPr>
            </w:pPr>
          </w:p>
        </w:tc>
        <w:tc>
          <w:tcPr>
            <w:tcW w:w="1336" w:type="dxa"/>
            <w:tcBorders>
              <w:top w:val="single" w:sz="2" w:space="0" w:color="000000"/>
              <w:left w:val="single" w:sz="2" w:space="0" w:color="000000"/>
              <w:bottom w:val="dashSmallGap" w:sz="4" w:space="0" w:color="auto"/>
              <w:right w:val="single" w:sz="2" w:space="0" w:color="000000"/>
            </w:tcBorders>
          </w:tcPr>
          <w:p w14:paraId="5729F500" w14:textId="77777777" w:rsidR="005A1CC0" w:rsidRPr="00935FCC" w:rsidRDefault="005A1CC0" w:rsidP="001A0CEA">
            <w:pPr>
              <w:snapToGrid w:val="0"/>
              <w:jc w:val="both"/>
              <w:rPr>
                <w:sz w:val="26"/>
                <w:szCs w:val="26"/>
              </w:rPr>
            </w:pPr>
          </w:p>
        </w:tc>
      </w:tr>
      <w:tr w:rsidR="000910DF" w:rsidRPr="00935FCC" w14:paraId="741B80B1" w14:textId="77777777" w:rsidTr="004B1069">
        <w:tc>
          <w:tcPr>
            <w:tcW w:w="1075" w:type="dxa"/>
            <w:vMerge/>
            <w:tcBorders>
              <w:left w:val="single" w:sz="2" w:space="0" w:color="000000"/>
              <w:right w:val="single" w:sz="2" w:space="0" w:color="000000"/>
            </w:tcBorders>
          </w:tcPr>
          <w:p w14:paraId="0BC09D34" w14:textId="77777777" w:rsidR="005A1CC0" w:rsidRPr="00935FCC" w:rsidRDefault="005A1CC0" w:rsidP="001A0CEA">
            <w:pPr>
              <w:pStyle w:val="TableContents"/>
              <w:snapToGrid w:val="0"/>
              <w:rPr>
                <w:sz w:val="26"/>
                <w:szCs w:val="26"/>
              </w:rPr>
            </w:pPr>
          </w:p>
        </w:tc>
        <w:tc>
          <w:tcPr>
            <w:tcW w:w="2268" w:type="dxa"/>
            <w:gridSpan w:val="4"/>
            <w:tcBorders>
              <w:top w:val="dashSmallGap" w:sz="4" w:space="0" w:color="auto"/>
              <w:left w:val="single" w:sz="2" w:space="0" w:color="000000"/>
              <w:bottom w:val="dashSmallGap" w:sz="4" w:space="0" w:color="auto"/>
              <w:right w:val="single" w:sz="2" w:space="0" w:color="000000"/>
            </w:tcBorders>
          </w:tcPr>
          <w:p w14:paraId="775B8DF5" w14:textId="77777777" w:rsidR="005A1CC0" w:rsidRPr="00935FCC" w:rsidRDefault="005A1CC0" w:rsidP="001A0CEA">
            <w:pPr>
              <w:pStyle w:val="TableContents"/>
              <w:snapToGrid w:val="0"/>
              <w:ind w:firstLine="170"/>
              <w:rPr>
                <w:sz w:val="26"/>
                <w:szCs w:val="26"/>
              </w:rPr>
            </w:pPr>
            <w:r w:rsidRPr="00935FCC">
              <w:rPr>
                <w:sz w:val="26"/>
                <w:szCs w:val="26"/>
              </w:rPr>
              <w:t>pirmais ievilkums</w:t>
            </w:r>
          </w:p>
        </w:tc>
        <w:tc>
          <w:tcPr>
            <w:tcW w:w="1903" w:type="dxa"/>
            <w:tcBorders>
              <w:top w:val="dashSmallGap" w:sz="4" w:space="0" w:color="auto"/>
              <w:left w:val="single" w:sz="2" w:space="0" w:color="000000"/>
              <w:bottom w:val="dashSmallGap" w:sz="4" w:space="0" w:color="auto"/>
              <w:right w:val="single" w:sz="2" w:space="0" w:color="000000"/>
            </w:tcBorders>
          </w:tcPr>
          <w:p w14:paraId="0E61E771" w14:textId="77777777" w:rsidR="005A1CC0" w:rsidRPr="00935FCC" w:rsidRDefault="00753790" w:rsidP="001A0CEA">
            <w:pPr>
              <w:pStyle w:val="TableContents"/>
              <w:snapToGrid w:val="0"/>
              <w:rPr>
                <w:sz w:val="26"/>
                <w:szCs w:val="26"/>
              </w:rPr>
            </w:pPr>
            <w:r w:rsidRPr="00935FCC">
              <w:rPr>
                <w:sz w:val="26"/>
                <w:szCs w:val="26"/>
              </w:rPr>
              <w:t>Nav jāpārņem</w:t>
            </w:r>
            <w:r w:rsidR="00FC6108" w:rsidRPr="00935FCC">
              <w:rPr>
                <w:sz w:val="26"/>
                <w:szCs w:val="26"/>
              </w:rPr>
              <w:t>.</w:t>
            </w:r>
          </w:p>
        </w:tc>
        <w:tc>
          <w:tcPr>
            <w:tcW w:w="2634" w:type="dxa"/>
            <w:tcBorders>
              <w:top w:val="dashSmallGap" w:sz="4" w:space="0" w:color="auto"/>
              <w:left w:val="single" w:sz="2" w:space="0" w:color="000000"/>
              <w:bottom w:val="dashSmallGap" w:sz="4" w:space="0" w:color="auto"/>
              <w:right w:val="single" w:sz="2" w:space="0" w:color="000000"/>
            </w:tcBorders>
          </w:tcPr>
          <w:p w14:paraId="5CF8A235" w14:textId="77777777" w:rsidR="005A1CC0" w:rsidRPr="00935FCC" w:rsidRDefault="005A1CC0" w:rsidP="00FC6108">
            <w:pPr>
              <w:pStyle w:val="TableContents"/>
              <w:snapToGrid w:val="0"/>
              <w:rPr>
                <w:sz w:val="26"/>
                <w:szCs w:val="26"/>
              </w:rPr>
            </w:pPr>
          </w:p>
        </w:tc>
        <w:tc>
          <w:tcPr>
            <w:tcW w:w="1336" w:type="dxa"/>
            <w:tcBorders>
              <w:top w:val="dashSmallGap" w:sz="4" w:space="0" w:color="auto"/>
              <w:left w:val="single" w:sz="2" w:space="0" w:color="000000"/>
              <w:bottom w:val="dashSmallGap" w:sz="4" w:space="0" w:color="auto"/>
              <w:right w:val="single" w:sz="2" w:space="0" w:color="000000"/>
            </w:tcBorders>
          </w:tcPr>
          <w:p w14:paraId="4973A205" w14:textId="77777777" w:rsidR="005A1CC0" w:rsidRPr="00935FCC" w:rsidRDefault="005A1CC0" w:rsidP="001A0CEA">
            <w:pPr>
              <w:snapToGrid w:val="0"/>
              <w:jc w:val="both"/>
              <w:rPr>
                <w:sz w:val="26"/>
                <w:szCs w:val="26"/>
              </w:rPr>
            </w:pPr>
          </w:p>
        </w:tc>
      </w:tr>
      <w:tr w:rsidR="000910DF" w:rsidRPr="00935FCC" w14:paraId="6EDF4E66" w14:textId="77777777" w:rsidTr="004B1069">
        <w:tc>
          <w:tcPr>
            <w:tcW w:w="1075" w:type="dxa"/>
            <w:vMerge/>
            <w:tcBorders>
              <w:left w:val="single" w:sz="2" w:space="0" w:color="000000"/>
              <w:right w:val="single" w:sz="2" w:space="0" w:color="000000"/>
            </w:tcBorders>
          </w:tcPr>
          <w:p w14:paraId="5E24EF33" w14:textId="77777777" w:rsidR="005A1CC0" w:rsidRPr="00935FCC" w:rsidRDefault="005A1CC0" w:rsidP="001A0CEA">
            <w:pPr>
              <w:pStyle w:val="TableContents"/>
              <w:snapToGrid w:val="0"/>
              <w:rPr>
                <w:sz w:val="26"/>
                <w:szCs w:val="26"/>
              </w:rPr>
            </w:pPr>
          </w:p>
        </w:tc>
        <w:tc>
          <w:tcPr>
            <w:tcW w:w="2268" w:type="dxa"/>
            <w:gridSpan w:val="4"/>
            <w:tcBorders>
              <w:top w:val="dashSmallGap" w:sz="4" w:space="0" w:color="auto"/>
              <w:left w:val="single" w:sz="2" w:space="0" w:color="000000"/>
              <w:bottom w:val="single" w:sz="2" w:space="0" w:color="000000"/>
              <w:right w:val="single" w:sz="2" w:space="0" w:color="000000"/>
            </w:tcBorders>
          </w:tcPr>
          <w:p w14:paraId="49F95CC1" w14:textId="77777777" w:rsidR="005A1CC0" w:rsidRPr="00935FCC" w:rsidRDefault="005A1CC0" w:rsidP="001A0CEA">
            <w:pPr>
              <w:pStyle w:val="TableContents"/>
              <w:snapToGrid w:val="0"/>
              <w:ind w:firstLine="170"/>
              <w:rPr>
                <w:sz w:val="26"/>
                <w:szCs w:val="26"/>
              </w:rPr>
            </w:pPr>
            <w:r w:rsidRPr="00935FCC">
              <w:rPr>
                <w:sz w:val="26"/>
                <w:szCs w:val="26"/>
              </w:rPr>
              <w:t>otrais ievilkums</w:t>
            </w:r>
          </w:p>
        </w:tc>
        <w:tc>
          <w:tcPr>
            <w:tcW w:w="1903" w:type="dxa"/>
            <w:tcBorders>
              <w:top w:val="dashSmallGap" w:sz="4" w:space="0" w:color="auto"/>
              <w:left w:val="single" w:sz="2" w:space="0" w:color="000000"/>
              <w:bottom w:val="single" w:sz="2" w:space="0" w:color="000000"/>
              <w:right w:val="single" w:sz="2" w:space="0" w:color="000000"/>
            </w:tcBorders>
          </w:tcPr>
          <w:p w14:paraId="7E684129" w14:textId="77777777" w:rsidR="005A1CC0" w:rsidRPr="00935FCC" w:rsidRDefault="00CD3AFB" w:rsidP="001A0CEA">
            <w:pPr>
              <w:pStyle w:val="TableContents"/>
              <w:snapToGrid w:val="0"/>
              <w:rPr>
                <w:sz w:val="26"/>
                <w:szCs w:val="26"/>
              </w:rPr>
            </w:pPr>
            <w:r w:rsidRPr="00935FCC">
              <w:rPr>
                <w:bCs/>
                <w:sz w:val="26"/>
                <w:szCs w:val="26"/>
              </w:rPr>
              <w:t>Informatīva</w:t>
            </w:r>
            <w:r w:rsidR="00314584" w:rsidRPr="00935FCC">
              <w:rPr>
                <w:bCs/>
                <w:sz w:val="26"/>
                <w:szCs w:val="26"/>
              </w:rPr>
              <w:t xml:space="preserve"> atsauce</w:t>
            </w:r>
            <w:r w:rsidR="005A1CC0" w:rsidRPr="00935FCC">
              <w:rPr>
                <w:bCs/>
                <w:sz w:val="26"/>
                <w:szCs w:val="26"/>
              </w:rPr>
              <w:t xml:space="preserve"> uz Eiropas Savienības direktīv</w:t>
            </w:r>
            <w:r w:rsidR="00314584" w:rsidRPr="00935FCC">
              <w:rPr>
                <w:bCs/>
                <w:sz w:val="26"/>
                <w:szCs w:val="26"/>
              </w:rPr>
              <w:t>u</w:t>
            </w:r>
          </w:p>
        </w:tc>
        <w:tc>
          <w:tcPr>
            <w:tcW w:w="2634" w:type="dxa"/>
            <w:tcBorders>
              <w:top w:val="dashSmallGap" w:sz="4" w:space="0" w:color="auto"/>
              <w:left w:val="single" w:sz="2" w:space="0" w:color="000000"/>
              <w:bottom w:val="single" w:sz="2" w:space="0" w:color="000000"/>
              <w:right w:val="single" w:sz="2" w:space="0" w:color="000000"/>
            </w:tcBorders>
          </w:tcPr>
          <w:p w14:paraId="0098B510" w14:textId="77777777" w:rsidR="005A1CC0" w:rsidRPr="00935FCC" w:rsidRDefault="005A1CC0" w:rsidP="001A0CEA">
            <w:pPr>
              <w:pStyle w:val="TableContents"/>
              <w:snapToGrid w:val="0"/>
              <w:rPr>
                <w:sz w:val="26"/>
                <w:szCs w:val="26"/>
              </w:rPr>
            </w:pPr>
            <w:r w:rsidRPr="00935FCC">
              <w:rPr>
                <w:sz w:val="26"/>
                <w:szCs w:val="26"/>
              </w:rPr>
              <w:t>Atbilst pilnībā.</w:t>
            </w:r>
          </w:p>
        </w:tc>
        <w:tc>
          <w:tcPr>
            <w:tcW w:w="1336" w:type="dxa"/>
            <w:tcBorders>
              <w:top w:val="dashSmallGap" w:sz="4" w:space="0" w:color="auto"/>
              <w:left w:val="single" w:sz="2" w:space="0" w:color="000000"/>
              <w:bottom w:val="single" w:sz="2" w:space="0" w:color="000000"/>
              <w:right w:val="single" w:sz="2" w:space="0" w:color="000000"/>
            </w:tcBorders>
          </w:tcPr>
          <w:p w14:paraId="7D66E154" w14:textId="77777777" w:rsidR="005A1CC0" w:rsidRPr="00935FCC" w:rsidRDefault="005A1CC0" w:rsidP="001A0CEA">
            <w:pPr>
              <w:snapToGrid w:val="0"/>
              <w:jc w:val="both"/>
              <w:rPr>
                <w:sz w:val="26"/>
                <w:szCs w:val="26"/>
              </w:rPr>
            </w:pPr>
          </w:p>
        </w:tc>
      </w:tr>
      <w:tr w:rsidR="000910DF" w:rsidRPr="00935FCC" w14:paraId="03A38136" w14:textId="77777777" w:rsidTr="004B1069">
        <w:tc>
          <w:tcPr>
            <w:tcW w:w="1075" w:type="dxa"/>
            <w:vMerge/>
            <w:tcBorders>
              <w:left w:val="single" w:sz="2" w:space="0" w:color="000000"/>
              <w:bottom w:val="single" w:sz="2" w:space="0" w:color="000000"/>
              <w:right w:val="single" w:sz="2" w:space="0" w:color="000000"/>
            </w:tcBorders>
          </w:tcPr>
          <w:p w14:paraId="07CF803E" w14:textId="77777777" w:rsidR="005A1CC0" w:rsidRPr="00935FCC" w:rsidRDefault="005A1CC0" w:rsidP="001A0CEA">
            <w:pPr>
              <w:pStyle w:val="TableContents"/>
              <w:snapToGrid w:val="0"/>
              <w:rPr>
                <w:sz w:val="26"/>
                <w:szCs w:val="26"/>
              </w:rPr>
            </w:pPr>
          </w:p>
        </w:tc>
        <w:tc>
          <w:tcPr>
            <w:tcW w:w="2268" w:type="dxa"/>
            <w:gridSpan w:val="4"/>
            <w:tcBorders>
              <w:top w:val="single" w:sz="2" w:space="0" w:color="000000"/>
              <w:left w:val="single" w:sz="2" w:space="0" w:color="000000"/>
              <w:bottom w:val="single" w:sz="2" w:space="0" w:color="000000"/>
              <w:right w:val="single" w:sz="2" w:space="0" w:color="000000"/>
            </w:tcBorders>
          </w:tcPr>
          <w:p w14:paraId="3E776E44" w14:textId="77777777" w:rsidR="005A1CC0" w:rsidRPr="00935FCC" w:rsidRDefault="005A1CC0" w:rsidP="001A0CEA">
            <w:pPr>
              <w:pStyle w:val="TableContents"/>
              <w:snapToGrid w:val="0"/>
              <w:rPr>
                <w:sz w:val="26"/>
                <w:szCs w:val="26"/>
              </w:rPr>
            </w:pPr>
            <w:r w:rsidRPr="00935FCC">
              <w:rPr>
                <w:sz w:val="26"/>
                <w:szCs w:val="26"/>
              </w:rPr>
              <w:t>2.punkts</w:t>
            </w:r>
          </w:p>
        </w:tc>
        <w:tc>
          <w:tcPr>
            <w:tcW w:w="1903" w:type="dxa"/>
            <w:tcBorders>
              <w:top w:val="single" w:sz="2" w:space="0" w:color="000000"/>
              <w:left w:val="single" w:sz="2" w:space="0" w:color="000000"/>
              <w:bottom w:val="single" w:sz="2" w:space="0" w:color="000000"/>
              <w:right w:val="single" w:sz="2" w:space="0" w:color="000000"/>
            </w:tcBorders>
          </w:tcPr>
          <w:p w14:paraId="06CDF2D6" w14:textId="77777777" w:rsidR="005A1CC0" w:rsidRPr="00935FCC" w:rsidRDefault="005A1CC0" w:rsidP="001A0CEA">
            <w:pPr>
              <w:pStyle w:val="TableContents"/>
              <w:snapToGrid w:val="0"/>
              <w:rPr>
                <w:bCs/>
                <w:sz w:val="26"/>
                <w:szCs w:val="26"/>
              </w:rPr>
            </w:pPr>
            <w:r w:rsidRPr="00935FCC">
              <w:rPr>
                <w:bCs/>
                <w:sz w:val="26"/>
                <w:szCs w:val="26"/>
              </w:rPr>
              <w:t>Nav jāpārņem.</w:t>
            </w:r>
          </w:p>
        </w:tc>
        <w:tc>
          <w:tcPr>
            <w:tcW w:w="2634" w:type="dxa"/>
            <w:tcBorders>
              <w:top w:val="single" w:sz="2" w:space="0" w:color="000000"/>
              <w:left w:val="single" w:sz="2" w:space="0" w:color="000000"/>
              <w:bottom w:val="single" w:sz="2" w:space="0" w:color="000000"/>
              <w:right w:val="single" w:sz="2" w:space="0" w:color="000000"/>
            </w:tcBorders>
          </w:tcPr>
          <w:p w14:paraId="25E99DD6" w14:textId="77777777" w:rsidR="005A1CC0" w:rsidRPr="00935FCC" w:rsidRDefault="005A1CC0" w:rsidP="001A0CEA">
            <w:pPr>
              <w:pStyle w:val="TableContents"/>
              <w:snapToGrid w:val="0"/>
              <w:rPr>
                <w:sz w:val="26"/>
                <w:szCs w:val="26"/>
              </w:rPr>
            </w:pPr>
          </w:p>
        </w:tc>
        <w:tc>
          <w:tcPr>
            <w:tcW w:w="1336" w:type="dxa"/>
            <w:tcBorders>
              <w:top w:val="single" w:sz="2" w:space="0" w:color="000000"/>
              <w:left w:val="single" w:sz="2" w:space="0" w:color="000000"/>
              <w:bottom w:val="single" w:sz="2" w:space="0" w:color="000000"/>
              <w:right w:val="single" w:sz="2" w:space="0" w:color="000000"/>
            </w:tcBorders>
          </w:tcPr>
          <w:p w14:paraId="0E58E706" w14:textId="77777777" w:rsidR="005A1CC0" w:rsidRPr="00935FCC" w:rsidRDefault="005A1CC0" w:rsidP="001A0CEA">
            <w:pPr>
              <w:snapToGrid w:val="0"/>
              <w:jc w:val="both"/>
              <w:rPr>
                <w:sz w:val="26"/>
                <w:szCs w:val="26"/>
              </w:rPr>
            </w:pPr>
          </w:p>
        </w:tc>
      </w:tr>
      <w:tr w:rsidR="000910DF" w:rsidRPr="00935FCC" w14:paraId="20F91ED8" w14:textId="77777777" w:rsidTr="004B1069">
        <w:tc>
          <w:tcPr>
            <w:tcW w:w="3343" w:type="dxa"/>
            <w:gridSpan w:val="5"/>
            <w:tcBorders>
              <w:top w:val="single" w:sz="2" w:space="0" w:color="000000"/>
              <w:left w:val="single" w:sz="2" w:space="0" w:color="000000"/>
              <w:bottom w:val="single" w:sz="2" w:space="0" w:color="000000"/>
              <w:right w:val="single" w:sz="2" w:space="0" w:color="000000"/>
            </w:tcBorders>
          </w:tcPr>
          <w:p w14:paraId="32A0B8A7" w14:textId="77777777" w:rsidR="005A1CC0" w:rsidRPr="00935FCC" w:rsidRDefault="005A1CC0" w:rsidP="001A0CEA">
            <w:pPr>
              <w:pStyle w:val="TableContents"/>
              <w:snapToGrid w:val="0"/>
              <w:rPr>
                <w:sz w:val="26"/>
                <w:szCs w:val="26"/>
              </w:rPr>
            </w:pPr>
            <w:r w:rsidRPr="00935FCC">
              <w:rPr>
                <w:sz w:val="26"/>
                <w:szCs w:val="26"/>
              </w:rPr>
              <w:t>12.pants</w:t>
            </w:r>
          </w:p>
        </w:tc>
        <w:tc>
          <w:tcPr>
            <w:tcW w:w="1903" w:type="dxa"/>
            <w:tcBorders>
              <w:top w:val="single" w:sz="2" w:space="0" w:color="000000"/>
              <w:left w:val="single" w:sz="2" w:space="0" w:color="000000"/>
              <w:bottom w:val="single" w:sz="2" w:space="0" w:color="000000"/>
              <w:right w:val="single" w:sz="2" w:space="0" w:color="000000"/>
            </w:tcBorders>
          </w:tcPr>
          <w:p w14:paraId="5AD8B5CF" w14:textId="77777777" w:rsidR="005A1CC0" w:rsidRPr="00935FCC" w:rsidRDefault="005A1CC0" w:rsidP="001A0CEA">
            <w:pPr>
              <w:pStyle w:val="TableContents"/>
              <w:snapToGrid w:val="0"/>
              <w:rPr>
                <w:sz w:val="26"/>
                <w:szCs w:val="26"/>
              </w:rPr>
            </w:pPr>
            <w:r w:rsidRPr="00935FCC">
              <w:rPr>
                <w:sz w:val="26"/>
                <w:szCs w:val="26"/>
              </w:rPr>
              <w:t>Nav jāpārņem.</w:t>
            </w:r>
          </w:p>
        </w:tc>
        <w:tc>
          <w:tcPr>
            <w:tcW w:w="2634" w:type="dxa"/>
            <w:tcBorders>
              <w:top w:val="single" w:sz="2" w:space="0" w:color="000000"/>
              <w:left w:val="single" w:sz="2" w:space="0" w:color="000000"/>
              <w:bottom w:val="single" w:sz="2" w:space="0" w:color="000000"/>
              <w:right w:val="single" w:sz="2" w:space="0" w:color="000000"/>
            </w:tcBorders>
          </w:tcPr>
          <w:p w14:paraId="46C3A98E" w14:textId="77777777" w:rsidR="005A1CC0" w:rsidRPr="00935FCC" w:rsidRDefault="005A1CC0" w:rsidP="001A0CEA">
            <w:pPr>
              <w:snapToGrid w:val="0"/>
              <w:jc w:val="both"/>
              <w:rPr>
                <w:sz w:val="26"/>
                <w:szCs w:val="26"/>
              </w:rPr>
            </w:pPr>
          </w:p>
        </w:tc>
        <w:tc>
          <w:tcPr>
            <w:tcW w:w="1336" w:type="dxa"/>
            <w:tcBorders>
              <w:top w:val="single" w:sz="2" w:space="0" w:color="000000"/>
              <w:left w:val="single" w:sz="2" w:space="0" w:color="000000"/>
              <w:bottom w:val="single" w:sz="2" w:space="0" w:color="000000"/>
              <w:right w:val="single" w:sz="2" w:space="0" w:color="000000"/>
            </w:tcBorders>
          </w:tcPr>
          <w:p w14:paraId="5B4C80E1" w14:textId="77777777" w:rsidR="005A1CC0" w:rsidRPr="00935FCC" w:rsidRDefault="005A1CC0" w:rsidP="001A0CEA">
            <w:pPr>
              <w:snapToGrid w:val="0"/>
              <w:jc w:val="both"/>
              <w:rPr>
                <w:sz w:val="26"/>
                <w:szCs w:val="26"/>
              </w:rPr>
            </w:pPr>
          </w:p>
        </w:tc>
      </w:tr>
      <w:tr w:rsidR="000910DF" w:rsidRPr="00935FCC" w14:paraId="62262D75" w14:textId="77777777" w:rsidTr="004B1069">
        <w:tc>
          <w:tcPr>
            <w:tcW w:w="3343" w:type="dxa"/>
            <w:gridSpan w:val="5"/>
            <w:tcBorders>
              <w:top w:val="single" w:sz="2" w:space="0" w:color="000000"/>
              <w:left w:val="single" w:sz="2" w:space="0" w:color="000000"/>
              <w:bottom w:val="single" w:sz="2" w:space="0" w:color="000000"/>
              <w:right w:val="single" w:sz="2" w:space="0" w:color="000000"/>
            </w:tcBorders>
          </w:tcPr>
          <w:p w14:paraId="1020F58D" w14:textId="77777777" w:rsidR="005A1CC0" w:rsidRPr="00935FCC" w:rsidRDefault="005A1CC0" w:rsidP="001A0CEA">
            <w:pPr>
              <w:pStyle w:val="TableContents"/>
              <w:snapToGrid w:val="0"/>
              <w:rPr>
                <w:sz w:val="26"/>
                <w:szCs w:val="26"/>
              </w:rPr>
            </w:pPr>
            <w:r w:rsidRPr="00935FCC">
              <w:rPr>
                <w:sz w:val="26"/>
                <w:szCs w:val="26"/>
              </w:rPr>
              <w:t>13.pants</w:t>
            </w:r>
          </w:p>
        </w:tc>
        <w:tc>
          <w:tcPr>
            <w:tcW w:w="1903" w:type="dxa"/>
            <w:tcBorders>
              <w:top w:val="single" w:sz="2" w:space="0" w:color="000000"/>
              <w:left w:val="single" w:sz="2" w:space="0" w:color="000000"/>
              <w:bottom w:val="single" w:sz="2" w:space="0" w:color="000000"/>
              <w:right w:val="single" w:sz="2" w:space="0" w:color="000000"/>
            </w:tcBorders>
          </w:tcPr>
          <w:p w14:paraId="5B78D4B9" w14:textId="77777777" w:rsidR="005A1CC0" w:rsidRPr="00935FCC" w:rsidRDefault="005A1CC0" w:rsidP="001A0CEA">
            <w:pPr>
              <w:pStyle w:val="TableContents"/>
              <w:snapToGrid w:val="0"/>
              <w:rPr>
                <w:sz w:val="26"/>
                <w:szCs w:val="26"/>
              </w:rPr>
            </w:pPr>
            <w:r w:rsidRPr="00935FCC">
              <w:rPr>
                <w:sz w:val="26"/>
                <w:szCs w:val="26"/>
              </w:rPr>
              <w:t>Nav jāpārņem.</w:t>
            </w:r>
          </w:p>
        </w:tc>
        <w:tc>
          <w:tcPr>
            <w:tcW w:w="2634" w:type="dxa"/>
            <w:tcBorders>
              <w:top w:val="single" w:sz="2" w:space="0" w:color="000000"/>
              <w:left w:val="single" w:sz="2" w:space="0" w:color="000000"/>
              <w:bottom w:val="single" w:sz="2" w:space="0" w:color="000000"/>
              <w:right w:val="single" w:sz="2" w:space="0" w:color="000000"/>
            </w:tcBorders>
          </w:tcPr>
          <w:p w14:paraId="4585A761" w14:textId="77777777" w:rsidR="005A1CC0" w:rsidRPr="00935FCC" w:rsidRDefault="005A1CC0" w:rsidP="001A0CEA">
            <w:pPr>
              <w:snapToGrid w:val="0"/>
              <w:jc w:val="both"/>
              <w:rPr>
                <w:sz w:val="26"/>
                <w:szCs w:val="26"/>
              </w:rPr>
            </w:pPr>
          </w:p>
        </w:tc>
        <w:tc>
          <w:tcPr>
            <w:tcW w:w="1336" w:type="dxa"/>
            <w:tcBorders>
              <w:top w:val="single" w:sz="2" w:space="0" w:color="000000"/>
              <w:left w:val="single" w:sz="2" w:space="0" w:color="000000"/>
              <w:bottom w:val="single" w:sz="2" w:space="0" w:color="000000"/>
              <w:right w:val="single" w:sz="2" w:space="0" w:color="000000"/>
            </w:tcBorders>
          </w:tcPr>
          <w:p w14:paraId="33731CD7" w14:textId="77777777" w:rsidR="005A1CC0" w:rsidRPr="00935FCC" w:rsidRDefault="005A1CC0" w:rsidP="001A0CEA">
            <w:pPr>
              <w:snapToGrid w:val="0"/>
              <w:jc w:val="both"/>
              <w:rPr>
                <w:sz w:val="26"/>
                <w:szCs w:val="26"/>
              </w:rPr>
            </w:pPr>
          </w:p>
        </w:tc>
      </w:tr>
      <w:tr w:rsidR="000910DF" w:rsidRPr="00935FCC" w14:paraId="1814E31A" w14:textId="77777777" w:rsidTr="004B1069">
        <w:tc>
          <w:tcPr>
            <w:tcW w:w="1359" w:type="dxa"/>
            <w:gridSpan w:val="2"/>
            <w:vMerge w:val="restart"/>
            <w:tcBorders>
              <w:top w:val="single" w:sz="2" w:space="0" w:color="000000"/>
              <w:left w:val="single" w:sz="2" w:space="0" w:color="000000"/>
              <w:right w:val="single" w:sz="2" w:space="0" w:color="000000"/>
            </w:tcBorders>
          </w:tcPr>
          <w:p w14:paraId="6DAADB09" w14:textId="77777777" w:rsidR="00AD22BE" w:rsidRPr="00935FCC" w:rsidRDefault="00AD22BE" w:rsidP="001A0CEA">
            <w:pPr>
              <w:pStyle w:val="TableContents"/>
              <w:snapToGrid w:val="0"/>
              <w:rPr>
                <w:sz w:val="26"/>
                <w:szCs w:val="26"/>
              </w:rPr>
            </w:pPr>
            <w:r w:rsidRPr="00935FCC">
              <w:rPr>
                <w:sz w:val="26"/>
                <w:szCs w:val="26"/>
              </w:rPr>
              <w:t>1.pielikums</w:t>
            </w:r>
          </w:p>
        </w:tc>
        <w:tc>
          <w:tcPr>
            <w:tcW w:w="1984" w:type="dxa"/>
            <w:gridSpan w:val="3"/>
            <w:tcBorders>
              <w:top w:val="single" w:sz="2" w:space="0" w:color="000000"/>
              <w:left w:val="single" w:sz="2" w:space="0" w:color="000000"/>
              <w:bottom w:val="single" w:sz="2" w:space="0" w:color="000000"/>
              <w:right w:val="single" w:sz="2" w:space="0" w:color="000000"/>
            </w:tcBorders>
          </w:tcPr>
          <w:p w14:paraId="4EA1D9EF" w14:textId="77777777" w:rsidR="00AD22BE" w:rsidRPr="00935FCC" w:rsidRDefault="00AD22BE" w:rsidP="001A0CEA">
            <w:pPr>
              <w:pStyle w:val="TableContents"/>
              <w:snapToGrid w:val="0"/>
              <w:rPr>
                <w:sz w:val="26"/>
                <w:szCs w:val="26"/>
              </w:rPr>
            </w:pPr>
            <w:r w:rsidRPr="00935FCC">
              <w:rPr>
                <w:sz w:val="26"/>
                <w:szCs w:val="26"/>
              </w:rPr>
              <w:t>1.tabula</w:t>
            </w:r>
          </w:p>
        </w:tc>
        <w:tc>
          <w:tcPr>
            <w:tcW w:w="1903" w:type="dxa"/>
            <w:tcBorders>
              <w:top w:val="single" w:sz="2" w:space="0" w:color="000000"/>
              <w:left w:val="single" w:sz="2" w:space="0" w:color="000000"/>
              <w:bottom w:val="single" w:sz="2" w:space="0" w:color="000000"/>
              <w:right w:val="single" w:sz="2" w:space="0" w:color="000000"/>
            </w:tcBorders>
          </w:tcPr>
          <w:p w14:paraId="323294CB" w14:textId="77777777" w:rsidR="00AD22BE" w:rsidRPr="00935FCC" w:rsidRDefault="0063073B" w:rsidP="001A0CEA">
            <w:pPr>
              <w:pStyle w:val="TableContents"/>
              <w:snapToGrid w:val="0"/>
              <w:rPr>
                <w:sz w:val="26"/>
                <w:szCs w:val="26"/>
              </w:rPr>
            </w:pPr>
            <w:r w:rsidRPr="00935FCC">
              <w:rPr>
                <w:sz w:val="26"/>
                <w:szCs w:val="26"/>
              </w:rPr>
              <w:t>Pielikuma 2</w:t>
            </w:r>
            <w:r w:rsidR="00AD22BE" w:rsidRPr="00935FCC">
              <w:rPr>
                <w:sz w:val="26"/>
                <w:szCs w:val="26"/>
              </w:rPr>
              <w:t>.tabula</w:t>
            </w:r>
          </w:p>
        </w:tc>
        <w:tc>
          <w:tcPr>
            <w:tcW w:w="2634" w:type="dxa"/>
            <w:tcBorders>
              <w:top w:val="single" w:sz="2" w:space="0" w:color="000000"/>
              <w:left w:val="single" w:sz="2" w:space="0" w:color="000000"/>
              <w:bottom w:val="single" w:sz="2" w:space="0" w:color="000000"/>
              <w:right w:val="single" w:sz="2" w:space="0" w:color="000000"/>
            </w:tcBorders>
          </w:tcPr>
          <w:p w14:paraId="598309F5" w14:textId="77777777" w:rsidR="00AD22BE" w:rsidRPr="00935FCC" w:rsidRDefault="00AD22BE" w:rsidP="00203061">
            <w:pPr>
              <w:snapToGrid w:val="0"/>
              <w:rPr>
                <w:sz w:val="26"/>
                <w:szCs w:val="26"/>
              </w:rPr>
            </w:pPr>
            <w:r w:rsidRPr="00935FCC">
              <w:rPr>
                <w:sz w:val="26"/>
                <w:szCs w:val="26"/>
              </w:rPr>
              <w:t>Atbilst pilnībā.</w:t>
            </w:r>
            <w:r w:rsidR="002323BC" w:rsidRPr="00935FCC">
              <w:rPr>
                <w:sz w:val="26"/>
                <w:szCs w:val="26"/>
              </w:rPr>
              <w:t xml:space="preserve"> </w:t>
            </w:r>
          </w:p>
        </w:tc>
        <w:tc>
          <w:tcPr>
            <w:tcW w:w="1336" w:type="dxa"/>
            <w:tcBorders>
              <w:top w:val="single" w:sz="2" w:space="0" w:color="000000"/>
              <w:left w:val="single" w:sz="2" w:space="0" w:color="000000"/>
              <w:bottom w:val="single" w:sz="2" w:space="0" w:color="000000"/>
              <w:right w:val="single" w:sz="2" w:space="0" w:color="000000"/>
            </w:tcBorders>
          </w:tcPr>
          <w:p w14:paraId="1321F085" w14:textId="77777777" w:rsidR="00AD22BE" w:rsidRPr="00935FCC" w:rsidRDefault="000D771A" w:rsidP="001A0CEA">
            <w:pPr>
              <w:snapToGrid w:val="0"/>
              <w:jc w:val="both"/>
              <w:rPr>
                <w:sz w:val="26"/>
                <w:szCs w:val="26"/>
              </w:rPr>
            </w:pPr>
            <w:r w:rsidRPr="00935FCC">
              <w:rPr>
                <w:sz w:val="26"/>
                <w:szCs w:val="26"/>
              </w:rPr>
              <w:t>Neparedz stingrākas prasības.</w:t>
            </w:r>
          </w:p>
        </w:tc>
      </w:tr>
      <w:tr w:rsidR="000910DF" w:rsidRPr="00935FCC" w14:paraId="4286987E" w14:textId="77777777" w:rsidTr="004B1069">
        <w:tc>
          <w:tcPr>
            <w:tcW w:w="1359" w:type="dxa"/>
            <w:gridSpan w:val="2"/>
            <w:vMerge/>
            <w:tcBorders>
              <w:left w:val="single" w:sz="2" w:space="0" w:color="000000"/>
              <w:right w:val="single" w:sz="2" w:space="0" w:color="000000"/>
            </w:tcBorders>
          </w:tcPr>
          <w:p w14:paraId="74592C8A" w14:textId="77777777" w:rsidR="00AD22BE" w:rsidRPr="00935FCC" w:rsidRDefault="00AD22BE" w:rsidP="001A0CEA">
            <w:pPr>
              <w:pStyle w:val="TableContents"/>
              <w:snapToGrid w:val="0"/>
              <w:rPr>
                <w:sz w:val="26"/>
                <w:szCs w:val="26"/>
              </w:rPr>
            </w:pPr>
          </w:p>
        </w:tc>
        <w:tc>
          <w:tcPr>
            <w:tcW w:w="1984" w:type="dxa"/>
            <w:gridSpan w:val="3"/>
            <w:tcBorders>
              <w:top w:val="single" w:sz="2" w:space="0" w:color="000000"/>
              <w:left w:val="single" w:sz="2" w:space="0" w:color="000000"/>
              <w:bottom w:val="single" w:sz="2" w:space="0" w:color="000000"/>
              <w:right w:val="single" w:sz="2" w:space="0" w:color="000000"/>
            </w:tcBorders>
          </w:tcPr>
          <w:p w14:paraId="1C0EB102" w14:textId="77777777" w:rsidR="00AD22BE" w:rsidRPr="00935FCC" w:rsidRDefault="00AD22BE" w:rsidP="001A0CEA">
            <w:pPr>
              <w:pStyle w:val="TableContents"/>
              <w:snapToGrid w:val="0"/>
              <w:rPr>
                <w:sz w:val="26"/>
                <w:szCs w:val="26"/>
              </w:rPr>
            </w:pPr>
            <w:r w:rsidRPr="00935FCC">
              <w:rPr>
                <w:sz w:val="26"/>
                <w:szCs w:val="26"/>
              </w:rPr>
              <w:t>2.tabula</w:t>
            </w:r>
          </w:p>
        </w:tc>
        <w:tc>
          <w:tcPr>
            <w:tcW w:w="1903" w:type="dxa"/>
            <w:tcBorders>
              <w:top w:val="single" w:sz="2" w:space="0" w:color="000000"/>
              <w:left w:val="single" w:sz="2" w:space="0" w:color="000000"/>
              <w:bottom w:val="single" w:sz="2" w:space="0" w:color="000000"/>
              <w:right w:val="single" w:sz="2" w:space="0" w:color="000000"/>
            </w:tcBorders>
          </w:tcPr>
          <w:p w14:paraId="7AA94B67" w14:textId="77777777" w:rsidR="00AD22BE" w:rsidRPr="00935FCC" w:rsidRDefault="0063073B" w:rsidP="001A0CEA">
            <w:pPr>
              <w:pStyle w:val="TableContents"/>
              <w:snapToGrid w:val="0"/>
              <w:rPr>
                <w:sz w:val="26"/>
                <w:szCs w:val="26"/>
              </w:rPr>
            </w:pPr>
            <w:r w:rsidRPr="00935FCC">
              <w:rPr>
                <w:sz w:val="26"/>
                <w:szCs w:val="26"/>
              </w:rPr>
              <w:t>Pielikuma 3</w:t>
            </w:r>
            <w:r w:rsidR="00AD22BE" w:rsidRPr="00935FCC">
              <w:rPr>
                <w:sz w:val="26"/>
                <w:szCs w:val="26"/>
              </w:rPr>
              <w:t>.tabula</w:t>
            </w:r>
          </w:p>
        </w:tc>
        <w:tc>
          <w:tcPr>
            <w:tcW w:w="2634" w:type="dxa"/>
            <w:tcBorders>
              <w:top w:val="single" w:sz="2" w:space="0" w:color="000000"/>
              <w:left w:val="single" w:sz="2" w:space="0" w:color="000000"/>
              <w:bottom w:val="single" w:sz="2" w:space="0" w:color="000000"/>
              <w:right w:val="single" w:sz="2" w:space="0" w:color="000000"/>
            </w:tcBorders>
          </w:tcPr>
          <w:p w14:paraId="4BBE98AA" w14:textId="77777777" w:rsidR="00AD22BE" w:rsidRPr="00935FCC" w:rsidRDefault="00A808D2" w:rsidP="00203061">
            <w:pPr>
              <w:snapToGrid w:val="0"/>
              <w:rPr>
                <w:sz w:val="26"/>
                <w:szCs w:val="26"/>
              </w:rPr>
            </w:pPr>
            <w:r w:rsidRPr="00935FCC">
              <w:rPr>
                <w:sz w:val="26"/>
                <w:szCs w:val="26"/>
              </w:rPr>
              <w:t xml:space="preserve">Atbilst pilnībā. </w:t>
            </w:r>
          </w:p>
        </w:tc>
        <w:tc>
          <w:tcPr>
            <w:tcW w:w="1336" w:type="dxa"/>
            <w:tcBorders>
              <w:top w:val="single" w:sz="2" w:space="0" w:color="000000"/>
              <w:left w:val="single" w:sz="2" w:space="0" w:color="000000"/>
              <w:bottom w:val="single" w:sz="2" w:space="0" w:color="000000"/>
              <w:right w:val="single" w:sz="2" w:space="0" w:color="000000"/>
            </w:tcBorders>
          </w:tcPr>
          <w:p w14:paraId="69F3A179" w14:textId="77777777" w:rsidR="00AD22BE" w:rsidRPr="00935FCC" w:rsidRDefault="000D771A" w:rsidP="001A0CEA">
            <w:pPr>
              <w:snapToGrid w:val="0"/>
              <w:jc w:val="both"/>
              <w:rPr>
                <w:sz w:val="26"/>
                <w:szCs w:val="26"/>
              </w:rPr>
            </w:pPr>
            <w:r w:rsidRPr="00935FCC">
              <w:rPr>
                <w:sz w:val="26"/>
                <w:szCs w:val="26"/>
              </w:rPr>
              <w:t>Neparedz stingrākas prasības.</w:t>
            </w:r>
          </w:p>
        </w:tc>
      </w:tr>
      <w:tr w:rsidR="000910DF" w:rsidRPr="00935FCC" w14:paraId="1E601581" w14:textId="77777777" w:rsidTr="004B1069">
        <w:tc>
          <w:tcPr>
            <w:tcW w:w="1359" w:type="dxa"/>
            <w:gridSpan w:val="2"/>
            <w:vMerge/>
            <w:tcBorders>
              <w:left w:val="single" w:sz="2" w:space="0" w:color="000000"/>
              <w:bottom w:val="single" w:sz="2" w:space="0" w:color="000000"/>
              <w:right w:val="single" w:sz="2" w:space="0" w:color="000000"/>
            </w:tcBorders>
          </w:tcPr>
          <w:p w14:paraId="4094E514" w14:textId="77777777" w:rsidR="00AD22BE" w:rsidRPr="00935FCC" w:rsidRDefault="00AD22BE" w:rsidP="001A0CEA">
            <w:pPr>
              <w:pStyle w:val="TableContents"/>
              <w:snapToGrid w:val="0"/>
              <w:rPr>
                <w:sz w:val="26"/>
                <w:szCs w:val="26"/>
              </w:rPr>
            </w:pPr>
          </w:p>
        </w:tc>
        <w:tc>
          <w:tcPr>
            <w:tcW w:w="1984" w:type="dxa"/>
            <w:gridSpan w:val="3"/>
            <w:tcBorders>
              <w:top w:val="single" w:sz="2" w:space="0" w:color="000000"/>
              <w:left w:val="single" w:sz="2" w:space="0" w:color="000000"/>
              <w:bottom w:val="single" w:sz="2" w:space="0" w:color="000000"/>
              <w:right w:val="single" w:sz="2" w:space="0" w:color="000000"/>
            </w:tcBorders>
          </w:tcPr>
          <w:p w14:paraId="2B24F8CC" w14:textId="77777777" w:rsidR="00AD22BE" w:rsidRPr="00935FCC" w:rsidRDefault="00AD22BE" w:rsidP="001A0CEA">
            <w:pPr>
              <w:pStyle w:val="TableContents"/>
              <w:snapToGrid w:val="0"/>
              <w:rPr>
                <w:sz w:val="26"/>
                <w:szCs w:val="26"/>
              </w:rPr>
            </w:pPr>
            <w:r w:rsidRPr="00935FCC">
              <w:rPr>
                <w:sz w:val="26"/>
                <w:szCs w:val="26"/>
              </w:rPr>
              <w:t>3.tabula</w:t>
            </w:r>
          </w:p>
        </w:tc>
        <w:tc>
          <w:tcPr>
            <w:tcW w:w="1903" w:type="dxa"/>
            <w:tcBorders>
              <w:top w:val="single" w:sz="2" w:space="0" w:color="000000"/>
              <w:left w:val="single" w:sz="2" w:space="0" w:color="000000"/>
              <w:bottom w:val="single" w:sz="2" w:space="0" w:color="000000"/>
              <w:right w:val="single" w:sz="2" w:space="0" w:color="000000"/>
            </w:tcBorders>
          </w:tcPr>
          <w:p w14:paraId="44697D5B" w14:textId="77777777" w:rsidR="00AD22BE" w:rsidRPr="00935FCC" w:rsidRDefault="0063073B" w:rsidP="001A0CEA">
            <w:pPr>
              <w:pStyle w:val="TableContents"/>
              <w:snapToGrid w:val="0"/>
              <w:rPr>
                <w:sz w:val="26"/>
                <w:szCs w:val="26"/>
              </w:rPr>
            </w:pPr>
            <w:r w:rsidRPr="00935FCC">
              <w:rPr>
                <w:sz w:val="26"/>
                <w:szCs w:val="26"/>
              </w:rPr>
              <w:t>Pielikuma 1</w:t>
            </w:r>
            <w:r w:rsidR="00AD22BE" w:rsidRPr="00935FCC">
              <w:rPr>
                <w:sz w:val="26"/>
                <w:szCs w:val="26"/>
              </w:rPr>
              <w:t>.tabula</w:t>
            </w:r>
          </w:p>
        </w:tc>
        <w:tc>
          <w:tcPr>
            <w:tcW w:w="2634" w:type="dxa"/>
            <w:tcBorders>
              <w:top w:val="single" w:sz="2" w:space="0" w:color="000000"/>
              <w:left w:val="single" w:sz="2" w:space="0" w:color="000000"/>
              <w:bottom w:val="single" w:sz="2" w:space="0" w:color="000000"/>
              <w:right w:val="single" w:sz="2" w:space="0" w:color="000000"/>
            </w:tcBorders>
          </w:tcPr>
          <w:p w14:paraId="1DFADE55" w14:textId="77777777" w:rsidR="00AD22BE" w:rsidRPr="00935FCC" w:rsidRDefault="00A808D2" w:rsidP="00203061">
            <w:pPr>
              <w:snapToGrid w:val="0"/>
              <w:rPr>
                <w:sz w:val="26"/>
                <w:szCs w:val="26"/>
              </w:rPr>
            </w:pPr>
            <w:r w:rsidRPr="00935FCC">
              <w:rPr>
                <w:sz w:val="26"/>
                <w:szCs w:val="26"/>
              </w:rPr>
              <w:t xml:space="preserve">Atbilst pilnībā. </w:t>
            </w:r>
          </w:p>
        </w:tc>
        <w:tc>
          <w:tcPr>
            <w:tcW w:w="1336" w:type="dxa"/>
            <w:tcBorders>
              <w:top w:val="single" w:sz="2" w:space="0" w:color="000000"/>
              <w:left w:val="single" w:sz="2" w:space="0" w:color="000000"/>
              <w:bottom w:val="single" w:sz="2" w:space="0" w:color="000000"/>
              <w:right w:val="single" w:sz="2" w:space="0" w:color="000000"/>
            </w:tcBorders>
          </w:tcPr>
          <w:p w14:paraId="3C30274A" w14:textId="77777777" w:rsidR="00AD22BE" w:rsidRPr="00935FCC" w:rsidRDefault="000D771A" w:rsidP="001A0CEA">
            <w:pPr>
              <w:snapToGrid w:val="0"/>
              <w:jc w:val="both"/>
              <w:rPr>
                <w:sz w:val="26"/>
                <w:szCs w:val="26"/>
              </w:rPr>
            </w:pPr>
            <w:r w:rsidRPr="00935FCC">
              <w:rPr>
                <w:sz w:val="26"/>
                <w:szCs w:val="26"/>
              </w:rPr>
              <w:t>Neparedz stingrākas prasības.</w:t>
            </w:r>
          </w:p>
        </w:tc>
      </w:tr>
      <w:tr w:rsidR="000910DF" w:rsidRPr="00935FCC" w14:paraId="6847CA0A" w14:textId="77777777" w:rsidTr="004B1069">
        <w:tc>
          <w:tcPr>
            <w:tcW w:w="3201" w:type="dxa"/>
            <w:gridSpan w:val="4"/>
            <w:tcBorders>
              <w:left w:val="single" w:sz="1" w:space="0" w:color="000000"/>
              <w:bottom w:val="single" w:sz="1" w:space="0" w:color="000000"/>
            </w:tcBorders>
          </w:tcPr>
          <w:p w14:paraId="77734D61" w14:textId="77777777" w:rsidR="005A1CC0" w:rsidRPr="00935FCC" w:rsidRDefault="005A1CC0" w:rsidP="008F32D8">
            <w:pPr>
              <w:snapToGrid w:val="0"/>
              <w:rPr>
                <w:sz w:val="26"/>
                <w:szCs w:val="26"/>
              </w:rPr>
            </w:pPr>
            <w:r w:rsidRPr="00935FCC">
              <w:rPr>
                <w:sz w:val="26"/>
                <w:szCs w:val="26"/>
              </w:rPr>
              <w:t>Kā ir izmantota Eiropas Savienības tiesību aktā paredzētā rīcības brīvība dalībvalstij pārņemt vai ieviest noteiktas Eiropas Savienības tiesību akta normas? Kādēļ?</w:t>
            </w:r>
          </w:p>
        </w:tc>
        <w:tc>
          <w:tcPr>
            <w:tcW w:w="6015" w:type="dxa"/>
            <w:gridSpan w:val="4"/>
            <w:tcBorders>
              <w:left w:val="single" w:sz="1" w:space="0" w:color="000000"/>
              <w:bottom w:val="single" w:sz="1" w:space="0" w:color="000000"/>
              <w:right w:val="single" w:sz="1" w:space="0" w:color="000000"/>
            </w:tcBorders>
          </w:tcPr>
          <w:p w14:paraId="1D6C8C1C" w14:textId="5FC917B7" w:rsidR="00DD6B06" w:rsidRPr="00935FCC" w:rsidRDefault="00FF44B5" w:rsidP="005A44C6">
            <w:pPr>
              <w:pStyle w:val="TableContents"/>
              <w:snapToGrid w:val="0"/>
              <w:ind w:left="50"/>
              <w:jc w:val="both"/>
              <w:rPr>
                <w:sz w:val="26"/>
                <w:szCs w:val="26"/>
              </w:rPr>
            </w:pPr>
            <w:r w:rsidRPr="00935FCC">
              <w:rPr>
                <w:sz w:val="26"/>
                <w:szCs w:val="26"/>
              </w:rPr>
              <w:t xml:space="preserve">Direktīvas </w:t>
            </w:r>
            <w:r w:rsidR="00ED2A49" w:rsidRPr="00935FCC">
              <w:rPr>
                <w:sz w:val="26"/>
                <w:szCs w:val="26"/>
              </w:rPr>
              <w:t xml:space="preserve">2009/33/EK </w:t>
            </w:r>
            <w:r w:rsidRPr="00935FCC">
              <w:rPr>
                <w:sz w:val="26"/>
                <w:szCs w:val="26"/>
              </w:rPr>
              <w:t xml:space="preserve">2.pantā </w:t>
            </w:r>
            <w:r w:rsidR="00ED2A49" w:rsidRPr="00935FCC">
              <w:rPr>
                <w:sz w:val="26"/>
                <w:szCs w:val="26"/>
              </w:rPr>
              <w:t xml:space="preserve">dalībvalstij </w:t>
            </w:r>
            <w:r w:rsidRPr="00935FCC">
              <w:rPr>
                <w:sz w:val="26"/>
                <w:szCs w:val="26"/>
              </w:rPr>
              <w:t>ir dota izvēles iespēja noteikt</w:t>
            </w:r>
            <w:r w:rsidR="004E3737" w:rsidRPr="00935FCC">
              <w:rPr>
                <w:sz w:val="26"/>
                <w:szCs w:val="26"/>
              </w:rPr>
              <w:t xml:space="preserve"> </w:t>
            </w:r>
            <w:r w:rsidRPr="00935FCC">
              <w:rPr>
                <w:sz w:val="26"/>
                <w:szCs w:val="26"/>
              </w:rPr>
              <w:t xml:space="preserve">atvieglojumus direktīvā </w:t>
            </w:r>
            <w:r w:rsidR="00AC1F35" w:rsidRPr="00935FCC">
              <w:rPr>
                <w:sz w:val="26"/>
                <w:szCs w:val="26"/>
              </w:rPr>
              <w:t>ietverto</w:t>
            </w:r>
            <w:r w:rsidRPr="00935FCC">
              <w:rPr>
                <w:sz w:val="26"/>
                <w:szCs w:val="26"/>
              </w:rPr>
              <w:t xml:space="preserve"> prasību piemērošanai noteiktām </w:t>
            </w:r>
            <w:r w:rsidR="005A44C6">
              <w:rPr>
                <w:sz w:val="26"/>
                <w:szCs w:val="26"/>
              </w:rPr>
              <w:t>auto</w:t>
            </w:r>
            <w:r w:rsidRPr="00935FCC">
              <w:rPr>
                <w:sz w:val="26"/>
                <w:szCs w:val="26"/>
              </w:rPr>
              <w:t>transport</w:t>
            </w:r>
            <w:r w:rsidR="005A44C6">
              <w:rPr>
                <w:sz w:val="26"/>
                <w:szCs w:val="26"/>
              </w:rPr>
              <w:t xml:space="preserve">a </w:t>
            </w:r>
            <w:r w:rsidRPr="00935FCC">
              <w:rPr>
                <w:sz w:val="26"/>
                <w:szCs w:val="26"/>
              </w:rPr>
              <w:t>līdzekļu kategorijām</w:t>
            </w:r>
            <w:r w:rsidR="00DD6B06" w:rsidRPr="00935FCC">
              <w:rPr>
                <w:sz w:val="26"/>
                <w:szCs w:val="26"/>
              </w:rPr>
              <w:t>.</w:t>
            </w:r>
            <w:r w:rsidRPr="00935FCC">
              <w:rPr>
                <w:sz w:val="26"/>
                <w:szCs w:val="26"/>
              </w:rPr>
              <w:t xml:space="preserve"> </w:t>
            </w:r>
            <w:r w:rsidR="00DD6B06" w:rsidRPr="00935FCC">
              <w:rPr>
                <w:sz w:val="26"/>
                <w:szCs w:val="26"/>
              </w:rPr>
              <w:t>Ņemot vērā di</w:t>
            </w:r>
            <w:r w:rsidR="00DE2889">
              <w:rPr>
                <w:sz w:val="26"/>
                <w:szCs w:val="26"/>
              </w:rPr>
              <w:t>rektīvas 2007/46/EK 2. panta 3.</w:t>
            </w:r>
            <w:r w:rsidR="00DD6B06" w:rsidRPr="00935FCC">
              <w:rPr>
                <w:sz w:val="26"/>
                <w:szCs w:val="26"/>
              </w:rPr>
              <w:t xml:space="preserve">punktā un Ministru kabineta 2009.gada 22.decembra noteikumu </w:t>
            </w:r>
            <w:r w:rsidR="004B1069">
              <w:rPr>
                <w:sz w:val="26"/>
                <w:szCs w:val="26"/>
              </w:rPr>
              <w:t>Nr. </w:t>
            </w:r>
            <w:r w:rsidR="00DD6B06" w:rsidRPr="00935FCC">
              <w:rPr>
                <w:sz w:val="26"/>
                <w:szCs w:val="26"/>
              </w:rPr>
              <w:t xml:space="preserve">1494 „Mopēdu, mehānisko transportlīdzekļu, to piekabju un sastāvdaļu atbilstības novērtēšanas noteikumi” 3.punktā minēto, tiek noteikts, ka </w:t>
            </w:r>
            <w:r w:rsidR="000D448E" w:rsidRPr="00935FCC">
              <w:rPr>
                <w:sz w:val="26"/>
                <w:szCs w:val="26"/>
              </w:rPr>
              <w:t>PIL</w:t>
            </w:r>
            <w:r w:rsidR="00DD6B06" w:rsidRPr="00935FCC">
              <w:rPr>
                <w:sz w:val="26"/>
                <w:szCs w:val="26"/>
              </w:rPr>
              <w:t xml:space="preserve"> </w:t>
            </w:r>
            <w:r w:rsidR="00A65757" w:rsidRPr="00935FCC">
              <w:rPr>
                <w:sz w:val="26"/>
                <w:szCs w:val="26"/>
              </w:rPr>
              <w:t>54.</w:t>
            </w:r>
            <w:r w:rsidR="00DD6B06" w:rsidRPr="00935FCC">
              <w:rPr>
                <w:sz w:val="26"/>
                <w:szCs w:val="26"/>
              </w:rPr>
              <w:t xml:space="preserve">pantā un </w:t>
            </w:r>
            <w:r w:rsidR="000D448E" w:rsidRPr="00935FCC">
              <w:rPr>
                <w:sz w:val="26"/>
                <w:szCs w:val="26"/>
              </w:rPr>
              <w:t>SPSIL</w:t>
            </w:r>
            <w:r w:rsidR="00A65757" w:rsidRPr="00935FCC">
              <w:rPr>
                <w:sz w:val="26"/>
                <w:szCs w:val="26"/>
              </w:rPr>
              <w:t xml:space="preserve"> 21.</w:t>
            </w:r>
            <w:r w:rsidR="00DD6B06" w:rsidRPr="00935FCC">
              <w:rPr>
                <w:sz w:val="26"/>
                <w:szCs w:val="26"/>
              </w:rPr>
              <w:t xml:space="preserve">pantā minētās prasības nepiemēro 3.8., 3.9. un 3.15.apakšpunktā minēto </w:t>
            </w:r>
            <w:r w:rsidR="005A44C6">
              <w:rPr>
                <w:sz w:val="26"/>
                <w:szCs w:val="26"/>
              </w:rPr>
              <w:t>auto</w:t>
            </w:r>
            <w:r w:rsidR="00DD6B06" w:rsidRPr="00935FCC">
              <w:rPr>
                <w:sz w:val="26"/>
                <w:szCs w:val="26"/>
              </w:rPr>
              <w:t>transport</w:t>
            </w:r>
            <w:r w:rsidR="005A44C6">
              <w:rPr>
                <w:sz w:val="26"/>
                <w:szCs w:val="26"/>
              </w:rPr>
              <w:t xml:space="preserve">a </w:t>
            </w:r>
            <w:r w:rsidR="00DD6B06" w:rsidRPr="00935FCC">
              <w:rPr>
                <w:sz w:val="26"/>
                <w:szCs w:val="26"/>
              </w:rPr>
              <w:t>līdzekļu iepirkumiem.</w:t>
            </w:r>
            <w:r w:rsidRPr="00935FCC">
              <w:rPr>
                <w:sz w:val="26"/>
                <w:szCs w:val="26"/>
              </w:rPr>
              <w:t xml:space="preserve"> Tas tika </w:t>
            </w:r>
            <w:r w:rsidR="00F9269E" w:rsidRPr="00935FCC">
              <w:rPr>
                <w:sz w:val="26"/>
                <w:szCs w:val="26"/>
              </w:rPr>
              <w:t>paredzēts nolūkā izvairīties no nevajadzīga administratīvā sloga</w:t>
            </w:r>
            <w:r w:rsidRPr="00935FCC">
              <w:rPr>
                <w:sz w:val="26"/>
                <w:szCs w:val="26"/>
              </w:rPr>
              <w:t xml:space="preserve">, </w:t>
            </w:r>
            <w:r w:rsidR="00F9269E" w:rsidRPr="00935FCC">
              <w:rPr>
                <w:sz w:val="26"/>
                <w:szCs w:val="26"/>
              </w:rPr>
              <w:t xml:space="preserve">pērkot </w:t>
            </w:r>
            <w:r w:rsidR="005A44C6">
              <w:rPr>
                <w:sz w:val="26"/>
                <w:szCs w:val="26"/>
              </w:rPr>
              <w:t>auto</w:t>
            </w:r>
            <w:r w:rsidRPr="00935FCC">
              <w:rPr>
                <w:sz w:val="26"/>
                <w:szCs w:val="26"/>
              </w:rPr>
              <w:t>transport</w:t>
            </w:r>
            <w:r w:rsidR="005A44C6">
              <w:rPr>
                <w:sz w:val="26"/>
                <w:szCs w:val="26"/>
              </w:rPr>
              <w:t xml:space="preserve">a </w:t>
            </w:r>
            <w:r w:rsidRPr="00935FCC">
              <w:rPr>
                <w:sz w:val="26"/>
                <w:szCs w:val="26"/>
              </w:rPr>
              <w:t>līdzekļu</w:t>
            </w:r>
            <w:r w:rsidR="00F9269E" w:rsidRPr="00935FCC">
              <w:rPr>
                <w:sz w:val="26"/>
                <w:szCs w:val="26"/>
              </w:rPr>
              <w:t>s, kuriem ir specifisks lietojums</w:t>
            </w:r>
            <w:r w:rsidRPr="00935FCC">
              <w:rPr>
                <w:sz w:val="26"/>
                <w:szCs w:val="26"/>
              </w:rPr>
              <w:t>.</w:t>
            </w:r>
          </w:p>
        </w:tc>
      </w:tr>
      <w:tr w:rsidR="000910DF" w:rsidRPr="00935FCC" w14:paraId="4412CA8D" w14:textId="77777777" w:rsidTr="004B1069">
        <w:tc>
          <w:tcPr>
            <w:tcW w:w="3201" w:type="dxa"/>
            <w:gridSpan w:val="4"/>
            <w:tcBorders>
              <w:top w:val="single" w:sz="4" w:space="0" w:color="auto"/>
              <w:left w:val="single" w:sz="2" w:space="0" w:color="000000"/>
              <w:bottom w:val="single" w:sz="2" w:space="0" w:color="000000"/>
              <w:right w:val="single" w:sz="2" w:space="0" w:color="000000"/>
            </w:tcBorders>
          </w:tcPr>
          <w:p w14:paraId="251EC07E" w14:textId="77777777" w:rsidR="005A1CC0" w:rsidRPr="00935FCC" w:rsidRDefault="00333A2D" w:rsidP="00B30EF3">
            <w:pPr>
              <w:snapToGrid w:val="0"/>
              <w:rPr>
                <w:sz w:val="26"/>
                <w:szCs w:val="26"/>
              </w:rPr>
            </w:pPr>
            <w:r w:rsidRPr="00935FCC">
              <w:rPr>
                <w:sz w:val="26"/>
                <w:szCs w:val="26"/>
              </w:rPr>
              <w:br w:type="page"/>
            </w:r>
            <w:r w:rsidR="005A1CC0" w:rsidRPr="00935FCC">
              <w:rPr>
                <w:sz w:val="26"/>
                <w:szCs w:val="26"/>
              </w:rPr>
              <w:t xml:space="preserve">Saistības sniegt paziņojumu Eiropas Savienības institūcijām </w:t>
            </w:r>
            <w:r w:rsidR="00771B49" w:rsidRPr="00935FCC">
              <w:rPr>
                <w:sz w:val="26"/>
                <w:szCs w:val="26"/>
              </w:rPr>
              <w:t xml:space="preserve">un Eiropas Savienības dalībvalstīm </w:t>
            </w:r>
            <w:r w:rsidR="005A1CC0" w:rsidRPr="00935FCC">
              <w:rPr>
                <w:sz w:val="26"/>
                <w:szCs w:val="26"/>
              </w:rPr>
              <w:t xml:space="preserve">atbilstoši normatīvajiem aktiem, kas regulē </w:t>
            </w:r>
            <w:r w:rsidR="005A1CC0" w:rsidRPr="00935FCC">
              <w:rPr>
                <w:sz w:val="26"/>
                <w:szCs w:val="26"/>
              </w:rPr>
              <w:lastRenderedPageBreak/>
              <w:t>informācijas sniegšanu par tehnisko noteikumu, valsts atbalsta piešķiršanas un finanšu noteikumu (attiecībā uz monetāro politiku) projektiem</w:t>
            </w:r>
          </w:p>
        </w:tc>
        <w:tc>
          <w:tcPr>
            <w:tcW w:w="6015" w:type="dxa"/>
            <w:gridSpan w:val="4"/>
            <w:tcBorders>
              <w:top w:val="single" w:sz="4" w:space="0" w:color="auto"/>
              <w:left w:val="single" w:sz="2" w:space="0" w:color="000000"/>
              <w:bottom w:val="single" w:sz="2" w:space="0" w:color="000000"/>
              <w:right w:val="single" w:sz="2" w:space="0" w:color="000000"/>
            </w:tcBorders>
          </w:tcPr>
          <w:p w14:paraId="27CB79F7" w14:textId="77777777" w:rsidR="005A1CC0" w:rsidRPr="00935FCC" w:rsidRDefault="00771B49" w:rsidP="00F10BAA">
            <w:pPr>
              <w:pStyle w:val="TableContents"/>
              <w:snapToGrid w:val="0"/>
              <w:rPr>
                <w:sz w:val="26"/>
                <w:szCs w:val="26"/>
              </w:rPr>
            </w:pPr>
            <w:r w:rsidRPr="00935FCC">
              <w:rPr>
                <w:sz w:val="26"/>
                <w:szCs w:val="26"/>
              </w:rPr>
              <w:lastRenderedPageBreak/>
              <w:t>Projekts šo jomu neskar.</w:t>
            </w:r>
          </w:p>
        </w:tc>
      </w:tr>
      <w:tr w:rsidR="000910DF" w:rsidRPr="00935FCC" w14:paraId="647DE2C1" w14:textId="77777777" w:rsidTr="004B1069">
        <w:tc>
          <w:tcPr>
            <w:tcW w:w="3201" w:type="dxa"/>
            <w:gridSpan w:val="4"/>
            <w:tcBorders>
              <w:top w:val="single" w:sz="2" w:space="0" w:color="000000"/>
              <w:left w:val="single" w:sz="1" w:space="0" w:color="000000"/>
              <w:bottom w:val="single" w:sz="2" w:space="0" w:color="000000"/>
            </w:tcBorders>
          </w:tcPr>
          <w:p w14:paraId="1FF16A8D" w14:textId="77777777" w:rsidR="005A1CC0" w:rsidRPr="00935FCC" w:rsidRDefault="005A1CC0">
            <w:pPr>
              <w:snapToGrid w:val="0"/>
              <w:jc w:val="both"/>
              <w:rPr>
                <w:sz w:val="26"/>
                <w:szCs w:val="26"/>
              </w:rPr>
            </w:pPr>
            <w:r w:rsidRPr="00935FCC">
              <w:rPr>
                <w:sz w:val="26"/>
                <w:szCs w:val="26"/>
              </w:rPr>
              <w:t>Cita informācija</w:t>
            </w:r>
          </w:p>
        </w:tc>
        <w:tc>
          <w:tcPr>
            <w:tcW w:w="6015" w:type="dxa"/>
            <w:gridSpan w:val="4"/>
            <w:tcBorders>
              <w:top w:val="single" w:sz="2" w:space="0" w:color="000000"/>
              <w:left w:val="single" w:sz="1" w:space="0" w:color="000000"/>
              <w:bottom w:val="single" w:sz="2" w:space="0" w:color="000000"/>
              <w:right w:val="single" w:sz="1" w:space="0" w:color="000000"/>
            </w:tcBorders>
          </w:tcPr>
          <w:p w14:paraId="0B916936" w14:textId="77777777" w:rsidR="005A1CC0" w:rsidRPr="00935FCC" w:rsidRDefault="005A1CC0" w:rsidP="00F10BAA">
            <w:pPr>
              <w:pStyle w:val="TableContents"/>
              <w:snapToGrid w:val="0"/>
              <w:rPr>
                <w:sz w:val="26"/>
                <w:szCs w:val="26"/>
              </w:rPr>
            </w:pPr>
            <w:r w:rsidRPr="00935FCC">
              <w:rPr>
                <w:sz w:val="26"/>
                <w:szCs w:val="26"/>
              </w:rPr>
              <w:t>Nav.</w:t>
            </w:r>
          </w:p>
        </w:tc>
      </w:tr>
    </w:tbl>
    <w:p w14:paraId="4C70F169" w14:textId="77777777" w:rsidR="002322A6" w:rsidRPr="00935FCC" w:rsidRDefault="002322A6">
      <w:pPr>
        <w:rPr>
          <w:sz w:val="26"/>
          <w:szCs w:val="26"/>
        </w:rPr>
      </w:pPr>
    </w:p>
    <w:p w14:paraId="23EA272E" w14:textId="77777777" w:rsidR="002B5732" w:rsidRPr="00935FCC" w:rsidRDefault="002B5732">
      <w:pPr>
        <w:rPr>
          <w:sz w:val="26"/>
          <w:szCs w:val="26"/>
        </w:rPr>
      </w:pPr>
    </w:p>
    <w:tbl>
      <w:tblPr>
        <w:tblW w:w="9214" w:type="dxa"/>
        <w:tblInd w:w="55" w:type="dxa"/>
        <w:tblLayout w:type="fixed"/>
        <w:tblCellMar>
          <w:top w:w="55" w:type="dxa"/>
          <w:left w:w="55" w:type="dxa"/>
          <w:bottom w:w="55" w:type="dxa"/>
          <w:right w:w="55" w:type="dxa"/>
        </w:tblCellMar>
        <w:tblLook w:val="0000" w:firstRow="0" w:lastRow="0" w:firstColumn="0" w:lastColumn="0" w:noHBand="0" w:noVBand="0"/>
      </w:tblPr>
      <w:tblGrid>
        <w:gridCol w:w="3205"/>
        <w:gridCol w:w="6009"/>
      </w:tblGrid>
      <w:tr w:rsidR="002B5732" w:rsidRPr="00935FCC" w14:paraId="09E93A9D" w14:textId="77777777" w:rsidTr="005F4717">
        <w:tc>
          <w:tcPr>
            <w:tcW w:w="9214" w:type="dxa"/>
            <w:gridSpan w:val="2"/>
            <w:tcBorders>
              <w:top w:val="single" w:sz="1" w:space="0" w:color="000000"/>
              <w:left w:val="single" w:sz="1" w:space="0" w:color="000000"/>
              <w:bottom w:val="single" w:sz="1" w:space="0" w:color="000000"/>
              <w:right w:val="single" w:sz="1" w:space="0" w:color="000000"/>
            </w:tcBorders>
          </w:tcPr>
          <w:p w14:paraId="68EDE7F9" w14:textId="77777777" w:rsidR="002B5732" w:rsidRPr="00935FCC" w:rsidRDefault="002B5732" w:rsidP="005F4717">
            <w:pPr>
              <w:snapToGrid w:val="0"/>
              <w:jc w:val="center"/>
              <w:rPr>
                <w:b/>
                <w:bCs/>
                <w:sz w:val="26"/>
                <w:szCs w:val="26"/>
              </w:rPr>
            </w:pPr>
            <w:r w:rsidRPr="00935FCC">
              <w:rPr>
                <w:b/>
                <w:bCs/>
                <w:sz w:val="26"/>
                <w:szCs w:val="26"/>
              </w:rPr>
              <w:t>VI. Sabiedrības līdzdalība un komunikācijas aktivitātes</w:t>
            </w:r>
          </w:p>
        </w:tc>
      </w:tr>
      <w:tr w:rsidR="002B5732" w:rsidRPr="00935FCC" w14:paraId="28760B10" w14:textId="77777777" w:rsidTr="00913B48">
        <w:tc>
          <w:tcPr>
            <w:tcW w:w="3205" w:type="dxa"/>
            <w:tcBorders>
              <w:left w:val="single" w:sz="1" w:space="0" w:color="000000"/>
              <w:bottom w:val="single" w:sz="1" w:space="0" w:color="000000"/>
            </w:tcBorders>
          </w:tcPr>
          <w:p w14:paraId="537A55E0" w14:textId="77777777" w:rsidR="002B5732" w:rsidRPr="00935FCC" w:rsidRDefault="002B5732" w:rsidP="00913B48">
            <w:pPr>
              <w:snapToGrid w:val="0"/>
              <w:rPr>
                <w:sz w:val="26"/>
                <w:szCs w:val="26"/>
              </w:rPr>
            </w:pPr>
            <w:r w:rsidRPr="00935FCC">
              <w:rPr>
                <w:sz w:val="26"/>
                <w:szCs w:val="26"/>
              </w:rPr>
              <w:t>1. Plānotās sabiedrības līdzdalības un komunikācijas aktivitātes saistībā ar projektu</w:t>
            </w:r>
          </w:p>
        </w:tc>
        <w:tc>
          <w:tcPr>
            <w:tcW w:w="6009" w:type="dxa"/>
            <w:tcBorders>
              <w:left w:val="single" w:sz="1" w:space="0" w:color="000000"/>
              <w:bottom w:val="single" w:sz="1" w:space="0" w:color="000000"/>
              <w:right w:val="single" w:sz="1" w:space="0" w:color="000000"/>
            </w:tcBorders>
          </w:tcPr>
          <w:p w14:paraId="173D5F19" w14:textId="77777777" w:rsidR="002B5732" w:rsidRPr="00935FCC" w:rsidRDefault="002B5732" w:rsidP="00F10BAA">
            <w:pPr>
              <w:snapToGrid w:val="0"/>
              <w:jc w:val="both"/>
              <w:rPr>
                <w:sz w:val="26"/>
                <w:szCs w:val="26"/>
              </w:rPr>
            </w:pPr>
            <w:r w:rsidRPr="00935FCC">
              <w:rPr>
                <w:sz w:val="26"/>
                <w:szCs w:val="26"/>
              </w:rPr>
              <w:t xml:space="preserve">Sabiedrības līdzdalība </w:t>
            </w:r>
            <w:r w:rsidR="00F967A6" w:rsidRPr="00935FCC">
              <w:rPr>
                <w:sz w:val="26"/>
                <w:szCs w:val="26"/>
              </w:rPr>
              <w:t>tika</w:t>
            </w:r>
            <w:r w:rsidRPr="00935FCC">
              <w:rPr>
                <w:sz w:val="26"/>
                <w:szCs w:val="26"/>
              </w:rPr>
              <w:t xml:space="preserve"> nodrošināta, kad tika </w:t>
            </w:r>
            <w:r w:rsidR="00B71E42" w:rsidRPr="00935FCC">
              <w:rPr>
                <w:sz w:val="26"/>
                <w:szCs w:val="26"/>
              </w:rPr>
              <w:t>sagatavoti</w:t>
            </w:r>
            <w:r w:rsidRPr="00935FCC">
              <w:rPr>
                <w:sz w:val="26"/>
                <w:szCs w:val="26"/>
              </w:rPr>
              <w:t xml:space="preserve"> Noteikumi </w:t>
            </w:r>
            <w:r w:rsidR="00F11E2D" w:rsidRPr="00935FCC">
              <w:rPr>
                <w:sz w:val="26"/>
                <w:szCs w:val="26"/>
                <w:lang w:eastAsia="lo-LA" w:bidi="lo-LA"/>
              </w:rPr>
              <w:t xml:space="preserve">Nr. 1184, attiecīgi, izstrādājot šo noteikumu projektu, kas neparedz jaunu tiesisko regulējumu pēc būtības, tā vairs nebija nepieciešama un netika nodrošināta. </w:t>
            </w:r>
          </w:p>
        </w:tc>
      </w:tr>
      <w:tr w:rsidR="002B5732" w:rsidRPr="00935FCC" w14:paraId="13BDA997" w14:textId="77777777" w:rsidTr="00913B48">
        <w:tc>
          <w:tcPr>
            <w:tcW w:w="3205" w:type="dxa"/>
            <w:tcBorders>
              <w:left w:val="single" w:sz="1" w:space="0" w:color="000000"/>
              <w:bottom w:val="single" w:sz="1" w:space="0" w:color="000000"/>
            </w:tcBorders>
          </w:tcPr>
          <w:p w14:paraId="53933B81" w14:textId="77777777" w:rsidR="002B5732" w:rsidRPr="00935FCC" w:rsidRDefault="002B5732" w:rsidP="00913B48">
            <w:pPr>
              <w:snapToGrid w:val="0"/>
              <w:rPr>
                <w:sz w:val="26"/>
                <w:szCs w:val="26"/>
              </w:rPr>
            </w:pPr>
            <w:r w:rsidRPr="00935FCC">
              <w:rPr>
                <w:sz w:val="26"/>
                <w:szCs w:val="26"/>
              </w:rPr>
              <w:t>2. Sabiedrības līdzdalība projekta izstrādē</w:t>
            </w:r>
          </w:p>
        </w:tc>
        <w:tc>
          <w:tcPr>
            <w:tcW w:w="6009" w:type="dxa"/>
            <w:tcBorders>
              <w:left w:val="single" w:sz="1" w:space="0" w:color="000000"/>
              <w:bottom w:val="single" w:sz="1" w:space="0" w:color="000000"/>
              <w:right w:val="single" w:sz="1" w:space="0" w:color="000000"/>
            </w:tcBorders>
          </w:tcPr>
          <w:p w14:paraId="525EA3C5" w14:textId="77777777" w:rsidR="002B5732" w:rsidRPr="00935FCC" w:rsidRDefault="00F11E2D" w:rsidP="00F10BAA">
            <w:pPr>
              <w:snapToGrid w:val="0"/>
              <w:jc w:val="both"/>
              <w:rPr>
                <w:sz w:val="26"/>
                <w:szCs w:val="26"/>
              </w:rPr>
            </w:pPr>
            <w:r w:rsidRPr="00935FCC">
              <w:rPr>
                <w:sz w:val="26"/>
                <w:szCs w:val="26"/>
              </w:rPr>
              <w:t>Projekts šo jomu neskar.</w:t>
            </w:r>
          </w:p>
        </w:tc>
      </w:tr>
      <w:tr w:rsidR="002B5732" w:rsidRPr="00935FCC" w14:paraId="7A6A9F9C" w14:textId="77777777" w:rsidTr="00913B48">
        <w:tc>
          <w:tcPr>
            <w:tcW w:w="3205" w:type="dxa"/>
            <w:tcBorders>
              <w:left w:val="single" w:sz="1" w:space="0" w:color="000000"/>
              <w:bottom w:val="single" w:sz="1" w:space="0" w:color="000000"/>
            </w:tcBorders>
          </w:tcPr>
          <w:p w14:paraId="6E1FC458" w14:textId="77777777" w:rsidR="002B5732" w:rsidRPr="00935FCC" w:rsidRDefault="002B5732" w:rsidP="00913B48">
            <w:pPr>
              <w:snapToGrid w:val="0"/>
              <w:rPr>
                <w:sz w:val="26"/>
                <w:szCs w:val="26"/>
              </w:rPr>
            </w:pPr>
            <w:r w:rsidRPr="00935FCC">
              <w:rPr>
                <w:sz w:val="26"/>
                <w:szCs w:val="26"/>
              </w:rPr>
              <w:t>3. Sabiedrības līdzdalības rezultāti</w:t>
            </w:r>
          </w:p>
        </w:tc>
        <w:tc>
          <w:tcPr>
            <w:tcW w:w="6009" w:type="dxa"/>
            <w:tcBorders>
              <w:left w:val="single" w:sz="1" w:space="0" w:color="000000"/>
              <w:bottom w:val="single" w:sz="1" w:space="0" w:color="000000"/>
              <w:right w:val="single" w:sz="1" w:space="0" w:color="000000"/>
            </w:tcBorders>
          </w:tcPr>
          <w:p w14:paraId="53BC508A" w14:textId="77777777" w:rsidR="002B5732" w:rsidRPr="00935FCC" w:rsidRDefault="00F11E2D" w:rsidP="00F10BAA">
            <w:pPr>
              <w:snapToGrid w:val="0"/>
              <w:jc w:val="both"/>
              <w:rPr>
                <w:sz w:val="26"/>
                <w:szCs w:val="26"/>
              </w:rPr>
            </w:pPr>
            <w:r w:rsidRPr="00935FCC">
              <w:rPr>
                <w:sz w:val="26"/>
                <w:szCs w:val="26"/>
              </w:rPr>
              <w:t>Projekts šo jomu neskar.</w:t>
            </w:r>
          </w:p>
        </w:tc>
      </w:tr>
      <w:tr w:rsidR="002B5732" w:rsidRPr="00935FCC" w14:paraId="3F9FB025" w14:textId="77777777" w:rsidTr="00913B48">
        <w:tc>
          <w:tcPr>
            <w:tcW w:w="3205" w:type="dxa"/>
            <w:tcBorders>
              <w:left w:val="single" w:sz="1" w:space="0" w:color="000000"/>
              <w:bottom w:val="single" w:sz="1" w:space="0" w:color="000000"/>
            </w:tcBorders>
          </w:tcPr>
          <w:p w14:paraId="677A2FF0" w14:textId="77777777" w:rsidR="002B5732" w:rsidRPr="00935FCC" w:rsidRDefault="002B5732" w:rsidP="005F4717">
            <w:pPr>
              <w:snapToGrid w:val="0"/>
              <w:jc w:val="both"/>
              <w:rPr>
                <w:sz w:val="26"/>
                <w:szCs w:val="26"/>
              </w:rPr>
            </w:pPr>
            <w:r w:rsidRPr="00935FCC">
              <w:rPr>
                <w:sz w:val="26"/>
                <w:szCs w:val="26"/>
              </w:rPr>
              <w:t>4. Cita informācija</w:t>
            </w:r>
          </w:p>
        </w:tc>
        <w:tc>
          <w:tcPr>
            <w:tcW w:w="6009" w:type="dxa"/>
            <w:tcBorders>
              <w:left w:val="single" w:sz="1" w:space="0" w:color="000000"/>
              <w:bottom w:val="single" w:sz="1" w:space="0" w:color="000000"/>
              <w:right w:val="single" w:sz="1" w:space="0" w:color="000000"/>
            </w:tcBorders>
          </w:tcPr>
          <w:p w14:paraId="558DE539" w14:textId="77777777" w:rsidR="002B5732" w:rsidRPr="00935FCC" w:rsidRDefault="002B5732" w:rsidP="00F10BAA">
            <w:pPr>
              <w:snapToGrid w:val="0"/>
              <w:jc w:val="both"/>
              <w:rPr>
                <w:sz w:val="26"/>
                <w:szCs w:val="26"/>
              </w:rPr>
            </w:pPr>
            <w:r w:rsidRPr="00935FCC">
              <w:rPr>
                <w:sz w:val="26"/>
                <w:szCs w:val="26"/>
              </w:rPr>
              <w:t>Nav.</w:t>
            </w:r>
          </w:p>
        </w:tc>
      </w:tr>
    </w:tbl>
    <w:p w14:paraId="6C355F9E" w14:textId="77777777" w:rsidR="002B5732" w:rsidRPr="00935FCC" w:rsidRDefault="002B5732">
      <w:pPr>
        <w:rPr>
          <w:sz w:val="26"/>
          <w:szCs w:val="26"/>
        </w:rPr>
      </w:pPr>
    </w:p>
    <w:p w14:paraId="56A22AFB" w14:textId="77777777" w:rsidR="00A52898" w:rsidRPr="00935FCC" w:rsidRDefault="00A52898">
      <w:pPr>
        <w:rPr>
          <w:sz w:val="26"/>
          <w:szCs w:val="26"/>
        </w:rPr>
      </w:pPr>
    </w:p>
    <w:tbl>
      <w:tblPr>
        <w:tblW w:w="9158" w:type="dxa"/>
        <w:tblInd w:w="55" w:type="dxa"/>
        <w:tblLayout w:type="fixed"/>
        <w:tblCellMar>
          <w:top w:w="55" w:type="dxa"/>
          <w:left w:w="55" w:type="dxa"/>
          <w:bottom w:w="55" w:type="dxa"/>
          <w:right w:w="55" w:type="dxa"/>
        </w:tblCellMar>
        <w:tblLook w:val="0000" w:firstRow="0" w:lastRow="0" w:firstColumn="0" w:lastColumn="0" w:noHBand="0" w:noVBand="0"/>
      </w:tblPr>
      <w:tblGrid>
        <w:gridCol w:w="3205"/>
        <w:gridCol w:w="5953"/>
      </w:tblGrid>
      <w:tr w:rsidR="000910DF" w:rsidRPr="00935FCC" w14:paraId="0F5361FE" w14:textId="77777777" w:rsidTr="00F4699D">
        <w:tc>
          <w:tcPr>
            <w:tcW w:w="9158" w:type="dxa"/>
            <w:gridSpan w:val="2"/>
            <w:tcBorders>
              <w:top w:val="single" w:sz="1" w:space="0" w:color="000000"/>
              <w:left w:val="single" w:sz="1" w:space="0" w:color="000000"/>
              <w:bottom w:val="single" w:sz="1" w:space="0" w:color="000000"/>
              <w:right w:val="single" w:sz="1" w:space="0" w:color="000000"/>
            </w:tcBorders>
          </w:tcPr>
          <w:p w14:paraId="2657BF52" w14:textId="77777777" w:rsidR="002322A6" w:rsidRPr="00935FCC" w:rsidRDefault="002322A6" w:rsidP="00A43940">
            <w:pPr>
              <w:snapToGrid w:val="0"/>
              <w:jc w:val="center"/>
              <w:rPr>
                <w:b/>
                <w:bCs/>
                <w:sz w:val="26"/>
                <w:szCs w:val="26"/>
              </w:rPr>
            </w:pPr>
            <w:r w:rsidRPr="00935FCC">
              <w:rPr>
                <w:b/>
                <w:bCs/>
                <w:sz w:val="26"/>
                <w:szCs w:val="26"/>
              </w:rPr>
              <w:t xml:space="preserve">VII. </w:t>
            </w:r>
            <w:r w:rsidR="00A43940" w:rsidRPr="00935FCC">
              <w:rPr>
                <w:b/>
                <w:bCs/>
                <w:sz w:val="26"/>
                <w:szCs w:val="26"/>
              </w:rPr>
              <w:t>Tiesību akta projekta izpildes nodrošināšana un tās ietekme uz institūcijām</w:t>
            </w:r>
          </w:p>
        </w:tc>
      </w:tr>
      <w:tr w:rsidR="000910DF" w:rsidRPr="00935FCC" w14:paraId="19EA7198" w14:textId="77777777" w:rsidTr="00F4699D">
        <w:tc>
          <w:tcPr>
            <w:tcW w:w="3205" w:type="dxa"/>
            <w:tcBorders>
              <w:left w:val="single" w:sz="1" w:space="0" w:color="000000"/>
              <w:bottom w:val="single" w:sz="1" w:space="0" w:color="000000"/>
            </w:tcBorders>
          </w:tcPr>
          <w:p w14:paraId="0CE2FF67" w14:textId="77777777" w:rsidR="002322A6" w:rsidRPr="00935FCC" w:rsidRDefault="002322A6" w:rsidP="009013FB">
            <w:pPr>
              <w:snapToGrid w:val="0"/>
              <w:jc w:val="both"/>
              <w:rPr>
                <w:sz w:val="26"/>
                <w:szCs w:val="26"/>
              </w:rPr>
            </w:pPr>
            <w:r w:rsidRPr="00935FCC">
              <w:rPr>
                <w:sz w:val="26"/>
                <w:szCs w:val="26"/>
              </w:rPr>
              <w:t xml:space="preserve">1. </w:t>
            </w:r>
            <w:r w:rsidR="009013FB" w:rsidRPr="00935FCC">
              <w:rPr>
                <w:sz w:val="26"/>
                <w:szCs w:val="26"/>
              </w:rPr>
              <w:t>Projekta izpildē iesaistītās institūcijas</w:t>
            </w:r>
          </w:p>
        </w:tc>
        <w:tc>
          <w:tcPr>
            <w:tcW w:w="5953" w:type="dxa"/>
            <w:tcBorders>
              <w:left w:val="single" w:sz="1" w:space="0" w:color="000000"/>
              <w:bottom w:val="single" w:sz="1" w:space="0" w:color="000000"/>
              <w:right w:val="single" w:sz="1" w:space="0" w:color="000000"/>
            </w:tcBorders>
          </w:tcPr>
          <w:p w14:paraId="7B6CD9BF" w14:textId="77777777" w:rsidR="002322A6" w:rsidRPr="00935FCC" w:rsidRDefault="00015FAE" w:rsidP="00F10BAA">
            <w:pPr>
              <w:snapToGrid w:val="0"/>
              <w:jc w:val="both"/>
              <w:rPr>
                <w:sz w:val="26"/>
                <w:szCs w:val="26"/>
              </w:rPr>
            </w:pPr>
            <w:r w:rsidRPr="00935FCC">
              <w:rPr>
                <w:sz w:val="26"/>
                <w:szCs w:val="26"/>
              </w:rPr>
              <w:t>Iepirkumu uzraudzības birojs</w:t>
            </w:r>
            <w:r w:rsidR="00A54959" w:rsidRPr="00935FCC">
              <w:rPr>
                <w:sz w:val="26"/>
                <w:szCs w:val="26"/>
              </w:rPr>
              <w:t xml:space="preserve"> un </w:t>
            </w:r>
            <w:r w:rsidR="00152A00" w:rsidRPr="00935FCC">
              <w:rPr>
                <w:sz w:val="26"/>
                <w:szCs w:val="26"/>
              </w:rPr>
              <w:t>Centrālā statistikas pārvalde</w:t>
            </w:r>
            <w:r w:rsidR="00A54959" w:rsidRPr="00935FCC">
              <w:rPr>
                <w:sz w:val="26"/>
                <w:szCs w:val="26"/>
              </w:rPr>
              <w:t>.</w:t>
            </w:r>
          </w:p>
        </w:tc>
      </w:tr>
      <w:tr w:rsidR="000910DF" w:rsidRPr="00935FCC" w14:paraId="55540BC7" w14:textId="77777777" w:rsidTr="00F4699D">
        <w:tc>
          <w:tcPr>
            <w:tcW w:w="3205" w:type="dxa"/>
            <w:tcBorders>
              <w:left w:val="single" w:sz="1" w:space="0" w:color="000000"/>
              <w:bottom w:val="single" w:sz="1" w:space="0" w:color="000000"/>
            </w:tcBorders>
          </w:tcPr>
          <w:p w14:paraId="52149BC6" w14:textId="77777777" w:rsidR="00E578A9" w:rsidRPr="00935FCC" w:rsidRDefault="002322A6" w:rsidP="00DE2889">
            <w:pPr>
              <w:widowControl/>
              <w:suppressAutoHyphens w:val="0"/>
              <w:rPr>
                <w:sz w:val="26"/>
                <w:szCs w:val="26"/>
              </w:rPr>
            </w:pPr>
            <w:r w:rsidRPr="00935FCC">
              <w:rPr>
                <w:sz w:val="26"/>
                <w:szCs w:val="26"/>
              </w:rPr>
              <w:t xml:space="preserve">2. </w:t>
            </w:r>
            <w:r w:rsidR="00E578A9" w:rsidRPr="00935FCC">
              <w:rPr>
                <w:sz w:val="26"/>
                <w:szCs w:val="26"/>
              </w:rPr>
              <w:t>Projekta izpildes ietekme uz pārvaldes funkcijām un institucionālo struktūru.</w:t>
            </w:r>
          </w:p>
          <w:p w14:paraId="19A65C55" w14:textId="48F57B10" w:rsidR="002322A6" w:rsidRPr="00935FCC" w:rsidRDefault="00E578A9" w:rsidP="00DE2889">
            <w:pPr>
              <w:widowControl/>
              <w:shd w:val="clear" w:color="auto" w:fill="FFFFFF"/>
              <w:suppressAutoHyphens w:val="0"/>
              <w:rPr>
                <w:sz w:val="26"/>
                <w:szCs w:val="26"/>
              </w:rPr>
            </w:pPr>
            <w:r w:rsidRPr="00935FCC">
              <w:rPr>
                <w:sz w:val="26"/>
                <w:szCs w:val="26"/>
              </w:rPr>
              <w:t>Jaunu institūciju izveide, esošu institūciju likvidācija vai reorganizācija, to ietekme uz institūcijas cilvēkresursiem</w:t>
            </w:r>
          </w:p>
        </w:tc>
        <w:tc>
          <w:tcPr>
            <w:tcW w:w="5953" w:type="dxa"/>
            <w:tcBorders>
              <w:left w:val="single" w:sz="1" w:space="0" w:color="000000"/>
              <w:bottom w:val="single" w:sz="1" w:space="0" w:color="000000"/>
              <w:right w:val="single" w:sz="1" w:space="0" w:color="000000"/>
            </w:tcBorders>
          </w:tcPr>
          <w:p w14:paraId="1E30E87F" w14:textId="77777777" w:rsidR="0037491D" w:rsidRPr="00935FCC" w:rsidRDefault="00E74643" w:rsidP="00F10BAA">
            <w:pPr>
              <w:snapToGrid w:val="0"/>
              <w:jc w:val="both"/>
              <w:rPr>
                <w:sz w:val="26"/>
                <w:szCs w:val="26"/>
              </w:rPr>
            </w:pPr>
            <w:r w:rsidRPr="00935FCC">
              <w:rPr>
                <w:sz w:val="26"/>
                <w:szCs w:val="26"/>
              </w:rPr>
              <w:t xml:space="preserve">Institūcijas turpina pildīt pienākumus, kas bija noteikti jau iepriekš ar Noteikumu </w:t>
            </w:r>
            <w:r w:rsidRPr="00935FCC">
              <w:rPr>
                <w:sz w:val="26"/>
                <w:szCs w:val="26"/>
                <w:lang w:eastAsia="lo-LA" w:bidi="lo-LA"/>
              </w:rPr>
              <w:t>Nr. 1184 14.punktu.</w:t>
            </w:r>
          </w:p>
        </w:tc>
      </w:tr>
      <w:tr w:rsidR="000910DF" w:rsidRPr="00935FCC" w14:paraId="61891BC4" w14:textId="77777777" w:rsidTr="00F4699D">
        <w:tc>
          <w:tcPr>
            <w:tcW w:w="3205" w:type="dxa"/>
            <w:tcBorders>
              <w:top w:val="single" w:sz="4" w:space="0" w:color="auto"/>
              <w:left w:val="single" w:sz="4" w:space="0" w:color="auto"/>
              <w:bottom w:val="single" w:sz="4" w:space="0" w:color="auto"/>
              <w:right w:val="single" w:sz="4" w:space="0" w:color="auto"/>
            </w:tcBorders>
          </w:tcPr>
          <w:p w14:paraId="1454C19D" w14:textId="77777777" w:rsidR="00971C4A" w:rsidRPr="00935FCC" w:rsidRDefault="00333A2D">
            <w:pPr>
              <w:snapToGrid w:val="0"/>
              <w:jc w:val="both"/>
              <w:rPr>
                <w:sz w:val="26"/>
                <w:szCs w:val="26"/>
              </w:rPr>
            </w:pPr>
            <w:r w:rsidRPr="00935FCC">
              <w:rPr>
                <w:sz w:val="26"/>
                <w:szCs w:val="26"/>
              </w:rPr>
              <w:br w:type="page"/>
            </w:r>
            <w:r w:rsidR="0015064D" w:rsidRPr="00935FCC">
              <w:rPr>
                <w:sz w:val="26"/>
                <w:szCs w:val="26"/>
              </w:rPr>
              <w:t>3</w:t>
            </w:r>
            <w:r w:rsidR="00971C4A" w:rsidRPr="00935FCC">
              <w:rPr>
                <w:sz w:val="26"/>
                <w:szCs w:val="26"/>
              </w:rPr>
              <w:t>. Cita informācija</w:t>
            </w:r>
          </w:p>
        </w:tc>
        <w:tc>
          <w:tcPr>
            <w:tcW w:w="5953" w:type="dxa"/>
            <w:tcBorders>
              <w:top w:val="single" w:sz="4" w:space="0" w:color="auto"/>
              <w:left w:val="single" w:sz="4" w:space="0" w:color="auto"/>
              <w:bottom w:val="single" w:sz="4" w:space="0" w:color="auto"/>
              <w:right w:val="single" w:sz="4" w:space="0" w:color="auto"/>
            </w:tcBorders>
          </w:tcPr>
          <w:p w14:paraId="1294623B" w14:textId="77777777" w:rsidR="00971C4A" w:rsidRPr="00935FCC" w:rsidRDefault="00971C4A" w:rsidP="00F10BAA">
            <w:pPr>
              <w:snapToGrid w:val="0"/>
              <w:jc w:val="both"/>
              <w:rPr>
                <w:sz w:val="26"/>
                <w:szCs w:val="26"/>
              </w:rPr>
            </w:pPr>
            <w:r w:rsidRPr="00935FCC">
              <w:rPr>
                <w:sz w:val="26"/>
                <w:szCs w:val="26"/>
              </w:rPr>
              <w:t>Nav.</w:t>
            </w:r>
          </w:p>
        </w:tc>
      </w:tr>
    </w:tbl>
    <w:p w14:paraId="5836C877" w14:textId="77777777" w:rsidR="00DE2889" w:rsidRDefault="00DE2889" w:rsidP="00DE2889">
      <w:pPr>
        <w:rPr>
          <w:sz w:val="28"/>
          <w:szCs w:val="28"/>
        </w:rPr>
      </w:pPr>
    </w:p>
    <w:p w14:paraId="1A3E42EF" w14:textId="5C162282" w:rsidR="00DE2889" w:rsidRPr="0037321C" w:rsidRDefault="00DE2889" w:rsidP="00DE2889">
      <w:pPr>
        <w:ind w:firstLine="709"/>
        <w:rPr>
          <w:sz w:val="28"/>
          <w:szCs w:val="28"/>
        </w:rPr>
      </w:pPr>
      <w:r>
        <w:rPr>
          <w:sz w:val="28"/>
          <w:szCs w:val="28"/>
        </w:rPr>
        <w:t xml:space="preserve">Anotācijas III, </w:t>
      </w:r>
      <w:r>
        <w:rPr>
          <w:sz w:val="28"/>
          <w:szCs w:val="28"/>
        </w:rPr>
        <w:t>V</w:t>
      </w:r>
      <w:r w:rsidRPr="0037321C">
        <w:rPr>
          <w:sz w:val="28"/>
          <w:szCs w:val="28"/>
        </w:rPr>
        <w:t xml:space="preserve"> sadaļa</w:t>
      </w:r>
      <w:r>
        <w:rPr>
          <w:sz w:val="28"/>
          <w:szCs w:val="28"/>
        </w:rPr>
        <w:t>s 2.tabula</w:t>
      </w:r>
      <w:r w:rsidRPr="0037321C">
        <w:rPr>
          <w:sz w:val="28"/>
          <w:szCs w:val="28"/>
        </w:rPr>
        <w:t xml:space="preserve"> – projekts šīs jomas neskar.</w:t>
      </w:r>
    </w:p>
    <w:p w14:paraId="7A4BA52F" w14:textId="77777777" w:rsidR="00DE2889" w:rsidRPr="0037321C" w:rsidRDefault="00DE2889" w:rsidP="00DE2889">
      <w:pPr>
        <w:rPr>
          <w:sz w:val="28"/>
          <w:szCs w:val="28"/>
        </w:rPr>
      </w:pPr>
    </w:p>
    <w:p w14:paraId="430D03B2" w14:textId="77777777" w:rsidR="00DE2889" w:rsidRPr="0037321C" w:rsidRDefault="00DE2889" w:rsidP="00DE2889">
      <w:pPr>
        <w:tabs>
          <w:tab w:val="right" w:pos="9071"/>
        </w:tabs>
        <w:jc w:val="both"/>
        <w:rPr>
          <w:color w:val="000000" w:themeColor="text1"/>
          <w:sz w:val="28"/>
          <w:szCs w:val="28"/>
        </w:rPr>
      </w:pPr>
      <w:r w:rsidRPr="0037321C">
        <w:rPr>
          <w:color w:val="000000" w:themeColor="text1"/>
          <w:sz w:val="28"/>
          <w:szCs w:val="28"/>
        </w:rPr>
        <w:t>Finanšu ministre</w:t>
      </w:r>
      <w:r w:rsidRPr="0037321C">
        <w:rPr>
          <w:color w:val="000000" w:themeColor="text1"/>
          <w:sz w:val="28"/>
          <w:szCs w:val="28"/>
        </w:rPr>
        <w:tab/>
        <w:t>D. Reizniece-Ozola</w:t>
      </w:r>
    </w:p>
    <w:p w14:paraId="6553ABBD" w14:textId="77777777" w:rsidR="00DE2889" w:rsidRPr="0037321C" w:rsidRDefault="00DE2889" w:rsidP="00DE2889">
      <w:pPr>
        <w:rPr>
          <w:sz w:val="28"/>
          <w:szCs w:val="28"/>
        </w:rPr>
      </w:pPr>
    </w:p>
    <w:p w14:paraId="55F056F6" w14:textId="77777777" w:rsidR="00DE2889" w:rsidRPr="0037321C" w:rsidRDefault="00DE2889" w:rsidP="00DE2889">
      <w:pPr>
        <w:tabs>
          <w:tab w:val="left" w:pos="6237"/>
        </w:tabs>
        <w:rPr>
          <w:sz w:val="28"/>
          <w:szCs w:val="28"/>
        </w:rPr>
      </w:pPr>
      <w:r w:rsidRPr="0037321C">
        <w:rPr>
          <w:sz w:val="28"/>
          <w:szCs w:val="28"/>
        </w:rPr>
        <w:t>Finanšu ministrijas valsts sekretāre</w:t>
      </w:r>
      <w:r w:rsidRPr="0037321C">
        <w:rPr>
          <w:sz w:val="28"/>
          <w:szCs w:val="28"/>
        </w:rPr>
        <w:tab/>
      </w:r>
      <w:r w:rsidRPr="0037321C">
        <w:rPr>
          <w:sz w:val="28"/>
          <w:szCs w:val="28"/>
        </w:rPr>
        <w:tab/>
      </w:r>
      <w:r w:rsidRPr="0037321C">
        <w:rPr>
          <w:sz w:val="28"/>
          <w:szCs w:val="28"/>
        </w:rPr>
        <w:tab/>
      </w:r>
      <w:r w:rsidRPr="0037321C">
        <w:rPr>
          <w:sz w:val="28"/>
          <w:szCs w:val="28"/>
        </w:rPr>
        <w:tab/>
        <w:t xml:space="preserve">   B. Bāne</w:t>
      </w:r>
    </w:p>
    <w:p w14:paraId="42AB8264" w14:textId="382988FF" w:rsidR="00DE2889" w:rsidRPr="0037321C" w:rsidRDefault="00DE2889" w:rsidP="00DE2889">
      <w:pPr>
        <w:tabs>
          <w:tab w:val="left" w:pos="6237"/>
        </w:tabs>
        <w:rPr>
          <w:sz w:val="26"/>
          <w:szCs w:val="26"/>
        </w:rPr>
      </w:pPr>
    </w:p>
    <w:p w14:paraId="0B20827D" w14:textId="557C479D" w:rsidR="00DE2889" w:rsidRPr="00DE2889" w:rsidRDefault="002033F4" w:rsidP="000910D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cs="Times New Roman"/>
          <w:sz w:val="24"/>
          <w:szCs w:val="24"/>
        </w:rPr>
      </w:pPr>
      <w:r w:rsidRPr="00DE2889">
        <w:rPr>
          <w:rFonts w:ascii="Times New Roman" w:eastAsia="Times New Roman" w:hAnsi="Times New Roman" w:cs="Times New Roman"/>
          <w:sz w:val="24"/>
          <w:szCs w:val="24"/>
        </w:rPr>
        <w:t>Ū</w:t>
      </w:r>
      <w:r w:rsidR="000910DF" w:rsidRPr="00DE2889">
        <w:rPr>
          <w:rFonts w:ascii="Times New Roman" w:eastAsia="Times New Roman" w:hAnsi="Times New Roman" w:cs="Times New Roman"/>
          <w:sz w:val="24"/>
          <w:szCs w:val="24"/>
        </w:rPr>
        <w:t>dre</w:t>
      </w:r>
      <w:r w:rsidR="00DE2889" w:rsidRPr="00DE2889">
        <w:rPr>
          <w:rFonts w:ascii="Times New Roman" w:eastAsia="Times New Roman" w:hAnsi="Times New Roman" w:cs="Times New Roman"/>
          <w:sz w:val="24"/>
          <w:szCs w:val="24"/>
        </w:rPr>
        <w:t xml:space="preserve"> </w:t>
      </w:r>
      <w:r w:rsidR="00784E84" w:rsidRPr="00DE2889">
        <w:rPr>
          <w:rFonts w:ascii="Times New Roman" w:eastAsia="Times New Roman" w:hAnsi="Times New Roman" w:cs="Times New Roman"/>
          <w:sz w:val="24"/>
          <w:szCs w:val="24"/>
        </w:rPr>
        <w:t>67326699</w:t>
      </w:r>
    </w:p>
    <w:p w14:paraId="71456E52" w14:textId="6255A825" w:rsidR="00633391" w:rsidRPr="00DE2889" w:rsidRDefault="00D90DD6" w:rsidP="000910D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DE2889">
        <w:rPr>
          <w:rFonts w:ascii="Times New Roman" w:hAnsi="Times New Roman" w:cs="Times New Roman"/>
          <w:sz w:val="24"/>
          <w:szCs w:val="24"/>
        </w:rPr>
        <w:t>arita.u</w:t>
      </w:r>
      <w:r w:rsidR="00784E84" w:rsidRPr="00DE2889">
        <w:rPr>
          <w:rFonts w:ascii="Times New Roman" w:hAnsi="Times New Roman" w:cs="Times New Roman"/>
          <w:sz w:val="24"/>
          <w:szCs w:val="24"/>
        </w:rPr>
        <w:t>dre</w:t>
      </w:r>
      <w:r w:rsidR="002322A6" w:rsidRPr="00DE2889">
        <w:rPr>
          <w:rFonts w:ascii="Times New Roman" w:hAnsi="Times New Roman" w:cs="Times New Roman"/>
          <w:sz w:val="24"/>
          <w:szCs w:val="24"/>
        </w:rPr>
        <w:t>@iub.gov.lv</w:t>
      </w:r>
    </w:p>
    <w:sectPr w:rsidR="00633391" w:rsidRPr="00DE2889" w:rsidSect="000B7B92">
      <w:headerReference w:type="even" r:id="rId9"/>
      <w:headerReference w:type="default" r:id="rId10"/>
      <w:footerReference w:type="default" r:id="rId11"/>
      <w:footerReference w:type="first" r:id="rId12"/>
      <w:pgSz w:w="11905" w:h="16837"/>
      <w:pgMar w:top="1134" w:right="1134" w:bottom="1134" w:left="1701" w:header="99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E65FE" w14:textId="77777777" w:rsidR="00BF33DD" w:rsidRDefault="00BF33DD">
      <w:r>
        <w:separator/>
      </w:r>
    </w:p>
  </w:endnote>
  <w:endnote w:type="continuationSeparator" w:id="0">
    <w:p w14:paraId="1C7BA3A1" w14:textId="77777777" w:rsidR="00BF33DD" w:rsidRDefault="00BF3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sig w:usb0="00000003" w:usb1="00000000" w:usb2="00000000" w:usb3="00000000" w:csb0="00000001" w:csb1="00000000"/>
  </w:font>
  <w:font w:name="EUAlbertina">
    <w:altName w:val="Times New Roman"/>
    <w:charset w:val="00"/>
    <w:family w:val="roman"/>
    <w:pitch w:val="default"/>
    <w:sig w:usb0="00000001" w:usb1="00000000" w:usb2="00000000" w:usb3="00000000" w:csb0="00000003" w:csb1="00000000"/>
  </w:font>
  <w:font w:name="EUAlbertina_Bold">
    <w:altName w:val="Times New Roman"/>
    <w:charset w:val="00"/>
    <w:family w:val="roman"/>
    <w:pitch w:val="default"/>
    <w:sig w:usb0="00000007" w:usb1="00000000" w:usb2="00000000" w:usb3="00000000" w:csb0="0000008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9A141" w14:textId="340FAC76" w:rsidR="001A0CEA" w:rsidRPr="00FE1ED9" w:rsidRDefault="00DE2889" w:rsidP="00FE1ED9">
    <w:pPr>
      <w:tabs>
        <w:tab w:val="left" w:pos="540"/>
      </w:tabs>
      <w:jc w:val="both"/>
      <w:rPr>
        <w:rFonts w:eastAsia="Times New Roman"/>
        <w:sz w:val="20"/>
        <w:szCs w:val="20"/>
      </w:rPr>
    </w:pPr>
    <w:r>
      <w:rPr>
        <w:sz w:val="20"/>
        <w:szCs w:val="20"/>
      </w:rPr>
      <w:t>FMa</w:t>
    </w:r>
    <w:r w:rsidR="001A0CEA" w:rsidRPr="00CC4D07">
      <w:rPr>
        <w:sz w:val="20"/>
        <w:szCs w:val="20"/>
      </w:rPr>
      <w:t>not_</w:t>
    </w:r>
    <w:r w:rsidR="000C5F92">
      <w:rPr>
        <w:sz w:val="20"/>
        <w:szCs w:val="20"/>
      </w:rPr>
      <w:t>15</w:t>
    </w:r>
    <w:r w:rsidR="00CF515C">
      <w:rPr>
        <w:sz w:val="20"/>
        <w:szCs w:val="20"/>
      </w:rPr>
      <w:t>0217</w:t>
    </w:r>
    <w:r w:rsidR="001A0CEA">
      <w:rPr>
        <w:sz w:val="20"/>
        <w:szCs w:val="20"/>
      </w:rPr>
      <w:t>_</w:t>
    </w:r>
    <w:r w:rsidR="002E1D11">
      <w:rPr>
        <w:sz w:val="20"/>
        <w:szCs w:val="20"/>
      </w:rPr>
      <w:t>auto</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33BB1" w14:textId="0A56399B" w:rsidR="001A0CEA" w:rsidRPr="00FE1ED9" w:rsidRDefault="00DE2889" w:rsidP="00FE1ED9">
    <w:pPr>
      <w:tabs>
        <w:tab w:val="left" w:pos="540"/>
      </w:tabs>
      <w:jc w:val="both"/>
      <w:rPr>
        <w:rFonts w:eastAsia="Times New Roman"/>
        <w:sz w:val="20"/>
        <w:szCs w:val="20"/>
      </w:rPr>
    </w:pPr>
    <w:r>
      <w:rPr>
        <w:sz w:val="20"/>
        <w:szCs w:val="20"/>
      </w:rPr>
      <w:t>FMa</w:t>
    </w:r>
    <w:r w:rsidR="001A0CEA" w:rsidRPr="00CC4D07">
      <w:rPr>
        <w:sz w:val="20"/>
        <w:szCs w:val="20"/>
      </w:rPr>
      <w:t>not_</w:t>
    </w:r>
    <w:r w:rsidR="000C5F92">
      <w:rPr>
        <w:sz w:val="20"/>
        <w:szCs w:val="20"/>
      </w:rPr>
      <w:t>15</w:t>
    </w:r>
    <w:r w:rsidR="00E7317F">
      <w:rPr>
        <w:sz w:val="20"/>
        <w:szCs w:val="20"/>
      </w:rPr>
      <w:t>0217</w:t>
    </w:r>
    <w:r w:rsidR="002E1D11">
      <w:rPr>
        <w:sz w:val="20"/>
        <w:szCs w:val="20"/>
      </w:rPr>
      <w:t>_auto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5C32D" w14:textId="77777777" w:rsidR="00BF33DD" w:rsidRDefault="00BF33DD">
      <w:r>
        <w:separator/>
      </w:r>
    </w:p>
  </w:footnote>
  <w:footnote w:type="continuationSeparator" w:id="0">
    <w:p w14:paraId="5B44AE47" w14:textId="77777777" w:rsidR="00BF33DD" w:rsidRDefault="00BF33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7268B" w14:textId="77777777" w:rsidR="001A0CEA" w:rsidRDefault="001A0CEA" w:rsidP="008C5E3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2E7F09" w14:textId="77777777" w:rsidR="001A0CEA" w:rsidRDefault="001A0C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08E76" w14:textId="1100A4CD" w:rsidR="001A0CEA" w:rsidRDefault="001A0CEA" w:rsidP="008C5E3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04B65">
      <w:rPr>
        <w:rStyle w:val="PageNumber"/>
        <w:noProof/>
      </w:rPr>
      <w:t>9</w:t>
    </w:r>
    <w:r>
      <w:rPr>
        <w:rStyle w:val="PageNumber"/>
      </w:rPr>
      <w:fldChar w:fldCharType="end"/>
    </w:r>
  </w:p>
  <w:p w14:paraId="1ED62095" w14:textId="77777777" w:rsidR="001A0CEA" w:rsidRDefault="001A0C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A132D64"/>
    <w:multiLevelType w:val="hybridMultilevel"/>
    <w:tmpl w:val="9EAEF0B4"/>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101705C4"/>
    <w:multiLevelType w:val="hybridMultilevel"/>
    <w:tmpl w:val="A1A263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0984E74"/>
    <w:multiLevelType w:val="hybridMultilevel"/>
    <w:tmpl w:val="676C27D4"/>
    <w:lvl w:ilvl="0" w:tplc="8C6A2950">
      <w:start w:val="1"/>
      <w:numFmt w:val="decimal"/>
      <w:lvlText w:val="%1."/>
      <w:lvlJc w:val="left"/>
      <w:pPr>
        <w:ind w:left="1815" w:hanging="109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30259F7"/>
    <w:multiLevelType w:val="multilevel"/>
    <w:tmpl w:val="7A80FA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047411"/>
    <w:multiLevelType w:val="hybridMultilevel"/>
    <w:tmpl w:val="78B67368"/>
    <w:lvl w:ilvl="0" w:tplc="D744C48A">
      <w:start w:val="1"/>
      <w:numFmt w:val="decimal"/>
      <w:lvlText w:val="%1."/>
      <w:lvlJc w:val="left"/>
      <w:pPr>
        <w:ind w:left="1140" w:hanging="36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6" w15:restartNumberingAfterBreak="0">
    <w:nsid w:val="16A437D6"/>
    <w:multiLevelType w:val="hybridMultilevel"/>
    <w:tmpl w:val="5ACE03E0"/>
    <w:lvl w:ilvl="0" w:tplc="3D541C7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1D81B4B"/>
    <w:multiLevelType w:val="hybridMultilevel"/>
    <w:tmpl w:val="3FBEDD44"/>
    <w:lvl w:ilvl="0" w:tplc="F8DC94D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3A174A2F"/>
    <w:multiLevelType w:val="hybridMultilevel"/>
    <w:tmpl w:val="F5C4E778"/>
    <w:lvl w:ilvl="0" w:tplc="6BAC1E4E">
      <w:start w:val="1"/>
      <w:numFmt w:val="decimal"/>
      <w:lvlText w:val="%1)"/>
      <w:lvlJc w:val="left"/>
      <w:pPr>
        <w:ind w:left="360" w:hanging="360"/>
      </w:pPr>
      <w:rPr>
        <w:rFonts w:hint="default"/>
        <w:sz w:val="24"/>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549F2FCE"/>
    <w:multiLevelType w:val="hybridMultilevel"/>
    <w:tmpl w:val="61B845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5B24E4A"/>
    <w:multiLevelType w:val="hybridMultilevel"/>
    <w:tmpl w:val="603EA75C"/>
    <w:lvl w:ilvl="0" w:tplc="0426000F">
      <w:start w:val="1"/>
      <w:numFmt w:val="decimal"/>
      <w:lvlText w:val="%1."/>
      <w:lvlJc w:val="left"/>
      <w:pPr>
        <w:ind w:left="1500" w:hanging="360"/>
      </w:pPr>
      <w:rPr>
        <w:rFonts w:hint="default"/>
      </w:r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11" w15:restartNumberingAfterBreak="0">
    <w:nsid w:val="56066F22"/>
    <w:multiLevelType w:val="hybridMultilevel"/>
    <w:tmpl w:val="3ACE6E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FC35C03"/>
    <w:multiLevelType w:val="hybridMultilevel"/>
    <w:tmpl w:val="5FC45C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3456AB0"/>
    <w:multiLevelType w:val="hybridMultilevel"/>
    <w:tmpl w:val="3ACE6E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3"/>
  </w:num>
  <w:num w:numId="5">
    <w:abstractNumId w:val="10"/>
  </w:num>
  <w:num w:numId="6">
    <w:abstractNumId w:val="11"/>
  </w:num>
  <w:num w:numId="7">
    <w:abstractNumId w:val="13"/>
  </w:num>
  <w:num w:numId="8">
    <w:abstractNumId w:val="2"/>
  </w:num>
  <w:num w:numId="9">
    <w:abstractNumId w:val="9"/>
  </w:num>
  <w:num w:numId="10">
    <w:abstractNumId w:val="12"/>
  </w:num>
  <w:num w:numId="11">
    <w:abstractNumId w:val="1"/>
  </w:num>
  <w:num w:numId="12">
    <w:abstractNumId w:val="8"/>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2A6"/>
    <w:rsid w:val="00000393"/>
    <w:rsid w:val="00002E57"/>
    <w:rsid w:val="00005A95"/>
    <w:rsid w:val="000077B0"/>
    <w:rsid w:val="000105B2"/>
    <w:rsid w:val="00010D1C"/>
    <w:rsid w:val="000119BF"/>
    <w:rsid w:val="00014230"/>
    <w:rsid w:val="00014ADE"/>
    <w:rsid w:val="0001545C"/>
    <w:rsid w:val="00015FAE"/>
    <w:rsid w:val="00016B77"/>
    <w:rsid w:val="00017624"/>
    <w:rsid w:val="00017C6F"/>
    <w:rsid w:val="0002187A"/>
    <w:rsid w:val="00021CA2"/>
    <w:rsid w:val="0002705F"/>
    <w:rsid w:val="0002786E"/>
    <w:rsid w:val="00027D21"/>
    <w:rsid w:val="00030358"/>
    <w:rsid w:val="0003180A"/>
    <w:rsid w:val="0003284B"/>
    <w:rsid w:val="00033377"/>
    <w:rsid w:val="00034128"/>
    <w:rsid w:val="000344BF"/>
    <w:rsid w:val="000354E3"/>
    <w:rsid w:val="00036007"/>
    <w:rsid w:val="000362CB"/>
    <w:rsid w:val="0004040D"/>
    <w:rsid w:val="00040993"/>
    <w:rsid w:val="000409CA"/>
    <w:rsid w:val="00040ADD"/>
    <w:rsid w:val="0004102F"/>
    <w:rsid w:val="000411EE"/>
    <w:rsid w:val="0004167C"/>
    <w:rsid w:val="00042498"/>
    <w:rsid w:val="00042E1D"/>
    <w:rsid w:val="00045B7D"/>
    <w:rsid w:val="00046EA4"/>
    <w:rsid w:val="0004725E"/>
    <w:rsid w:val="00050DC2"/>
    <w:rsid w:val="000533B5"/>
    <w:rsid w:val="00054094"/>
    <w:rsid w:val="00056395"/>
    <w:rsid w:val="000577E3"/>
    <w:rsid w:val="0006083D"/>
    <w:rsid w:val="00061C89"/>
    <w:rsid w:val="00063B08"/>
    <w:rsid w:val="00063B09"/>
    <w:rsid w:val="000645FB"/>
    <w:rsid w:val="00064D0C"/>
    <w:rsid w:val="0006564D"/>
    <w:rsid w:val="0006710F"/>
    <w:rsid w:val="00071D2C"/>
    <w:rsid w:val="000723E0"/>
    <w:rsid w:val="00072839"/>
    <w:rsid w:val="00072EFA"/>
    <w:rsid w:val="00073178"/>
    <w:rsid w:val="00073758"/>
    <w:rsid w:val="000750F4"/>
    <w:rsid w:val="00076A16"/>
    <w:rsid w:val="00076CF8"/>
    <w:rsid w:val="0007760D"/>
    <w:rsid w:val="0008038E"/>
    <w:rsid w:val="00081D23"/>
    <w:rsid w:val="000836DB"/>
    <w:rsid w:val="00086C3C"/>
    <w:rsid w:val="00087756"/>
    <w:rsid w:val="00087FBB"/>
    <w:rsid w:val="000910D4"/>
    <w:rsid w:val="000910DF"/>
    <w:rsid w:val="000922BF"/>
    <w:rsid w:val="00092388"/>
    <w:rsid w:val="00094441"/>
    <w:rsid w:val="00097610"/>
    <w:rsid w:val="00097FFD"/>
    <w:rsid w:val="000A0071"/>
    <w:rsid w:val="000A1553"/>
    <w:rsid w:val="000A158D"/>
    <w:rsid w:val="000A176B"/>
    <w:rsid w:val="000A1FC0"/>
    <w:rsid w:val="000A2CFD"/>
    <w:rsid w:val="000A4406"/>
    <w:rsid w:val="000A4E0F"/>
    <w:rsid w:val="000A6615"/>
    <w:rsid w:val="000A69EF"/>
    <w:rsid w:val="000A6DF4"/>
    <w:rsid w:val="000B01A4"/>
    <w:rsid w:val="000B2C3C"/>
    <w:rsid w:val="000B35C9"/>
    <w:rsid w:val="000B3F2B"/>
    <w:rsid w:val="000B4382"/>
    <w:rsid w:val="000B48ED"/>
    <w:rsid w:val="000B54B9"/>
    <w:rsid w:val="000B7B92"/>
    <w:rsid w:val="000C034E"/>
    <w:rsid w:val="000C0930"/>
    <w:rsid w:val="000C2246"/>
    <w:rsid w:val="000C3788"/>
    <w:rsid w:val="000C5F92"/>
    <w:rsid w:val="000C793D"/>
    <w:rsid w:val="000C7E27"/>
    <w:rsid w:val="000C7E8E"/>
    <w:rsid w:val="000D22A1"/>
    <w:rsid w:val="000D2518"/>
    <w:rsid w:val="000D2BBE"/>
    <w:rsid w:val="000D4066"/>
    <w:rsid w:val="000D448E"/>
    <w:rsid w:val="000D4739"/>
    <w:rsid w:val="000D49F5"/>
    <w:rsid w:val="000D61A5"/>
    <w:rsid w:val="000D771A"/>
    <w:rsid w:val="000D7741"/>
    <w:rsid w:val="000E0112"/>
    <w:rsid w:val="000E3925"/>
    <w:rsid w:val="000E54EA"/>
    <w:rsid w:val="000F0FB8"/>
    <w:rsid w:val="000F1A06"/>
    <w:rsid w:val="000F35F9"/>
    <w:rsid w:val="000F3673"/>
    <w:rsid w:val="000F5441"/>
    <w:rsid w:val="000F5764"/>
    <w:rsid w:val="000F6B8F"/>
    <w:rsid w:val="001002E3"/>
    <w:rsid w:val="00100BAA"/>
    <w:rsid w:val="001015F6"/>
    <w:rsid w:val="00101605"/>
    <w:rsid w:val="00103996"/>
    <w:rsid w:val="001049A6"/>
    <w:rsid w:val="00104D71"/>
    <w:rsid w:val="00105E22"/>
    <w:rsid w:val="00105FCB"/>
    <w:rsid w:val="001069B8"/>
    <w:rsid w:val="00106C8F"/>
    <w:rsid w:val="0011057D"/>
    <w:rsid w:val="001123E4"/>
    <w:rsid w:val="00112702"/>
    <w:rsid w:val="00112D20"/>
    <w:rsid w:val="00114EA6"/>
    <w:rsid w:val="00117D86"/>
    <w:rsid w:val="00120B6F"/>
    <w:rsid w:val="001215A1"/>
    <w:rsid w:val="0012222F"/>
    <w:rsid w:val="00122DEE"/>
    <w:rsid w:val="00123E10"/>
    <w:rsid w:val="00123FE5"/>
    <w:rsid w:val="00124156"/>
    <w:rsid w:val="00124C20"/>
    <w:rsid w:val="00126B69"/>
    <w:rsid w:val="0013031E"/>
    <w:rsid w:val="00131336"/>
    <w:rsid w:val="00131614"/>
    <w:rsid w:val="00131796"/>
    <w:rsid w:val="00131869"/>
    <w:rsid w:val="00132195"/>
    <w:rsid w:val="0013292E"/>
    <w:rsid w:val="00132B30"/>
    <w:rsid w:val="00132DAE"/>
    <w:rsid w:val="00133E76"/>
    <w:rsid w:val="00135235"/>
    <w:rsid w:val="00136884"/>
    <w:rsid w:val="00137056"/>
    <w:rsid w:val="0014014A"/>
    <w:rsid w:val="00143F71"/>
    <w:rsid w:val="00144AA0"/>
    <w:rsid w:val="001456BE"/>
    <w:rsid w:val="00146095"/>
    <w:rsid w:val="0015064D"/>
    <w:rsid w:val="00151B58"/>
    <w:rsid w:val="00152502"/>
    <w:rsid w:val="00152A00"/>
    <w:rsid w:val="00152AFC"/>
    <w:rsid w:val="00153E4C"/>
    <w:rsid w:val="00153F32"/>
    <w:rsid w:val="00154808"/>
    <w:rsid w:val="00154EEF"/>
    <w:rsid w:val="00156E58"/>
    <w:rsid w:val="001603EB"/>
    <w:rsid w:val="0016217B"/>
    <w:rsid w:val="00162A78"/>
    <w:rsid w:val="0016348C"/>
    <w:rsid w:val="001634A2"/>
    <w:rsid w:val="00166A62"/>
    <w:rsid w:val="0017052B"/>
    <w:rsid w:val="00170B1C"/>
    <w:rsid w:val="0017128B"/>
    <w:rsid w:val="0017160C"/>
    <w:rsid w:val="00171AAB"/>
    <w:rsid w:val="00171F88"/>
    <w:rsid w:val="0017244A"/>
    <w:rsid w:val="001731D2"/>
    <w:rsid w:val="00173259"/>
    <w:rsid w:val="001733F4"/>
    <w:rsid w:val="00174D7A"/>
    <w:rsid w:val="00175822"/>
    <w:rsid w:val="0017761D"/>
    <w:rsid w:val="0017768E"/>
    <w:rsid w:val="001814CB"/>
    <w:rsid w:val="00181809"/>
    <w:rsid w:val="00181863"/>
    <w:rsid w:val="00181E7D"/>
    <w:rsid w:val="0018217E"/>
    <w:rsid w:val="00182F83"/>
    <w:rsid w:val="0018400B"/>
    <w:rsid w:val="0018467F"/>
    <w:rsid w:val="00184DCD"/>
    <w:rsid w:val="00186C3D"/>
    <w:rsid w:val="001873DB"/>
    <w:rsid w:val="001873DC"/>
    <w:rsid w:val="00192A2F"/>
    <w:rsid w:val="0019415D"/>
    <w:rsid w:val="001943A5"/>
    <w:rsid w:val="00194694"/>
    <w:rsid w:val="00194B69"/>
    <w:rsid w:val="00194C69"/>
    <w:rsid w:val="00195378"/>
    <w:rsid w:val="001955D0"/>
    <w:rsid w:val="00196CF8"/>
    <w:rsid w:val="00197BD8"/>
    <w:rsid w:val="001A029B"/>
    <w:rsid w:val="001A0819"/>
    <w:rsid w:val="001A0CEA"/>
    <w:rsid w:val="001A32FD"/>
    <w:rsid w:val="001A3426"/>
    <w:rsid w:val="001A38A0"/>
    <w:rsid w:val="001A3C72"/>
    <w:rsid w:val="001A60E6"/>
    <w:rsid w:val="001A6301"/>
    <w:rsid w:val="001A7302"/>
    <w:rsid w:val="001A7F1B"/>
    <w:rsid w:val="001B14A5"/>
    <w:rsid w:val="001B21BD"/>
    <w:rsid w:val="001B31B5"/>
    <w:rsid w:val="001B5E82"/>
    <w:rsid w:val="001B6B91"/>
    <w:rsid w:val="001B7950"/>
    <w:rsid w:val="001B7B8E"/>
    <w:rsid w:val="001C03FF"/>
    <w:rsid w:val="001C0985"/>
    <w:rsid w:val="001C0C1E"/>
    <w:rsid w:val="001C2292"/>
    <w:rsid w:val="001C39F5"/>
    <w:rsid w:val="001C4AEF"/>
    <w:rsid w:val="001C5FB3"/>
    <w:rsid w:val="001C737E"/>
    <w:rsid w:val="001D1410"/>
    <w:rsid w:val="001D1932"/>
    <w:rsid w:val="001D255E"/>
    <w:rsid w:val="001D2CBE"/>
    <w:rsid w:val="001D30FC"/>
    <w:rsid w:val="001D3872"/>
    <w:rsid w:val="001D4C77"/>
    <w:rsid w:val="001D6942"/>
    <w:rsid w:val="001E107B"/>
    <w:rsid w:val="001E17AD"/>
    <w:rsid w:val="001E1B7E"/>
    <w:rsid w:val="001E4886"/>
    <w:rsid w:val="001E4A64"/>
    <w:rsid w:val="001E4FBA"/>
    <w:rsid w:val="001E69E5"/>
    <w:rsid w:val="001E7B18"/>
    <w:rsid w:val="001F013C"/>
    <w:rsid w:val="001F05A9"/>
    <w:rsid w:val="001F1365"/>
    <w:rsid w:val="001F14E8"/>
    <w:rsid w:val="001F39D2"/>
    <w:rsid w:val="001F4049"/>
    <w:rsid w:val="001F4E37"/>
    <w:rsid w:val="001F5A58"/>
    <w:rsid w:val="001F5EA3"/>
    <w:rsid w:val="001F6AEA"/>
    <w:rsid w:val="001F6C79"/>
    <w:rsid w:val="00201169"/>
    <w:rsid w:val="00201EF5"/>
    <w:rsid w:val="00203061"/>
    <w:rsid w:val="002033F4"/>
    <w:rsid w:val="00203A40"/>
    <w:rsid w:val="00204132"/>
    <w:rsid w:val="00205606"/>
    <w:rsid w:val="00207430"/>
    <w:rsid w:val="002109C9"/>
    <w:rsid w:val="00212C8A"/>
    <w:rsid w:val="00213F88"/>
    <w:rsid w:val="002146D2"/>
    <w:rsid w:val="002155BE"/>
    <w:rsid w:val="00215A51"/>
    <w:rsid w:val="00217C61"/>
    <w:rsid w:val="00217D74"/>
    <w:rsid w:val="00220EE6"/>
    <w:rsid w:val="00221799"/>
    <w:rsid w:val="00221983"/>
    <w:rsid w:val="00223A48"/>
    <w:rsid w:val="00223DC7"/>
    <w:rsid w:val="00224B1E"/>
    <w:rsid w:val="00225E7B"/>
    <w:rsid w:val="00225FB9"/>
    <w:rsid w:val="002276A2"/>
    <w:rsid w:val="00231282"/>
    <w:rsid w:val="002321BA"/>
    <w:rsid w:val="002322A6"/>
    <w:rsid w:val="002323BC"/>
    <w:rsid w:val="002330A2"/>
    <w:rsid w:val="00233F5E"/>
    <w:rsid w:val="00234BA4"/>
    <w:rsid w:val="002350B7"/>
    <w:rsid w:val="002358D4"/>
    <w:rsid w:val="00236A30"/>
    <w:rsid w:val="00236DA5"/>
    <w:rsid w:val="002377D0"/>
    <w:rsid w:val="00241695"/>
    <w:rsid w:val="00242023"/>
    <w:rsid w:val="002422E3"/>
    <w:rsid w:val="00243A3F"/>
    <w:rsid w:val="00244B9C"/>
    <w:rsid w:val="002466F3"/>
    <w:rsid w:val="00246F53"/>
    <w:rsid w:val="002470D2"/>
    <w:rsid w:val="0024754C"/>
    <w:rsid w:val="00247C5C"/>
    <w:rsid w:val="00250683"/>
    <w:rsid w:val="00250D69"/>
    <w:rsid w:val="00251810"/>
    <w:rsid w:val="00253B6E"/>
    <w:rsid w:val="0025471F"/>
    <w:rsid w:val="00255E8B"/>
    <w:rsid w:val="0025708C"/>
    <w:rsid w:val="002573FE"/>
    <w:rsid w:val="00257E50"/>
    <w:rsid w:val="00260858"/>
    <w:rsid w:val="002630CF"/>
    <w:rsid w:val="00264792"/>
    <w:rsid w:val="00266503"/>
    <w:rsid w:val="00266AD2"/>
    <w:rsid w:val="002672BF"/>
    <w:rsid w:val="00271AD8"/>
    <w:rsid w:val="002723EB"/>
    <w:rsid w:val="00272F7C"/>
    <w:rsid w:val="00273517"/>
    <w:rsid w:val="00273D00"/>
    <w:rsid w:val="00274C07"/>
    <w:rsid w:val="00274E1F"/>
    <w:rsid w:val="00275771"/>
    <w:rsid w:val="00275E3B"/>
    <w:rsid w:val="002763A1"/>
    <w:rsid w:val="00276835"/>
    <w:rsid w:val="0027773F"/>
    <w:rsid w:val="00281379"/>
    <w:rsid w:val="00282BB6"/>
    <w:rsid w:val="00284658"/>
    <w:rsid w:val="00284D10"/>
    <w:rsid w:val="00285BE5"/>
    <w:rsid w:val="002861A4"/>
    <w:rsid w:val="00286DCD"/>
    <w:rsid w:val="00287610"/>
    <w:rsid w:val="00291C25"/>
    <w:rsid w:val="002922A0"/>
    <w:rsid w:val="00293A6E"/>
    <w:rsid w:val="0029577C"/>
    <w:rsid w:val="002958D4"/>
    <w:rsid w:val="00295C52"/>
    <w:rsid w:val="00297BCF"/>
    <w:rsid w:val="002A11D7"/>
    <w:rsid w:val="002A2879"/>
    <w:rsid w:val="002A30B5"/>
    <w:rsid w:val="002A3B5E"/>
    <w:rsid w:val="002A3D5E"/>
    <w:rsid w:val="002A3E33"/>
    <w:rsid w:val="002A3EF3"/>
    <w:rsid w:val="002A4498"/>
    <w:rsid w:val="002A560C"/>
    <w:rsid w:val="002A5AAC"/>
    <w:rsid w:val="002A5D2F"/>
    <w:rsid w:val="002A6EE2"/>
    <w:rsid w:val="002A6FFB"/>
    <w:rsid w:val="002A7146"/>
    <w:rsid w:val="002A79F3"/>
    <w:rsid w:val="002A7A67"/>
    <w:rsid w:val="002B09D6"/>
    <w:rsid w:val="002B1C61"/>
    <w:rsid w:val="002B2E9D"/>
    <w:rsid w:val="002B3229"/>
    <w:rsid w:val="002B440F"/>
    <w:rsid w:val="002B5732"/>
    <w:rsid w:val="002B5B6E"/>
    <w:rsid w:val="002B6589"/>
    <w:rsid w:val="002C131F"/>
    <w:rsid w:val="002C34CB"/>
    <w:rsid w:val="002C365B"/>
    <w:rsid w:val="002C49B4"/>
    <w:rsid w:val="002C526C"/>
    <w:rsid w:val="002C543C"/>
    <w:rsid w:val="002C5AC5"/>
    <w:rsid w:val="002C5D95"/>
    <w:rsid w:val="002C6385"/>
    <w:rsid w:val="002C7F2F"/>
    <w:rsid w:val="002D0A45"/>
    <w:rsid w:val="002D2471"/>
    <w:rsid w:val="002D3286"/>
    <w:rsid w:val="002D33AC"/>
    <w:rsid w:val="002D3916"/>
    <w:rsid w:val="002D7065"/>
    <w:rsid w:val="002E0059"/>
    <w:rsid w:val="002E04EC"/>
    <w:rsid w:val="002E1D11"/>
    <w:rsid w:val="002E24EF"/>
    <w:rsid w:val="002E2CDB"/>
    <w:rsid w:val="002E40BA"/>
    <w:rsid w:val="002E486B"/>
    <w:rsid w:val="002E48D4"/>
    <w:rsid w:val="002E595D"/>
    <w:rsid w:val="002E5D0E"/>
    <w:rsid w:val="002E630E"/>
    <w:rsid w:val="002E686B"/>
    <w:rsid w:val="002E7D02"/>
    <w:rsid w:val="002F08EF"/>
    <w:rsid w:val="002F137D"/>
    <w:rsid w:val="002F2B24"/>
    <w:rsid w:val="002F3725"/>
    <w:rsid w:val="002F3CD9"/>
    <w:rsid w:val="002F4695"/>
    <w:rsid w:val="002F508B"/>
    <w:rsid w:val="002F52E6"/>
    <w:rsid w:val="002F6DA7"/>
    <w:rsid w:val="002F6E1D"/>
    <w:rsid w:val="002F7A86"/>
    <w:rsid w:val="00302F4D"/>
    <w:rsid w:val="00303210"/>
    <w:rsid w:val="00304D26"/>
    <w:rsid w:val="00307A68"/>
    <w:rsid w:val="00310FCC"/>
    <w:rsid w:val="003110FF"/>
    <w:rsid w:val="00311385"/>
    <w:rsid w:val="00311659"/>
    <w:rsid w:val="0031174C"/>
    <w:rsid w:val="003118CF"/>
    <w:rsid w:val="00314584"/>
    <w:rsid w:val="003153C7"/>
    <w:rsid w:val="0032281C"/>
    <w:rsid w:val="00322AA7"/>
    <w:rsid w:val="00322C50"/>
    <w:rsid w:val="00322C7D"/>
    <w:rsid w:val="00323920"/>
    <w:rsid w:val="0032397F"/>
    <w:rsid w:val="003239D7"/>
    <w:rsid w:val="00323C97"/>
    <w:rsid w:val="00323CCB"/>
    <w:rsid w:val="0032518B"/>
    <w:rsid w:val="00325632"/>
    <w:rsid w:val="00325653"/>
    <w:rsid w:val="00325687"/>
    <w:rsid w:val="00325F90"/>
    <w:rsid w:val="003261F3"/>
    <w:rsid w:val="00327A28"/>
    <w:rsid w:val="003335B4"/>
    <w:rsid w:val="00333A2D"/>
    <w:rsid w:val="00333F96"/>
    <w:rsid w:val="00334241"/>
    <w:rsid w:val="00335AF2"/>
    <w:rsid w:val="00335BC4"/>
    <w:rsid w:val="003360DF"/>
    <w:rsid w:val="00336F16"/>
    <w:rsid w:val="003400F9"/>
    <w:rsid w:val="0034314D"/>
    <w:rsid w:val="00343F46"/>
    <w:rsid w:val="00346818"/>
    <w:rsid w:val="00346CB0"/>
    <w:rsid w:val="00347BF3"/>
    <w:rsid w:val="00350743"/>
    <w:rsid w:val="00351474"/>
    <w:rsid w:val="00351CC9"/>
    <w:rsid w:val="00354D68"/>
    <w:rsid w:val="00355BD8"/>
    <w:rsid w:val="00355C01"/>
    <w:rsid w:val="00363F07"/>
    <w:rsid w:val="00364380"/>
    <w:rsid w:val="00364C8F"/>
    <w:rsid w:val="00366840"/>
    <w:rsid w:val="0037043D"/>
    <w:rsid w:val="00371778"/>
    <w:rsid w:val="00371C7F"/>
    <w:rsid w:val="0037266E"/>
    <w:rsid w:val="003730C3"/>
    <w:rsid w:val="003733C4"/>
    <w:rsid w:val="00374311"/>
    <w:rsid w:val="0037491D"/>
    <w:rsid w:val="003775B4"/>
    <w:rsid w:val="00377731"/>
    <w:rsid w:val="0038032D"/>
    <w:rsid w:val="0038116F"/>
    <w:rsid w:val="003815EE"/>
    <w:rsid w:val="00381AC2"/>
    <w:rsid w:val="00382980"/>
    <w:rsid w:val="0038366C"/>
    <w:rsid w:val="00383E65"/>
    <w:rsid w:val="003852CA"/>
    <w:rsid w:val="003855A3"/>
    <w:rsid w:val="00385C4A"/>
    <w:rsid w:val="0038696A"/>
    <w:rsid w:val="00387EA0"/>
    <w:rsid w:val="00390E8F"/>
    <w:rsid w:val="00391DF1"/>
    <w:rsid w:val="00392090"/>
    <w:rsid w:val="00392D2E"/>
    <w:rsid w:val="0039345A"/>
    <w:rsid w:val="00394814"/>
    <w:rsid w:val="00395E7F"/>
    <w:rsid w:val="0039627F"/>
    <w:rsid w:val="00396D9B"/>
    <w:rsid w:val="00397498"/>
    <w:rsid w:val="003A1EA4"/>
    <w:rsid w:val="003A2043"/>
    <w:rsid w:val="003A2D46"/>
    <w:rsid w:val="003A43B6"/>
    <w:rsid w:val="003A5E02"/>
    <w:rsid w:val="003A6BBB"/>
    <w:rsid w:val="003B0683"/>
    <w:rsid w:val="003B42D5"/>
    <w:rsid w:val="003B5A37"/>
    <w:rsid w:val="003B61E3"/>
    <w:rsid w:val="003C15DC"/>
    <w:rsid w:val="003C4522"/>
    <w:rsid w:val="003C4F4E"/>
    <w:rsid w:val="003C504F"/>
    <w:rsid w:val="003C5D37"/>
    <w:rsid w:val="003C6BD2"/>
    <w:rsid w:val="003C792E"/>
    <w:rsid w:val="003D19B3"/>
    <w:rsid w:val="003D220F"/>
    <w:rsid w:val="003D2BCF"/>
    <w:rsid w:val="003D41D6"/>
    <w:rsid w:val="003D45EE"/>
    <w:rsid w:val="003D7327"/>
    <w:rsid w:val="003D735E"/>
    <w:rsid w:val="003D7557"/>
    <w:rsid w:val="003D7637"/>
    <w:rsid w:val="003E0368"/>
    <w:rsid w:val="003E184B"/>
    <w:rsid w:val="003E2011"/>
    <w:rsid w:val="003E2135"/>
    <w:rsid w:val="003E21F4"/>
    <w:rsid w:val="003E3697"/>
    <w:rsid w:val="003E39A8"/>
    <w:rsid w:val="003E3F19"/>
    <w:rsid w:val="003E428A"/>
    <w:rsid w:val="003E44A2"/>
    <w:rsid w:val="003E458A"/>
    <w:rsid w:val="003E591B"/>
    <w:rsid w:val="003E7A87"/>
    <w:rsid w:val="003F00C7"/>
    <w:rsid w:val="003F0212"/>
    <w:rsid w:val="003F1738"/>
    <w:rsid w:val="003F26D8"/>
    <w:rsid w:val="003F2EA5"/>
    <w:rsid w:val="003F607B"/>
    <w:rsid w:val="003F668D"/>
    <w:rsid w:val="003F74F4"/>
    <w:rsid w:val="00400C8D"/>
    <w:rsid w:val="0040121E"/>
    <w:rsid w:val="004027DF"/>
    <w:rsid w:val="00404E37"/>
    <w:rsid w:val="004060C9"/>
    <w:rsid w:val="0040665A"/>
    <w:rsid w:val="00407965"/>
    <w:rsid w:val="00407CE5"/>
    <w:rsid w:val="00407E9E"/>
    <w:rsid w:val="004106A9"/>
    <w:rsid w:val="00410C3E"/>
    <w:rsid w:val="004118C8"/>
    <w:rsid w:val="00412EFC"/>
    <w:rsid w:val="00414963"/>
    <w:rsid w:val="00416B6C"/>
    <w:rsid w:val="00417431"/>
    <w:rsid w:val="00420219"/>
    <w:rsid w:val="004214D3"/>
    <w:rsid w:val="00422C52"/>
    <w:rsid w:val="00422D62"/>
    <w:rsid w:val="00424A83"/>
    <w:rsid w:val="00430757"/>
    <w:rsid w:val="004321AB"/>
    <w:rsid w:val="0043285B"/>
    <w:rsid w:val="00432EE8"/>
    <w:rsid w:val="00435BEF"/>
    <w:rsid w:val="00436964"/>
    <w:rsid w:val="00436B09"/>
    <w:rsid w:val="00436F8B"/>
    <w:rsid w:val="00441BBF"/>
    <w:rsid w:val="00441D5D"/>
    <w:rsid w:val="00443BDF"/>
    <w:rsid w:val="004443EC"/>
    <w:rsid w:val="00446CFB"/>
    <w:rsid w:val="00451F9D"/>
    <w:rsid w:val="00452D9F"/>
    <w:rsid w:val="004542A7"/>
    <w:rsid w:val="0045437C"/>
    <w:rsid w:val="004561AC"/>
    <w:rsid w:val="00456712"/>
    <w:rsid w:val="004572C0"/>
    <w:rsid w:val="0046288C"/>
    <w:rsid w:val="00463911"/>
    <w:rsid w:val="00464642"/>
    <w:rsid w:val="00465629"/>
    <w:rsid w:val="0046598D"/>
    <w:rsid w:val="004671F0"/>
    <w:rsid w:val="004675BE"/>
    <w:rsid w:val="00467D40"/>
    <w:rsid w:val="004701B1"/>
    <w:rsid w:val="00471892"/>
    <w:rsid w:val="0047262E"/>
    <w:rsid w:val="00472A97"/>
    <w:rsid w:val="00473084"/>
    <w:rsid w:val="00473F45"/>
    <w:rsid w:val="00475C96"/>
    <w:rsid w:val="004760DE"/>
    <w:rsid w:val="00476F22"/>
    <w:rsid w:val="00477A48"/>
    <w:rsid w:val="00480338"/>
    <w:rsid w:val="00480549"/>
    <w:rsid w:val="004807AC"/>
    <w:rsid w:val="00480F4A"/>
    <w:rsid w:val="00481C94"/>
    <w:rsid w:val="004823F8"/>
    <w:rsid w:val="00483C5B"/>
    <w:rsid w:val="00483EDF"/>
    <w:rsid w:val="00485BA1"/>
    <w:rsid w:val="00490518"/>
    <w:rsid w:val="00490795"/>
    <w:rsid w:val="00490DFD"/>
    <w:rsid w:val="00490F20"/>
    <w:rsid w:val="00492CEA"/>
    <w:rsid w:val="00492F05"/>
    <w:rsid w:val="004940D1"/>
    <w:rsid w:val="004945CE"/>
    <w:rsid w:val="00495006"/>
    <w:rsid w:val="00495834"/>
    <w:rsid w:val="00496164"/>
    <w:rsid w:val="004A0038"/>
    <w:rsid w:val="004A0697"/>
    <w:rsid w:val="004A11E2"/>
    <w:rsid w:val="004A14D7"/>
    <w:rsid w:val="004A2AA7"/>
    <w:rsid w:val="004A2D1A"/>
    <w:rsid w:val="004A3468"/>
    <w:rsid w:val="004A4DF6"/>
    <w:rsid w:val="004A5F14"/>
    <w:rsid w:val="004A6C62"/>
    <w:rsid w:val="004B022A"/>
    <w:rsid w:val="004B0C75"/>
    <w:rsid w:val="004B1069"/>
    <w:rsid w:val="004B1808"/>
    <w:rsid w:val="004B1EBA"/>
    <w:rsid w:val="004B215A"/>
    <w:rsid w:val="004B3893"/>
    <w:rsid w:val="004B3AC0"/>
    <w:rsid w:val="004B4F68"/>
    <w:rsid w:val="004B52D6"/>
    <w:rsid w:val="004B63A9"/>
    <w:rsid w:val="004B7376"/>
    <w:rsid w:val="004C0831"/>
    <w:rsid w:val="004C13D2"/>
    <w:rsid w:val="004C1C9E"/>
    <w:rsid w:val="004C20D0"/>
    <w:rsid w:val="004C30A4"/>
    <w:rsid w:val="004C57C5"/>
    <w:rsid w:val="004C5F09"/>
    <w:rsid w:val="004D1D87"/>
    <w:rsid w:val="004D2B49"/>
    <w:rsid w:val="004D3851"/>
    <w:rsid w:val="004D5742"/>
    <w:rsid w:val="004D7C7E"/>
    <w:rsid w:val="004E1AB5"/>
    <w:rsid w:val="004E2EE7"/>
    <w:rsid w:val="004E3737"/>
    <w:rsid w:val="004E438A"/>
    <w:rsid w:val="004E5866"/>
    <w:rsid w:val="004E5EF4"/>
    <w:rsid w:val="004E7370"/>
    <w:rsid w:val="004E78B7"/>
    <w:rsid w:val="004F4B05"/>
    <w:rsid w:val="004F57CD"/>
    <w:rsid w:val="005011F3"/>
    <w:rsid w:val="00502864"/>
    <w:rsid w:val="00502F83"/>
    <w:rsid w:val="0050616F"/>
    <w:rsid w:val="00510DA6"/>
    <w:rsid w:val="0051112E"/>
    <w:rsid w:val="00513EAE"/>
    <w:rsid w:val="00514629"/>
    <w:rsid w:val="00515022"/>
    <w:rsid w:val="00515429"/>
    <w:rsid w:val="0051570A"/>
    <w:rsid w:val="005159CB"/>
    <w:rsid w:val="005163D1"/>
    <w:rsid w:val="005164BF"/>
    <w:rsid w:val="00520716"/>
    <w:rsid w:val="00520BED"/>
    <w:rsid w:val="00524BCA"/>
    <w:rsid w:val="00524C37"/>
    <w:rsid w:val="00525442"/>
    <w:rsid w:val="00525DCA"/>
    <w:rsid w:val="00527A5B"/>
    <w:rsid w:val="005302D7"/>
    <w:rsid w:val="00530D03"/>
    <w:rsid w:val="005312AB"/>
    <w:rsid w:val="005312BE"/>
    <w:rsid w:val="00531D34"/>
    <w:rsid w:val="00541B50"/>
    <w:rsid w:val="005437A3"/>
    <w:rsid w:val="005444A7"/>
    <w:rsid w:val="005447B7"/>
    <w:rsid w:val="00545FB3"/>
    <w:rsid w:val="00546025"/>
    <w:rsid w:val="00547978"/>
    <w:rsid w:val="005519E5"/>
    <w:rsid w:val="00552CDD"/>
    <w:rsid w:val="00552F6E"/>
    <w:rsid w:val="00553B58"/>
    <w:rsid w:val="005547AA"/>
    <w:rsid w:val="00554827"/>
    <w:rsid w:val="00560D00"/>
    <w:rsid w:val="0056492F"/>
    <w:rsid w:val="00565639"/>
    <w:rsid w:val="00565BD0"/>
    <w:rsid w:val="0056676D"/>
    <w:rsid w:val="0056684B"/>
    <w:rsid w:val="00566E11"/>
    <w:rsid w:val="0057006C"/>
    <w:rsid w:val="005708B1"/>
    <w:rsid w:val="005708B2"/>
    <w:rsid w:val="00570C45"/>
    <w:rsid w:val="00570D30"/>
    <w:rsid w:val="00571964"/>
    <w:rsid w:val="0057381B"/>
    <w:rsid w:val="005753AD"/>
    <w:rsid w:val="00576F4F"/>
    <w:rsid w:val="00577DE3"/>
    <w:rsid w:val="005814ED"/>
    <w:rsid w:val="005823BE"/>
    <w:rsid w:val="00582897"/>
    <w:rsid w:val="00582A99"/>
    <w:rsid w:val="005866CE"/>
    <w:rsid w:val="00591D99"/>
    <w:rsid w:val="0059458D"/>
    <w:rsid w:val="005954B8"/>
    <w:rsid w:val="00595541"/>
    <w:rsid w:val="00596ED3"/>
    <w:rsid w:val="005A0710"/>
    <w:rsid w:val="005A1CC0"/>
    <w:rsid w:val="005A2BF1"/>
    <w:rsid w:val="005A361C"/>
    <w:rsid w:val="005A3CDD"/>
    <w:rsid w:val="005A44C6"/>
    <w:rsid w:val="005A4930"/>
    <w:rsid w:val="005A5046"/>
    <w:rsid w:val="005B23E5"/>
    <w:rsid w:val="005B27B3"/>
    <w:rsid w:val="005B34DA"/>
    <w:rsid w:val="005B43A0"/>
    <w:rsid w:val="005B47B9"/>
    <w:rsid w:val="005B54E5"/>
    <w:rsid w:val="005B6718"/>
    <w:rsid w:val="005B7164"/>
    <w:rsid w:val="005B75A9"/>
    <w:rsid w:val="005C4E03"/>
    <w:rsid w:val="005C4F14"/>
    <w:rsid w:val="005C694B"/>
    <w:rsid w:val="005D23D2"/>
    <w:rsid w:val="005D2490"/>
    <w:rsid w:val="005D3B91"/>
    <w:rsid w:val="005D625C"/>
    <w:rsid w:val="005E10B3"/>
    <w:rsid w:val="005E280A"/>
    <w:rsid w:val="005E2F07"/>
    <w:rsid w:val="005E332B"/>
    <w:rsid w:val="005E357A"/>
    <w:rsid w:val="005E40DC"/>
    <w:rsid w:val="005E4187"/>
    <w:rsid w:val="005E484D"/>
    <w:rsid w:val="005E76E3"/>
    <w:rsid w:val="005E7B18"/>
    <w:rsid w:val="005F3382"/>
    <w:rsid w:val="005F3FC2"/>
    <w:rsid w:val="005F400F"/>
    <w:rsid w:val="005F4620"/>
    <w:rsid w:val="005F50E7"/>
    <w:rsid w:val="005F5C0C"/>
    <w:rsid w:val="005F691F"/>
    <w:rsid w:val="005F6B73"/>
    <w:rsid w:val="005F71D5"/>
    <w:rsid w:val="00600A97"/>
    <w:rsid w:val="00600C35"/>
    <w:rsid w:val="006022A5"/>
    <w:rsid w:val="00603123"/>
    <w:rsid w:val="00603AAF"/>
    <w:rsid w:val="00603D6C"/>
    <w:rsid w:val="00605D58"/>
    <w:rsid w:val="00605F75"/>
    <w:rsid w:val="006060EC"/>
    <w:rsid w:val="00606310"/>
    <w:rsid w:val="00610DEE"/>
    <w:rsid w:val="00611C48"/>
    <w:rsid w:val="006131DA"/>
    <w:rsid w:val="00615ED1"/>
    <w:rsid w:val="00615FF3"/>
    <w:rsid w:val="00617497"/>
    <w:rsid w:val="006200D8"/>
    <w:rsid w:val="00620D5A"/>
    <w:rsid w:val="00622BA8"/>
    <w:rsid w:val="00623E9E"/>
    <w:rsid w:val="00625BCD"/>
    <w:rsid w:val="00625F0C"/>
    <w:rsid w:val="006262CD"/>
    <w:rsid w:val="00626588"/>
    <w:rsid w:val="00627D87"/>
    <w:rsid w:val="0063073B"/>
    <w:rsid w:val="00630C0E"/>
    <w:rsid w:val="00631598"/>
    <w:rsid w:val="0063282F"/>
    <w:rsid w:val="00633391"/>
    <w:rsid w:val="00634098"/>
    <w:rsid w:val="00634CCE"/>
    <w:rsid w:val="00635583"/>
    <w:rsid w:val="0063571F"/>
    <w:rsid w:val="006361FA"/>
    <w:rsid w:val="00637645"/>
    <w:rsid w:val="00642766"/>
    <w:rsid w:val="0064454D"/>
    <w:rsid w:val="0064465C"/>
    <w:rsid w:val="00647461"/>
    <w:rsid w:val="00647C46"/>
    <w:rsid w:val="00647E13"/>
    <w:rsid w:val="00650390"/>
    <w:rsid w:val="00651436"/>
    <w:rsid w:val="00652F1D"/>
    <w:rsid w:val="006541B3"/>
    <w:rsid w:val="00654367"/>
    <w:rsid w:val="0065495F"/>
    <w:rsid w:val="00654B7B"/>
    <w:rsid w:val="00655012"/>
    <w:rsid w:val="006555EA"/>
    <w:rsid w:val="00655603"/>
    <w:rsid w:val="00663375"/>
    <w:rsid w:val="006645E6"/>
    <w:rsid w:val="00665500"/>
    <w:rsid w:val="006667AC"/>
    <w:rsid w:val="00666E19"/>
    <w:rsid w:val="00666FAE"/>
    <w:rsid w:val="00667194"/>
    <w:rsid w:val="0066747F"/>
    <w:rsid w:val="00667C19"/>
    <w:rsid w:val="00671BF6"/>
    <w:rsid w:val="00671F11"/>
    <w:rsid w:val="0067328B"/>
    <w:rsid w:val="0067473B"/>
    <w:rsid w:val="006747AB"/>
    <w:rsid w:val="006763E8"/>
    <w:rsid w:val="00680912"/>
    <w:rsid w:val="00681F01"/>
    <w:rsid w:val="00682785"/>
    <w:rsid w:val="00682EEB"/>
    <w:rsid w:val="00683174"/>
    <w:rsid w:val="006839BC"/>
    <w:rsid w:val="00684B3E"/>
    <w:rsid w:val="00685F83"/>
    <w:rsid w:val="00685F88"/>
    <w:rsid w:val="00687577"/>
    <w:rsid w:val="00687830"/>
    <w:rsid w:val="00690B89"/>
    <w:rsid w:val="00690D0D"/>
    <w:rsid w:val="00690F23"/>
    <w:rsid w:val="00691EDE"/>
    <w:rsid w:val="006926B9"/>
    <w:rsid w:val="00692B06"/>
    <w:rsid w:val="00692E99"/>
    <w:rsid w:val="00694BA7"/>
    <w:rsid w:val="00694D23"/>
    <w:rsid w:val="006955FE"/>
    <w:rsid w:val="0069683D"/>
    <w:rsid w:val="006A0EDB"/>
    <w:rsid w:val="006A2A14"/>
    <w:rsid w:val="006A350E"/>
    <w:rsid w:val="006A461B"/>
    <w:rsid w:val="006A4A0B"/>
    <w:rsid w:val="006A718B"/>
    <w:rsid w:val="006A7558"/>
    <w:rsid w:val="006A7688"/>
    <w:rsid w:val="006B0F76"/>
    <w:rsid w:val="006B181E"/>
    <w:rsid w:val="006B2EF8"/>
    <w:rsid w:val="006B4E25"/>
    <w:rsid w:val="006B74DE"/>
    <w:rsid w:val="006B78BE"/>
    <w:rsid w:val="006B7EB8"/>
    <w:rsid w:val="006C01E9"/>
    <w:rsid w:val="006C0553"/>
    <w:rsid w:val="006C265D"/>
    <w:rsid w:val="006C3480"/>
    <w:rsid w:val="006C733B"/>
    <w:rsid w:val="006D107E"/>
    <w:rsid w:val="006D1A13"/>
    <w:rsid w:val="006D22BC"/>
    <w:rsid w:val="006D2E11"/>
    <w:rsid w:val="006D424A"/>
    <w:rsid w:val="006D7CED"/>
    <w:rsid w:val="006E1442"/>
    <w:rsid w:val="006E2B28"/>
    <w:rsid w:val="006E5050"/>
    <w:rsid w:val="006E704D"/>
    <w:rsid w:val="006F0563"/>
    <w:rsid w:val="006F2043"/>
    <w:rsid w:val="006F2C8A"/>
    <w:rsid w:val="006F3BCD"/>
    <w:rsid w:val="006F49E4"/>
    <w:rsid w:val="006F4CAB"/>
    <w:rsid w:val="006F704A"/>
    <w:rsid w:val="007009D3"/>
    <w:rsid w:val="00701E5D"/>
    <w:rsid w:val="00702797"/>
    <w:rsid w:val="00704A89"/>
    <w:rsid w:val="00705DCA"/>
    <w:rsid w:val="00706771"/>
    <w:rsid w:val="00706F35"/>
    <w:rsid w:val="007103A3"/>
    <w:rsid w:val="00710889"/>
    <w:rsid w:val="00710BB5"/>
    <w:rsid w:val="0071198B"/>
    <w:rsid w:val="00711D9C"/>
    <w:rsid w:val="007123FE"/>
    <w:rsid w:val="0071424B"/>
    <w:rsid w:val="00715EE5"/>
    <w:rsid w:val="00720108"/>
    <w:rsid w:val="007213EF"/>
    <w:rsid w:val="00721773"/>
    <w:rsid w:val="0072326B"/>
    <w:rsid w:val="00724E05"/>
    <w:rsid w:val="0073158E"/>
    <w:rsid w:val="00732DB2"/>
    <w:rsid w:val="007335EE"/>
    <w:rsid w:val="0073571D"/>
    <w:rsid w:val="00735A38"/>
    <w:rsid w:val="00736DDD"/>
    <w:rsid w:val="0073799D"/>
    <w:rsid w:val="00740B77"/>
    <w:rsid w:val="00741D14"/>
    <w:rsid w:val="007421EC"/>
    <w:rsid w:val="00742583"/>
    <w:rsid w:val="00742645"/>
    <w:rsid w:val="00743817"/>
    <w:rsid w:val="00745AB1"/>
    <w:rsid w:val="007462E0"/>
    <w:rsid w:val="00746CF3"/>
    <w:rsid w:val="00746F91"/>
    <w:rsid w:val="00747F22"/>
    <w:rsid w:val="00750AE3"/>
    <w:rsid w:val="00751913"/>
    <w:rsid w:val="00753790"/>
    <w:rsid w:val="00754600"/>
    <w:rsid w:val="0075479A"/>
    <w:rsid w:val="007548A5"/>
    <w:rsid w:val="00755223"/>
    <w:rsid w:val="007552D9"/>
    <w:rsid w:val="00755847"/>
    <w:rsid w:val="00755B20"/>
    <w:rsid w:val="007566FC"/>
    <w:rsid w:val="00760D1B"/>
    <w:rsid w:val="007614EA"/>
    <w:rsid w:val="00761955"/>
    <w:rsid w:val="0076196B"/>
    <w:rsid w:val="007629CF"/>
    <w:rsid w:val="00762ACB"/>
    <w:rsid w:val="00762F1D"/>
    <w:rsid w:val="00762F55"/>
    <w:rsid w:val="00764234"/>
    <w:rsid w:val="00764ACA"/>
    <w:rsid w:val="00764E32"/>
    <w:rsid w:val="00765BAA"/>
    <w:rsid w:val="00765E1F"/>
    <w:rsid w:val="00767114"/>
    <w:rsid w:val="0076744A"/>
    <w:rsid w:val="007711BE"/>
    <w:rsid w:val="007714F5"/>
    <w:rsid w:val="00771B49"/>
    <w:rsid w:val="00771C67"/>
    <w:rsid w:val="00772A36"/>
    <w:rsid w:val="00772BC0"/>
    <w:rsid w:val="00773842"/>
    <w:rsid w:val="00774A07"/>
    <w:rsid w:val="00775967"/>
    <w:rsid w:val="00775F5C"/>
    <w:rsid w:val="00775FE0"/>
    <w:rsid w:val="00776280"/>
    <w:rsid w:val="0078068F"/>
    <w:rsid w:val="0078249A"/>
    <w:rsid w:val="00782E73"/>
    <w:rsid w:val="00783D4E"/>
    <w:rsid w:val="00784184"/>
    <w:rsid w:val="00784809"/>
    <w:rsid w:val="00784E84"/>
    <w:rsid w:val="007857D2"/>
    <w:rsid w:val="00786142"/>
    <w:rsid w:val="0078642B"/>
    <w:rsid w:val="0078654B"/>
    <w:rsid w:val="00787DDD"/>
    <w:rsid w:val="00787F31"/>
    <w:rsid w:val="00790624"/>
    <w:rsid w:val="0079218C"/>
    <w:rsid w:val="007921C4"/>
    <w:rsid w:val="00792C8D"/>
    <w:rsid w:val="007954F8"/>
    <w:rsid w:val="007979E3"/>
    <w:rsid w:val="007A03A7"/>
    <w:rsid w:val="007A28CC"/>
    <w:rsid w:val="007A4466"/>
    <w:rsid w:val="007A4D87"/>
    <w:rsid w:val="007A5CC4"/>
    <w:rsid w:val="007A6457"/>
    <w:rsid w:val="007B10B7"/>
    <w:rsid w:val="007B1F8F"/>
    <w:rsid w:val="007B22A9"/>
    <w:rsid w:val="007B2460"/>
    <w:rsid w:val="007B4620"/>
    <w:rsid w:val="007B617E"/>
    <w:rsid w:val="007B67B4"/>
    <w:rsid w:val="007B75DA"/>
    <w:rsid w:val="007C055C"/>
    <w:rsid w:val="007C0D5C"/>
    <w:rsid w:val="007C191C"/>
    <w:rsid w:val="007C241D"/>
    <w:rsid w:val="007C2C5E"/>
    <w:rsid w:val="007C3751"/>
    <w:rsid w:val="007C40A9"/>
    <w:rsid w:val="007C4AE7"/>
    <w:rsid w:val="007C4E49"/>
    <w:rsid w:val="007D0906"/>
    <w:rsid w:val="007D0A3B"/>
    <w:rsid w:val="007D0D49"/>
    <w:rsid w:val="007D19F5"/>
    <w:rsid w:val="007D44F7"/>
    <w:rsid w:val="007D7B71"/>
    <w:rsid w:val="007E2675"/>
    <w:rsid w:val="007E2D4D"/>
    <w:rsid w:val="007E335A"/>
    <w:rsid w:val="007E37C4"/>
    <w:rsid w:val="007E3E4B"/>
    <w:rsid w:val="007E451B"/>
    <w:rsid w:val="007E4681"/>
    <w:rsid w:val="007E55C9"/>
    <w:rsid w:val="007E6FF9"/>
    <w:rsid w:val="007E7AC2"/>
    <w:rsid w:val="007E7D7D"/>
    <w:rsid w:val="007E7FAE"/>
    <w:rsid w:val="007F0923"/>
    <w:rsid w:val="007F0991"/>
    <w:rsid w:val="007F1147"/>
    <w:rsid w:val="007F1293"/>
    <w:rsid w:val="007F1473"/>
    <w:rsid w:val="007F1C17"/>
    <w:rsid w:val="007F2FCE"/>
    <w:rsid w:val="007F4068"/>
    <w:rsid w:val="007F4AD9"/>
    <w:rsid w:val="007F5517"/>
    <w:rsid w:val="007F5E43"/>
    <w:rsid w:val="007F5EEF"/>
    <w:rsid w:val="007F749A"/>
    <w:rsid w:val="007F7B6C"/>
    <w:rsid w:val="008006CD"/>
    <w:rsid w:val="00801798"/>
    <w:rsid w:val="00801DC9"/>
    <w:rsid w:val="00802034"/>
    <w:rsid w:val="008056D7"/>
    <w:rsid w:val="00806B1F"/>
    <w:rsid w:val="0080711E"/>
    <w:rsid w:val="00811F4E"/>
    <w:rsid w:val="0081261F"/>
    <w:rsid w:val="00813C1F"/>
    <w:rsid w:val="00814831"/>
    <w:rsid w:val="0081495A"/>
    <w:rsid w:val="00814F5D"/>
    <w:rsid w:val="008151A1"/>
    <w:rsid w:val="00816659"/>
    <w:rsid w:val="00817A9D"/>
    <w:rsid w:val="00817F22"/>
    <w:rsid w:val="00820B03"/>
    <w:rsid w:val="00821CB2"/>
    <w:rsid w:val="008228E7"/>
    <w:rsid w:val="00822F3F"/>
    <w:rsid w:val="00823B8F"/>
    <w:rsid w:val="008242E1"/>
    <w:rsid w:val="00824A8F"/>
    <w:rsid w:val="00826551"/>
    <w:rsid w:val="00827754"/>
    <w:rsid w:val="00827D79"/>
    <w:rsid w:val="00831358"/>
    <w:rsid w:val="00833E90"/>
    <w:rsid w:val="0083466A"/>
    <w:rsid w:val="00834D0D"/>
    <w:rsid w:val="00835579"/>
    <w:rsid w:val="00835613"/>
    <w:rsid w:val="00835AF0"/>
    <w:rsid w:val="00835C84"/>
    <w:rsid w:val="00835D57"/>
    <w:rsid w:val="008371D9"/>
    <w:rsid w:val="008372DB"/>
    <w:rsid w:val="0084213A"/>
    <w:rsid w:val="00842801"/>
    <w:rsid w:val="008437DA"/>
    <w:rsid w:val="00844957"/>
    <w:rsid w:val="00844F21"/>
    <w:rsid w:val="0084557B"/>
    <w:rsid w:val="0084586E"/>
    <w:rsid w:val="00845AE6"/>
    <w:rsid w:val="00850110"/>
    <w:rsid w:val="008517B1"/>
    <w:rsid w:val="0085344B"/>
    <w:rsid w:val="0085386A"/>
    <w:rsid w:val="0085456C"/>
    <w:rsid w:val="00855B89"/>
    <w:rsid w:val="00855DEE"/>
    <w:rsid w:val="00856C0A"/>
    <w:rsid w:val="00860172"/>
    <w:rsid w:val="00860CB4"/>
    <w:rsid w:val="00860DCB"/>
    <w:rsid w:val="0086183D"/>
    <w:rsid w:val="008630BB"/>
    <w:rsid w:val="00863474"/>
    <w:rsid w:val="00863A47"/>
    <w:rsid w:val="00864398"/>
    <w:rsid w:val="00865355"/>
    <w:rsid w:val="008659B6"/>
    <w:rsid w:val="00867A57"/>
    <w:rsid w:val="00867E98"/>
    <w:rsid w:val="00870827"/>
    <w:rsid w:val="00871096"/>
    <w:rsid w:val="0087127C"/>
    <w:rsid w:val="00874BCF"/>
    <w:rsid w:val="008759C5"/>
    <w:rsid w:val="00877B20"/>
    <w:rsid w:val="00881F1E"/>
    <w:rsid w:val="00882A1C"/>
    <w:rsid w:val="00882C37"/>
    <w:rsid w:val="00884E0A"/>
    <w:rsid w:val="008859A5"/>
    <w:rsid w:val="00886F7F"/>
    <w:rsid w:val="008878B1"/>
    <w:rsid w:val="0089015C"/>
    <w:rsid w:val="00891C94"/>
    <w:rsid w:val="00891D43"/>
    <w:rsid w:val="00894116"/>
    <w:rsid w:val="00896CF8"/>
    <w:rsid w:val="00897204"/>
    <w:rsid w:val="008A03F0"/>
    <w:rsid w:val="008A1549"/>
    <w:rsid w:val="008A1900"/>
    <w:rsid w:val="008A1948"/>
    <w:rsid w:val="008A367F"/>
    <w:rsid w:val="008A5515"/>
    <w:rsid w:val="008A6140"/>
    <w:rsid w:val="008A66B7"/>
    <w:rsid w:val="008B1C69"/>
    <w:rsid w:val="008B5517"/>
    <w:rsid w:val="008B5E82"/>
    <w:rsid w:val="008B60A6"/>
    <w:rsid w:val="008B6228"/>
    <w:rsid w:val="008B66C7"/>
    <w:rsid w:val="008B7F8D"/>
    <w:rsid w:val="008C1161"/>
    <w:rsid w:val="008C16B4"/>
    <w:rsid w:val="008C1971"/>
    <w:rsid w:val="008C38F4"/>
    <w:rsid w:val="008C397B"/>
    <w:rsid w:val="008C3F65"/>
    <w:rsid w:val="008C4C53"/>
    <w:rsid w:val="008C5CD3"/>
    <w:rsid w:val="008C5E3F"/>
    <w:rsid w:val="008C7534"/>
    <w:rsid w:val="008C7720"/>
    <w:rsid w:val="008D050A"/>
    <w:rsid w:val="008D1963"/>
    <w:rsid w:val="008D1BBE"/>
    <w:rsid w:val="008D38C1"/>
    <w:rsid w:val="008D535F"/>
    <w:rsid w:val="008D53FE"/>
    <w:rsid w:val="008D6E60"/>
    <w:rsid w:val="008E00EE"/>
    <w:rsid w:val="008E2864"/>
    <w:rsid w:val="008E36EA"/>
    <w:rsid w:val="008E377C"/>
    <w:rsid w:val="008E3CB6"/>
    <w:rsid w:val="008E4A3E"/>
    <w:rsid w:val="008E4B00"/>
    <w:rsid w:val="008E5B73"/>
    <w:rsid w:val="008E6791"/>
    <w:rsid w:val="008E7D74"/>
    <w:rsid w:val="008F32D8"/>
    <w:rsid w:val="008F3D96"/>
    <w:rsid w:val="008F5695"/>
    <w:rsid w:val="008F625E"/>
    <w:rsid w:val="008F661F"/>
    <w:rsid w:val="009013FB"/>
    <w:rsid w:val="009014AA"/>
    <w:rsid w:val="009023D4"/>
    <w:rsid w:val="00903C2B"/>
    <w:rsid w:val="00905B0E"/>
    <w:rsid w:val="0090612B"/>
    <w:rsid w:val="009070A4"/>
    <w:rsid w:val="00907203"/>
    <w:rsid w:val="00910A46"/>
    <w:rsid w:val="0091136F"/>
    <w:rsid w:val="00913B48"/>
    <w:rsid w:val="00913B9A"/>
    <w:rsid w:val="0091491A"/>
    <w:rsid w:val="00915C04"/>
    <w:rsid w:val="0091692F"/>
    <w:rsid w:val="00921743"/>
    <w:rsid w:val="009225D2"/>
    <w:rsid w:val="00922B67"/>
    <w:rsid w:val="0092642F"/>
    <w:rsid w:val="00926B15"/>
    <w:rsid w:val="009279C5"/>
    <w:rsid w:val="00927CEF"/>
    <w:rsid w:val="00931707"/>
    <w:rsid w:val="00931B14"/>
    <w:rsid w:val="009320C2"/>
    <w:rsid w:val="009337CC"/>
    <w:rsid w:val="00934C6F"/>
    <w:rsid w:val="00934C8A"/>
    <w:rsid w:val="00935170"/>
    <w:rsid w:val="00935FCC"/>
    <w:rsid w:val="00936434"/>
    <w:rsid w:val="009374D8"/>
    <w:rsid w:val="00937CCE"/>
    <w:rsid w:val="009406C1"/>
    <w:rsid w:val="00942B83"/>
    <w:rsid w:val="00942E72"/>
    <w:rsid w:val="00943CF3"/>
    <w:rsid w:val="0094532F"/>
    <w:rsid w:val="00946EEE"/>
    <w:rsid w:val="00947596"/>
    <w:rsid w:val="0095221B"/>
    <w:rsid w:val="00954982"/>
    <w:rsid w:val="00954B0B"/>
    <w:rsid w:val="009551F4"/>
    <w:rsid w:val="00957852"/>
    <w:rsid w:val="00957B3A"/>
    <w:rsid w:val="00957FE6"/>
    <w:rsid w:val="00961FB2"/>
    <w:rsid w:val="00962423"/>
    <w:rsid w:val="0096347E"/>
    <w:rsid w:val="009645FB"/>
    <w:rsid w:val="0096494D"/>
    <w:rsid w:val="00965701"/>
    <w:rsid w:val="00970A86"/>
    <w:rsid w:val="00970AF8"/>
    <w:rsid w:val="00971A80"/>
    <w:rsid w:val="00971C4A"/>
    <w:rsid w:val="00973A19"/>
    <w:rsid w:val="009752C6"/>
    <w:rsid w:val="00975C38"/>
    <w:rsid w:val="009761BE"/>
    <w:rsid w:val="0097642D"/>
    <w:rsid w:val="0097729C"/>
    <w:rsid w:val="00980B70"/>
    <w:rsid w:val="00981382"/>
    <w:rsid w:val="0098175C"/>
    <w:rsid w:val="00981968"/>
    <w:rsid w:val="009842D8"/>
    <w:rsid w:val="00985081"/>
    <w:rsid w:val="00985340"/>
    <w:rsid w:val="00985370"/>
    <w:rsid w:val="00986B29"/>
    <w:rsid w:val="00986F16"/>
    <w:rsid w:val="009871D4"/>
    <w:rsid w:val="009873A1"/>
    <w:rsid w:val="009878E8"/>
    <w:rsid w:val="00991018"/>
    <w:rsid w:val="00992135"/>
    <w:rsid w:val="00993A5A"/>
    <w:rsid w:val="00993DFC"/>
    <w:rsid w:val="0099458E"/>
    <w:rsid w:val="00995310"/>
    <w:rsid w:val="00996986"/>
    <w:rsid w:val="00997572"/>
    <w:rsid w:val="009A0120"/>
    <w:rsid w:val="009A086E"/>
    <w:rsid w:val="009A153B"/>
    <w:rsid w:val="009A273C"/>
    <w:rsid w:val="009A3A2F"/>
    <w:rsid w:val="009A60DB"/>
    <w:rsid w:val="009A6351"/>
    <w:rsid w:val="009A65D5"/>
    <w:rsid w:val="009A6603"/>
    <w:rsid w:val="009A6750"/>
    <w:rsid w:val="009A6B47"/>
    <w:rsid w:val="009A6EBB"/>
    <w:rsid w:val="009A7DE2"/>
    <w:rsid w:val="009B0934"/>
    <w:rsid w:val="009B2299"/>
    <w:rsid w:val="009B64C8"/>
    <w:rsid w:val="009B7EA4"/>
    <w:rsid w:val="009C0478"/>
    <w:rsid w:val="009C430E"/>
    <w:rsid w:val="009C669B"/>
    <w:rsid w:val="009C718E"/>
    <w:rsid w:val="009C71BC"/>
    <w:rsid w:val="009C7D5C"/>
    <w:rsid w:val="009D2490"/>
    <w:rsid w:val="009D2A70"/>
    <w:rsid w:val="009D3447"/>
    <w:rsid w:val="009D4F7F"/>
    <w:rsid w:val="009D53D2"/>
    <w:rsid w:val="009D633F"/>
    <w:rsid w:val="009D6DC8"/>
    <w:rsid w:val="009D6DE8"/>
    <w:rsid w:val="009D7637"/>
    <w:rsid w:val="009D79B5"/>
    <w:rsid w:val="009E18B0"/>
    <w:rsid w:val="009E1C87"/>
    <w:rsid w:val="009E2B49"/>
    <w:rsid w:val="009E622C"/>
    <w:rsid w:val="009E62DA"/>
    <w:rsid w:val="009E6790"/>
    <w:rsid w:val="009F22CA"/>
    <w:rsid w:val="009F4345"/>
    <w:rsid w:val="009F629E"/>
    <w:rsid w:val="009F6D36"/>
    <w:rsid w:val="009F7F02"/>
    <w:rsid w:val="00A01713"/>
    <w:rsid w:val="00A01A76"/>
    <w:rsid w:val="00A03BB9"/>
    <w:rsid w:val="00A05705"/>
    <w:rsid w:val="00A06B4C"/>
    <w:rsid w:val="00A14036"/>
    <w:rsid w:val="00A1421E"/>
    <w:rsid w:val="00A15A7C"/>
    <w:rsid w:val="00A15AFB"/>
    <w:rsid w:val="00A17010"/>
    <w:rsid w:val="00A17D6E"/>
    <w:rsid w:val="00A17E3B"/>
    <w:rsid w:val="00A20D9F"/>
    <w:rsid w:val="00A23B74"/>
    <w:rsid w:val="00A24F3C"/>
    <w:rsid w:val="00A26A2E"/>
    <w:rsid w:val="00A26A3C"/>
    <w:rsid w:val="00A277AC"/>
    <w:rsid w:val="00A2797E"/>
    <w:rsid w:val="00A3009B"/>
    <w:rsid w:val="00A30297"/>
    <w:rsid w:val="00A317D2"/>
    <w:rsid w:val="00A31939"/>
    <w:rsid w:val="00A37522"/>
    <w:rsid w:val="00A40B71"/>
    <w:rsid w:val="00A4139C"/>
    <w:rsid w:val="00A41A16"/>
    <w:rsid w:val="00A41EC0"/>
    <w:rsid w:val="00A42296"/>
    <w:rsid w:val="00A43940"/>
    <w:rsid w:val="00A43A91"/>
    <w:rsid w:val="00A43E79"/>
    <w:rsid w:val="00A449E9"/>
    <w:rsid w:val="00A51734"/>
    <w:rsid w:val="00A519D6"/>
    <w:rsid w:val="00A52898"/>
    <w:rsid w:val="00A52C1E"/>
    <w:rsid w:val="00A54959"/>
    <w:rsid w:val="00A55384"/>
    <w:rsid w:val="00A573CD"/>
    <w:rsid w:val="00A616A9"/>
    <w:rsid w:val="00A62431"/>
    <w:rsid w:val="00A644D2"/>
    <w:rsid w:val="00A64842"/>
    <w:rsid w:val="00A64A47"/>
    <w:rsid w:val="00A65757"/>
    <w:rsid w:val="00A667EF"/>
    <w:rsid w:val="00A66FB5"/>
    <w:rsid w:val="00A67207"/>
    <w:rsid w:val="00A67738"/>
    <w:rsid w:val="00A7084E"/>
    <w:rsid w:val="00A71FDF"/>
    <w:rsid w:val="00A7208C"/>
    <w:rsid w:val="00A7266E"/>
    <w:rsid w:val="00A733A8"/>
    <w:rsid w:val="00A733BE"/>
    <w:rsid w:val="00A7771E"/>
    <w:rsid w:val="00A808D2"/>
    <w:rsid w:val="00A823B9"/>
    <w:rsid w:val="00A82AA4"/>
    <w:rsid w:val="00A83C63"/>
    <w:rsid w:val="00A84B7C"/>
    <w:rsid w:val="00A84CA3"/>
    <w:rsid w:val="00A8745E"/>
    <w:rsid w:val="00A905A1"/>
    <w:rsid w:val="00A917B6"/>
    <w:rsid w:val="00A924DE"/>
    <w:rsid w:val="00A92BF4"/>
    <w:rsid w:val="00A931E6"/>
    <w:rsid w:val="00A934F2"/>
    <w:rsid w:val="00A93E71"/>
    <w:rsid w:val="00A9525C"/>
    <w:rsid w:val="00A95A4F"/>
    <w:rsid w:val="00AA0F3E"/>
    <w:rsid w:val="00AA1ABD"/>
    <w:rsid w:val="00AA381C"/>
    <w:rsid w:val="00AA4006"/>
    <w:rsid w:val="00AA5BC2"/>
    <w:rsid w:val="00AA6F0E"/>
    <w:rsid w:val="00AA750E"/>
    <w:rsid w:val="00AB081D"/>
    <w:rsid w:val="00AB0E60"/>
    <w:rsid w:val="00AB1EF5"/>
    <w:rsid w:val="00AB2914"/>
    <w:rsid w:val="00AB305C"/>
    <w:rsid w:val="00AB391E"/>
    <w:rsid w:val="00AB43B5"/>
    <w:rsid w:val="00AB5891"/>
    <w:rsid w:val="00AB6574"/>
    <w:rsid w:val="00AB66CF"/>
    <w:rsid w:val="00AB6B83"/>
    <w:rsid w:val="00AB7A13"/>
    <w:rsid w:val="00AC15C0"/>
    <w:rsid w:val="00AC1F35"/>
    <w:rsid w:val="00AC1F39"/>
    <w:rsid w:val="00AC2D59"/>
    <w:rsid w:val="00AC300F"/>
    <w:rsid w:val="00AC3FC0"/>
    <w:rsid w:val="00AC4260"/>
    <w:rsid w:val="00AC43C7"/>
    <w:rsid w:val="00AC50A0"/>
    <w:rsid w:val="00AC75F1"/>
    <w:rsid w:val="00AD0577"/>
    <w:rsid w:val="00AD05EF"/>
    <w:rsid w:val="00AD0793"/>
    <w:rsid w:val="00AD22BE"/>
    <w:rsid w:val="00AD4E31"/>
    <w:rsid w:val="00AE20DA"/>
    <w:rsid w:val="00AE439D"/>
    <w:rsid w:val="00AE44CA"/>
    <w:rsid w:val="00AE4645"/>
    <w:rsid w:val="00AE5CD2"/>
    <w:rsid w:val="00AE65B6"/>
    <w:rsid w:val="00AE6A9F"/>
    <w:rsid w:val="00AF0144"/>
    <w:rsid w:val="00AF017F"/>
    <w:rsid w:val="00AF0775"/>
    <w:rsid w:val="00AF0ADF"/>
    <w:rsid w:val="00AF172B"/>
    <w:rsid w:val="00AF21B8"/>
    <w:rsid w:val="00AF2C95"/>
    <w:rsid w:val="00AF31CF"/>
    <w:rsid w:val="00AF4A2E"/>
    <w:rsid w:val="00AF5007"/>
    <w:rsid w:val="00AF612E"/>
    <w:rsid w:val="00AF7B55"/>
    <w:rsid w:val="00B00037"/>
    <w:rsid w:val="00B003A4"/>
    <w:rsid w:val="00B02567"/>
    <w:rsid w:val="00B04D09"/>
    <w:rsid w:val="00B052F1"/>
    <w:rsid w:val="00B05BE0"/>
    <w:rsid w:val="00B05DB6"/>
    <w:rsid w:val="00B06BFC"/>
    <w:rsid w:val="00B10945"/>
    <w:rsid w:val="00B10D3D"/>
    <w:rsid w:val="00B11B8B"/>
    <w:rsid w:val="00B12A6F"/>
    <w:rsid w:val="00B132B2"/>
    <w:rsid w:val="00B1404D"/>
    <w:rsid w:val="00B1446B"/>
    <w:rsid w:val="00B14ECE"/>
    <w:rsid w:val="00B162A1"/>
    <w:rsid w:val="00B16337"/>
    <w:rsid w:val="00B2030E"/>
    <w:rsid w:val="00B221BB"/>
    <w:rsid w:val="00B22BCA"/>
    <w:rsid w:val="00B23F47"/>
    <w:rsid w:val="00B26086"/>
    <w:rsid w:val="00B2765D"/>
    <w:rsid w:val="00B30EF3"/>
    <w:rsid w:val="00B31FF1"/>
    <w:rsid w:val="00B32C2D"/>
    <w:rsid w:val="00B33751"/>
    <w:rsid w:val="00B3400B"/>
    <w:rsid w:val="00B34780"/>
    <w:rsid w:val="00B35330"/>
    <w:rsid w:val="00B35447"/>
    <w:rsid w:val="00B35891"/>
    <w:rsid w:val="00B401D4"/>
    <w:rsid w:val="00B415D7"/>
    <w:rsid w:val="00B426BE"/>
    <w:rsid w:val="00B42AE0"/>
    <w:rsid w:val="00B43075"/>
    <w:rsid w:val="00B43725"/>
    <w:rsid w:val="00B43B28"/>
    <w:rsid w:val="00B43B51"/>
    <w:rsid w:val="00B45264"/>
    <w:rsid w:val="00B47896"/>
    <w:rsid w:val="00B52E40"/>
    <w:rsid w:val="00B540D7"/>
    <w:rsid w:val="00B60098"/>
    <w:rsid w:val="00B60C53"/>
    <w:rsid w:val="00B61564"/>
    <w:rsid w:val="00B6319E"/>
    <w:rsid w:val="00B64896"/>
    <w:rsid w:val="00B6497E"/>
    <w:rsid w:val="00B64E3A"/>
    <w:rsid w:val="00B65057"/>
    <w:rsid w:val="00B6599F"/>
    <w:rsid w:val="00B66C12"/>
    <w:rsid w:val="00B71E42"/>
    <w:rsid w:val="00B72F82"/>
    <w:rsid w:val="00B73A14"/>
    <w:rsid w:val="00B74398"/>
    <w:rsid w:val="00B746EA"/>
    <w:rsid w:val="00B754E5"/>
    <w:rsid w:val="00B75652"/>
    <w:rsid w:val="00B7599D"/>
    <w:rsid w:val="00B76BF5"/>
    <w:rsid w:val="00B82819"/>
    <w:rsid w:val="00B82EA2"/>
    <w:rsid w:val="00B83138"/>
    <w:rsid w:val="00B832E8"/>
    <w:rsid w:val="00B83D54"/>
    <w:rsid w:val="00B84A66"/>
    <w:rsid w:val="00B84BE9"/>
    <w:rsid w:val="00B8529E"/>
    <w:rsid w:val="00B85EAF"/>
    <w:rsid w:val="00B86E06"/>
    <w:rsid w:val="00B91344"/>
    <w:rsid w:val="00B91721"/>
    <w:rsid w:val="00B91E61"/>
    <w:rsid w:val="00B92D61"/>
    <w:rsid w:val="00B9380E"/>
    <w:rsid w:val="00B93A25"/>
    <w:rsid w:val="00B93F10"/>
    <w:rsid w:val="00B942D1"/>
    <w:rsid w:val="00B9490D"/>
    <w:rsid w:val="00B94CFB"/>
    <w:rsid w:val="00B95040"/>
    <w:rsid w:val="00B95C1D"/>
    <w:rsid w:val="00B95C9F"/>
    <w:rsid w:val="00B96EB2"/>
    <w:rsid w:val="00B973C6"/>
    <w:rsid w:val="00B97AAF"/>
    <w:rsid w:val="00B97DF6"/>
    <w:rsid w:val="00BA0E2A"/>
    <w:rsid w:val="00BA1298"/>
    <w:rsid w:val="00BA1B1B"/>
    <w:rsid w:val="00BA46AE"/>
    <w:rsid w:val="00BA5104"/>
    <w:rsid w:val="00BA5A7A"/>
    <w:rsid w:val="00BB2BEB"/>
    <w:rsid w:val="00BB7127"/>
    <w:rsid w:val="00BB79F4"/>
    <w:rsid w:val="00BC10D7"/>
    <w:rsid w:val="00BC13E6"/>
    <w:rsid w:val="00BC1918"/>
    <w:rsid w:val="00BC4FF5"/>
    <w:rsid w:val="00BC521C"/>
    <w:rsid w:val="00BC530E"/>
    <w:rsid w:val="00BC5AEC"/>
    <w:rsid w:val="00BD12A9"/>
    <w:rsid w:val="00BD211A"/>
    <w:rsid w:val="00BD2E0E"/>
    <w:rsid w:val="00BD348C"/>
    <w:rsid w:val="00BD42B5"/>
    <w:rsid w:val="00BD60B9"/>
    <w:rsid w:val="00BE261C"/>
    <w:rsid w:val="00BE2D18"/>
    <w:rsid w:val="00BE3C04"/>
    <w:rsid w:val="00BE3FE6"/>
    <w:rsid w:val="00BE4391"/>
    <w:rsid w:val="00BE67E0"/>
    <w:rsid w:val="00BF1520"/>
    <w:rsid w:val="00BF2B69"/>
    <w:rsid w:val="00BF317D"/>
    <w:rsid w:val="00BF33DD"/>
    <w:rsid w:val="00BF388F"/>
    <w:rsid w:val="00C002BC"/>
    <w:rsid w:val="00C003FE"/>
    <w:rsid w:val="00C0150C"/>
    <w:rsid w:val="00C0470B"/>
    <w:rsid w:val="00C04E87"/>
    <w:rsid w:val="00C06D15"/>
    <w:rsid w:val="00C1056A"/>
    <w:rsid w:val="00C11007"/>
    <w:rsid w:val="00C15C93"/>
    <w:rsid w:val="00C165A5"/>
    <w:rsid w:val="00C1670B"/>
    <w:rsid w:val="00C17105"/>
    <w:rsid w:val="00C210C9"/>
    <w:rsid w:val="00C21221"/>
    <w:rsid w:val="00C21EFE"/>
    <w:rsid w:val="00C22D10"/>
    <w:rsid w:val="00C22D53"/>
    <w:rsid w:val="00C26065"/>
    <w:rsid w:val="00C2681C"/>
    <w:rsid w:val="00C26E60"/>
    <w:rsid w:val="00C302EC"/>
    <w:rsid w:val="00C30635"/>
    <w:rsid w:val="00C319B5"/>
    <w:rsid w:val="00C31F77"/>
    <w:rsid w:val="00C3295D"/>
    <w:rsid w:val="00C333C0"/>
    <w:rsid w:val="00C3346F"/>
    <w:rsid w:val="00C33CC0"/>
    <w:rsid w:val="00C348CF"/>
    <w:rsid w:val="00C35B72"/>
    <w:rsid w:val="00C35BC1"/>
    <w:rsid w:val="00C35F3C"/>
    <w:rsid w:val="00C3723D"/>
    <w:rsid w:val="00C41E1B"/>
    <w:rsid w:val="00C41EC4"/>
    <w:rsid w:val="00C42222"/>
    <w:rsid w:val="00C425DB"/>
    <w:rsid w:val="00C433DA"/>
    <w:rsid w:val="00C43E17"/>
    <w:rsid w:val="00C45206"/>
    <w:rsid w:val="00C46C60"/>
    <w:rsid w:val="00C46E04"/>
    <w:rsid w:val="00C51111"/>
    <w:rsid w:val="00C5283A"/>
    <w:rsid w:val="00C534B3"/>
    <w:rsid w:val="00C57DCA"/>
    <w:rsid w:val="00C60498"/>
    <w:rsid w:val="00C60A6E"/>
    <w:rsid w:val="00C60B5E"/>
    <w:rsid w:val="00C61B26"/>
    <w:rsid w:val="00C61DD0"/>
    <w:rsid w:val="00C62E90"/>
    <w:rsid w:val="00C62E9D"/>
    <w:rsid w:val="00C66BBD"/>
    <w:rsid w:val="00C72BC2"/>
    <w:rsid w:val="00C73E93"/>
    <w:rsid w:val="00C74D12"/>
    <w:rsid w:val="00C74D6F"/>
    <w:rsid w:val="00C75A34"/>
    <w:rsid w:val="00C75A79"/>
    <w:rsid w:val="00C806F9"/>
    <w:rsid w:val="00C80C27"/>
    <w:rsid w:val="00C816E8"/>
    <w:rsid w:val="00C8197A"/>
    <w:rsid w:val="00C822E2"/>
    <w:rsid w:val="00C84379"/>
    <w:rsid w:val="00C84B5A"/>
    <w:rsid w:val="00C85482"/>
    <w:rsid w:val="00C87B71"/>
    <w:rsid w:val="00C926D3"/>
    <w:rsid w:val="00C94994"/>
    <w:rsid w:val="00C95971"/>
    <w:rsid w:val="00C95F2C"/>
    <w:rsid w:val="00C96A18"/>
    <w:rsid w:val="00CA0621"/>
    <w:rsid w:val="00CA2EFD"/>
    <w:rsid w:val="00CA2F50"/>
    <w:rsid w:val="00CA337D"/>
    <w:rsid w:val="00CA3B34"/>
    <w:rsid w:val="00CA42FE"/>
    <w:rsid w:val="00CA44C2"/>
    <w:rsid w:val="00CA59E7"/>
    <w:rsid w:val="00CA611E"/>
    <w:rsid w:val="00CA6A5D"/>
    <w:rsid w:val="00CA77C9"/>
    <w:rsid w:val="00CB0133"/>
    <w:rsid w:val="00CB278E"/>
    <w:rsid w:val="00CC119A"/>
    <w:rsid w:val="00CC13F2"/>
    <w:rsid w:val="00CC1F91"/>
    <w:rsid w:val="00CC21D4"/>
    <w:rsid w:val="00CC3788"/>
    <w:rsid w:val="00CC49A7"/>
    <w:rsid w:val="00CC4D07"/>
    <w:rsid w:val="00CC6328"/>
    <w:rsid w:val="00CC6FCF"/>
    <w:rsid w:val="00CC7974"/>
    <w:rsid w:val="00CD21FE"/>
    <w:rsid w:val="00CD2237"/>
    <w:rsid w:val="00CD22F5"/>
    <w:rsid w:val="00CD3AFB"/>
    <w:rsid w:val="00CD5839"/>
    <w:rsid w:val="00CD615F"/>
    <w:rsid w:val="00CE28C3"/>
    <w:rsid w:val="00CE2A7B"/>
    <w:rsid w:val="00CE3357"/>
    <w:rsid w:val="00CE3B9C"/>
    <w:rsid w:val="00CE3C2A"/>
    <w:rsid w:val="00CE5D89"/>
    <w:rsid w:val="00CE7344"/>
    <w:rsid w:val="00CF0286"/>
    <w:rsid w:val="00CF071E"/>
    <w:rsid w:val="00CF0762"/>
    <w:rsid w:val="00CF2A10"/>
    <w:rsid w:val="00CF2DCB"/>
    <w:rsid w:val="00CF33BB"/>
    <w:rsid w:val="00CF515C"/>
    <w:rsid w:val="00CF53EF"/>
    <w:rsid w:val="00CF6F97"/>
    <w:rsid w:val="00CF74EF"/>
    <w:rsid w:val="00CF7645"/>
    <w:rsid w:val="00D0059C"/>
    <w:rsid w:val="00D0166D"/>
    <w:rsid w:val="00D02F61"/>
    <w:rsid w:val="00D06614"/>
    <w:rsid w:val="00D070D4"/>
    <w:rsid w:val="00D07840"/>
    <w:rsid w:val="00D102F2"/>
    <w:rsid w:val="00D10827"/>
    <w:rsid w:val="00D110A9"/>
    <w:rsid w:val="00D1112F"/>
    <w:rsid w:val="00D114A7"/>
    <w:rsid w:val="00D125C2"/>
    <w:rsid w:val="00D1274A"/>
    <w:rsid w:val="00D13710"/>
    <w:rsid w:val="00D13BC2"/>
    <w:rsid w:val="00D14968"/>
    <w:rsid w:val="00D14D9F"/>
    <w:rsid w:val="00D1593E"/>
    <w:rsid w:val="00D1608A"/>
    <w:rsid w:val="00D1677A"/>
    <w:rsid w:val="00D17C1C"/>
    <w:rsid w:val="00D2435B"/>
    <w:rsid w:val="00D245D7"/>
    <w:rsid w:val="00D25B40"/>
    <w:rsid w:val="00D26EC3"/>
    <w:rsid w:val="00D27675"/>
    <w:rsid w:val="00D3085E"/>
    <w:rsid w:val="00D30D4E"/>
    <w:rsid w:val="00D311AF"/>
    <w:rsid w:val="00D314E8"/>
    <w:rsid w:val="00D31D14"/>
    <w:rsid w:val="00D326A6"/>
    <w:rsid w:val="00D32AD0"/>
    <w:rsid w:val="00D32D97"/>
    <w:rsid w:val="00D35EBD"/>
    <w:rsid w:val="00D366D7"/>
    <w:rsid w:val="00D373D9"/>
    <w:rsid w:val="00D4023A"/>
    <w:rsid w:val="00D40ED7"/>
    <w:rsid w:val="00D40F50"/>
    <w:rsid w:val="00D41E2D"/>
    <w:rsid w:val="00D4224A"/>
    <w:rsid w:val="00D427FE"/>
    <w:rsid w:val="00D42FC3"/>
    <w:rsid w:val="00D432FD"/>
    <w:rsid w:val="00D434BD"/>
    <w:rsid w:val="00D43C8B"/>
    <w:rsid w:val="00D451D8"/>
    <w:rsid w:val="00D45264"/>
    <w:rsid w:val="00D4561E"/>
    <w:rsid w:val="00D45A6A"/>
    <w:rsid w:val="00D4727C"/>
    <w:rsid w:val="00D478E8"/>
    <w:rsid w:val="00D47980"/>
    <w:rsid w:val="00D50F4A"/>
    <w:rsid w:val="00D54715"/>
    <w:rsid w:val="00D5476F"/>
    <w:rsid w:val="00D551AB"/>
    <w:rsid w:val="00D55A77"/>
    <w:rsid w:val="00D5655C"/>
    <w:rsid w:val="00D57568"/>
    <w:rsid w:val="00D61518"/>
    <w:rsid w:val="00D622ED"/>
    <w:rsid w:val="00D623C3"/>
    <w:rsid w:val="00D62591"/>
    <w:rsid w:val="00D65718"/>
    <w:rsid w:val="00D659C6"/>
    <w:rsid w:val="00D65A77"/>
    <w:rsid w:val="00D65BD3"/>
    <w:rsid w:val="00D65D97"/>
    <w:rsid w:val="00D6625B"/>
    <w:rsid w:val="00D66595"/>
    <w:rsid w:val="00D6753E"/>
    <w:rsid w:val="00D67B40"/>
    <w:rsid w:val="00D70A90"/>
    <w:rsid w:val="00D727A3"/>
    <w:rsid w:val="00D73C94"/>
    <w:rsid w:val="00D75A0B"/>
    <w:rsid w:val="00D76D17"/>
    <w:rsid w:val="00D7744B"/>
    <w:rsid w:val="00D808E3"/>
    <w:rsid w:val="00D80FBA"/>
    <w:rsid w:val="00D81C30"/>
    <w:rsid w:val="00D82F34"/>
    <w:rsid w:val="00D8433C"/>
    <w:rsid w:val="00D873F0"/>
    <w:rsid w:val="00D9083A"/>
    <w:rsid w:val="00D90DD6"/>
    <w:rsid w:val="00D92220"/>
    <w:rsid w:val="00D93B3C"/>
    <w:rsid w:val="00D94A8D"/>
    <w:rsid w:val="00D9628C"/>
    <w:rsid w:val="00DA09FE"/>
    <w:rsid w:val="00DA1A37"/>
    <w:rsid w:val="00DA3958"/>
    <w:rsid w:val="00DA47D5"/>
    <w:rsid w:val="00DA5D5D"/>
    <w:rsid w:val="00DA603C"/>
    <w:rsid w:val="00DB45F6"/>
    <w:rsid w:val="00DB4CC7"/>
    <w:rsid w:val="00DB59E0"/>
    <w:rsid w:val="00DB5A6B"/>
    <w:rsid w:val="00DB602B"/>
    <w:rsid w:val="00DB6FFC"/>
    <w:rsid w:val="00DC0DE8"/>
    <w:rsid w:val="00DC1021"/>
    <w:rsid w:val="00DC12C1"/>
    <w:rsid w:val="00DC162D"/>
    <w:rsid w:val="00DC5FDC"/>
    <w:rsid w:val="00DD0094"/>
    <w:rsid w:val="00DD1338"/>
    <w:rsid w:val="00DD203B"/>
    <w:rsid w:val="00DD2B1B"/>
    <w:rsid w:val="00DD5461"/>
    <w:rsid w:val="00DD65C8"/>
    <w:rsid w:val="00DD6B06"/>
    <w:rsid w:val="00DD7197"/>
    <w:rsid w:val="00DE2889"/>
    <w:rsid w:val="00DE3A27"/>
    <w:rsid w:val="00DE3DFA"/>
    <w:rsid w:val="00DE5093"/>
    <w:rsid w:val="00DE7552"/>
    <w:rsid w:val="00DE7881"/>
    <w:rsid w:val="00DF02A8"/>
    <w:rsid w:val="00DF030D"/>
    <w:rsid w:val="00DF16D5"/>
    <w:rsid w:val="00DF1D13"/>
    <w:rsid w:val="00DF3B2E"/>
    <w:rsid w:val="00DF4F6C"/>
    <w:rsid w:val="00DF50D3"/>
    <w:rsid w:val="00DF5F70"/>
    <w:rsid w:val="00E07406"/>
    <w:rsid w:val="00E10699"/>
    <w:rsid w:val="00E113B0"/>
    <w:rsid w:val="00E12B69"/>
    <w:rsid w:val="00E13829"/>
    <w:rsid w:val="00E160D8"/>
    <w:rsid w:val="00E162B2"/>
    <w:rsid w:val="00E174CB"/>
    <w:rsid w:val="00E1766E"/>
    <w:rsid w:val="00E178C2"/>
    <w:rsid w:val="00E20784"/>
    <w:rsid w:val="00E21781"/>
    <w:rsid w:val="00E21891"/>
    <w:rsid w:val="00E220B4"/>
    <w:rsid w:val="00E229A8"/>
    <w:rsid w:val="00E23839"/>
    <w:rsid w:val="00E2433D"/>
    <w:rsid w:val="00E255D1"/>
    <w:rsid w:val="00E25E18"/>
    <w:rsid w:val="00E260A0"/>
    <w:rsid w:val="00E30121"/>
    <w:rsid w:val="00E306B4"/>
    <w:rsid w:val="00E30BBC"/>
    <w:rsid w:val="00E31860"/>
    <w:rsid w:val="00E3187A"/>
    <w:rsid w:val="00E32620"/>
    <w:rsid w:val="00E337A5"/>
    <w:rsid w:val="00E33B68"/>
    <w:rsid w:val="00E34D3F"/>
    <w:rsid w:val="00E35F33"/>
    <w:rsid w:val="00E3606F"/>
    <w:rsid w:val="00E364C8"/>
    <w:rsid w:val="00E37913"/>
    <w:rsid w:val="00E40A44"/>
    <w:rsid w:val="00E4170C"/>
    <w:rsid w:val="00E41A2D"/>
    <w:rsid w:val="00E422F9"/>
    <w:rsid w:val="00E43C7A"/>
    <w:rsid w:val="00E46923"/>
    <w:rsid w:val="00E46C1E"/>
    <w:rsid w:val="00E50CDB"/>
    <w:rsid w:val="00E51A00"/>
    <w:rsid w:val="00E5551A"/>
    <w:rsid w:val="00E571D6"/>
    <w:rsid w:val="00E578A9"/>
    <w:rsid w:val="00E60B2F"/>
    <w:rsid w:val="00E6184A"/>
    <w:rsid w:val="00E62070"/>
    <w:rsid w:val="00E62982"/>
    <w:rsid w:val="00E636F1"/>
    <w:rsid w:val="00E65745"/>
    <w:rsid w:val="00E65DD8"/>
    <w:rsid w:val="00E677E5"/>
    <w:rsid w:val="00E67FED"/>
    <w:rsid w:val="00E7317F"/>
    <w:rsid w:val="00E735E2"/>
    <w:rsid w:val="00E74643"/>
    <w:rsid w:val="00E74A25"/>
    <w:rsid w:val="00E7516B"/>
    <w:rsid w:val="00E75D2C"/>
    <w:rsid w:val="00E80029"/>
    <w:rsid w:val="00E8051D"/>
    <w:rsid w:val="00E81A80"/>
    <w:rsid w:val="00E8221C"/>
    <w:rsid w:val="00E86390"/>
    <w:rsid w:val="00E86D09"/>
    <w:rsid w:val="00E87245"/>
    <w:rsid w:val="00E87D07"/>
    <w:rsid w:val="00E90914"/>
    <w:rsid w:val="00E90C31"/>
    <w:rsid w:val="00E9112D"/>
    <w:rsid w:val="00E91648"/>
    <w:rsid w:val="00E92679"/>
    <w:rsid w:val="00E97AEF"/>
    <w:rsid w:val="00EA01E3"/>
    <w:rsid w:val="00EA2108"/>
    <w:rsid w:val="00EA2AB3"/>
    <w:rsid w:val="00EA4F72"/>
    <w:rsid w:val="00EA52E2"/>
    <w:rsid w:val="00EA5E07"/>
    <w:rsid w:val="00EA6864"/>
    <w:rsid w:val="00EB044B"/>
    <w:rsid w:val="00EB2322"/>
    <w:rsid w:val="00EB2A48"/>
    <w:rsid w:val="00EB2A64"/>
    <w:rsid w:val="00EB310E"/>
    <w:rsid w:val="00EB3AF3"/>
    <w:rsid w:val="00EB4014"/>
    <w:rsid w:val="00EB4F65"/>
    <w:rsid w:val="00EB5385"/>
    <w:rsid w:val="00EB578B"/>
    <w:rsid w:val="00EB5D76"/>
    <w:rsid w:val="00EB6342"/>
    <w:rsid w:val="00EB6B00"/>
    <w:rsid w:val="00EB6BC3"/>
    <w:rsid w:val="00EB711E"/>
    <w:rsid w:val="00EB7FB8"/>
    <w:rsid w:val="00EC0435"/>
    <w:rsid w:val="00EC20A5"/>
    <w:rsid w:val="00EC3A4D"/>
    <w:rsid w:val="00EC5771"/>
    <w:rsid w:val="00ED0375"/>
    <w:rsid w:val="00ED0FAB"/>
    <w:rsid w:val="00ED1B41"/>
    <w:rsid w:val="00ED2A49"/>
    <w:rsid w:val="00ED2E17"/>
    <w:rsid w:val="00ED3073"/>
    <w:rsid w:val="00ED46A8"/>
    <w:rsid w:val="00ED4CB5"/>
    <w:rsid w:val="00ED6354"/>
    <w:rsid w:val="00EE30B9"/>
    <w:rsid w:val="00EE4725"/>
    <w:rsid w:val="00EE577E"/>
    <w:rsid w:val="00EE6B90"/>
    <w:rsid w:val="00EE6E78"/>
    <w:rsid w:val="00EF0A84"/>
    <w:rsid w:val="00EF2620"/>
    <w:rsid w:val="00EF2A20"/>
    <w:rsid w:val="00EF3470"/>
    <w:rsid w:val="00EF366F"/>
    <w:rsid w:val="00EF4769"/>
    <w:rsid w:val="00EF5FE0"/>
    <w:rsid w:val="00EF6FA8"/>
    <w:rsid w:val="00EF7720"/>
    <w:rsid w:val="00F01375"/>
    <w:rsid w:val="00F016A1"/>
    <w:rsid w:val="00F0205F"/>
    <w:rsid w:val="00F02524"/>
    <w:rsid w:val="00F03B62"/>
    <w:rsid w:val="00F03F00"/>
    <w:rsid w:val="00F0478B"/>
    <w:rsid w:val="00F04B65"/>
    <w:rsid w:val="00F055FA"/>
    <w:rsid w:val="00F0586F"/>
    <w:rsid w:val="00F071C2"/>
    <w:rsid w:val="00F10BAA"/>
    <w:rsid w:val="00F11E2D"/>
    <w:rsid w:val="00F123FA"/>
    <w:rsid w:val="00F129B4"/>
    <w:rsid w:val="00F1329E"/>
    <w:rsid w:val="00F13D2A"/>
    <w:rsid w:val="00F13FC3"/>
    <w:rsid w:val="00F15854"/>
    <w:rsid w:val="00F219A5"/>
    <w:rsid w:val="00F226DC"/>
    <w:rsid w:val="00F2374B"/>
    <w:rsid w:val="00F249BF"/>
    <w:rsid w:val="00F25A2A"/>
    <w:rsid w:val="00F300FB"/>
    <w:rsid w:val="00F30154"/>
    <w:rsid w:val="00F30535"/>
    <w:rsid w:val="00F3184B"/>
    <w:rsid w:val="00F31E22"/>
    <w:rsid w:val="00F31F7A"/>
    <w:rsid w:val="00F35359"/>
    <w:rsid w:val="00F36446"/>
    <w:rsid w:val="00F371A1"/>
    <w:rsid w:val="00F41805"/>
    <w:rsid w:val="00F423AD"/>
    <w:rsid w:val="00F42CE2"/>
    <w:rsid w:val="00F43313"/>
    <w:rsid w:val="00F44904"/>
    <w:rsid w:val="00F46062"/>
    <w:rsid w:val="00F4699D"/>
    <w:rsid w:val="00F47876"/>
    <w:rsid w:val="00F47BB1"/>
    <w:rsid w:val="00F47FB5"/>
    <w:rsid w:val="00F51BFF"/>
    <w:rsid w:val="00F51F00"/>
    <w:rsid w:val="00F554B7"/>
    <w:rsid w:val="00F5618B"/>
    <w:rsid w:val="00F56631"/>
    <w:rsid w:val="00F56F0E"/>
    <w:rsid w:val="00F60D1E"/>
    <w:rsid w:val="00F618E3"/>
    <w:rsid w:val="00F62314"/>
    <w:rsid w:val="00F63699"/>
    <w:rsid w:val="00F63B34"/>
    <w:rsid w:val="00F6453A"/>
    <w:rsid w:val="00F6538C"/>
    <w:rsid w:val="00F6564B"/>
    <w:rsid w:val="00F70B67"/>
    <w:rsid w:val="00F71CD3"/>
    <w:rsid w:val="00F721BE"/>
    <w:rsid w:val="00F7268F"/>
    <w:rsid w:val="00F72825"/>
    <w:rsid w:val="00F745ED"/>
    <w:rsid w:val="00F74695"/>
    <w:rsid w:val="00F748CD"/>
    <w:rsid w:val="00F74DEE"/>
    <w:rsid w:val="00F7564C"/>
    <w:rsid w:val="00F80869"/>
    <w:rsid w:val="00F8504D"/>
    <w:rsid w:val="00F85596"/>
    <w:rsid w:val="00F8639E"/>
    <w:rsid w:val="00F86AD0"/>
    <w:rsid w:val="00F86EC4"/>
    <w:rsid w:val="00F87003"/>
    <w:rsid w:val="00F90D93"/>
    <w:rsid w:val="00F91590"/>
    <w:rsid w:val="00F9269E"/>
    <w:rsid w:val="00F947F2"/>
    <w:rsid w:val="00F9551C"/>
    <w:rsid w:val="00F967A6"/>
    <w:rsid w:val="00F96830"/>
    <w:rsid w:val="00F973CF"/>
    <w:rsid w:val="00FA14BE"/>
    <w:rsid w:val="00FA3438"/>
    <w:rsid w:val="00FA396D"/>
    <w:rsid w:val="00FA409F"/>
    <w:rsid w:val="00FA4C1B"/>
    <w:rsid w:val="00FB10C5"/>
    <w:rsid w:val="00FB1864"/>
    <w:rsid w:val="00FB26AE"/>
    <w:rsid w:val="00FB2BC7"/>
    <w:rsid w:val="00FB2D5F"/>
    <w:rsid w:val="00FB4C2C"/>
    <w:rsid w:val="00FB6F3A"/>
    <w:rsid w:val="00FB746E"/>
    <w:rsid w:val="00FB7727"/>
    <w:rsid w:val="00FB78D0"/>
    <w:rsid w:val="00FB7D5C"/>
    <w:rsid w:val="00FB7E17"/>
    <w:rsid w:val="00FC0229"/>
    <w:rsid w:val="00FC0842"/>
    <w:rsid w:val="00FC21EF"/>
    <w:rsid w:val="00FC24F1"/>
    <w:rsid w:val="00FC258C"/>
    <w:rsid w:val="00FC3305"/>
    <w:rsid w:val="00FC37FD"/>
    <w:rsid w:val="00FC57CC"/>
    <w:rsid w:val="00FC5D29"/>
    <w:rsid w:val="00FC6108"/>
    <w:rsid w:val="00FD0ECC"/>
    <w:rsid w:val="00FD1C39"/>
    <w:rsid w:val="00FD24F3"/>
    <w:rsid w:val="00FD2FFD"/>
    <w:rsid w:val="00FD40BE"/>
    <w:rsid w:val="00FD573B"/>
    <w:rsid w:val="00FD73C0"/>
    <w:rsid w:val="00FE1ED9"/>
    <w:rsid w:val="00FE307E"/>
    <w:rsid w:val="00FE6A26"/>
    <w:rsid w:val="00FF1BCD"/>
    <w:rsid w:val="00FF20AE"/>
    <w:rsid w:val="00FF3777"/>
    <w:rsid w:val="00FF44B5"/>
    <w:rsid w:val="00FF48E1"/>
    <w:rsid w:val="00FF4C64"/>
    <w:rsid w:val="00FF5459"/>
    <w:rsid w:val="00FF671B"/>
    <w:rsid w:val="00FF6C88"/>
    <w:rsid w:val="00FF72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59C3D33"/>
  <w15:chartTrackingRefBased/>
  <w15:docId w15:val="{138FAADE-CA7B-46CE-AD78-76F08B07A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Lucida Sans Unicode"/>
      <w:kern w:val="1"/>
      <w:sz w:val="24"/>
      <w:szCs w:val="24"/>
    </w:rPr>
  </w:style>
  <w:style w:type="paragraph" w:styleId="Heading5">
    <w:name w:val="heading 5"/>
    <w:basedOn w:val="Normal"/>
    <w:next w:val="Normal"/>
    <w:qFormat/>
    <w:pPr>
      <w:keepNext/>
      <w:widowControl/>
      <w:numPr>
        <w:ilvl w:val="4"/>
        <w:numId w:val="1"/>
      </w:numPr>
      <w:suppressAutoHyphens w:val="0"/>
      <w:ind w:left="0" w:firstLine="709"/>
      <w:outlineLvl w:val="4"/>
    </w:pPr>
    <w:rPr>
      <w:rFonts w:eastAsia="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DefaultParagraphFont">
    <w:name w:val="WW-Default Paragraph Font"/>
  </w:style>
  <w:style w:type="character" w:customStyle="1" w:styleId="WW-DefaultParagraphFont1">
    <w:name w:val="WW-Default Paragraph Font1"/>
  </w:style>
  <w:style w:type="character" w:styleId="PageNumber">
    <w:name w:val="page number"/>
    <w:basedOn w:val="WW-DefaultParagraphFont1"/>
  </w:style>
  <w:style w:type="character" w:customStyle="1" w:styleId="CharChar14">
    <w:name w:val="Char Char14"/>
    <w:rPr>
      <w:sz w:val="28"/>
      <w:lang w:val="en-US" w:eastAsia="ar-SA" w:bidi="ar-SA"/>
    </w:rPr>
  </w:style>
  <w:style w:type="character" w:customStyle="1" w:styleId="CharChar6">
    <w:name w:val="Char Char6"/>
    <w:rPr>
      <w:rFonts w:eastAsia="Calibri"/>
      <w:sz w:val="16"/>
      <w:szCs w:val="16"/>
      <w:lang w:val="lv-LV" w:eastAsia="ar-SA" w:bidi="ar-SA"/>
    </w:rPr>
  </w:style>
  <w:style w:type="character" w:customStyle="1" w:styleId="CharChar5">
    <w:name w:val="Char Char5"/>
    <w:rPr>
      <w:rFonts w:ascii="Arial Unicode MS" w:eastAsia="Arial Unicode MS" w:hAnsi="Arial Unicode MS" w:cs="Arial Unicode MS"/>
      <w:lang w:val="lv-LV" w:eastAsia="ar-SA" w:bidi="ar-SA"/>
    </w:rPr>
  </w:style>
  <w:style w:type="character" w:customStyle="1" w:styleId="FontStyle16">
    <w:name w:val="Font Style16"/>
    <w:rPr>
      <w:rFonts w:ascii="Times New Roman" w:eastAsia="Times New Roman" w:hAnsi="Times New Roman" w:cs="Times New Roman"/>
      <w:sz w:val="26"/>
      <w:szCs w:val="26"/>
    </w:rPr>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styleId="Footer">
    <w:name w:val="footer"/>
    <w:basedOn w:val="Normal"/>
    <w:rPr>
      <w:rFonts w:ascii="RimTimes" w:hAnsi="RimTimes"/>
    </w:rPr>
  </w:style>
  <w:style w:type="paragraph" w:styleId="Header">
    <w:name w:val="header"/>
    <w:basedOn w:val="Normal"/>
    <w:pPr>
      <w:tabs>
        <w:tab w:val="center" w:pos="4153"/>
        <w:tab w:val="right" w:pos="8306"/>
      </w:tabs>
    </w:pPr>
  </w:style>
  <w:style w:type="paragraph" w:styleId="NormalWeb">
    <w:name w:val="Normal (Web)"/>
    <w:basedOn w:val="Normal"/>
    <w:pPr>
      <w:widowControl/>
      <w:suppressAutoHyphens w:val="0"/>
      <w:spacing w:before="100" w:after="100"/>
      <w:jc w:val="both"/>
    </w:pPr>
    <w:rPr>
      <w:rFonts w:ascii="Arial Unicode MS" w:eastAsia="Arial Unicode MS" w:hAnsi="Arial Unicode MS" w:cs="Arial Unicode MS"/>
      <w:lang w:val="en-US"/>
    </w:rPr>
  </w:style>
  <w:style w:type="paragraph" w:styleId="BodyTextIndent3">
    <w:name w:val="Body Text Indent 3"/>
    <w:basedOn w:val="Normal"/>
    <w:pPr>
      <w:widowControl/>
      <w:suppressAutoHyphens w:val="0"/>
      <w:spacing w:after="120" w:line="276" w:lineRule="auto"/>
      <w:ind w:left="283"/>
    </w:pPr>
    <w:rPr>
      <w:rFonts w:eastAsia="Calibri"/>
      <w:sz w:val="16"/>
      <w:szCs w:val="16"/>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r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customStyle="1" w:styleId="naisc">
    <w:name w:val="naisc"/>
    <w:basedOn w:val="Normal"/>
    <w:pPr>
      <w:spacing w:before="75" w:after="75"/>
      <w:jc w:val="center"/>
    </w:pPr>
  </w:style>
  <w:style w:type="paragraph" w:styleId="BalloonText">
    <w:name w:val="Balloon Text"/>
    <w:basedOn w:val="Normal"/>
    <w:semiHidden/>
    <w:rsid w:val="007213EF"/>
    <w:rPr>
      <w:rFonts w:ascii="Tahoma" w:hAnsi="Tahoma" w:cs="Tahoma"/>
      <w:sz w:val="16"/>
      <w:szCs w:val="16"/>
    </w:rPr>
  </w:style>
  <w:style w:type="character" w:customStyle="1" w:styleId="WW-Absatz-Standardschriftart111111111111">
    <w:name w:val="WW-Absatz-Standardschriftart111111111111"/>
    <w:rsid w:val="008630BB"/>
  </w:style>
  <w:style w:type="paragraph" w:customStyle="1" w:styleId="naispant">
    <w:name w:val="naispant"/>
    <w:basedOn w:val="Normal"/>
    <w:rsid w:val="00706F35"/>
    <w:pPr>
      <w:widowControl/>
      <w:spacing w:before="280" w:after="280"/>
    </w:pPr>
    <w:rPr>
      <w:rFonts w:eastAsia="Calibri"/>
      <w:kern w:val="0"/>
      <w:lang w:eastAsia="ar-SA"/>
    </w:rPr>
  </w:style>
  <w:style w:type="character" w:styleId="Hyperlink">
    <w:name w:val="Hyperlink"/>
    <w:rsid w:val="00831358"/>
    <w:rPr>
      <w:color w:val="0000FF"/>
      <w:u w:val="single"/>
    </w:rPr>
  </w:style>
  <w:style w:type="character" w:styleId="Emphasis">
    <w:name w:val="Emphasis"/>
    <w:qFormat/>
    <w:rsid w:val="00934C6F"/>
    <w:rPr>
      <w:i/>
      <w:iCs/>
    </w:rPr>
  </w:style>
  <w:style w:type="character" w:styleId="CommentReference">
    <w:name w:val="annotation reference"/>
    <w:rsid w:val="00CC1F91"/>
    <w:rPr>
      <w:sz w:val="16"/>
      <w:szCs w:val="16"/>
    </w:rPr>
  </w:style>
  <w:style w:type="paragraph" w:styleId="CommentText">
    <w:name w:val="annotation text"/>
    <w:basedOn w:val="Normal"/>
    <w:link w:val="CommentTextChar"/>
    <w:rsid w:val="00CC1F91"/>
    <w:rPr>
      <w:sz w:val="20"/>
      <w:szCs w:val="20"/>
      <w:lang w:val="x-none"/>
    </w:rPr>
  </w:style>
  <w:style w:type="character" w:customStyle="1" w:styleId="CommentTextChar">
    <w:name w:val="Comment Text Char"/>
    <w:link w:val="CommentText"/>
    <w:rsid w:val="00CC1F91"/>
    <w:rPr>
      <w:rFonts w:eastAsia="Lucida Sans Unicode"/>
      <w:kern w:val="1"/>
    </w:rPr>
  </w:style>
  <w:style w:type="paragraph" w:styleId="CommentSubject">
    <w:name w:val="annotation subject"/>
    <w:basedOn w:val="CommentText"/>
    <w:next w:val="CommentText"/>
    <w:link w:val="CommentSubjectChar"/>
    <w:rsid w:val="00CC1F91"/>
    <w:rPr>
      <w:b/>
      <w:bCs/>
    </w:rPr>
  </w:style>
  <w:style w:type="character" w:customStyle="1" w:styleId="CommentSubjectChar">
    <w:name w:val="Comment Subject Char"/>
    <w:link w:val="CommentSubject"/>
    <w:rsid w:val="00CC1F91"/>
    <w:rPr>
      <w:rFonts w:eastAsia="Lucida Sans Unicode"/>
      <w:b/>
      <w:bCs/>
      <w:kern w:val="1"/>
    </w:rPr>
  </w:style>
  <w:style w:type="character" w:styleId="FollowedHyperlink">
    <w:name w:val="FollowedHyperlink"/>
    <w:basedOn w:val="DefaultParagraphFont"/>
    <w:rsid w:val="00CC3788"/>
    <w:rPr>
      <w:color w:val="800080"/>
      <w:u w:val="single"/>
    </w:rPr>
  </w:style>
  <w:style w:type="character" w:styleId="Strong">
    <w:name w:val="Strong"/>
    <w:basedOn w:val="DefaultParagraphFont"/>
    <w:uiPriority w:val="22"/>
    <w:qFormat/>
    <w:rsid w:val="00196CF8"/>
    <w:rPr>
      <w:b/>
      <w:bCs/>
    </w:rPr>
  </w:style>
  <w:style w:type="character" w:customStyle="1" w:styleId="apple-converted-space">
    <w:name w:val="apple-converted-space"/>
    <w:basedOn w:val="DefaultParagraphFont"/>
    <w:rsid w:val="00196CF8"/>
  </w:style>
  <w:style w:type="paragraph" w:customStyle="1" w:styleId="tvhtml">
    <w:name w:val="tv_html"/>
    <w:basedOn w:val="Normal"/>
    <w:rsid w:val="00E578A9"/>
    <w:pPr>
      <w:widowControl/>
      <w:suppressAutoHyphens w:val="0"/>
      <w:spacing w:before="100" w:beforeAutospacing="1" w:after="100" w:afterAutospacing="1"/>
    </w:pPr>
    <w:rPr>
      <w:rFonts w:eastAsia="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123935">
      <w:bodyDiv w:val="1"/>
      <w:marLeft w:val="0"/>
      <w:marRight w:val="0"/>
      <w:marTop w:val="0"/>
      <w:marBottom w:val="0"/>
      <w:divBdr>
        <w:top w:val="none" w:sz="0" w:space="0" w:color="auto"/>
        <w:left w:val="none" w:sz="0" w:space="0" w:color="auto"/>
        <w:bottom w:val="none" w:sz="0" w:space="0" w:color="auto"/>
        <w:right w:val="none" w:sz="0" w:space="0" w:color="auto"/>
      </w:divBdr>
    </w:div>
    <w:div w:id="1066493912">
      <w:bodyDiv w:val="1"/>
      <w:marLeft w:val="0"/>
      <w:marRight w:val="0"/>
      <w:marTop w:val="0"/>
      <w:marBottom w:val="0"/>
      <w:divBdr>
        <w:top w:val="none" w:sz="0" w:space="0" w:color="auto"/>
        <w:left w:val="none" w:sz="0" w:space="0" w:color="auto"/>
        <w:bottom w:val="none" w:sz="0" w:space="0" w:color="auto"/>
        <w:right w:val="none" w:sz="0" w:space="0" w:color="auto"/>
      </w:divBdr>
    </w:div>
    <w:div w:id="1618566318">
      <w:bodyDiv w:val="1"/>
      <w:marLeft w:val="0"/>
      <w:marRight w:val="0"/>
      <w:marTop w:val="0"/>
      <w:marBottom w:val="0"/>
      <w:divBdr>
        <w:top w:val="none" w:sz="0" w:space="0" w:color="auto"/>
        <w:left w:val="none" w:sz="0" w:space="0" w:color="auto"/>
        <w:bottom w:val="none" w:sz="0" w:space="0" w:color="auto"/>
        <w:right w:val="none" w:sz="0" w:space="0" w:color="auto"/>
      </w:divBdr>
    </w:div>
    <w:div w:id="195186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ations.europa.eu/code/lv/lv-390600.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B7F32-6B80-4467-8EF5-A909AA5FB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9</Pages>
  <Words>10276</Words>
  <Characters>5858</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Ministru kabineta noteikumu projekta „Autotransporta līdzekļu kategorijas, kuru iepirkumos piemēro īpašas prasības, un autotransporta līdzekļu ekspluatācijas izmaksu aprēķināšanas metodika” sākotnējās ietekmes novērtējuma ziņojums (anotācija)</vt:lpstr>
    </vt:vector>
  </TitlesOfParts>
  <Company>Iepirkumu uzraudzības birojs</Company>
  <LinksUpToDate>false</LinksUpToDate>
  <CharactersWithSpaces>16102</CharactersWithSpaces>
  <SharedDoc>false</SharedDoc>
  <HLinks>
    <vt:vector size="12" baseType="variant">
      <vt:variant>
        <vt:i4>5308438</vt:i4>
      </vt:variant>
      <vt:variant>
        <vt:i4>3</vt:i4>
      </vt:variant>
      <vt:variant>
        <vt:i4>0</vt:i4>
      </vt:variant>
      <vt:variant>
        <vt:i4>5</vt:i4>
      </vt:variant>
      <vt:variant>
        <vt:lpwstr>http://www.unece.org/trans/main/welcwp29.htm</vt:lpwstr>
      </vt:variant>
      <vt:variant>
        <vt:lpwstr/>
      </vt:variant>
      <vt:variant>
        <vt:i4>4980776</vt:i4>
      </vt:variant>
      <vt:variant>
        <vt:i4>0</vt:i4>
      </vt:variant>
      <vt:variant>
        <vt:i4>0</vt:i4>
      </vt:variant>
      <vt:variant>
        <vt:i4>5</vt:i4>
      </vt:variant>
      <vt:variant>
        <vt:lpwstr>http://ec.europa.eu/enterprise/automotive/index_en.htm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„Autotransporta līdzekļu kategorijas, kuru iepirkumos piemēro īpašas prasības, un autotransporta līdzekļu ekspluatācijas izmaksu aprēķināšanas metodika” sākotnējās ietekmes novērtējuma ziņojums (anotācija)</dc:title>
  <dc:subject>Anotācija</dc:subject>
  <dc:creator>Arita Ūdre</dc:creator>
  <cp:keywords/>
  <dc:description>67326699, arita.udre@iub.gov.lv</dc:description>
  <cp:lastModifiedBy>Inga Bērziņa</cp:lastModifiedBy>
  <cp:revision>220</cp:revision>
  <cp:lastPrinted>2010-11-05T08:36:00Z</cp:lastPrinted>
  <dcterms:created xsi:type="dcterms:W3CDTF">2016-09-02T14:52:00Z</dcterms:created>
  <dcterms:modified xsi:type="dcterms:W3CDTF">2017-02-15T17:06:00Z</dcterms:modified>
</cp:coreProperties>
</file>