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Ind w:w="-778" w:type="dxa"/>
        <w:tblLayout w:type="fixed"/>
        <w:tblLook w:val="04A0" w:firstRow="1" w:lastRow="0" w:firstColumn="1" w:lastColumn="0" w:noHBand="0" w:noVBand="1"/>
      </w:tblPr>
      <w:tblGrid>
        <w:gridCol w:w="10485"/>
      </w:tblGrid>
      <w:tr w:rsidR="006C452D" w:rsidRPr="00502163" w:rsidTr="00283825">
        <w:trPr>
          <w:trHeight w:val="321"/>
        </w:trPr>
        <w:tc>
          <w:tcPr>
            <w:tcW w:w="10485" w:type="dxa"/>
            <w:tcBorders>
              <w:top w:val="nil"/>
              <w:left w:val="nil"/>
              <w:bottom w:val="nil"/>
              <w:right w:val="nil"/>
            </w:tcBorders>
            <w:shd w:val="clear" w:color="auto" w:fill="auto"/>
            <w:noWrap/>
            <w:vAlign w:val="center"/>
            <w:hideMark/>
          </w:tcPr>
          <w:p w:rsidR="00673461" w:rsidRPr="00502163" w:rsidRDefault="00673461" w:rsidP="0022056A">
            <w:pPr>
              <w:spacing w:after="0" w:line="240" w:lineRule="auto"/>
              <w:jc w:val="right"/>
              <w:rPr>
                <w:rFonts w:eastAsia="Times New Roman"/>
                <w:bCs/>
                <w:lang w:eastAsia="lv-LV"/>
              </w:rPr>
            </w:pPr>
            <w:r w:rsidRPr="00502163">
              <w:rPr>
                <w:rFonts w:eastAsia="Times New Roman"/>
                <w:bCs/>
                <w:lang w:eastAsia="lv-LV"/>
              </w:rPr>
              <w:t>2.pielikums</w:t>
            </w:r>
          </w:p>
          <w:p w:rsidR="0022056A" w:rsidRPr="00502163" w:rsidRDefault="004B03E8" w:rsidP="004B03E8">
            <w:pPr>
              <w:spacing w:after="0" w:line="240" w:lineRule="auto"/>
              <w:jc w:val="right"/>
              <w:rPr>
                <w:rFonts w:eastAsia="Times New Roman"/>
                <w:bCs/>
                <w:lang w:eastAsia="lv-LV"/>
              </w:rPr>
            </w:pPr>
            <w:r w:rsidRPr="00502163">
              <w:rPr>
                <w:rFonts w:eastAsia="Times New Roman"/>
                <w:bCs/>
                <w:lang w:eastAsia="lv-LV"/>
              </w:rPr>
              <w:t>k</w:t>
            </w:r>
            <w:r w:rsidR="00673461" w:rsidRPr="00502163">
              <w:rPr>
                <w:rFonts w:eastAsia="Times New Roman"/>
                <w:bCs/>
                <w:lang w:eastAsia="lv-LV"/>
              </w:rPr>
              <w:t>onceptuālajam ziņojumam</w:t>
            </w:r>
          </w:p>
          <w:p w:rsidR="0022056A" w:rsidRPr="00502163" w:rsidRDefault="00673461" w:rsidP="004B03E8">
            <w:pPr>
              <w:spacing w:after="0" w:line="240" w:lineRule="auto"/>
              <w:jc w:val="right"/>
              <w:rPr>
                <w:lang w:eastAsia="lv-LV"/>
              </w:rPr>
            </w:pPr>
            <w:r w:rsidRPr="00502163">
              <w:rPr>
                <w:rFonts w:eastAsia="Times New Roman"/>
                <w:bCs/>
                <w:lang w:eastAsia="lv-LV"/>
              </w:rPr>
              <w:t>“</w:t>
            </w:r>
            <w:r w:rsidR="00B5460A" w:rsidRPr="00502163">
              <w:rPr>
                <w:lang w:eastAsia="lv-LV"/>
              </w:rPr>
              <w:t xml:space="preserve">Par valsts </w:t>
            </w:r>
            <w:r w:rsidR="004F1765" w:rsidRPr="00502163">
              <w:rPr>
                <w:lang w:eastAsia="lv-LV"/>
              </w:rPr>
              <w:t xml:space="preserve">pārvaldes </w:t>
            </w:r>
            <w:r w:rsidR="00B5460A" w:rsidRPr="00502163">
              <w:rPr>
                <w:lang w:eastAsia="lv-LV"/>
              </w:rPr>
              <w:t xml:space="preserve">iestāžu </w:t>
            </w:r>
            <w:r w:rsidR="00A55737" w:rsidRPr="00502163">
              <w:rPr>
                <w:lang w:eastAsia="lv-LV"/>
              </w:rPr>
              <w:t xml:space="preserve">un </w:t>
            </w:r>
          </w:p>
          <w:p w:rsidR="0022056A" w:rsidRPr="00502163" w:rsidRDefault="00A55737" w:rsidP="004B03E8">
            <w:pPr>
              <w:spacing w:after="0" w:line="240" w:lineRule="auto"/>
              <w:jc w:val="right"/>
              <w:rPr>
                <w:lang w:eastAsia="lv-LV"/>
              </w:rPr>
            </w:pPr>
            <w:r w:rsidRPr="00502163">
              <w:rPr>
                <w:lang w:eastAsia="lv-LV"/>
              </w:rPr>
              <w:t xml:space="preserve">Nacionālo bruņoto spēku </w:t>
            </w:r>
            <w:r w:rsidR="00B5460A" w:rsidRPr="00502163">
              <w:rPr>
                <w:lang w:eastAsia="lv-LV"/>
              </w:rPr>
              <w:t>kinologu</w:t>
            </w:r>
          </w:p>
          <w:p w:rsidR="00673461" w:rsidRPr="00502163" w:rsidRDefault="00B5460A" w:rsidP="004B03E8">
            <w:pPr>
              <w:spacing w:after="0" w:line="240" w:lineRule="auto"/>
              <w:jc w:val="right"/>
              <w:rPr>
                <w:rFonts w:eastAsia="Times New Roman"/>
                <w:b/>
                <w:bCs/>
                <w:lang w:eastAsia="lv-LV"/>
              </w:rPr>
            </w:pPr>
            <w:r w:rsidRPr="00502163">
              <w:rPr>
                <w:lang w:eastAsia="lv-LV"/>
              </w:rPr>
              <w:t>apmācības sistēmas pilnveidošanu</w:t>
            </w:r>
            <w:r w:rsidR="00673461" w:rsidRPr="00502163">
              <w:rPr>
                <w:rFonts w:eastAsia="Times New Roman"/>
                <w:bCs/>
                <w:lang w:eastAsia="lv-LV"/>
              </w:rPr>
              <w:t>”</w:t>
            </w:r>
          </w:p>
        </w:tc>
      </w:tr>
      <w:tr w:rsidR="00CD1501" w:rsidRPr="00502163" w:rsidTr="00283825">
        <w:trPr>
          <w:trHeight w:val="306"/>
        </w:trPr>
        <w:tc>
          <w:tcPr>
            <w:tcW w:w="10485" w:type="dxa"/>
            <w:tcBorders>
              <w:top w:val="nil"/>
              <w:left w:val="nil"/>
              <w:bottom w:val="nil"/>
              <w:right w:val="nil"/>
            </w:tcBorders>
            <w:shd w:val="clear" w:color="auto" w:fill="auto"/>
            <w:noWrap/>
            <w:vAlign w:val="center"/>
          </w:tcPr>
          <w:p w:rsidR="00CD1501" w:rsidRPr="00502163" w:rsidRDefault="00CD1501" w:rsidP="00673461">
            <w:pPr>
              <w:spacing w:after="0" w:line="240" w:lineRule="auto"/>
              <w:jc w:val="center"/>
              <w:rPr>
                <w:rFonts w:eastAsia="Times New Roman"/>
                <w:sz w:val="20"/>
                <w:szCs w:val="20"/>
                <w:lang w:eastAsia="lv-LV"/>
              </w:rPr>
            </w:pPr>
          </w:p>
        </w:tc>
      </w:tr>
    </w:tbl>
    <w:p w:rsidR="00CD1501" w:rsidRPr="00502163" w:rsidRDefault="00CD1501" w:rsidP="00CD1501">
      <w:pPr>
        <w:spacing w:after="0" w:line="240" w:lineRule="auto"/>
        <w:jc w:val="center"/>
        <w:rPr>
          <w:rFonts w:eastAsia="Times New Roman"/>
          <w:bCs/>
          <w:lang w:eastAsia="lv-LV"/>
        </w:rPr>
      </w:pPr>
      <w:r w:rsidRPr="00502163">
        <w:rPr>
          <w:rFonts w:eastAsia="Times New Roman"/>
          <w:bCs/>
          <w:lang w:eastAsia="lv-LV"/>
        </w:rPr>
        <w:t xml:space="preserve">Konceptuālais ziņojums </w:t>
      </w:r>
    </w:p>
    <w:p w:rsidR="00CD1501" w:rsidRPr="00502163" w:rsidRDefault="00CD1501" w:rsidP="00CD1501">
      <w:pPr>
        <w:spacing w:after="0" w:line="240" w:lineRule="auto"/>
        <w:jc w:val="center"/>
        <w:rPr>
          <w:lang w:eastAsia="lv-LV"/>
        </w:rPr>
      </w:pPr>
      <w:r w:rsidRPr="00502163">
        <w:rPr>
          <w:rFonts w:eastAsia="Times New Roman"/>
          <w:bCs/>
          <w:lang w:eastAsia="lv-LV"/>
        </w:rPr>
        <w:t>“</w:t>
      </w:r>
      <w:r w:rsidRPr="00502163">
        <w:rPr>
          <w:lang w:eastAsia="lv-LV"/>
        </w:rPr>
        <w:t>Par valsts pārvaldes iestāžu un Nacionālo bruņoto spēku kinologu</w:t>
      </w:r>
    </w:p>
    <w:p w:rsidR="00787274" w:rsidRPr="00502163" w:rsidRDefault="00CD1501" w:rsidP="00CD1501">
      <w:pPr>
        <w:spacing w:after="0" w:line="240" w:lineRule="auto"/>
        <w:jc w:val="center"/>
        <w:rPr>
          <w:rFonts w:eastAsia="Times New Roman"/>
          <w:bCs/>
          <w:lang w:eastAsia="lv-LV"/>
        </w:rPr>
      </w:pPr>
      <w:r w:rsidRPr="00502163">
        <w:rPr>
          <w:lang w:eastAsia="lv-LV"/>
        </w:rPr>
        <w:t>apmācības sistēmas pilnveidošanu</w:t>
      </w:r>
      <w:r w:rsidRPr="00502163">
        <w:rPr>
          <w:rFonts w:eastAsia="Times New Roman"/>
          <w:bCs/>
          <w:lang w:eastAsia="lv-LV"/>
        </w:rPr>
        <w:t>”</w:t>
      </w:r>
    </w:p>
    <w:p w:rsidR="00CD1501" w:rsidRPr="00502163" w:rsidRDefault="00CD1501" w:rsidP="00CD1501">
      <w:pPr>
        <w:spacing w:after="0" w:line="240" w:lineRule="auto"/>
        <w:jc w:val="center"/>
        <w:rPr>
          <w:rFonts w:eastAsia="Times New Roman"/>
          <w:bCs/>
          <w:lang w:eastAsia="lv-LV"/>
        </w:rPr>
      </w:pPr>
    </w:p>
    <w:p w:rsidR="00CD1501" w:rsidRPr="00502163" w:rsidRDefault="00CD1501" w:rsidP="00CD1501">
      <w:pPr>
        <w:spacing w:after="0" w:line="240" w:lineRule="auto"/>
        <w:jc w:val="center"/>
        <w:rPr>
          <w:rFonts w:eastAsia="Times New Roman"/>
          <w:b/>
          <w:bCs/>
          <w:lang w:eastAsia="lv-LV"/>
        </w:rPr>
      </w:pPr>
      <w:r w:rsidRPr="00502163">
        <w:rPr>
          <w:rFonts w:eastAsia="Times New Roman"/>
          <w:b/>
          <w:bCs/>
          <w:lang w:eastAsia="lv-LV"/>
        </w:rPr>
        <w:t>Informācija par iespējamo līdzekļu ietaupījumu</w:t>
      </w:r>
    </w:p>
    <w:p w:rsidR="00CD1501" w:rsidRPr="00502163" w:rsidRDefault="00CD1501" w:rsidP="00CD1501">
      <w:pPr>
        <w:spacing w:after="0" w:line="240" w:lineRule="auto"/>
        <w:jc w:val="center"/>
        <w:rPr>
          <w:rFonts w:eastAsia="Times New Roman"/>
          <w:b/>
          <w:bCs/>
          <w:sz w:val="28"/>
          <w:szCs w:val="28"/>
          <w:lang w:eastAsia="lv-LV"/>
        </w:rPr>
      </w:pPr>
    </w:p>
    <w:tbl>
      <w:tblPr>
        <w:tblStyle w:val="TableGrid"/>
        <w:tblW w:w="9718" w:type="dxa"/>
        <w:tblLook w:val="04A0" w:firstRow="1" w:lastRow="0" w:firstColumn="1" w:lastColumn="0" w:noHBand="0" w:noVBand="1"/>
      </w:tblPr>
      <w:tblGrid>
        <w:gridCol w:w="890"/>
        <w:gridCol w:w="1297"/>
        <w:gridCol w:w="4754"/>
        <w:gridCol w:w="1241"/>
        <w:gridCol w:w="1536"/>
      </w:tblGrid>
      <w:tr w:rsidR="00CD1501" w:rsidRPr="00502163" w:rsidTr="00CD1501">
        <w:tc>
          <w:tcPr>
            <w:tcW w:w="816" w:type="dxa"/>
            <w:vMerge w:val="restart"/>
            <w:vAlign w:val="center"/>
          </w:tcPr>
          <w:p w:rsidR="00CD1501" w:rsidRPr="00502163" w:rsidRDefault="00CD1501" w:rsidP="00CD1501">
            <w:pPr>
              <w:spacing w:after="0" w:line="240" w:lineRule="auto"/>
              <w:jc w:val="center"/>
              <w:rPr>
                <w:rFonts w:eastAsia="Times New Roman"/>
                <w:bCs/>
                <w:lang w:eastAsia="lv-LV"/>
              </w:rPr>
            </w:pPr>
            <w:r w:rsidRPr="00502163">
              <w:rPr>
                <w:rFonts w:eastAsia="Times New Roman"/>
                <w:bCs/>
                <w:lang w:eastAsia="lv-LV"/>
              </w:rPr>
              <w:t>Nr.p.k.</w:t>
            </w:r>
          </w:p>
        </w:tc>
        <w:tc>
          <w:tcPr>
            <w:tcW w:w="1200" w:type="dxa"/>
            <w:vMerge w:val="restart"/>
            <w:vAlign w:val="center"/>
          </w:tcPr>
          <w:p w:rsidR="00CD1501" w:rsidRPr="00502163" w:rsidRDefault="00CD1501" w:rsidP="00CD1501">
            <w:pPr>
              <w:spacing w:after="0" w:line="240" w:lineRule="auto"/>
              <w:jc w:val="center"/>
              <w:rPr>
                <w:rFonts w:eastAsia="Times New Roman"/>
                <w:bCs/>
                <w:lang w:eastAsia="lv-LV"/>
              </w:rPr>
            </w:pPr>
            <w:r w:rsidRPr="00502163">
              <w:rPr>
                <w:rFonts w:eastAsia="Times New Roman"/>
                <w:bCs/>
                <w:lang w:eastAsia="lv-LV"/>
              </w:rPr>
              <w:t>Risinājums un/vai variants</w:t>
            </w:r>
          </w:p>
        </w:tc>
        <w:tc>
          <w:tcPr>
            <w:tcW w:w="4907" w:type="dxa"/>
            <w:vMerge w:val="restart"/>
            <w:vAlign w:val="center"/>
          </w:tcPr>
          <w:p w:rsidR="00CD1501" w:rsidRPr="00502163" w:rsidRDefault="00CD1501" w:rsidP="00CD1501">
            <w:pPr>
              <w:spacing w:after="0" w:line="240" w:lineRule="auto"/>
              <w:jc w:val="center"/>
              <w:rPr>
                <w:rFonts w:eastAsia="Times New Roman"/>
                <w:bCs/>
                <w:lang w:eastAsia="lv-LV"/>
              </w:rPr>
            </w:pPr>
            <w:r w:rsidRPr="00502163">
              <w:rPr>
                <w:rFonts w:eastAsia="Times New Roman"/>
                <w:bCs/>
                <w:lang w:eastAsia="lv-LV"/>
              </w:rPr>
              <w:t>Paskaidrojums un aprēķins</w:t>
            </w:r>
          </w:p>
        </w:tc>
        <w:tc>
          <w:tcPr>
            <w:tcW w:w="2795" w:type="dxa"/>
            <w:gridSpan w:val="2"/>
            <w:vAlign w:val="center"/>
          </w:tcPr>
          <w:p w:rsidR="00CD1501" w:rsidRPr="00502163" w:rsidRDefault="00CD1501" w:rsidP="00CD1501">
            <w:pPr>
              <w:spacing w:after="0" w:line="240" w:lineRule="auto"/>
              <w:jc w:val="center"/>
              <w:rPr>
                <w:rFonts w:eastAsia="Times New Roman"/>
                <w:bCs/>
                <w:lang w:eastAsia="lv-LV"/>
              </w:rPr>
            </w:pPr>
            <w:r w:rsidRPr="00502163">
              <w:rPr>
                <w:rFonts w:eastAsia="Times New Roman"/>
                <w:bCs/>
                <w:lang w:eastAsia="lv-LV"/>
              </w:rPr>
              <w:t xml:space="preserve">Iespējamais līdzekļu ietaupījums, </w:t>
            </w:r>
            <w:r w:rsidRPr="00502163">
              <w:rPr>
                <w:rFonts w:eastAsia="Times New Roman"/>
                <w:bCs/>
                <w:i/>
                <w:lang w:eastAsia="lv-LV"/>
              </w:rPr>
              <w:t>euro</w:t>
            </w:r>
          </w:p>
        </w:tc>
      </w:tr>
      <w:tr w:rsidR="00CD1501" w:rsidRPr="00502163" w:rsidTr="00CD1501">
        <w:tc>
          <w:tcPr>
            <w:tcW w:w="816" w:type="dxa"/>
            <w:vMerge/>
            <w:vAlign w:val="center"/>
          </w:tcPr>
          <w:p w:rsidR="00CD1501" w:rsidRPr="00502163" w:rsidRDefault="00CD1501" w:rsidP="00CD1501">
            <w:pPr>
              <w:spacing w:after="0" w:line="240" w:lineRule="auto"/>
              <w:jc w:val="center"/>
              <w:rPr>
                <w:rFonts w:eastAsia="Times New Roman"/>
                <w:bCs/>
                <w:lang w:eastAsia="lv-LV"/>
              </w:rPr>
            </w:pPr>
          </w:p>
        </w:tc>
        <w:tc>
          <w:tcPr>
            <w:tcW w:w="1200" w:type="dxa"/>
            <w:vMerge/>
            <w:vAlign w:val="center"/>
          </w:tcPr>
          <w:p w:rsidR="00CD1501" w:rsidRPr="00502163" w:rsidRDefault="00CD1501" w:rsidP="00CD1501">
            <w:pPr>
              <w:spacing w:after="0" w:line="240" w:lineRule="auto"/>
              <w:jc w:val="center"/>
              <w:rPr>
                <w:rFonts w:eastAsia="Times New Roman"/>
                <w:bCs/>
                <w:lang w:eastAsia="lv-LV"/>
              </w:rPr>
            </w:pPr>
          </w:p>
        </w:tc>
        <w:tc>
          <w:tcPr>
            <w:tcW w:w="4907" w:type="dxa"/>
            <w:vMerge/>
            <w:vAlign w:val="center"/>
          </w:tcPr>
          <w:p w:rsidR="00CD1501" w:rsidRPr="00502163" w:rsidRDefault="00CD1501" w:rsidP="00CD1501">
            <w:pPr>
              <w:spacing w:after="0" w:line="240" w:lineRule="auto"/>
              <w:jc w:val="center"/>
              <w:rPr>
                <w:rFonts w:eastAsia="Times New Roman"/>
                <w:bCs/>
                <w:lang w:eastAsia="lv-LV"/>
              </w:rPr>
            </w:pPr>
          </w:p>
        </w:tc>
        <w:tc>
          <w:tcPr>
            <w:tcW w:w="1243" w:type="dxa"/>
            <w:vAlign w:val="center"/>
          </w:tcPr>
          <w:p w:rsidR="00CD1501" w:rsidRPr="00C009BE" w:rsidRDefault="00CD1501" w:rsidP="00A710AE">
            <w:pPr>
              <w:spacing w:after="0" w:line="240" w:lineRule="auto"/>
              <w:jc w:val="center"/>
              <w:rPr>
                <w:rFonts w:eastAsia="Times New Roman"/>
                <w:bCs/>
                <w:lang w:eastAsia="lv-LV"/>
              </w:rPr>
            </w:pPr>
            <w:r w:rsidRPr="00C009BE">
              <w:rPr>
                <w:rFonts w:eastAsia="Times New Roman"/>
                <w:bCs/>
                <w:lang w:eastAsia="lv-LV"/>
              </w:rPr>
              <w:t>202</w:t>
            </w:r>
            <w:r w:rsidR="00A710AE" w:rsidRPr="00C009BE">
              <w:rPr>
                <w:rFonts w:eastAsia="Times New Roman"/>
                <w:bCs/>
                <w:lang w:eastAsia="lv-LV"/>
              </w:rPr>
              <w:t>1</w:t>
            </w:r>
            <w:r w:rsidRPr="00C009BE">
              <w:rPr>
                <w:rFonts w:eastAsia="Times New Roman"/>
                <w:bCs/>
                <w:lang w:eastAsia="lv-LV"/>
              </w:rPr>
              <w:t>.gadā</w:t>
            </w:r>
          </w:p>
        </w:tc>
        <w:tc>
          <w:tcPr>
            <w:tcW w:w="1552" w:type="dxa"/>
            <w:vAlign w:val="center"/>
          </w:tcPr>
          <w:p w:rsidR="00CD1501" w:rsidRPr="00C009BE" w:rsidRDefault="00CD1501" w:rsidP="00A710AE">
            <w:pPr>
              <w:spacing w:after="0" w:line="240" w:lineRule="auto"/>
              <w:jc w:val="center"/>
              <w:rPr>
                <w:rFonts w:eastAsia="Times New Roman"/>
                <w:bCs/>
                <w:lang w:eastAsia="lv-LV"/>
              </w:rPr>
            </w:pPr>
            <w:r w:rsidRPr="00C009BE">
              <w:rPr>
                <w:rFonts w:eastAsia="Times New Roman"/>
                <w:bCs/>
                <w:lang w:eastAsia="lv-LV"/>
              </w:rPr>
              <w:t>202</w:t>
            </w:r>
            <w:r w:rsidR="00A710AE" w:rsidRPr="00C009BE">
              <w:rPr>
                <w:rFonts w:eastAsia="Times New Roman"/>
                <w:bCs/>
                <w:lang w:eastAsia="lv-LV"/>
              </w:rPr>
              <w:t>2</w:t>
            </w:r>
            <w:r w:rsidRPr="00C009BE">
              <w:rPr>
                <w:rFonts w:eastAsia="Times New Roman"/>
                <w:bCs/>
                <w:lang w:eastAsia="lv-LV"/>
              </w:rPr>
              <w:t>.gadā un turpmāk ik gadu</w:t>
            </w:r>
          </w:p>
        </w:tc>
      </w:tr>
      <w:tr w:rsidR="00CD1501" w:rsidRPr="00502163" w:rsidTr="002847AB">
        <w:trPr>
          <w:trHeight w:val="1423"/>
        </w:trPr>
        <w:tc>
          <w:tcPr>
            <w:tcW w:w="816" w:type="dxa"/>
          </w:tcPr>
          <w:p w:rsidR="00CD1501" w:rsidRPr="00502163" w:rsidRDefault="00CD1501" w:rsidP="00CD1501">
            <w:pPr>
              <w:spacing w:after="0" w:line="240" w:lineRule="auto"/>
              <w:jc w:val="center"/>
              <w:rPr>
                <w:rFonts w:eastAsia="Times New Roman"/>
                <w:bCs/>
                <w:lang w:eastAsia="lv-LV"/>
              </w:rPr>
            </w:pPr>
            <w:bookmarkStart w:id="0" w:name="_GoBack" w:colFirst="1" w:colLast="1"/>
            <w:r w:rsidRPr="00502163">
              <w:rPr>
                <w:rFonts w:eastAsia="Times New Roman"/>
                <w:bCs/>
                <w:lang w:eastAsia="lv-LV"/>
              </w:rPr>
              <w:t>1.</w:t>
            </w:r>
          </w:p>
        </w:tc>
        <w:tc>
          <w:tcPr>
            <w:tcW w:w="1200" w:type="dxa"/>
          </w:tcPr>
          <w:p w:rsidR="00CD1501" w:rsidRPr="00502163" w:rsidRDefault="000C0656" w:rsidP="00CD1501">
            <w:pPr>
              <w:spacing w:after="0" w:line="240" w:lineRule="auto"/>
              <w:jc w:val="center"/>
              <w:rPr>
                <w:rFonts w:eastAsia="Times New Roman"/>
                <w:bCs/>
                <w:lang w:eastAsia="lv-LV"/>
              </w:rPr>
            </w:pPr>
            <w:r>
              <w:rPr>
                <w:rFonts w:eastAsia="Times New Roman"/>
                <w:bCs/>
                <w:lang w:eastAsia="lv-LV"/>
              </w:rPr>
              <w:t>R</w:t>
            </w:r>
            <w:r w:rsidR="00CD1501" w:rsidRPr="00502163">
              <w:rPr>
                <w:rFonts w:eastAsia="Times New Roman"/>
                <w:bCs/>
                <w:lang w:eastAsia="lv-LV"/>
              </w:rPr>
              <w:t>isinājums</w:t>
            </w:r>
          </w:p>
        </w:tc>
        <w:tc>
          <w:tcPr>
            <w:tcW w:w="4907" w:type="dxa"/>
          </w:tcPr>
          <w:p w:rsidR="00C009BE" w:rsidRPr="00B00951" w:rsidRDefault="00117C65" w:rsidP="00B271F1">
            <w:pPr>
              <w:spacing w:after="0" w:line="240" w:lineRule="auto"/>
            </w:pPr>
            <w:r w:rsidRPr="00B00951">
              <w:t xml:space="preserve">Iekšlietu ministrijas darba grupā (izveidota saskaņā ar Iekšlietu ministrijas 2013. gada 15. marta rīkojumu Nr. 1 – 12/586 „Par darba grupas izveidošanu”) </w:t>
            </w:r>
            <w:r w:rsidR="003D27FB" w:rsidRPr="00B00951">
              <w:t xml:space="preserve">valsts pārvaldes iestāžu un </w:t>
            </w:r>
            <w:r w:rsidRPr="00B00951">
              <w:t xml:space="preserve">Nacionālo bruņoto spēku pārstāvji vienojās, ka, lai efektīvi izmantotu iestādēm piešķirtos līdzekļus, ir lietderīgi kinologu teorētisko </w:t>
            </w:r>
            <w:r w:rsidR="00C009BE" w:rsidRPr="00B00951">
              <w:t>pamat</w:t>
            </w:r>
            <w:r w:rsidRPr="00B00951">
              <w:t xml:space="preserve">apmācību organizēt vienuviet – Valsts robežsardzes koledžā (Rēzeknē). </w:t>
            </w:r>
            <w:r w:rsidR="00C009BE" w:rsidRPr="00B00951">
              <w:t>Citām v</w:t>
            </w:r>
            <w:r w:rsidRPr="00B00951">
              <w:t xml:space="preserve">alsts pārvaldes iestādēm un Nacionālajiem bruņotajiem spēkiem nebūs jāattīsta savi </w:t>
            </w:r>
            <w:r w:rsidR="00C009BE" w:rsidRPr="00B00951">
              <w:t xml:space="preserve">pilna cikla </w:t>
            </w:r>
            <w:r w:rsidR="002847AB">
              <w:t>kinologu apmācības centri</w:t>
            </w:r>
            <w:r w:rsidRPr="00B00951">
              <w:t>.</w:t>
            </w:r>
            <w:r w:rsidR="00EF6237" w:rsidRPr="00B00951">
              <w:t xml:space="preserve"> </w:t>
            </w:r>
          </w:p>
          <w:p w:rsidR="00EF6237" w:rsidRPr="00B00951" w:rsidRDefault="00EF6237" w:rsidP="00B271F1">
            <w:pPr>
              <w:spacing w:after="0" w:line="240" w:lineRule="auto"/>
            </w:pPr>
            <w:r w:rsidRPr="00B00951">
              <w:t>Ņemot vērā, ka valsts pārvaldes iestādēm un Nacionālajiem bruņotajiem spēkiem šobrīd nav izstrādāti projekti šādu centru attīstībai, ietaupījumus šajā jomā aprēķināt nav iespējams.</w:t>
            </w:r>
          </w:p>
          <w:p w:rsidR="00C009BE" w:rsidRPr="00B00951" w:rsidRDefault="00EF6237" w:rsidP="00B271F1">
            <w:pPr>
              <w:spacing w:after="0" w:line="240" w:lineRule="auto"/>
            </w:pPr>
            <w:r w:rsidRPr="00B00951">
              <w:t>Saskaņā ar Nacionālo bruņoto spēku un valsts pārvaldes iestāžu sniegto informāciju, nākotnē Latvijā Nacionālo bruņoto spēku un valsts pārvaldes iestāžu uzdevumu nodrošināšanai būs nepieciešami aptuveni 30</w:t>
            </w:r>
            <w:r w:rsidR="005555EE" w:rsidRPr="00B00951">
              <w:t>2</w:t>
            </w:r>
            <w:r w:rsidRPr="00B00951">
              <w:t xml:space="preserve"> suņi. Tas nozīmē, ka ik gadu suņu skaita papildināšanai un veco suņu nomaiņai būs nepieciešami aptuveni </w:t>
            </w:r>
            <w:r w:rsidR="00C009BE" w:rsidRPr="00B00951">
              <w:t>3</w:t>
            </w:r>
            <w:r w:rsidRPr="00B00951">
              <w:t>0 jauni suņi. Viena suņa iegādei šobrīd vidēji tiek tērēti</w:t>
            </w:r>
            <w:r w:rsidR="00716FC5" w:rsidRPr="00B00951">
              <w:t xml:space="preserve"> no</w:t>
            </w:r>
            <w:r w:rsidRPr="00B00951">
              <w:t xml:space="preserve"> </w:t>
            </w:r>
            <w:r w:rsidR="00C009BE" w:rsidRPr="00B00951">
              <w:t xml:space="preserve">800 </w:t>
            </w:r>
            <w:r w:rsidRPr="00B00951">
              <w:t xml:space="preserve">līdz </w:t>
            </w:r>
            <w:r w:rsidR="00C009BE" w:rsidRPr="00B00951">
              <w:t>2</w:t>
            </w:r>
            <w:r w:rsidRPr="00B00951">
              <w:t xml:space="preserve">000 </w:t>
            </w:r>
            <w:r w:rsidRPr="00B00951">
              <w:rPr>
                <w:i/>
              </w:rPr>
              <w:t>euro</w:t>
            </w:r>
            <w:r w:rsidRPr="00B00951">
              <w:t xml:space="preserve">. </w:t>
            </w:r>
            <w:r w:rsidR="008B342D" w:rsidRPr="00B00951">
              <w:t xml:space="preserve">Līdz ar to secināms, ka gadā izmaksas par </w:t>
            </w:r>
            <w:r w:rsidR="00C009BE" w:rsidRPr="00B00951">
              <w:t>3</w:t>
            </w:r>
            <w:r w:rsidR="008B342D" w:rsidRPr="00B00951">
              <w:t xml:space="preserve">0 jauniem suņiem būs aptuveni no </w:t>
            </w:r>
            <w:r w:rsidR="00C009BE" w:rsidRPr="00B00951">
              <w:t>24</w:t>
            </w:r>
            <w:r w:rsidR="008B342D" w:rsidRPr="00B00951">
              <w:t xml:space="preserve"> 000 līdz </w:t>
            </w:r>
            <w:r w:rsidR="00C009BE" w:rsidRPr="00B00951">
              <w:t>60</w:t>
            </w:r>
            <w:r w:rsidR="008B342D" w:rsidRPr="00B00951">
              <w:t xml:space="preserve"> 000 </w:t>
            </w:r>
            <w:r w:rsidR="008B342D" w:rsidRPr="00B00951">
              <w:rPr>
                <w:i/>
              </w:rPr>
              <w:t>euro</w:t>
            </w:r>
            <w:r w:rsidRPr="00B00951">
              <w:t xml:space="preserve">. </w:t>
            </w:r>
          </w:p>
          <w:p w:rsidR="00EF6237" w:rsidRPr="00B00951" w:rsidRDefault="00C009BE" w:rsidP="00B271F1">
            <w:pPr>
              <w:spacing w:after="0" w:line="240" w:lineRule="auto"/>
            </w:pPr>
            <w:r w:rsidRPr="00B00951">
              <w:t xml:space="preserve">Perspektīvā uz esošā Valsts robežsardzes koledžas Kinoloģijas dienesta Kinoloģijas centra bāzes varēs attīstīt cilvēka smaržas meklēšanas un spēka pielietošanas suņu vaislas darba organizēšanu arī Nacionālo bruņoto spēku un atsevišķu valsts pārvaldes </w:t>
            </w:r>
            <w:r w:rsidRPr="00B00951">
              <w:lastRenderedPageBreak/>
              <w:t>iestāžu daļējai nodrošināšanai ar kvalitatīviem suņiem, pakāpeniski aizvietojot ar to suņu iegādes ārvalstīs. Lielākā daļa finanšu līdzekļu, kas tiek tērēti suņu iegādei ārvalstīs šobrīd, paliks Latvijā.</w:t>
            </w:r>
          </w:p>
        </w:tc>
        <w:tc>
          <w:tcPr>
            <w:tcW w:w="1243" w:type="dxa"/>
          </w:tcPr>
          <w:p w:rsidR="00CD1501" w:rsidRPr="00B00951" w:rsidRDefault="00C009BE" w:rsidP="00C009BE">
            <w:pPr>
              <w:spacing w:after="0" w:line="240" w:lineRule="auto"/>
              <w:jc w:val="center"/>
              <w:rPr>
                <w:rFonts w:eastAsia="Times New Roman"/>
                <w:bCs/>
                <w:lang w:eastAsia="lv-LV"/>
              </w:rPr>
            </w:pPr>
            <w:r w:rsidRPr="00B00951">
              <w:rPr>
                <w:rFonts w:eastAsia="Times New Roman"/>
                <w:bCs/>
                <w:lang w:eastAsia="lv-LV"/>
              </w:rPr>
              <w:lastRenderedPageBreak/>
              <w:t xml:space="preserve">24 </w:t>
            </w:r>
            <w:r w:rsidR="00EF6237" w:rsidRPr="00B00951">
              <w:rPr>
                <w:rFonts w:eastAsia="Times New Roman"/>
                <w:bCs/>
                <w:lang w:eastAsia="lv-LV"/>
              </w:rPr>
              <w:t xml:space="preserve">000 – </w:t>
            </w:r>
            <w:r w:rsidRPr="00B00951">
              <w:rPr>
                <w:rFonts w:eastAsia="Times New Roman"/>
                <w:bCs/>
                <w:lang w:eastAsia="lv-LV"/>
              </w:rPr>
              <w:t>60</w:t>
            </w:r>
            <w:r w:rsidR="00EF6237" w:rsidRPr="00B00951">
              <w:rPr>
                <w:rFonts w:eastAsia="Times New Roman"/>
                <w:bCs/>
                <w:lang w:eastAsia="lv-LV"/>
              </w:rPr>
              <w:t xml:space="preserve"> 000</w:t>
            </w:r>
          </w:p>
        </w:tc>
        <w:tc>
          <w:tcPr>
            <w:tcW w:w="1552" w:type="dxa"/>
          </w:tcPr>
          <w:p w:rsidR="00EF6237" w:rsidRPr="00B00951" w:rsidRDefault="00C009BE" w:rsidP="00CD1501">
            <w:pPr>
              <w:spacing w:after="0" w:line="240" w:lineRule="auto"/>
              <w:jc w:val="center"/>
              <w:rPr>
                <w:rFonts w:eastAsia="Times New Roman"/>
                <w:bCs/>
                <w:lang w:eastAsia="lv-LV"/>
              </w:rPr>
            </w:pPr>
            <w:r w:rsidRPr="00B00951">
              <w:rPr>
                <w:rFonts w:eastAsia="Times New Roman"/>
                <w:bCs/>
                <w:lang w:eastAsia="lv-LV"/>
              </w:rPr>
              <w:t>24</w:t>
            </w:r>
            <w:r w:rsidR="00EF6237" w:rsidRPr="00B00951">
              <w:rPr>
                <w:rFonts w:eastAsia="Times New Roman"/>
                <w:bCs/>
                <w:lang w:eastAsia="lv-LV"/>
              </w:rPr>
              <w:t xml:space="preserve"> 000 – </w:t>
            </w:r>
          </w:p>
          <w:p w:rsidR="00CD1501" w:rsidRPr="00B00951" w:rsidRDefault="00C009BE" w:rsidP="00CD1501">
            <w:pPr>
              <w:spacing w:after="0" w:line="240" w:lineRule="auto"/>
              <w:jc w:val="center"/>
              <w:rPr>
                <w:rFonts w:eastAsia="Times New Roman"/>
                <w:bCs/>
                <w:lang w:eastAsia="lv-LV"/>
              </w:rPr>
            </w:pPr>
            <w:r w:rsidRPr="00B00951">
              <w:rPr>
                <w:rFonts w:eastAsia="Times New Roman"/>
                <w:bCs/>
                <w:lang w:eastAsia="lv-LV"/>
              </w:rPr>
              <w:t>60</w:t>
            </w:r>
            <w:r w:rsidR="00EF6237" w:rsidRPr="00B00951">
              <w:rPr>
                <w:rFonts w:eastAsia="Times New Roman"/>
                <w:bCs/>
                <w:lang w:eastAsia="lv-LV"/>
              </w:rPr>
              <w:t xml:space="preserve"> 000</w:t>
            </w:r>
          </w:p>
        </w:tc>
      </w:tr>
      <w:bookmarkEnd w:id="0"/>
    </w:tbl>
    <w:p w:rsidR="00CD1501" w:rsidRPr="00502163" w:rsidRDefault="00CD1501" w:rsidP="00CD1501">
      <w:pPr>
        <w:spacing w:after="0" w:line="240" w:lineRule="auto"/>
        <w:jc w:val="center"/>
        <w:rPr>
          <w:rFonts w:eastAsia="Times New Roman"/>
          <w:bCs/>
          <w:sz w:val="28"/>
          <w:szCs w:val="28"/>
          <w:lang w:eastAsia="lv-LV"/>
        </w:rPr>
      </w:pPr>
    </w:p>
    <w:p w:rsidR="00CD1501" w:rsidRPr="00502163" w:rsidRDefault="00CD1501" w:rsidP="00CD1501">
      <w:pPr>
        <w:spacing w:after="0" w:line="240" w:lineRule="auto"/>
        <w:jc w:val="center"/>
        <w:rPr>
          <w:sz w:val="28"/>
          <w:szCs w:val="28"/>
        </w:rPr>
      </w:pPr>
    </w:p>
    <w:p w:rsidR="00F6136B" w:rsidRPr="00502163" w:rsidRDefault="00F6136B" w:rsidP="00F6136B">
      <w:pPr>
        <w:spacing w:after="0" w:line="240" w:lineRule="auto"/>
        <w:jc w:val="both"/>
        <w:rPr>
          <w:sz w:val="28"/>
          <w:szCs w:val="28"/>
        </w:rPr>
      </w:pPr>
      <w:r w:rsidRPr="00502163">
        <w:rPr>
          <w:sz w:val="28"/>
          <w:szCs w:val="28"/>
        </w:rPr>
        <w:t>Iekšlietu ministrs                                                                 R.Kozlovskis</w:t>
      </w:r>
    </w:p>
    <w:p w:rsidR="00F6136B" w:rsidRPr="00502163" w:rsidRDefault="00F6136B" w:rsidP="00F6136B">
      <w:pPr>
        <w:spacing w:after="0" w:line="240" w:lineRule="auto"/>
        <w:jc w:val="both"/>
        <w:rPr>
          <w:sz w:val="28"/>
          <w:szCs w:val="28"/>
        </w:rPr>
      </w:pP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r w:rsidRPr="00502163">
        <w:rPr>
          <w:sz w:val="28"/>
          <w:szCs w:val="28"/>
        </w:rPr>
        <w:tab/>
      </w:r>
    </w:p>
    <w:p w:rsidR="00EF6237" w:rsidRPr="00502163" w:rsidRDefault="00F6136B" w:rsidP="002B69D0">
      <w:pPr>
        <w:spacing w:after="0" w:line="240" w:lineRule="auto"/>
        <w:jc w:val="both"/>
        <w:rPr>
          <w:sz w:val="28"/>
          <w:szCs w:val="28"/>
        </w:rPr>
      </w:pPr>
      <w:r w:rsidRPr="00502163">
        <w:rPr>
          <w:sz w:val="28"/>
          <w:szCs w:val="28"/>
        </w:rPr>
        <w:t>Vīza: Valsts sekretāre</w:t>
      </w:r>
      <w:r w:rsidRPr="00502163">
        <w:rPr>
          <w:sz w:val="28"/>
          <w:szCs w:val="28"/>
        </w:rPr>
        <w:tab/>
      </w:r>
      <w:r w:rsidRPr="00502163">
        <w:rPr>
          <w:sz w:val="28"/>
          <w:szCs w:val="28"/>
        </w:rPr>
        <w:tab/>
      </w:r>
      <w:r w:rsidRPr="00502163">
        <w:rPr>
          <w:sz w:val="28"/>
          <w:szCs w:val="28"/>
        </w:rPr>
        <w:tab/>
        <w:t xml:space="preserve">                               I.Pētersone–Godmane</w:t>
      </w:r>
    </w:p>
    <w:p w:rsidR="00EF6237" w:rsidRPr="00502163" w:rsidRDefault="00EF6237" w:rsidP="002B69D0">
      <w:pPr>
        <w:spacing w:after="0" w:line="240" w:lineRule="auto"/>
        <w:jc w:val="both"/>
        <w:rPr>
          <w:sz w:val="28"/>
          <w:szCs w:val="28"/>
        </w:rPr>
      </w:pPr>
    </w:p>
    <w:p w:rsidR="004659A9" w:rsidRPr="00502163" w:rsidRDefault="00F6136B" w:rsidP="002B69D0">
      <w:pPr>
        <w:spacing w:after="0" w:line="240" w:lineRule="auto"/>
        <w:jc w:val="both"/>
        <w:rPr>
          <w:noProof/>
          <w:sz w:val="20"/>
          <w:szCs w:val="20"/>
        </w:rPr>
      </w:pPr>
      <w:r w:rsidRPr="00502163">
        <w:rPr>
          <w:sz w:val="28"/>
          <w:szCs w:val="28"/>
        </w:rPr>
        <w:tab/>
      </w:r>
      <w:r w:rsidRPr="00502163">
        <w:rPr>
          <w:sz w:val="28"/>
          <w:szCs w:val="28"/>
        </w:rPr>
        <w:tab/>
      </w:r>
    </w:p>
    <w:p w:rsidR="00A7737D" w:rsidRPr="00502163" w:rsidRDefault="00650455" w:rsidP="00A7737D">
      <w:pPr>
        <w:pStyle w:val="NoSpacing"/>
        <w:rPr>
          <w:rFonts w:ascii="Times New Roman" w:eastAsia="Times New Roman" w:hAnsi="Times New Roman" w:cs="Times New Roman"/>
          <w:sz w:val="20"/>
          <w:szCs w:val="20"/>
        </w:rPr>
      </w:pPr>
      <w:r w:rsidRPr="00502163">
        <w:rPr>
          <w:rFonts w:ascii="Times New Roman" w:eastAsia="Times New Roman" w:hAnsi="Times New Roman" w:cs="Times New Roman"/>
          <w:sz w:val="20"/>
          <w:szCs w:val="20"/>
        </w:rPr>
        <w:fldChar w:fldCharType="begin"/>
      </w:r>
      <w:r w:rsidR="00A7737D" w:rsidRPr="00502163">
        <w:rPr>
          <w:rFonts w:ascii="Times New Roman" w:eastAsia="Times New Roman" w:hAnsi="Times New Roman" w:cs="Times New Roman"/>
          <w:sz w:val="20"/>
          <w:szCs w:val="20"/>
        </w:rPr>
        <w:instrText xml:space="preserve"> DATE  \@ "dd.MM.yyyy. H:mm" \* MERGEFORMAT </w:instrText>
      </w:r>
      <w:r w:rsidRPr="00502163">
        <w:rPr>
          <w:rFonts w:ascii="Times New Roman" w:eastAsia="Times New Roman" w:hAnsi="Times New Roman" w:cs="Times New Roman"/>
          <w:sz w:val="20"/>
          <w:szCs w:val="20"/>
        </w:rPr>
        <w:fldChar w:fldCharType="separate"/>
      </w:r>
      <w:r w:rsidR="00B87681">
        <w:rPr>
          <w:rFonts w:ascii="Times New Roman" w:eastAsia="Times New Roman" w:hAnsi="Times New Roman" w:cs="Times New Roman"/>
          <w:noProof/>
          <w:sz w:val="20"/>
          <w:szCs w:val="20"/>
        </w:rPr>
        <w:t>25.01.2017. 9:32</w:t>
      </w:r>
      <w:r w:rsidRPr="00502163">
        <w:rPr>
          <w:rFonts w:ascii="Times New Roman" w:eastAsia="Times New Roman" w:hAnsi="Times New Roman" w:cs="Times New Roman"/>
          <w:sz w:val="20"/>
          <w:szCs w:val="20"/>
        </w:rPr>
        <w:fldChar w:fldCharType="end"/>
      </w:r>
    </w:p>
    <w:p w:rsidR="00A7737D" w:rsidRPr="00502163" w:rsidRDefault="002847AB" w:rsidP="00A7737D">
      <w:pPr>
        <w:pStyle w:val="NoSpacing"/>
        <w:rPr>
          <w:rFonts w:ascii="Times New Roman" w:eastAsia="Times New Roman" w:hAnsi="Times New Roman" w:cs="Times New Roman"/>
          <w:sz w:val="20"/>
          <w:szCs w:val="20"/>
        </w:rPr>
      </w:pPr>
      <w:r>
        <w:rPr>
          <w:rFonts w:ascii="Times New Roman" w:hAnsi="Times New Roman" w:cs="Times New Roman"/>
          <w:sz w:val="20"/>
          <w:szCs w:val="20"/>
        </w:rPr>
        <w:t>296</w:t>
      </w:r>
    </w:p>
    <w:p w:rsidR="00A2382D" w:rsidRPr="00502163" w:rsidRDefault="00A2382D" w:rsidP="00A2382D">
      <w:pPr>
        <w:spacing w:after="0" w:line="240" w:lineRule="auto"/>
        <w:ind w:right="26"/>
        <w:jc w:val="both"/>
        <w:rPr>
          <w:rFonts w:eastAsia="Times New Roman"/>
          <w:sz w:val="20"/>
          <w:szCs w:val="20"/>
          <w:lang w:eastAsia="lv-LV"/>
        </w:rPr>
      </w:pPr>
      <w:r w:rsidRPr="00502163">
        <w:rPr>
          <w:rFonts w:eastAsia="Times New Roman"/>
          <w:sz w:val="20"/>
          <w:szCs w:val="20"/>
          <w:lang w:eastAsia="lv-LV"/>
        </w:rPr>
        <w:t>U.Barkāns</w:t>
      </w:r>
    </w:p>
    <w:p w:rsidR="00A2382D" w:rsidRPr="00502163" w:rsidRDefault="00A2382D" w:rsidP="00A2382D">
      <w:pPr>
        <w:spacing w:after="0" w:line="240" w:lineRule="auto"/>
        <w:ind w:right="26"/>
        <w:jc w:val="both"/>
        <w:rPr>
          <w:rFonts w:eastAsia="Times New Roman"/>
          <w:sz w:val="20"/>
          <w:szCs w:val="20"/>
          <w:lang w:eastAsia="lv-LV"/>
        </w:rPr>
      </w:pPr>
      <w:r w:rsidRPr="00502163">
        <w:rPr>
          <w:rFonts w:eastAsia="Times New Roman"/>
          <w:sz w:val="20"/>
          <w:szCs w:val="20"/>
          <w:lang w:eastAsia="lv-LV"/>
        </w:rPr>
        <w:t>6</w:t>
      </w:r>
      <w:smartTag w:uri="urn:schemas-microsoft-com:office:smarttags" w:element="phone">
        <w:smartTagPr>
          <w:attr w:name="Key_1" w:val="Value_2"/>
        </w:smartTagPr>
        <w:smartTag w:uri="schemas-tilde-lv/tildestengine" w:element="phone">
          <w:smartTagPr>
            <w:attr w:name="phone_number" w:val="4603687"/>
          </w:smartTagPr>
          <w:r w:rsidRPr="00502163">
            <w:rPr>
              <w:rFonts w:eastAsia="Times New Roman"/>
              <w:sz w:val="20"/>
              <w:szCs w:val="20"/>
              <w:lang w:eastAsia="lv-LV"/>
            </w:rPr>
            <w:t>4603687</w:t>
          </w:r>
        </w:smartTag>
      </w:smartTag>
      <w:r w:rsidRPr="00502163">
        <w:rPr>
          <w:rFonts w:eastAsia="Times New Roman"/>
          <w:sz w:val="20"/>
          <w:szCs w:val="20"/>
          <w:lang w:eastAsia="lv-LV"/>
        </w:rPr>
        <w:t>, uldis.</w:t>
      </w:r>
      <w:hyperlink r:id="rId8" w:history="1">
        <w:r w:rsidRPr="00502163">
          <w:rPr>
            <w:rFonts w:eastAsia="Times New Roman"/>
            <w:sz w:val="20"/>
            <w:szCs w:val="20"/>
            <w:lang w:eastAsia="lv-LV"/>
          </w:rPr>
          <w:t>barkans@rs.gov.lv</w:t>
        </w:r>
      </w:hyperlink>
    </w:p>
    <w:p w:rsidR="001229FD" w:rsidRPr="00502163" w:rsidRDefault="001229FD" w:rsidP="001229FD">
      <w:pPr>
        <w:pStyle w:val="naisf"/>
        <w:spacing w:before="0" w:after="0"/>
        <w:ind w:firstLine="0"/>
        <w:rPr>
          <w:noProof/>
          <w:sz w:val="20"/>
          <w:szCs w:val="20"/>
        </w:rPr>
      </w:pPr>
    </w:p>
    <w:sectPr w:rsidR="001229FD" w:rsidRPr="00502163" w:rsidSect="007E3D20">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05" w:rsidRDefault="00073A05" w:rsidP="007E3D20">
      <w:pPr>
        <w:spacing w:after="0" w:line="240" w:lineRule="auto"/>
      </w:pPr>
      <w:r>
        <w:separator/>
      </w:r>
    </w:p>
  </w:endnote>
  <w:endnote w:type="continuationSeparator" w:id="0">
    <w:p w:rsidR="00073A05" w:rsidRDefault="00073A05" w:rsidP="007E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3C" w:rsidRPr="001515BC" w:rsidRDefault="00B87681">
    <w:pPr>
      <w:pStyle w:val="Footer"/>
      <w:rPr>
        <w:sz w:val="20"/>
        <w:szCs w:val="20"/>
      </w:rPr>
    </w:pPr>
    <w:r w:rsidRPr="001515BC">
      <w:rPr>
        <w:sz w:val="20"/>
        <w:szCs w:val="20"/>
      </w:rPr>
      <w:t>IEM</w:t>
    </w:r>
    <w:r>
      <w:rPr>
        <w:sz w:val="20"/>
        <w:szCs w:val="20"/>
      </w:rPr>
      <w:t>_</w:t>
    </w:r>
    <w:r w:rsidRPr="001515BC">
      <w:rPr>
        <w:sz w:val="20"/>
        <w:szCs w:val="20"/>
      </w:rPr>
      <w:t>Z</w:t>
    </w:r>
    <w:r>
      <w:rPr>
        <w:sz w:val="20"/>
        <w:szCs w:val="20"/>
      </w:rPr>
      <w:t>in</w:t>
    </w:r>
    <w:r w:rsidRPr="001515BC">
      <w:rPr>
        <w:sz w:val="20"/>
        <w:szCs w:val="20"/>
      </w:rPr>
      <w:t>p2_</w:t>
    </w:r>
    <w:r>
      <w:rPr>
        <w:sz w:val="20"/>
        <w:szCs w:val="20"/>
      </w:rPr>
      <w:t>25012017</w:t>
    </w:r>
    <w:r w:rsidRPr="001515BC">
      <w:rPr>
        <w:sz w:val="20"/>
        <w:szCs w:val="20"/>
      </w:rPr>
      <w:t>; 2.</w:t>
    </w:r>
    <w:r>
      <w:rPr>
        <w:sz w:val="20"/>
        <w:szCs w:val="20"/>
      </w:rPr>
      <w:t xml:space="preserve"> </w:t>
    </w:r>
    <w:r w:rsidRPr="001515BC">
      <w:rPr>
        <w:sz w:val="20"/>
        <w:szCs w:val="20"/>
      </w:rPr>
      <w:t xml:space="preserve">pielikums </w:t>
    </w:r>
    <w:r>
      <w:rPr>
        <w:sz w:val="20"/>
        <w:szCs w:val="20"/>
      </w:rPr>
      <w:t>Konceptuāla</w:t>
    </w:r>
    <w:r w:rsidRPr="009A48CF">
      <w:rPr>
        <w:sz w:val="20"/>
        <w:szCs w:val="20"/>
      </w:rPr>
      <w:t>m ziņojumam “</w:t>
    </w:r>
    <w:r w:rsidRPr="00A55737">
      <w:rPr>
        <w:sz w:val="20"/>
        <w:szCs w:val="20"/>
        <w:lang w:eastAsia="lv-LV"/>
      </w:rPr>
      <w:t>Par valsts pārvaldes iestāžu un Nacionālo</w:t>
    </w:r>
    <w:r>
      <w:rPr>
        <w:sz w:val="20"/>
        <w:szCs w:val="20"/>
        <w:lang w:eastAsia="lv-LV"/>
      </w:rPr>
      <w:t xml:space="preserve"> bruņoto spēku </w:t>
    </w:r>
    <w:r w:rsidRPr="009A48CF">
      <w:rPr>
        <w:sz w:val="20"/>
        <w:szCs w:val="20"/>
        <w:lang w:eastAsia="lv-LV"/>
      </w:rPr>
      <w:t>kinologu apmācības sistēmas pilnveidošanu</w:t>
    </w:r>
    <w:r w:rsidRPr="009A48C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3C" w:rsidRPr="009A48CF" w:rsidRDefault="004D083C" w:rsidP="001515BC">
    <w:pPr>
      <w:pStyle w:val="Footer"/>
      <w:rPr>
        <w:sz w:val="20"/>
        <w:szCs w:val="20"/>
      </w:rPr>
    </w:pPr>
    <w:r w:rsidRPr="001515BC">
      <w:rPr>
        <w:sz w:val="20"/>
        <w:szCs w:val="20"/>
      </w:rPr>
      <w:t>IEM</w:t>
    </w:r>
    <w:r w:rsidR="00B87681">
      <w:rPr>
        <w:sz w:val="20"/>
        <w:szCs w:val="20"/>
      </w:rPr>
      <w:t>_</w:t>
    </w:r>
    <w:r w:rsidRPr="001515BC">
      <w:rPr>
        <w:sz w:val="20"/>
        <w:szCs w:val="20"/>
      </w:rPr>
      <w:t>Z</w:t>
    </w:r>
    <w:r w:rsidR="00B87681">
      <w:rPr>
        <w:sz w:val="20"/>
        <w:szCs w:val="20"/>
      </w:rPr>
      <w:t>in</w:t>
    </w:r>
    <w:r w:rsidRPr="001515BC">
      <w:rPr>
        <w:sz w:val="20"/>
        <w:szCs w:val="20"/>
      </w:rPr>
      <w:t>p2_</w:t>
    </w:r>
    <w:r w:rsidR="00B87681">
      <w:rPr>
        <w:sz w:val="20"/>
        <w:szCs w:val="20"/>
      </w:rPr>
      <w:t>2501</w:t>
    </w:r>
    <w:r>
      <w:rPr>
        <w:sz w:val="20"/>
        <w:szCs w:val="20"/>
      </w:rPr>
      <w:t>201</w:t>
    </w:r>
    <w:r w:rsidR="00B87681">
      <w:rPr>
        <w:sz w:val="20"/>
        <w:szCs w:val="20"/>
      </w:rPr>
      <w:t>7</w:t>
    </w:r>
    <w:r w:rsidRPr="001515BC">
      <w:rPr>
        <w:sz w:val="20"/>
        <w:szCs w:val="20"/>
      </w:rPr>
      <w:t>; 2.</w:t>
    </w:r>
    <w:r w:rsidR="00B87681">
      <w:rPr>
        <w:sz w:val="20"/>
        <w:szCs w:val="20"/>
      </w:rPr>
      <w:t xml:space="preserve"> </w:t>
    </w:r>
    <w:r w:rsidRPr="001515BC">
      <w:rPr>
        <w:sz w:val="20"/>
        <w:szCs w:val="20"/>
      </w:rPr>
      <w:t xml:space="preserve">pielikums </w:t>
    </w:r>
    <w:r w:rsidR="00B87681">
      <w:rPr>
        <w:sz w:val="20"/>
        <w:szCs w:val="20"/>
      </w:rPr>
      <w:t>Konceptuāl</w:t>
    </w:r>
    <w:r w:rsidRPr="009A48CF">
      <w:rPr>
        <w:sz w:val="20"/>
        <w:szCs w:val="20"/>
      </w:rPr>
      <w:t>am ziņojumam “</w:t>
    </w:r>
    <w:r w:rsidRPr="00A55737">
      <w:rPr>
        <w:sz w:val="20"/>
        <w:szCs w:val="20"/>
        <w:lang w:eastAsia="lv-LV"/>
      </w:rPr>
      <w:t xml:space="preserve">Par valsts </w:t>
    </w:r>
    <w:r w:rsidR="00A55737" w:rsidRPr="00A55737">
      <w:rPr>
        <w:sz w:val="20"/>
        <w:szCs w:val="20"/>
        <w:lang w:eastAsia="lv-LV"/>
      </w:rPr>
      <w:t xml:space="preserve">pārvaldes </w:t>
    </w:r>
    <w:r w:rsidRPr="00A55737">
      <w:rPr>
        <w:sz w:val="20"/>
        <w:szCs w:val="20"/>
        <w:lang w:eastAsia="lv-LV"/>
      </w:rPr>
      <w:t xml:space="preserve">iestāžu </w:t>
    </w:r>
    <w:r w:rsidR="00A55737" w:rsidRPr="00A55737">
      <w:rPr>
        <w:sz w:val="20"/>
        <w:szCs w:val="20"/>
        <w:lang w:eastAsia="lv-LV"/>
      </w:rPr>
      <w:t>un Nacionālo</w:t>
    </w:r>
    <w:r w:rsidR="00A55737">
      <w:rPr>
        <w:sz w:val="20"/>
        <w:szCs w:val="20"/>
        <w:lang w:eastAsia="lv-LV"/>
      </w:rPr>
      <w:t xml:space="preserve"> bruņoto spēku </w:t>
    </w:r>
    <w:r w:rsidRPr="009A48CF">
      <w:rPr>
        <w:sz w:val="20"/>
        <w:szCs w:val="20"/>
        <w:lang w:eastAsia="lv-LV"/>
      </w:rPr>
      <w:t>kinologu apmācības sistēmas pilnveidošanu</w:t>
    </w:r>
    <w:r w:rsidRPr="009A48C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05" w:rsidRDefault="00073A05" w:rsidP="007E3D20">
      <w:pPr>
        <w:spacing w:after="0" w:line="240" w:lineRule="auto"/>
      </w:pPr>
      <w:r>
        <w:separator/>
      </w:r>
    </w:p>
  </w:footnote>
  <w:footnote w:type="continuationSeparator" w:id="0">
    <w:p w:rsidR="00073A05" w:rsidRDefault="00073A05" w:rsidP="007E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75409"/>
      <w:docPartObj>
        <w:docPartGallery w:val="Page Numbers (Top of Page)"/>
        <w:docPartUnique/>
      </w:docPartObj>
    </w:sdtPr>
    <w:sdtEndPr>
      <w:rPr>
        <w:noProof/>
      </w:rPr>
    </w:sdtEndPr>
    <w:sdtContent>
      <w:p w:rsidR="000059BD" w:rsidRDefault="00650455">
        <w:pPr>
          <w:pStyle w:val="Header"/>
          <w:jc w:val="center"/>
        </w:pPr>
        <w:r>
          <w:fldChar w:fldCharType="begin"/>
        </w:r>
        <w:r w:rsidR="000059BD">
          <w:instrText xml:space="preserve"> PAGE   \* MERGEFORMAT </w:instrText>
        </w:r>
        <w:r>
          <w:fldChar w:fldCharType="separate"/>
        </w:r>
        <w:r w:rsidR="00B87681">
          <w:rPr>
            <w:noProof/>
          </w:rPr>
          <w:t>2</w:t>
        </w:r>
        <w:r>
          <w:rPr>
            <w:noProof/>
          </w:rPr>
          <w:fldChar w:fldCharType="end"/>
        </w:r>
      </w:p>
    </w:sdtContent>
  </w:sdt>
  <w:p w:rsidR="000059BD" w:rsidRDefault="00005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E0E3B"/>
    <w:multiLevelType w:val="hybridMultilevel"/>
    <w:tmpl w:val="1DDE10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3CB7230"/>
    <w:multiLevelType w:val="hybridMultilevel"/>
    <w:tmpl w:val="EEFE1E8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500B98"/>
    <w:multiLevelType w:val="hybridMultilevel"/>
    <w:tmpl w:val="61F2DF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5A4625"/>
    <w:multiLevelType w:val="hybridMultilevel"/>
    <w:tmpl w:val="CA4A2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2B6B2E"/>
    <w:multiLevelType w:val="hybridMultilevel"/>
    <w:tmpl w:val="490A5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E13C71"/>
    <w:multiLevelType w:val="multilevel"/>
    <w:tmpl w:val="1B364E42"/>
    <w:lvl w:ilvl="0">
      <w:start w:val="1"/>
      <w:numFmt w:val="decimal"/>
      <w:lvlText w:val="%1."/>
      <w:lvlJc w:val="left"/>
      <w:pPr>
        <w:ind w:left="360" w:hanging="360"/>
      </w:pPr>
      <w:rPr>
        <w:rFonts w:hint="default"/>
        <w:i/>
      </w:rPr>
    </w:lvl>
    <w:lvl w:ilvl="1">
      <w:start w:val="1"/>
      <w:numFmt w:val="decimal"/>
      <w:lvlText w:val="%1.%2."/>
      <w:lvlJc w:val="left"/>
      <w:pPr>
        <w:ind w:left="1495" w:hanging="360"/>
      </w:pPr>
      <w:rPr>
        <w:rFonts w:hint="default"/>
        <w:i/>
      </w:rPr>
    </w:lvl>
    <w:lvl w:ilvl="2">
      <w:start w:val="1"/>
      <w:numFmt w:val="decimalZero"/>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nsid w:val="65FD69CE"/>
    <w:multiLevelType w:val="multilevel"/>
    <w:tmpl w:val="1B364E42"/>
    <w:lvl w:ilvl="0">
      <w:start w:val="1"/>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Zero"/>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7">
    <w:nsid w:val="78E00251"/>
    <w:multiLevelType w:val="hybridMultilevel"/>
    <w:tmpl w:val="23B8A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ADC2B18"/>
    <w:multiLevelType w:val="hybridMultilevel"/>
    <w:tmpl w:val="D42C1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303D"/>
    <w:rsid w:val="000038A0"/>
    <w:rsid w:val="000059BD"/>
    <w:rsid w:val="0004154C"/>
    <w:rsid w:val="000445A1"/>
    <w:rsid w:val="00060D67"/>
    <w:rsid w:val="00070976"/>
    <w:rsid w:val="00073A05"/>
    <w:rsid w:val="00082CDD"/>
    <w:rsid w:val="00096353"/>
    <w:rsid w:val="000C0656"/>
    <w:rsid w:val="000D27B4"/>
    <w:rsid w:val="000D28CE"/>
    <w:rsid w:val="000E0229"/>
    <w:rsid w:val="000E3773"/>
    <w:rsid w:val="0010143E"/>
    <w:rsid w:val="0010525C"/>
    <w:rsid w:val="00111FBF"/>
    <w:rsid w:val="00113397"/>
    <w:rsid w:val="00117C65"/>
    <w:rsid w:val="001229FD"/>
    <w:rsid w:val="00131EAF"/>
    <w:rsid w:val="001329F2"/>
    <w:rsid w:val="00135ECE"/>
    <w:rsid w:val="0014315E"/>
    <w:rsid w:val="001515BC"/>
    <w:rsid w:val="00155260"/>
    <w:rsid w:val="0016190A"/>
    <w:rsid w:val="00171A63"/>
    <w:rsid w:val="00195051"/>
    <w:rsid w:val="001B4E5A"/>
    <w:rsid w:val="001B7901"/>
    <w:rsid w:val="001C00B6"/>
    <w:rsid w:val="001C2468"/>
    <w:rsid w:val="001C3538"/>
    <w:rsid w:val="001C4051"/>
    <w:rsid w:val="001C4980"/>
    <w:rsid w:val="001E190E"/>
    <w:rsid w:val="001E516A"/>
    <w:rsid w:val="001F41B4"/>
    <w:rsid w:val="0022056A"/>
    <w:rsid w:val="00222122"/>
    <w:rsid w:val="00226028"/>
    <w:rsid w:val="00240CA0"/>
    <w:rsid w:val="00257316"/>
    <w:rsid w:val="00261836"/>
    <w:rsid w:val="002737B7"/>
    <w:rsid w:val="002760A5"/>
    <w:rsid w:val="002772B9"/>
    <w:rsid w:val="00283825"/>
    <w:rsid w:val="00283DAB"/>
    <w:rsid w:val="002847AB"/>
    <w:rsid w:val="002934AA"/>
    <w:rsid w:val="00293F46"/>
    <w:rsid w:val="00297532"/>
    <w:rsid w:val="002A74E5"/>
    <w:rsid w:val="002B69D0"/>
    <w:rsid w:val="002C27C3"/>
    <w:rsid w:val="002D4928"/>
    <w:rsid w:val="002F00E5"/>
    <w:rsid w:val="002F5A3B"/>
    <w:rsid w:val="00301EF3"/>
    <w:rsid w:val="00302F9A"/>
    <w:rsid w:val="0030303D"/>
    <w:rsid w:val="0030731A"/>
    <w:rsid w:val="00325C20"/>
    <w:rsid w:val="00326440"/>
    <w:rsid w:val="0036093B"/>
    <w:rsid w:val="003825D2"/>
    <w:rsid w:val="00383D87"/>
    <w:rsid w:val="0039294B"/>
    <w:rsid w:val="00397296"/>
    <w:rsid w:val="00397FB5"/>
    <w:rsid w:val="003B6A6B"/>
    <w:rsid w:val="003C3E7A"/>
    <w:rsid w:val="003D27FB"/>
    <w:rsid w:val="003D3597"/>
    <w:rsid w:val="003F689A"/>
    <w:rsid w:val="00411EA2"/>
    <w:rsid w:val="00413FF2"/>
    <w:rsid w:val="004478D3"/>
    <w:rsid w:val="004659A9"/>
    <w:rsid w:val="004819C4"/>
    <w:rsid w:val="004914B5"/>
    <w:rsid w:val="00496FDE"/>
    <w:rsid w:val="004B03E8"/>
    <w:rsid w:val="004B48CF"/>
    <w:rsid w:val="004C16DB"/>
    <w:rsid w:val="004D083C"/>
    <w:rsid w:val="004D3175"/>
    <w:rsid w:val="004D31A5"/>
    <w:rsid w:val="004E1A3F"/>
    <w:rsid w:val="004F1765"/>
    <w:rsid w:val="004F5280"/>
    <w:rsid w:val="004F79A0"/>
    <w:rsid w:val="00502163"/>
    <w:rsid w:val="005234CF"/>
    <w:rsid w:val="00525FB3"/>
    <w:rsid w:val="005466DE"/>
    <w:rsid w:val="005555EE"/>
    <w:rsid w:val="005605E0"/>
    <w:rsid w:val="005629F1"/>
    <w:rsid w:val="00577BDA"/>
    <w:rsid w:val="005905C7"/>
    <w:rsid w:val="00592AE8"/>
    <w:rsid w:val="00597522"/>
    <w:rsid w:val="005B4808"/>
    <w:rsid w:val="005B6C20"/>
    <w:rsid w:val="005D37EB"/>
    <w:rsid w:val="005E5370"/>
    <w:rsid w:val="005E6C96"/>
    <w:rsid w:val="005F5457"/>
    <w:rsid w:val="005F6EED"/>
    <w:rsid w:val="00607457"/>
    <w:rsid w:val="00635F04"/>
    <w:rsid w:val="006377BC"/>
    <w:rsid w:val="00650455"/>
    <w:rsid w:val="0067226F"/>
    <w:rsid w:val="00673461"/>
    <w:rsid w:val="0067680C"/>
    <w:rsid w:val="00680AC7"/>
    <w:rsid w:val="006921B5"/>
    <w:rsid w:val="006B0B01"/>
    <w:rsid w:val="006B0BEC"/>
    <w:rsid w:val="006B37CB"/>
    <w:rsid w:val="006B59DD"/>
    <w:rsid w:val="006C452D"/>
    <w:rsid w:val="006D7C65"/>
    <w:rsid w:val="006E0F38"/>
    <w:rsid w:val="006E480A"/>
    <w:rsid w:val="006F7439"/>
    <w:rsid w:val="00716FC5"/>
    <w:rsid w:val="00726920"/>
    <w:rsid w:val="007360D6"/>
    <w:rsid w:val="00751D65"/>
    <w:rsid w:val="007609CA"/>
    <w:rsid w:val="00774B6F"/>
    <w:rsid w:val="00787274"/>
    <w:rsid w:val="007B1831"/>
    <w:rsid w:val="007B4774"/>
    <w:rsid w:val="007C2E9B"/>
    <w:rsid w:val="007E1E9F"/>
    <w:rsid w:val="007E3D20"/>
    <w:rsid w:val="007E6938"/>
    <w:rsid w:val="007E7361"/>
    <w:rsid w:val="00801753"/>
    <w:rsid w:val="00804EEF"/>
    <w:rsid w:val="00813E03"/>
    <w:rsid w:val="00817038"/>
    <w:rsid w:val="0082650E"/>
    <w:rsid w:val="00851F80"/>
    <w:rsid w:val="00854E57"/>
    <w:rsid w:val="00866299"/>
    <w:rsid w:val="008717D9"/>
    <w:rsid w:val="00871E8F"/>
    <w:rsid w:val="00876A77"/>
    <w:rsid w:val="00881926"/>
    <w:rsid w:val="00883048"/>
    <w:rsid w:val="008A4CE9"/>
    <w:rsid w:val="008B342D"/>
    <w:rsid w:val="008C0C9A"/>
    <w:rsid w:val="008C1CD8"/>
    <w:rsid w:val="008D5BB3"/>
    <w:rsid w:val="008E04B0"/>
    <w:rsid w:val="008E3756"/>
    <w:rsid w:val="009074D6"/>
    <w:rsid w:val="00917137"/>
    <w:rsid w:val="0092534E"/>
    <w:rsid w:val="00935705"/>
    <w:rsid w:val="0093641B"/>
    <w:rsid w:val="0093734E"/>
    <w:rsid w:val="009A48CF"/>
    <w:rsid w:val="009C1E68"/>
    <w:rsid w:val="009E3F27"/>
    <w:rsid w:val="009E685C"/>
    <w:rsid w:val="00A0012A"/>
    <w:rsid w:val="00A052CE"/>
    <w:rsid w:val="00A137DA"/>
    <w:rsid w:val="00A2382D"/>
    <w:rsid w:val="00A448F8"/>
    <w:rsid w:val="00A52A91"/>
    <w:rsid w:val="00A5551E"/>
    <w:rsid w:val="00A55737"/>
    <w:rsid w:val="00A651F1"/>
    <w:rsid w:val="00A70ECE"/>
    <w:rsid w:val="00A710AE"/>
    <w:rsid w:val="00A7737D"/>
    <w:rsid w:val="00A849AC"/>
    <w:rsid w:val="00AB317B"/>
    <w:rsid w:val="00AB3212"/>
    <w:rsid w:val="00AD317F"/>
    <w:rsid w:val="00AD53DE"/>
    <w:rsid w:val="00AE0519"/>
    <w:rsid w:val="00AF0317"/>
    <w:rsid w:val="00AF0720"/>
    <w:rsid w:val="00AF0F46"/>
    <w:rsid w:val="00B00951"/>
    <w:rsid w:val="00B271F1"/>
    <w:rsid w:val="00B32DC6"/>
    <w:rsid w:val="00B5460A"/>
    <w:rsid w:val="00B55E45"/>
    <w:rsid w:val="00B6078C"/>
    <w:rsid w:val="00B620F8"/>
    <w:rsid w:val="00B67D2D"/>
    <w:rsid w:val="00B71823"/>
    <w:rsid w:val="00B72EA9"/>
    <w:rsid w:val="00B83AA4"/>
    <w:rsid w:val="00B87681"/>
    <w:rsid w:val="00B92A5A"/>
    <w:rsid w:val="00B937A5"/>
    <w:rsid w:val="00B94C65"/>
    <w:rsid w:val="00C009BE"/>
    <w:rsid w:val="00C05FC7"/>
    <w:rsid w:val="00C271FD"/>
    <w:rsid w:val="00C378E5"/>
    <w:rsid w:val="00C4301B"/>
    <w:rsid w:val="00C44345"/>
    <w:rsid w:val="00C45FD6"/>
    <w:rsid w:val="00C64B2B"/>
    <w:rsid w:val="00C77EA3"/>
    <w:rsid w:val="00C823F8"/>
    <w:rsid w:val="00C93956"/>
    <w:rsid w:val="00C94B64"/>
    <w:rsid w:val="00CB1505"/>
    <w:rsid w:val="00CB6271"/>
    <w:rsid w:val="00CB68A3"/>
    <w:rsid w:val="00CB7078"/>
    <w:rsid w:val="00CC6188"/>
    <w:rsid w:val="00CC6C49"/>
    <w:rsid w:val="00CD0938"/>
    <w:rsid w:val="00CD1501"/>
    <w:rsid w:val="00CD25B0"/>
    <w:rsid w:val="00CE7CAF"/>
    <w:rsid w:val="00D20A37"/>
    <w:rsid w:val="00D315AF"/>
    <w:rsid w:val="00D32158"/>
    <w:rsid w:val="00D439F2"/>
    <w:rsid w:val="00D61169"/>
    <w:rsid w:val="00D62C4F"/>
    <w:rsid w:val="00D77EF8"/>
    <w:rsid w:val="00DA62B6"/>
    <w:rsid w:val="00DB3ED9"/>
    <w:rsid w:val="00DB6350"/>
    <w:rsid w:val="00DC2254"/>
    <w:rsid w:val="00DD25FC"/>
    <w:rsid w:val="00DD46F3"/>
    <w:rsid w:val="00E00A04"/>
    <w:rsid w:val="00E148F1"/>
    <w:rsid w:val="00E21E95"/>
    <w:rsid w:val="00E2614F"/>
    <w:rsid w:val="00E34B00"/>
    <w:rsid w:val="00E36AD0"/>
    <w:rsid w:val="00E42C9B"/>
    <w:rsid w:val="00E700CD"/>
    <w:rsid w:val="00E80041"/>
    <w:rsid w:val="00E93B7B"/>
    <w:rsid w:val="00E93DF5"/>
    <w:rsid w:val="00E94B7C"/>
    <w:rsid w:val="00E97C72"/>
    <w:rsid w:val="00EA25D1"/>
    <w:rsid w:val="00ED1AA5"/>
    <w:rsid w:val="00ED7E87"/>
    <w:rsid w:val="00EF5E11"/>
    <w:rsid w:val="00EF6237"/>
    <w:rsid w:val="00F15697"/>
    <w:rsid w:val="00F32319"/>
    <w:rsid w:val="00F3712D"/>
    <w:rsid w:val="00F6136B"/>
    <w:rsid w:val="00F77D45"/>
    <w:rsid w:val="00F90ABC"/>
    <w:rsid w:val="00F94B8C"/>
    <w:rsid w:val="00FA1124"/>
    <w:rsid w:val="00FB06DB"/>
    <w:rsid w:val="00FC5089"/>
    <w:rsid w:val="00FD37C4"/>
    <w:rsid w:val="00FD3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5:docId w15:val="{DA579C5C-9500-4A1E-A724-3417078A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0E"/>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DE"/>
    <w:rPr>
      <w:rFonts w:ascii="Segoe UI" w:hAnsi="Segoe UI" w:cs="Segoe UI"/>
      <w:sz w:val="18"/>
      <w:szCs w:val="18"/>
    </w:rPr>
  </w:style>
  <w:style w:type="paragraph" w:styleId="ListParagraph">
    <w:name w:val="List Paragraph"/>
    <w:basedOn w:val="Normal"/>
    <w:uiPriority w:val="34"/>
    <w:qFormat/>
    <w:rsid w:val="002F00E5"/>
    <w:pPr>
      <w:ind w:left="720"/>
      <w:contextualSpacing/>
    </w:pPr>
  </w:style>
  <w:style w:type="paragraph" w:styleId="Header">
    <w:name w:val="header"/>
    <w:basedOn w:val="Normal"/>
    <w:link w:val="HeaderChar"/>
    <w:uiPriority w:val="99"/>
    <w:unhideWhenUsed/>
    <w:rsid w:val="007E3D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D20"/>
  </w:style>
  <w:style w:type="paragraph" w:styleId="Footer">
    <w:name w:val="footer"/>
    <w:basedOn w:val="Normal"/>
    <w:link w:val="FooterChar"/>
    <w:uiPriority w:val="99"/>
    <w:unhideWhenUsed/>
    <w:rsid w:val="007E3D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D20"/>
  </w:style>
  <w:style w:type="paragraph" w:customStyle="1" w:styleId="naisf">
    <w:name w:val="naisf"/>
    <w:basedOn w:val="Normal"/>
    <w:rsid w:val="00F6136B"/>
    <w:pPr>
      <w:spacing w:before="75" w:after="75" w:line="240" w:lineRule="auto"/>
      <w:ind w:firstLine="375"/>
      <w:jc w:val="both"/>
    </w:pPr>
    <w:rPr>
      <w:rFonts w:eastAsia="Times New Roman"/>
      <w:lang w:eastAsia="lv-LV"/>
    </w:rPr>
  </w:style>
  <w:style w:type="character" w:styleId="Hyperlink">
    <w:name w:val="Hyperlink"/>
    <w:basedOn w:val="DefaultParagraphFont"/>
    <w:uiPriority w:val="99"/>
    <w:unhideWhenUsed/>
    <w:rsid w:val="00302F9A"/>
    <w:rPr>
      <w:color w:val="0000FF"/>
      <w:u w:val="single"/>
    </w:rPr>
  </w:style>
  <w:style w:type="paragraph" w:styleId="FootnoteText">
    <w:name w:val="footnote text"/>
    <w:basedOn w:val="Normal"/>
    <w:link w:val="FootnoteTextChar"/>
    <w:uiPriority w:val="99"/>
    <w:semiHidden/>
    <w:unhideWhenUsed/>
    <w:rsid w:val="00EA25D1"/>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A25D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A25D1"/>
    <w:rPr>
      <w:vertAlign w:val="superscript"/>
    </w:rPr>
  </w:style>
  <w:style w:type="paragraph" w:styleId="Revision">
    <w:name w:val="Revision"/>
    <w:hidden/>
    <w:uiPriority w:val="99"/>
    <w:semiHidden/>
    <w:rsid w:val="00673461"/>
    <w:pPr>
      <w:jc w:val="left"/>
    </w:pPr>
  </w:style>
  <w:style w:type="character" w:styleId="CommentReference">
    <w:name w:val="annotation reference"/>
    <w:basedOn w:val="DefaultParagraphFont"/>
    <w:uiPriority w:val="99"/>
    <w:semiHidden/>
    <w:unhideWhenUsed/>
    <w:rsid w:val="00EF5E11"/>
    <w:rPr>
      <w:sz w:val="16"/>
      <w:szCs w:val="16"/>
    </w:rPr>
  </w:style>
  <w:style w:type="paragraph" w:styleId="CommentText">
    <w:name w:val="annotation text"/>
    <w:basedOn w:val="Normal"/>
    <w:link w:val="CommentTextChar"/>
    <w:uiPriority w:val="99"/>
    <w:semiHidden/>
    <w:unhideWhenUsed/>
    <w:rsid w:val="00EF5E11"/>
    <w:pPr>
      <w:spacing w:line="240" w:lineRule="auto"/>
    </w:pPr>
    <w:rPr>
      <w:sz w:val="20"/>
      <w:szCs w:val="20"/>
    </w:rPr>
  </w:style>
  <w:style w:type="character" w:customStyle="1" w:styleId="CommentTextChar">
    <w:name w:val="Comment Text Char"/>
    <w:basedOn w:val="DefaultParagraphFont"/>
    <w:link w:val="CommentText"/>
    <w:uiPriority w:val="99"/>
    <w:semiHidden/>
    <w:rsid w:val="00EF5E11"/>
    <w:rPr>
      <w:sz w:val="20"/>
      <w:szCs w:val="20"/>
    </w:rPr>
  </w:style>
  <w:style w:type="paragraph" w:styleId="CommentSubject">
    <w:name w:val="annotation subject"/>
    <w:basedOn w:val="CommentText"/>
    <w:next w:val="CommentText"/>
    <w:link w:val="CommentSubjectChar"/>
    <w:uiPriority w:val="99"/>
    <w:semiHidden/>
    <w:unhideWhenUsed/>
    <w:rsid w:val="00EF5E11"/>
    <w:rPr>
      <w:b/>
      <w:bCs/>
    </w:rPr>
  </w:style>
  <w:style w:type="character" w:customStyle="1" w:styleId="CommentSubjectChar">
    <w:name w:val="Comment Subject Char"/>
    <w:basedOn w:val="CommentTextChar"/>
    <w:link w:val="CommentSubject"/>
    <w:uiPriority w:val="99"/>
    <w:semiHidden/>
    <w:rsid w:val="00EF5E11"/>
    <w:rPr>
      <w:b/>
      <w:bCs/>
      <w:sz w:val="20"/>
      <w:szCs w:val="20"/>
    </w:rPr>
  </w:style>
  <w:style w:type="paragraph" w:styleId="NoSpacing">
    <w:name w:val="No Spacing"/>
    <w:uiPriority w:val="1"/>
    <w:qFormat/>
    <w:rsid w:val="00A7737D"/>
    <w:pPr>
      <w:jc w:val="left"/>
    </w:pPr>
    <w:rPr>
      <w:rFonts w:asciiTheme="minorHAnsi" w:hAnsiTheme="minorHAnsi" w:cstheme="minorBidi"/>
      <w:sz w:val="22"/>
      <w:szCs w:val="22"/>
    </w:rPr>
  </w:style>
  <w:style w:type="paragraph" w:customStyle="1" w:styleId="RakstzCharCharRakstzCharCharRakstz">
    <w:name w:val="Rakstz. Char Char Rakstz. Char Char Rakstz."/>
    <w:basedOn w:val="Normal"/>
    <w:rsid w:val="00B5460A"/>
    <w:pPr>
      <w:spacing w:line="240" w:lineRule="exact"/>
    </w:pPr>
    <w:rPr>
      <w:rFonts w:ascii="Tahoma" w:eastAsia="Times New Roman" w:hAnsi="Tahoma"/>
      <w:sz w:val="20"/>
      <w:szCs w:val="20"/>
      <w:lang w:val="en-US"/>
    </w:rPr>
  </w:style>
  <w:style w:type="paragraph" w:customStyle="1" w:styleId="RakstzCharCharRakstzCharCharRakstz0">
    <w:name w:val="Rakstz. Char Char Rakstz. Char Char Rakstz."/>
    <w:basedOn w:val="Normal"/>
    <w:rsid w:val="00607457"/>
    <w:pPr>
      <w:spacing w:line="240" w:lineRule="exact"/>
    </w:pPr>
    <w:rPr>
      <w:rFonts w:ascii="Tahoma" w:eastAsia="Times New Roman" w:hAnsi="Tahoma"/>
      <w:sz w:val="20"/>
      <w:szCs w:val="20"/>
      <w:lang w:val="en-US"/>
    </w:rPr>
  </w:style>
  <w:style w:type="table" w:styleId="TableGrid">
    <w:name w:val="Table Grid"/>
    <w:basedOn w:val="TableNormal"/>
    <w:uiPriority w:val="39"/>
    <w:rsid w:val="00CD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49228">
      <w:bodyDiv w:val="1"/>
      <w:marLeft w:val="0"/>
      <w:marRight w:val="0"/>
      <w:marTop w:val="0"/>
      <w:marBottom w:val="0"/>
      <w:divBdr>
        <w:top w:val="none" w:sz="0" w:space="0" w:color="auto"/>
        <w:left w:val="none" w:sz="0" w:space="0" w:color="auto"/>
        <w:bottom w:val="none" w:sz="0" w:space="0" w:color="auto"/>
        <w:right w:val="none" w:sz="0" w:space="0" w:color="auto"/>
      </w:divBdr>
    </w:div>
    <w:div w:id="366487156">
      <w:bodyDiv w:val="1"/>
      <w:marLeft w:val="0"/>
      <w:marRight w:val="0"/>
      <w:marTop w:val="0"/>
      <w:marBottom w:val="0"/>
      <w:divBdr>
        <w:top w:val="none" w:sz="0" w:space="0" w:color="auto"/>
        <w:left w:val="none" w:sz="0" w:space="0" w:color="auto"/>
        <w:bottom w:val="none" w:sz="0" w:space="0" w:color="auto"/>
        <w:right w:val="none" w:sz="0" w:space="0" w:color="auto"/>
      </w:divBdr>
    </w:div>
    <w:div w:id="578174286">
      <w:bodyDiv w:val="1"/>
      <w:marLeft w:val="0"/>
      <w:marRight w:val="0"/>
      <w:marTop w:val="0"/>
      <w:marBottom w:val="0"/>
      <w:divBdr>
        <w:top w:val="none" w:sz="0" w:space="0" w:color="auto"/>
        <w:left w:val="none" w:sz="0" w:space="0" w:color="auto"/>
        <w:bottom w:val="none" w:sz="0" w:space="0" w:color="auto"/>
        <w:right w:val="none" w:sz="0" w:space="0" w:color="auto"/>
      </w:divBdr>
    </w:div>
    <w:div w:id="947004503">
      <w:bodyDiv w:val="1"/>
      <w:marLeft w:val="0"/>
      <w:marRight w:val="0"/>
      <w:marTop w:val="0"/>
      <w:marBottom w:val="0"/>
      <w:divBdr>
        <w:top w:val="none" w:sz="0" w:space="0" w:color="auto"/>
        <w:left w:val="none" w:sz="0" w:space="0" w:color="auto"/>
        <w:bottom w:val="none" w:sz="0" w:space="0" w:color="auto"/>
        <w:right w:val="none" w:sz="0" w:space="0" w:color="auto"/>
      </w:divBdr>
    </w:div>
    <w:div w:id="1179348001">
      <w:bodyDiv w:val="1"/>
      <w:marLeft w:val="0"/>
      <w:marRight w:val="0"/>
      <w:marTop w:val="0"/>
      <w:marBottom w:val="0"/>
      <w:divBdr>
        <w:top w:val="none" w:sz="0" w:space="0" w:color="auto"/>
        <w:left w:val="none" w:sz="0" w:space="0" w:color="auto"/>
        <w:bottom w:val="none" w:sz="0" w:space="0" w:color="auto"/>
        <w:right w:val="none" w:sz="0" w:space="0" w:color="auto"/>
      </w:divBdr>
    </w:div>
    <w:div w:id="1415782549">
      <w:bodyDiv w:val="1"/>
      <w:marLeft w:val="0"/>
      <w:marRight w:val="0"/>
      <w:marTop w:val="0"/>
      <w:marBottom w:val="0"/>
      <w:divBdr>
        <w:top w:val="none" w:sz="0" w:space="0" w:color="auto"/>
        <w:left w:val="none" w:sz="0" w:space="0" w:color="auto"/>
        <w:bottom w:val="none" w:sz="0" w:space="0" w:color="auto"/>
        <w:right w:val="none" w:sz="0" w:space="0" w:color="auto"/>
      </w:divBdr>
    </w:div>
    <w:div w:id="17909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kans@r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2B0D-AB02-4B2E-9D0C-7E34DCC7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1596</Words>
  <Characters>910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IeM NVA</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Raivis Abele</dc:creator>
  <cp:lastModifiedBy>Janis Voitehovics</cp:lastModifiedBy>
  <cp:revision>44</cp:revision>
  <cp:lastPrinted>2016-11-02T09:05:00Z</cp:lastPrinted>
  <dcterms:created xsi:type="dcterms:W3CDTF">2016-04-26T11:58:00Z</dcterms:created>
  <dcterms:modified xsi:type="dcterms:W3CDTF">2017-01-25T07:33:00Z</dcterms:modified>
</cp:coreProperties>
</file>