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58" w:rsidRPr="003F0731" w:rsidRDefault="00285258" w:rsidP="00285258">
      <w:pPr>
        <w:jc w:val="center"/>
        <w:outlineLvl w:val="0"/>
        <w:rPr>
          <w:b/>
          <w:sz w:val="28"/>
          <w:szCs w:val="28"/>
        </w:rPr>
      </w:pPr>
      <w:bookmarkStart w:id="0" w:name="OLE_LINK1"/>
      <w:bookmarkStart w:id="1" w:name="OLE_LINK2"/>
      <w:bookmarkStart w:id="2" w:name="OLE_LINK3"/>
      <w:bookmarkStart w:id="3" w:name="OLE_LINK13"/>
      <w:bookmarkStart w:id="4" w:name="OLE_LINK10"/>
      <w:bookmarkStart w:id="5" w:name="OLE_LINK18"/>
      <w:r w:rsidRPr="003F0731">
        <w:rPr>
          <w:b/>
          <w:sz w:val="28"/>
          <w:szCs w:val="28"/>
        </w:rPr>
        <w:t>Ministru kabineta rīkojuma projekta</w:t>
      </w:r>
    </w:p>
    <w:p w:rsidR="00285258" w:rsidRDefault="00285258" w:rsidP="00285258">
      <w:pPr>
        <w:jc w:val="center"/>
        <w:rPr>
          <w:b/>
          <w:sz w:val="28"/>
          <w:szCs w:val="28"/>
        </w:rPr>
      </w:pPr>
      <w:r w:rsidRPr="003F0731">
        <w:rPr>
          <w:b/>
          <w:sz w:val="28"/>
          <w:szCs w:val="28"/>
        </w:rPr>
        <w:t xml:space="preserve">„Par pamatbudžeta apropriācijas pārdali Kultūras ministrijas </w:t>
      </w:r>
      <w:r w:rsidRPr="005613BF">
        <w:rPr>
          <w:b/>
          <w:sz w:val="28"/>
          <w:szCs w:val="28"/>
        </w:rPr>
        <w:t>programmas 22.00.00 „Kultūras projekti un investīcijas” apakšprogrammā 22.02.00 „Kultūras pasākumi, sadarbības līgumi un programmas””</w:t>
      </w:r>
      <w:r>
        <w:rPr>
          <w:b/>
          <w:sz w:val="28"/>
          <w:szCs w:val="28"/>
        </w:rPr>
        <w:t xml:space="preserve"> </w:t>
      </w:r>
      <w:r w:rsidRPr="003F0731">
        <w:rPr>
          <w:b/>
          <w:sz w:val="28"/>
          <w:szCs w:val="28"/>
        </w:rPr>
        <w:t xml:space="preserve">sākotnējās ietekmes novērtējuma </w:t>
      </w:r>
    </w:p>
    <w:p w:rsidR="00285258" w:rsidRPr="00470205" w:rsidRDefault="00285258" w:rsidP="00285258">
      <w:pPr>
        <w:jc w:val="center"/>
        <w:rPr>
          <w:b/>
          <w:sz w:val="28"/>
          <w:szCs w:val="28"/>
        </w:rPr>
      </w:pPr>
      <w:r w:rsidRPr="003F0731">
        <w:rPr>
          <w:b/>
          <w:sz w:val="28"/>
          <w:szCs w:val="28"/>
        </w:rPr>
        <w:t>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3543"/>
        <w:gridCol w:w="4965"/>
      </w:tblGrid>
      <w:tr w:rsidR="00285258" w:rsidRPr="0068792E" w:rsidTr="00C752BF">
        <w:trPr>
          <w:trHeight w:val="416"/>
        </w:trPr>
        <w:tc>
          <w:tcPr>
            <w:tcW w:w="5000" w:type="pct"/>
            <w:gridSpan w:val="3"/>
            <w:vAlign w:val="center"/>
          </w:tcPr>
          <w:bookmarkEnd w:id="0"/>
          <w:bookmarkEnd w:id="1"/>
          <w:bookmarkEnd w:id="2"/>
          <w:bookmarkEnd w:id="3"/>
          <w:bookmarkEnd w:id="4"/>
          <w:bookmarkEnd w:id="5"/>
          <w:p w:rsidR="00285258" w:rsidRPr="00145F6B" w:rsidRDefault="00285258" w:rsidP="00C752BF">
            <w:pPr>
              <w:pStyle w:val="naisnod"/>
              <w:spacing w:before="0" w:after="0"/>
              <w:rPr>
                <w:sz w:val="28"/>
                <w:szCs w:val="28"/>
              </w:rPr>
            </w:pPr>
            <w:r w:rsidRPr="00145F6B">
              <w:rPr>
                <w:sz w:val="28"/>
                <w:szCs w:val="28"/>
              </w:rPr>
              <w:t>I. Tiesību akta projekta izstrādes nepieciešamība</w:t>
            </w:r>
          </w:p>
        </w:tc>
      </w:tr>
      <w:tr w:rsidR="00285258" w:rsidRPr="0068792E" w:rsidTr="00C752BF">
        <w:trPr>
          <w:trHeight w:val="630"/>
        </w:trPr>
        <w:tc>
          <w:tcPr>
            <w:tcW w:w="315" w:type="pct"/>
          </w:tcPr>
          <w:p w:rsidR="00285258" w:rsidRPr="00145F6B" w:rsidRDefault="00285258" w:rsidP="00C752BF">
            <w:pPr>
              <w:pStyle w:val="naiskr"/>
              <w:spacing w:before="0" w:after="0"/>
              <w:jc w:val="center"/>
              <w:rPr>
                <w:sz w:val="28"/>
                <w:szCs w:val="28"/>
              </w:rPr>
            </w:pPr>
            <w:r w:rsidRPr="00145F6B">
              <w:rPr>
                <w:sz w:val="28"/>
                <w:szCs w:val="28"/>
              </w:rPr>
              <w:t>1.</w:t>
            </w:r>
          </w:p>
        </w:tc>
        <w:tc>
          <w:tcPr>
            <w:tcW w:w="1951" w:type="pct"/>
          </w:tcPr>
          <w:p w:rsidR="00285258" w:rsidRPr="00145F6B" w:rsidRDefault="00285258" w:rsidP="00C752BF">
            <w:pPr>
              <w:pStyle w:val="naiskr"/>
              <w:spacing w:before="0" w:after="0"/>
              <w:ind w:hanging="10"/>
              <w:rPr>
                <w:sz w:val="28"/>
                <w:szCs w:val="28"/>
              </w:rPr>
            </w:pPr>
            <w:r w:rsidRPr="00145F6B">
              <w:rPr>
                <w:sz w:val="28"/>
                <w:szCs w:val="28"/>
              </w:rPr>
              <w:t>Pamatojums</w:t>
            </w:r>
          </w:p>
        </w:tc>
        <w:tc>
          <w:tcPr>
            <w:tcW w:w="2734" w:type="pct"/>
          </w:tcPr>
          <w:p w:rsidR="00285258" w:rsidRPr="00145F6B" w:rsidRDefault="00285258" w:rsidP="00CA0C6A">
            <w:pPr>
              <w:pStyle w:val="naiskr"/>
              <w:spacing w:before="0" w:after="0"/>
              <w:jc w:val="both"/>
              <w:rPr>
                <w:sz w:val="28"/>
                <w:szCs w:val="28"/>
              </w:rPr>
            </w:pPr>
            <w:r w:rsidRPr="00145F6B">
              <w:rPr>
                <w:sz w:val="28"/>
                <w:szCs w:val="28"/>
              </w:rPr>
              <w:t xml:space="preserve">Ministru kabineta rīkojuma projekts „Par pamatbudžeta apropriācijas pārdali Kultūras ministrijas programmas </w:t>
            </w:r>
            <w:r w:rsidRPr="005613BF">
              <w:rPr>
                <w:sz w:val="28"/>
                <w:szCs w:val="28"/>
              </w:rPr>
              <w:t>22.00.00 „Kultūras projekti un investīcijas” apakšprogrammā 22.02.00 „Kultūras pasākumi, sadarbības līgumi un programmas””</w:t>
            </w:r>
            <w:r w:rsidRPr="00145F6B">
              <w:rPr>
                <w:sz w:val="28"/>
                <w:szCs w:val="28"/>
              </w:rPr>
              <w:t xml:space="preserve"> (turpmāk –</w:t>
            </w:r>
            <w:r>
              <w:rPr>
                <w:sz w:val="28"/>
                <w:szCs w:val="28"/>
              </w:rPr>
              <w:t xml:space="preserve"> P</w:t>
            </w:r>
            <w:r w:rsidRPr="00145F6B">
              <w:rPr>
                <w:sz w:val="28"/>
                <w:szCs w:val="28"/>
              </w:rPr>
              <w:t xml:space="preserve">rojekts) </w:t>
            </w:r>
            <w:r>
              <w:rPr>
                <w:sz w:val="28"/>
                <w:szCs w:val="28"/>
              </w:rPr>
              <w:t>sagatavots </w:t>
            </w:r>
            <w:r w:rsidRPr="00145F6B">
              <w:rPr>
                <w:sz w:val="28"/>
                <w:szCs w:val="28"/>
              </w:rPr>
              <w:t>saskaņā ar Likuma par budžetu un finanšu vadību 9.panta</w:t>
            </w:r>
            <w:proofErr w:type="gramStart"/>
            <w:r w:rsidRPr="00145F6B">
              <w:rPr>
                <w:sz w:val="28"/>
                <w:szCs w:val="28"/>
              </w:rPr>
              <w:t xml:space="preserve">  </w:t>
            </w:r>
            <w:proofErr w:type="gramEnd"/>
            <w:r w:rsidR="003325B3">
              <w:rPr>
                <w:sz w:val="28"/>
                <w:szCs w:val="28"/>
              </w:rPr>
              <w:t>trīspadsmito</w:t>
            </w:r>
            <w:r w:rsidRPr="00145F6B">
              <w:rPr>
                <w:sz w:val="28"/>
                <w:szCs w:val="28"/>
              </w:rPr>
              <w:t xml:space="preserve"> daļu un likuma „</w:t>
            </w:r>
            <w:r w:rsidRPr="00145F6B">
              <w:rPr>
                <w:bCs/>
                <w:sz w:val="28"/>
                <w:szCs w:val="28"/>
              </w:rPr>
              <w:t>Par valsts budžetu 201</w:t>
            </w:r>
            <w:r w:rsidR="00CA7886">
              <w:rPr>
                <w:bCs/>
                <w:sz w:val="28"/>
                <w:szCs w:val="28"/>
              </w:rPr>
              <w:t>7</w:t>
            </w:r>
            <w:r w:rsidRPr="00145F6B">
              <w:rPr>
                <w:bCs/>
                <w:sz w:val="28"/>
                <w:szCs w:val="28"/>
              </w:rPr>
              <w:t>.gadam</w:t>
            </w:r>
            <w:r w:rsidRPr="00145F6B">
              <w:rPr>
                <w:sz w:val="28"/>
                <w:szCs w:val="28"/>
              </w:rPr>
              <w:t xml:space="preserve">” </w:t>
            </w:r>
            <w:r>
              <w:rPr>
                <w:sz w:val="28"/>
                <w:szCs w:val="28"/>
              </w:rPr>
              <w:t>3</w:t>
            </w:r>
            <w:r w:rsidR="003325B3">
              <w:rPr>
                <w:sz w:val="28"/>
                <w:szCs w:val="28"/>
              </w:rPr>
              <w:t>1</w:t>
            </w:r>
            <w:r w:rsidRPr="00145F6B">
              <w:rPr>
                <w:sz w:val="28"/>
                <w:szCs w:val="28"/>
              </w:rPr>
              <w:t>.pant</w:t>
            </w:r>
            <w:r w:rsidR="003325B3">
              <w:rPr>
                <w:sz w:val="28"/>
                <w:szCs w:val="28"/>
              </w:rPr>
              <w:t>a</w:t>
            </w:r>
            <w:r w:rsidR="00CA0C6A">
              <w:rPr>
                <w:sz w:val="28"/>
                <w:szCs w:val="28"/>
              </w:rPr>
              <w:t xml:space="preserve"> </w:t>
            </w:r>
            <w:r w:rsidR="003325B3">
              <w:rPr>
                <w:sz w:val="28"/>
                <w:szCs w:val="28"/>
              </w:rPr>
              <w:t>5.punktu</w:t>
            </w:r>
            <w:r w:rsidRPr="00145F6B">
              <w:rPr>
                <w:sz w:val="28"/>
                <w:szCs w:val="28"/>
              </w:rPr>
              <w:t>.</w:t>
            </w:r>
          </w:p>
        </w:tc>
      </w:tr>
      <w:tr w:rsidR="00285258" w:rsidRPr="0068792E" w:rsidTr="003A5F96">
        <w:trPr>
          <w:trHeight w:val="274"/>
        </w:trPr>
        <w:tc>
          <w:tcPr>
            <w:tcW w:w="315" w:type="pct"/>
          </w:tcPr>
          <w:p w:rsidR="00285258" w:rsidRPr="001A0922" w:rsidRDefault="00285258" w:rsidP="00C752BF">
            <w:pPr>
              <w:pStyle w:val="naiskr"/>
              <w:spacing w:before="0" w:after="0"/>
              <w:jc w:val="center"/>
              <w:rPr>
                <w:sz w:val="28"/>
                <w:szCs w:val="28"/>
              </w:rPr>
            </w:pPr>
            <w:r w:rsidRPr="001A0922">
              <w:rPr>
                <w:sz w:val="28"/>
                <w:szCs w:val="28"/>
              </w:rPr>
              <w:t>2.</w:t>
            </w:r>
          </w:p>
        </w:tc>
        <w:tc>
          <w:tcPr>
            <w:tcW w:w="1951" w:type="pct"/>
          </w:tcPr>
          <w:p w:rsidR="00285258" w:rsidRPr="00154CDC" w:rsidRDefault="00285258" w:rsidP="00C752BF">
            <w:pPr>
              <w:pStyle w:val="naiskr"/>
              <w:tabs>
                <w:tab w:val="left" w:pos="170"/>
              </w:tabs>
              <w:spacing w:before="0" w:after="0"/>
              <w:rPr>
                <w:sz w:val="28"/>
                <w:szCs w:val="28"/>
              </w:rPr>
            </w:pPr>
            <w:r w:rsidRPr="005613BF">
              <w:rPr>
                <w:sz w:val="28"/>
                <w:szCs w:val="28"/>
              </w:rPr>
              <w:t>Pašreizējā situācija un problēmas, kuru risināšanai tiesību akta projekts izstrādāts, tiesiskā regulējuma mērķis un būtība</w:t>
            </w:r>
          </w:p>
        </w:tc>
        <w:tc>
          <w:tcPr>
            <w:tcW w:w="2734" w:type="pct"/>
          </w:tcPr>
          <w:p w:rsidR="005D7CC2" w:rsidRPr="0018178D" w:rsidRDefault="00367FAE" w:rsidP="005D7CC2">
            <w:pPr>
              <w:ind w:firstLine="567"/>
              <w:jc w:val="both"/>
              <w:rPr>
                <w:color w:val="000000"/>
                <w:sz w:val="28"/>
                <w:szCs w:val="28"/>
              </w:rPr>
            </w:pPr>
            <w:r w:rsidRPr="003D08BB">
              <w:rPr>
                <w:color w:val="000000"/>
                <w:sz w:val="28"/>
                <w:szCs w:val="28"/>
              </w:rPr>
              <w:t>Kultūr</w:t>
            </w:r>
            <w:r>
              <w:rPr>
                <w:color w:val="000000"/>
                <w:sz w:val="28"/>
                <w:szCs w:val="28"/>
              </w:rPr>
              <w:t xml:space="preserve">politikas pamatnostādnēs 2014. – </w:t>
            </w:r>
            <w:r w:rsidRPr="003D08BB">
              <w:rPr>
                <w:color w:val="000000"/>
                <w:sz w:val="28"/>
                <w:szCs w:val="28"/>
              </w:rPr>
              <w:t>2020.gadam „Radošā Latvija”</w:t>
            </w:r>
            <w:r w:rsidR="005D7CC2" w:rsidRPr="0018178D">
              <w:rPr>
                <w:color w:val="000000"/>
                <w:sz w:val="28"/>
                <w:szCs w:val="28"/>
              </w:rPr>
              <w:t xml:space="preserve"> </w:t>
            </w:r>
            <w:r w:rsidR="005D7CC2" w:rsidRPr="00182814">
              <w:rPr>
                <w:sz w:val="28"/>
                <w:szCs w:val="28"/>
              </w:rPr>
              <w:t>(apstiprinātas ar Ministru kabineta 2014.gada 29.jūlija rīkojumu Nr.401)</w:t>
            </w:r>
            <w:r w:rsidR="005D7CC2">
              <w:rPr>
                <w:sz w:val="28"/>
                <w:szCs w:val="28"/>
              </w:rPr>
              <w:t xml:space="preserve"> </w:t>
            </w:r>
            <w:r w:rsidR="005D7CC2" w:rsidRPr="0018178D">
              <w:rPr>
                <w:color w:val="000000"/>
                <w:sz w:val="28"/>
                <w:szCs w:val="28"/>
              </w:rPr>
              <w:t>noteikts</w:t>
            </w:r>
            <w:r>
              <w:rPr>
                <w:color w:val="000000"/>
                <w:sz w:val="28"/>
                <w:szCs w:val="28"/>
              </w:rPr>
              <w:t>, ka „</w:t>
            </w:r>
            <w:r w:rsidR="005D7CC2" w:rsidRPr="0018178D">
              <w:rPr>
                <w:color w:val="000000"/>
                <w:sz w:val="28"/>
                <w:szCs w:val="28"/>
              </w:rPr>
              <w:t>no kultūrvides daudzveidības, ba</w:t>
            </w:r>
            <w:r w:rsidR="005D7CC2">
              <w:rPr>
                <w:color w:val="000000"/>
                <w:sz w:val="28"/>
                <w:szCs w:val="28"/>
              </w:rPr>
              <w:t xml:space="preserve">gātības un pieejamības, </w:t>
            </w:r>
            <w:r w:rsidR="005D7CC2" w:rsidRPr="0018178D">
              <w:rPr>
                <w:color w:val="000000"/>
                <w:sz w:val="28"/>
                <w:szCs w:val="28"/>
              </w:rPr>
              <w:t xml:space="preserve">no aktīvu un radošu indivīdu līdzdalības tās veidošanā ir atkarīga ne tikai indivīda personības un dzīves kvalitāte, bet arī </w:t>
            </w:r>
            <w:r>
              <w:rPr>
                <w:color w:val="000000"/>
                <w:sz w:val="28"/>
                <w:szCs w:val="28"/>
              </w:rPr>
              <w:t>sabiedrības un valsts izaugsme”.</w:t>
            </w:r>
          </w:p>
          <w:p w:rsidR="00C752BF" w:rsidRPr="00C752BF" w:rsidRDefault="00C752BF" w:rsidP="00C752BF">
            <w:pPr>
              <w:ind w:firstLine="567"/>
              <w:jc w:val="both"/>
              <w:rPr>
                <w:color w:val="000000"/>
                <w:sz w:val="28"/>
                <w:szCs w:val="28"/>
              </w:rPr>
            </w:pPr>
            <w:r w:rsidRPr="00C752BF">
              <w:rPr>
                <w:color w:val="000000"/>
                <w:sz w:val="28"/>
                <w:szCs w:val="28"/>
              </w:rPr>
              <w:t>2</w:t>
            </w:r>
            <w:r w:rsidR="00CA0C6A">
              <w:rPr>
                <w:color w:val="000000"/>
                <w:sz w:val="28"/>
                <w:szCs w:val="28"/>
              </w:rPr>
              <w:t>007.</w:t>
            </w:r>
            <w:r w:rsidRPr="00C752BF">
              <w:rPr>
                <w:color w:val="000000"/>
                <w:sz w:val="28"/>
                <w:szCs w:val="28"/>
              </w:rPr>
              <w:t xml:space="preserve">gadā pieņemts likums </w:t>
            </w:r>
            <w:r w:rsidR="00367FAE">
              <w:rPr>
                <w:color w:val="000000"/>
                <w:sz w:val="28"/>
                <w:szCs w:val="28"/>
              </w:rPr>
              <w:t>„</w:t>
            </w:r>
            <w:r w:rsidRPr="00C752BF">
              <w:rPr>
                <w:color w:val="000000"/>
                <w:sz w:val="28"/>
                <w:szCs w:val="28"/>
              </w:rPr>
              <w:t>Par Konvenciju par kultūras izpausmju daudzveidības aizsardzību un veicināšanu</w:t>
            </w:r>
            <w:r w:rsidR="00367FAE">
              <w:rPr>
                <w:color w:val="000000"/>
                <w:sz w:val="28"/>
                <w:szCs w:val="28"/>
              </w:rPr>
              <w:t>”, ar kuru</w:t>
            </w:r>
            <w:r w:rsidRPr="00C752BF">
              <w:rPr>
                <w:color w:val="000000"/>
                <w:sz w:val="28"/>
                <w:szCs w:val="28"/>
              </w:rPr>
              <w:t xml:space="preserve"> pieņemta un apstiprināta Apvienoto Nāciju Izglītības, kultūras un zinātnes organizācijas (turpmāk </w:t>
            </w:r>
            <w:r w:rsidR="00353677">
              <w:rPr>
                <w:color w:val="000000"/>
                <w:sz w:val="28"/>
                <w:szCs w:val="28"/>
              </w:rPr>
              <w:t>–</w:t>
            </w:r>
            <w:r w:rsidR="00367FAE">
              <w:rPr>
                <w:color w:val="000000"/>
                <w:sz w:val="28"/>
                <w:szCs w:val="28"/>
              </w:rPr>
              <w:t xml:space="preserve"> UNESCO) K</w:t>
            </w:r>
            <w:r w:rsidRPr="00C752BF">
              <w:rPr>
                <w:color w:val="000000"/>
                <w:sz w:val="28"/>
                <w:szCs w:val="28"/>
              </w:rPr>
              <w:t xml:space="preserve">onvencija par kultūras izpausmju daudzveidības aizsardzību un veicināšanu (turpmāk </w:t>
            </w:r>
            <w:r w:rsidR="00353677">
              <w:rPr>
                <w:color w:val="000000"/>
                <w:sz w:val="28"/>
                <w:szCs w:val="28"/>
              </w:rPr>
              <w:t>–</w:t>
            </w:r>
            <w:r w:rsidRPr="00C752BF">
              <w:rPr>
                <w:color w:val="000000"/>
                <w:sz w:val="28"/>
                <w:szCs w:val="28"/>
              </w:rPr>
              <w:t xml:space="preserve"> Konvencija), </w:t>
            </w:r>
            <w:r w:rsidR="00456487">
              <w:rPr>
                <w:color w:val="000000"/>
                <w:sz w:val="28"/>
                <w:szCs w:val="28"/>
              </w:rPr>
              <w:t>kurā paredzēto</w:t>
            </w:r>
            <w:r w:rsidRPr="00C752BF">
              <w:rPr>
                <w:color w:val="000000"/>
                <w:sz w:val="28"/>
                <w:szCs w:val="28"/>
              </w:rPr>
              <w:t xml:space="preserve"> saistību izpildi koordinē Kultūras ministrija.</w:t>
            </w:r>
          </w:p>
          <w:p w:rsidR="00C752BF" w:rsidRPr="00C752BF" w:rsidRDefault="00C752BF" w:rsidP="00C752BF">
            <w:pPr>
              <w:ind w:firstLine="567"/>
              <w:jc w:val="both"/>
              <w:rPr>
                <w:color w:val="000000"/>
                <w:sz w:val="28"/>
                <w:szCs w:val="28"/>
              </w:rPr>
            </w:pPr>
            <w:r w:rsidRPr="00C752BF">
              <w:rPr>
                <w:color w:val="000000"/>
                <w:sz w:val="28"/>
                <w:szCs w:val="28"/>
              </w:rPr>
              <w:t xml:space="preserve">Konvencijas galvenie mērķi ir: aizsargāt un veicināt kultūras izpausmju daudzveidību; radīt nosacījumus, lai kultūras varētu brīvi attīstīties un mijiedarboties savstarpēji labvēlīgā veidā; veicināt dialogu starp kultūrām nolūkā </w:t>
            </w:r>
            <w:r w:rsidRPr="00C752BF">
              <w:rPr>
                <w:color w:val="000000"/>
                <w:sz w:val="28"/>
                <w:szCs w:val="28"/>
              </w:rPr>
              <w:lastRenderedPageBreak/>
              <w:t xml:space="preserve">nodrošināt plašāku un līdzsvarotu kultūras apmaiņu pasaulē; veicināt </w:t>
            </w:r>
            <w:proofErr w:type="spellStart"/>
            <w:r w:rsidRPr="00C752BF">
              <w:rPr>
                <w:color w:val="000000"/>
                <w:sz w:val="28"/>
                <w:szCs w:val="28"/>
              </w:rPr>
              <w:t>starpkultūru</w:t>
            </w:r>
            <w:proofErr w:type="spellEnd"/>
            <w:r w:rsidRPr="00C752BF">
              <w:rPr>
                <w:color w:val="000000"/>
                <w:sz w:val="28"/>
                <w:szCs w:val="28"/>
              </w:rPr>
              <w:t xml:space="preserve"> saskarsmi; veicināt cieņu pret kultūras izpausmju daudzveidību un padziļināt izpratni par tās vērtību vietējā, valsts un starptautiskā līmenī; apliecināt saiknes starp kultūru un attīstību nozīmīgumu visām valstīm,</w:t>
            </w:r>
            <w:r w:rsidR="00B673F8">
              <w:rPr>
                <w:color w:val="000000"/>
                <w:sz w:val="28"/>
                <w:szCs w:val="28"/>
              </w:rPr>
              <w:t xml:space="preserve"> </w:t>
            </w:r>
            <w:r w:rsidRPr="00C752BF">
              <w:rPr>
                <w:color w:val="000000"/>
                <w:sz w:val="28"/>
                <w:szCs w:val="28"/>
              </w:rPr>
              <w:t>īpaši jaunattīstības valstīm; atzīt kultūras norišu, preču un pakalpojumu kā identitātes, vērtību un nozīmes nesēju īpašo dabu; apliecināt valstu suverēnās tiesības atbalstīt, noteikt un īstenot politiku un pasākumus, kurus tās uzskata par piemērotiem, lai aizsargātu un veicinātu kultūras izpausmju daudzveidību savā teritorijā; stiprināt starptautisko sadarbību un solidaritāti partnerības gaisotnē, īpaši nolūkā palielināt jaunattīstības valstu spēju aizsargāt un veicināt kultūras izpausmju daudzveidību.</w:t>
            </w:r>
          </w:p>
          <w:p w:rsidR="00C752BF" w:rsidRPr="00C752BF" w:rsidRDefault="00CA0C6A" w:rsidP="00C752BF">
            <w:pPr>
              <w:ind w:firstLine="567"/>
              <w:jc w:val="both"/>
              <w:rPr>
                <w:color w:val="000000"/>
                <w:sz w:val="28"/>
                <w:szCs w:val="28"/>
              </w:rPr>
            </w:pPr>
            <w:r>
              <w:rPr>
                <w:color w:val="000000"/>
                <w:sz w:val="28"/>
                <w:szCs w:val="28"/>
              </w:rPr>
              <w:t>Saskaņā ar Konvencijas 18.</w:t>
            </w:r>
            <w:r w:rsidR="00C752BF" w:rsidRPr="00C752BF">
              <w:rPr>
                <w:color w:val="000000"/>
                <w:sz w:val="28"/>
                <w:szCs w:val="28"/>
              </w:rPr>
              <w:t xml:space="preserve">pantu tika nodibināts Starptautiskais kultūras daudzveidības fonds (turpmāk </w:t>
            </w:r>
            <w:r w:rsidR="00353677">
              <w:rPr>
                <w:color w:val="000000"/>
                <w:sz w:val="28"/>
                <w:szCs w:val="28"/>
              </w:rPr>
              <w:t>–</w:t>
            </w:r>
            <w:r w:rsidR="00C752BF" w:rsidRPr="00C752BF">
              <w:rPr>
                <w:color w:val="000000"/>
                <w:sz w:val="28"/>
                <w:szCs w:val="28"/>
              </w:rPr>
              <w:t xml:space="preserve"> Fonds), kas paredz Konvencijas pušu brīvprātīgās iemaksa</w:t>
            </w:r>
            <w:r w:rsidR="00456487">
              <w:rPr>
                <w:color w:val="000000"/>
                <w:sz w:val="28"/>
                <w:szCs w:val="28"/>
              </w:rPr>
              <w:t>s. Par šo iemaksu lielumu lemj K</w:t>
            </w:r>
            <w:r w:rsidR="00C752BF" w:rsidRPr="00C752BF">
              <w:rPr>
                <w:color w:val="000000"/>
                <w:sz w:val="28"/>
                <w:szCs w:val="28"/>
              </w:rPr>
              <w:t>onvencijas dalībvalst</w:t>
            </w:r>
            <w:r w:rsidR="00456487">
              <w:rPr>
                <w:color w:val="000000"/>
                <w:sz w:val="28"/>
                <w:szCs w:val="28"/>
              </w:rPr>
              <w:t>i</w:t>
            </w:r>
            <w:r w:rsidR="00C752BF" w:rsidRPr="00C752BF">
              <w:rPr>
                <w:color w:val="000000"/>
                <w:sz w:val="28"/>
                <w:szCs w:val="28"/>
              </w:rPr>
              <w:t>s, Konvencija neregulē iemaksu apjomu. Praksē pieņemts, ka dalībvalstis brīvprātīgi iemaksā 1% no UNESCO ikgadējās dalībmaksas kopējās summas.</w:t>
            </w:r>
          </w:p>
          <w:p w:rsidR="0018178D" w:rsidRDefault="00CA0C6A" w:rsidP="0018178D">
            <w:pPr>
              <w:ind w:firstLine="567"/>
              <w:jc w:val="both"/>
              <w:rPr>
                <w:color w:val="000000"/>
                <w:sz w:val="28"/>
                <w:szCs w:val="28"/>
              </w:rPr>
            </w:pPr>
            <w:r>
              <w:rPr>
                <w:color w:val="000000"/>
                <w:sz w:val="28"/>
                <w:szCs w:val="28"/>
              </w:rPr>
              <w:t>Konvencijas 14.</w:t>
            </w:r>
            <w:r w:rsidR="00C752BF" w:rsidRPr="00C752BF">
              <w:rPr>
                <w:color w:val="000000"/>
                <w:sz w:val="28"/>
                <w:szCs w:val="28"/>
              </w:rPr>
              <w:t>pantā noteikts, ka Konvencijas puses cenšas atbalstīt sadarbību nolūkā panākt ilgtspējīgu attīstību un nabadzības mazināšanu, jo īpaši saistībā ar jaunattīstības valstu īpašajam vajadzībām, lai sekmētu dinamiskas kultūras nozares veidošanos, tai skaitā nodibinot Fondu.</w:t>
            </w:r>
          </w:p>
          <w:p w:rsidR="005D7CC2" w:rsidRDefault="005D7CC2" w:rsidP="0018178D">
            <w:pPr>
              <w:ind w:firstLine="567"/>
              <w:jc w:val="both"/>
              <w:rPr>
                <w:color w:val="000000"/>
                <w:sz w:val="28"/>
                <w:szCs w:val="28"/>
              </w:rPr>
            </w:pPr>
            <w:r w:rsidRPr="005D7CC2">
              <w:rPr>
                <w:color w:val="000000"/>
                <w:sz w:val="28"/>
                <w:szCs w:val="28"/>
              </w:rPr>
              <w:t>Fonds izveidots, lai atbalstītu kultūras daudzveidības veicināšanas projektus attīstības valstīs, kas ir UNESCO Konvencijas dalībnieces</w:t>
            </w:r>
            <w:r>
              <w:rPr>
                <w:color w:val="000000"/>
                <w:sz w:val="28"/>
                <w:szCs w:val="28"/>
              </w:rPr>
              <w:t>.</w:t>
            </w:r>
          </w:p>
          <w:p w:rsidR="00C752BF" w:rsidRDefault="005530A5" w:rsidP="00C752BF">
            <w:pPr>
              <w:ind w:firstLine="567"/>
              <w:jc w:val="both"/>
              <w:rPr>
                <w:color w:val="000000"/>
                <w:sz w:val="28"/>
                <w:szCs w:val="28"/>
              </w:rPr>
            </w:pPr>
            <w:r>
              <w:rPr>
                <w:color w:val="000000"/>
                <w:sz w:val="28"/>
                <w:szCs w:val="28"/>
              </w:rPr>
              <w:t>Iemaksas F</w:t>
            </w:r>
            <w:r w:rsidR="00456487">
              <w:rPr>
                <w:color w:val="000000"/>
                <w:sz w:val="28"/>
                <w:szCs w:val="28"/>
              </w:rPr>
              <w:t>ondā sniegs ieguldījumu A</w:t>
            </w:r>
            <w:r>
              <w:rPr>
                <w:color w:val="000000"/>
                <w:sz w:val="28"/>
                <w:szCs w:val="28"/>
              </w:rPr>
              <w:t xml:space="preserve">ttīstības sadarbības </w:t>
            </w:r>
            <w:r w:rsidR="00456487">
              <w:rPr>
                <w:color w:val="000000"/>
                <w:sz w:val="28"/>
                <w:szCs w:val="28"/>
              </w:rPr>
              <w:t xml:space="preserve">politikas </w:t>
            </w:r>
            <w:r w:rsidR="00456487">
              <w:rPr>
                <w:color w:val="000000"/>
                <w:sz w:val="28"/>
                <w:szCs w:val="28"/>
              </w:rPr>
              <w:lastRenderedPageBreak/>
              <w:t xml:space="preserve">pamatnostādnēs </w:t>
            </w:r>
            <w:r>
              <w:rPr>
                <w:color w:val="000000"/>
                <w:sz w:val="28"/>
                <w:szCs w:val="28"/>
              </w:rPr>
              <w:t>2016</w:t>
            </w:r>
            <w:r w:rsidR="00456487">
              <w:rPr>
                <w:color w:val="000000"/>
                <w:sz w:val="28"/>
                <w:szCs w:val="28"/>
              </w:rPr>
              <w:t xml:space="preserve">. </w:t>
            </w:r>
            <w:r>
              <w:rPr>
                <w:color w:val="000000"/>
                <w:sz w:val="28"/>
                <w:szCs w:val="28"/>
              </w:rPr>
              <w:t>–</w:t>
            </w:r>
            <w:r w:rsidR="00456487">
              <w:rPr>
                <w:color w:val="000000"/>
                <w:sz w:val="28"/>
                <w:szCs w:val="28"/>
              </w:rPr>
              <w:t xml:space="preserve"> </w:t>
            </w:r>
            <w:r>
              <w:rPr>
                <w:color w:val="000000"/>
                <w:sz w:val="28"/>
                <w:szCs w:val="28"/>
              </w:rPr>
              <w:t>2020</w:t>
            </w:r>
            <w:r w:rsidR="00456487">
              <w:rPr>
                <w:color w:val="000000"/>
                <w:sz w:val="28"/>
                <w:szCs w:val="28"/>
              </w:rPr>
              <w:t>.gadam (apstiprinātas ar Ministru kabineta 2016.gada 14.septembra rīkojumu Nr.523)</w:t>
            </w:r>
            <w:r>
              <w:rPr>
                <w:color w:val="000000"/>
                <w:sz w:val="28"/>
                <w:szCs w:val="28"/>
              </w:rPr>
              <w:t xml:space="preserve"> ietverto mērķu sasniegšanu: „</w:t>
            </w:r>
            <w:r w:rsidRPr="005530A5">
              <w:rPr>
                <w:color w:val="000000"/>
                <w:sz w:val="28"/>
                <w:szCs w:val="28"/>
              </w:rPr>
              <w:t>Daudzpusējais formāts ietver Latvijas aktivitātes un iemaksas starptautiskās institūcijās, iniciatīvās un trasta fondos.</w:t>
            </w:r>
            <w:r>
              <w:rPr>
                <w:color w:val="000000"/>
                <w:sz w:val="28"/>
                <w:szCs w:val="28"/>
              </w:rPr>
              <w:t>”</w:t>
            </w:r>
          </w:p>
          <w:p w:rsidR="00480100" w:rsidRPr="00480100" w:rsidRDefault="00AF3FD3" w:rsidP="00480100">
            <w:pPr>
              <w:ind w:firstLine="567"/>
              <w:jc w:val="both"/>
              <w:rPr>
                <w:color w:val="000000"/>
                <w:sz w:val="28"/>
                <w:szCs w:val="28"/>
              </w:rPr>
            </w:pPr>
            <w:r>
              <w:rPr>
                <w:color w:val="000000"/>
                <w:sz w:val="28"/>
                <w:szCs w:val="28"/>
              </w:rPr>
              <w:t>Latvija, būdama K</w:t>
            </w:r>
            <w:r w:rsidR="00480100" w:rsidRPr="00480100">
              <w:rPr>
                <w:color w:val="000000"/>
                <w:sz w:val="28"/>
                <w:szCs w:val="28"/>
              </w:rPr>
              <w:t xml:space="preserve">onvencijas dalībvalsts, ne reizi nav veikusi iemaksas </w:t>
            </w:r>
            <w:r>
              <w:rPr>
                <w:color w:val="000000"/>
                <w:sz w:val="28"/>
                <w:szCs w:val="28"/>
              </w:rPr>
              <w:t>Fondā. Vienlaikus K</w:t>
            </w:r>
            <w:r w:rsidR="00480100" w:rsidRPr="00480100">
              <w:rPr>
                <w:color w:val="000000"/>
                <w:sz w:val="28"/>
                <w:szCs w:val="28"/>
              </w:rPr>
              <w:t xml:space="preserve">onvencijas dalībvalstis ir pieņēmušas </w:t>
            </w:r>
            <w:r w:rsidR="00480100">
              <w:rPr>
                <w:color w:val="000000"/>
                <w:sz w:val="28"/>
                <w:szCs w:val="28"/>
              </w:rPr>
              <w:t>Fonda</w:t>
            </w:r>
            <w:r w:rsidR="00480100" w:rsidRPr="00480100">
              <w:rPr>
                <w:color w:val="000000"/>
                <w:sz w:val="28"/>
                <w:szCs w:val="28"/>
              </w:rPr>
              <w:t xml:space="preserve"> līdzekļu vākšanas un komunikācijas stratēģiju 2013.</w:t>
            </w:r>
            <w:r>
              <w:rPr>
                <w:color w:val="000000"/>
                <w:sz w:val="28"/>
                <w:szCs w:val="28"/>
              </w:rPr>
              <w:t xml:space="preserve"> – 2018.</w:t>
            </w:r>
            <w:r w:rsidR="00480100" w:rsidRPr="00480100">
              <w:rPr>
                <w:color w:val="000000"/>
                <w:sz w:val="28"/>
                <w:szCs w:val="28"/>
              </w:rPr>
              <w:t>gadam,</w:t>
            </w:r>
            <w:r>
              <w:rPr>
                <w:color w:val="000000"/>
                <w:sz w:val="28"/>
                <w:szCs w:val="28"/>
              </w:rPr>
              <w:t xml:space="preserve"> kas paredz, ka vismaz puse no K</w:t>
            </w:r>
            <w:r w:rsidR="00480100" w:rsidRPr="00480100">
              <w:rPr>
                <w:color w:val="000000"/>
                <w:sz w:val="28"/>
                <w:szCs w:val="28"/>
              </w:rPr>
              <w:t>onv</w:t>
            </w:r>
            <w:r>
              <w:rPr>
                <w:color w:val="000000"/>
                <w:sz w:val="28"/>
                <w:szCs w:val="28"/>
              </w:rPr>
              <w:t>encijas dalībvalstīm līdz 2018.</w:t>
            </w:r>
            <w:r w:rsidR="00480100" w:rsidRPr="00480100">
              <w:rPr>
                <w:color w:val="000000"/>
                <w:sz w:val="28"/>
                <w:szCs w:val="28"/>
              </w:rPr>
              <w:t>gadam vismaz vienu reizi būs veikušas iemaksas attiecīgajā fondā.</w:t>
            </w:r>
          </w:p>
          <w:p w:rsidR="00480100" w:rsidRPr="00480100" w:rsidRDefault="00480100" w:rsidP="00480100">
            <w:pPr>
              <w:ind w:firstLine="567"/>
              <w:jc w:val="both"/>
              <w:rPr>
                <w:color w:val="000000"/>
                <w:sz w:val="28"/>
                <w:szCs w:val="28"/>
              </w:rPr>
            </w:pPr>
            <w:r w:rsidRPr="00480100">
              <w:rPr>
                <w:color w:val="000000"/>
                <w:sz w:val="28"/>
                <w:szCs w:val="28"/>
              </w:rPr>
              <w:t xml:space="preserve">Veicot iemaksas </w:t>
            </w:r>
            <w:r>
              <w:rPr>
                <w:color w:val="000000"/>
                <w:sz w:val="28"/>
                <w:szCs w:val="28"/>
              </w:rPr>
              <w:t>Fondā,</w:t>
            </w:r>
            <w:r w:rsidR="00AF3FD3">
              <w:rPr>
                <w:color w:val="000000"/>
                <w:sz w:val="28"/>
                <w:szCs w:val="28"/>
              </w:rPr>
              <w:t xml:space="preserve"> K</w:t>
            </w:r>
            <w:r w:rsidRPr="00480100">
              <w:rPr>
                <w:color w:val="000000"/>
                <w:sz w:val="28"/>
                <w:szCs w:val="28"/>
              </w:rPr>
              <w:t xml:space="preserve">onvencijas dalībvalstis </w:t>
            </w:r>
            <w:r>
              <w:rPr>
                <w:color w:val="000000"/>
                <w:sz w:val="28"/>
                <w:szCs w:val="28"/>
              </w:rPr>
              <w:t>kā d</w:t>
            </w:r>
            <w:r w:rsidRPr="00480100">
              <w:rPr>
                <w:color w:val="000000"/>
                <w:sz w:val="28"/>
                <w:szCs w:val="28"/>
              </w:rPr>
              <w:t>em</w:t>
            </w:r>
            <w:r w:rsidR="00AF3FD3">
              <w:rPr>
                <w:color w:val="000000"/>
                <w:sz w:val="28"/>
                <w:szCs w:val="28"/>
              </w:rPr>
              <w:t>onstrē savu atbildību sekmīgai K</w:t>
            </w:r>
            <w:r w:rsidRPr="00480100">
              <w:rPr>
                <w:color w:val="000000"/>
                <w:sz w:val="28"/>
                <w:szCs w:val="28"/>
              </w:rPr>
              <w:t xml:space="preserve">onvencijas īstenošanai, tā atbalsta attīstības sadarbību, finansiāli atbalstot projektu kultūras nozares attīstībai jaunattīstības un mazāk attīstītajās valstīs. </w:t>
            </w:r>
          </w:p>
          <w:p w:rsidR="00480100" w:rsidRPr="00480100" w:rsidRDefault="00AF3FD3" w:rsidP="00480100">
            <w:pPr>
              <w:ind w:firstLine="567"/>
              <w:jc w:val="both"/>
              <w:rPr>
                <w:color w:val="000000"/>
                <w:sz w:val="28"/>
                <w:szCs w:val="28"/>
              </w:rPr>
            </w:pPr>
            <w:r>
              <w:rPr>
                <w:color w:val="000000"/>
                <w:sz w:val="28"/>
                <w:szCs w:val="28"/>
              </w:rPr>
              <w:t>2017.gada jūnijā K</w:t>
            </w:r>
            <w:r w:rsidR="00480100" w:rsidRPr="00480100">
              <w:rPr>
                <w:color w:val="000000"/>
                <w:sz w:val="28"/>
                <w:szCs w:val="28"/>
              </w:rPr>
              <w:t>onvenc</w:t>
            </w:r>
            <w:r>
              <w:rPr>
                <w:color w:val="000000"/>
                <w:sz w:val="28"/>
                <w:szCs w:val="28"/>
              </w:rPr>
              <w:t>ijas dalībvalstu konferences 6.</w:t>
            </w:r>
            <w:r w:rsidR="00480100" w:rsidRPr="00480100">
              <w:rPr>
                <w:color w:val="000000"/>
                <w:sz w:val="28"/>
                <w:szCs w:val="28"/>
              </w:rPr>
              <w:t>sesija, kuras laikā tiks ievēlēta puse no UNESCO Starpvaldību komitejas kultūras izpausmju daudzveidības aizsardzībai un veicināšanai locekļiem. Ņemot vērā nacionālās kultūrpolitikas aktualitātes, kā arī Latvijas pieredzi starptautiskajā darbībā UNE</w:t>
            </w:r>
            <w:r>
              <w:rPr>
                <w:color w:val="000000"/>
                <w:sz w:val="28"/>
                <w:szCs w:val="28"/>
              </w:rPr>
              <w:t xml:space="preserve">SCO starpvaldību padomēs, 2017.gada </w:t>
            </w:r>
            <w:r w:rsidR="00480100" w:rsidRPr="00480100">
              <w:rPr>
                <w:color w:val="000000"/>
                <w:sz w:val="28"/>
                <w:szCs w:val="28"/>
              </w:rPr>
              <w:t>sākumā ir paredzēts veikt sagatavošanas darbus Latvijas kandidatūras virzīšanai UNESCO Starpvaldību komitejai kultūras izpausmju daudzveidības aizsardzība</w:t>
            </w:r>
            <w:r>
              <w:rPr>
                <w:color w:val="000000"/>
                <w:sz w:val="28"/>
                <w:szCs w:val="28"/>
              </w:rPr>
              <w:t>i un veicināšanai. Komiteja ir K</w:t>
            </w:r>
            <w:r w:rsidR="00480100" w:rsidRPr="00480100">
              <w:rPr>
                <w:color w:val="000000"/>
                <w:sz w:val="28"/>
                <w:szCs w:val="28"/>
              </w:rPr>
              <w:t xml:space="preserve">onvencijas pārvaldības </w:t>
            </w:r>
            <w:r>
              <w:rPr>
                <w:color w:val="000000"/>
                <w:sz w:val="28"/>
                <w:szCs w:val="28"/>
              </w:rPr>
              <w:t>institūcija</w:t>
            </w:r>
            <w:r w:rsidR="00480100" w:rsidRPr="00480100">
              <w:rPr>
                <w:color w:val="000000"/>
                <w:sz w:val="28"/>
                <w:szCs w:val="28"/>
              </w:rPr>
              <w:t>, kas dalībvalstu kon</w:t>
            </w:r>
            <w:r>
              <w:rPr>
                <w:color w:val="000000"/>
                <w:sz w:val="28"/>
                <w:szCs w:val="28"/>
              </w:rPr>
              <w:t>ferences starplaikos nodrošina K</w:t>
            </w:r>
            <w:r w:rsidR="00480100" w:rsidRPr="00480100">
              <w:rPr>
                <w:color w:val="000000"/>
                <w:sz w:val="28"/>
                <w:szCs w:val="28"/>
              </w:rPr>
              <w:t>onvencijas politikas veidošanu un īstenošan</w:t>
            </w:r>
            <w:r>
              <w:rPr>
                <w:color w:val="000000"/>
                <w:sz w:val="28"/>
                <w:szCs w:val="28"/>
              </w:rPr>
              <w:t>u starptautiskajā vidē, kā arī K</w:t>
            </w:r>
            <w:r w:rsidR="00480100" w:rsidRPr="00480100">
              <w:rPr>
                <w:color w:val="000000"/>
                <w:sz w:val="28"/>
                <w:szCs w:val="28"/>
              </w:rPr>
              <w:t>onvencijas interpretāciju plašākā sabiedrībā. Kļūstot par Komitejas loceklēm</w:t>
            </w:r>
            <w:r>
              <w:rPr>
                <w:color w:val="000000"/>
                <w:sz w:val="28"/>
                <w:szCs w:val="28"/>
              </w:rPr>
              <w:t>,</w:t>
            </w:r>
            <w:r w:rsidR="00480100" w:rsidRPr="00480100">
              <w:rPr>
                <w:color w:val="000000"/>
                <w:sz w:val="28"/>
                <w:szCs w:val="28"/>
              </w:rPr>
              <w:t xml:space="preserve"> dalībvalstis ne tikai uzņemas līderību dažādu starptautisku kultūrpolitikas iniciatīvu virzīšanā, bet arī nodrošina </w:t>
            </w:r>
            <w:r w:rsidR="00480100" w:rsidRPr="00480100">
              <w:rPr>
                <w:color w:val="000000"/>
                <w:sz w:val="28"/>
                <w:szCs w:val="28"/>
              </w:rPr>
              <w:lastRenderedPageBreak/>
              <w:t xml:space="preserve">atbalstu to īstenošanai, veicot iemaksas </w:t>
            </w:r>
            <w:r w:rsidR="00480100">
              <w:rPr>
                <w:color w:val="000000"/>
                <w:sz w:val="28"/>
                <w:szCs w:val="28"/>
              </w:rPr>
              <w:t>Fondā</w:t>
            </w:r>
            <w:r w:rsidR="00480100" w:rsidRPr="00480100">
              <w:rPr>
                <w:color w:val="000000"/>
                <w:sz w:val="28"/>
                <w:szCs w:val="28"/>
              </w:rPr>
              <w:t>, kas ir viens no būtiskāka</w:t>
            </w:r>
            <w:r>
              <w:rPr>
                <w:color w:val="000000"/>
                <w:sz w:val="28"/>
                <w:szCs w:val="28"/>
              </w:rPr>
              <w:t>jiem instrumentiem sekmīgai K</w:t>
            </w:r>
            <w:r w:rsidR="00480100" w:rsidRPr="00480100">
              <w:rPr>
                <w:color w:val="000000"/>
                <w:sz w:val="28"/>
                <w:szCs w:val="28"/>
              </w:rPr>
              <w:t>onvencijas īstenošanai.</w:t>
            </w:r>
          </w:p>
          <w:p w:rsidR="00480100" w:rsidRDefault="00480100" w:rsidP="00480100">
            <w:pPr>
              <w:ind w:firstLine="567"/>
              <w:jc w:val="both"/>
              <w:rPr>
                <w:color w:val="000000"/>
                <w:sz w:val="28"/>
                <w:szCs w:val="28"/>
              </w:rPr>
            </w:pPr>
            <w:r w:rsidRPr="00480100">
              <w:rPr>
                <w:color w:val="000000"/>
                <w:sz w:val="28"/>
                <w:szCs w:val="28"/>
              </w:rPr>
              <w:t>Konvencijas procedūra</w:t>
            </w:r>
            <w:r>
              <w:rPr>
                <w:color w:val="000000"/>
                <w:sz w:val="28"/>
                <w:szCs w:val="28"/>
              </w:rPr>
              <w:t>s</w:t>
            </w:r>
            <w:r w:rsidRPr="00480100">
              <w:rPr>
                <w:color w:val="000000"/>
                <w:sz w:val="28"/>
                <w:szCs w:val="28"/>
              </w:rPr>
              <w:t xml:space="preserve"> reglaments nosaka, ka valstis, kas oficiāli piesaka savu kandidatūru Komitejai, par to informē Konvenc</w:t>
            </w:r>
            <w:r w:rsidR="00AF3FD3">
              <w:rPr>
                <w:color w:val="000000"/>
                <w:sz w:val="28"/>
                <w:szCs w:val="28"/>
              </w:rPr>
              <w:t>ijas sekretariātu ne vēlāk kā 6 </w:t>
            </w:r>
            <w:r w:rsidRPr="00480100">
              <w:rPr>
                <w:color w:val="000000"/>
                <w:sz w:val="28"/>
                <w:szCs w:val="28"/>
              </w:rPr>
              <w:t>nedēļas pirms dalībvalstu konferences kārtējās</w:t>
            </w:r>
            <w:r w:rsidR="00AF3FD3">
              <w:rPr>
                <w:color w:val="000000"/>
                <w:sz w:val="28"/>
                <w:szCs w:val="28"/>
              </w:rPr>
              <w:t xml:space="preserve"> sesijas (6.sesija notiks 2017.</w:t>
            </w:r>
            <w:r w:rsidRPr="00480100">
              <w:rPr>
                <w:color w:val="000000"/>
                <w:sz w:val="28"/>
                <w:szCs w:val="28"/>
              </w:rPr>
              <w:t xml:space="preserve">gada jūnijā). Konvencijas sekretariāts īsteno praksi izplatīt informāciju par dalībvalstu veiktajām iemaksām </w:t>
            </w:r>
            <w:r>
              <w:rPr>
                <w:color w:val="000000"/>
                <w:sz w:val="28"/>
                <w:szCs w:val="28"/>
              </w:rPr>
              <w:t>Fondā</w:t>
            </w:r>
            <w:r w:rsidRPr="00480100">
              <w:rPr>
                <w:color w:val="000000"/>
                <w:sz w:val="28"/>
                <w:szCs w:val="28"/>
              </w:rPr>
              <w:t>, nosūtot oficiālo Komitejas kandidatūru sarakstu, tādējādi nodrošinot informāciju valstu delegācijām par saistību izpildi.</w:t>
            </w:r>
          </w:p>
          <w:p w:rsidR="00285258" w:rsidRDefault="00285258" w:rsidP="00C752BF">
            <w:pPr>
              <w:ind w:firstLine="567"/>
              <w:jc w:val="both"/>
              <w:rPr>
                <w:color w:val="000000"/>
                <w:sz w:val="28"/>
                <w:szCs w:val="28"/>
              </w:rPr>
            </w:pPr>
            <w:r>
              <w:rPr>
                <w:color w:val="000000"/>
                <w:sz w:val="28"/>
                <w:szCs w:val="28"/>
              </w:rPr>
              <w:t>Kultūras ministrijai 201</w:t>
            </w:r>
            <w:r w:rsidR="005D7CC2">
              <w:rPr>
                <w:color w:val="000000"/>
                <w:sz w:val="28"/>
                <w:szCs w:val="28"/>
              </w:rPr>
              <w:t>7</w:t>
            </w:r>
            <w:r>
              <w:rPr>
                <w:color w:val="000000"/>
                <w:sz w:val="28"/>
                <w:szCs w:val="28"/>
              </w:rPr>
              <w:t xml:space="preserve">.gadā nav plānoti izdevumi </w:t>
            </w:r>
            <w:r w:rsidR="005D7CC2">
              <w:rPr>
                <w:color w:val="000000"/>
                <w:sz w:val="28"/>
                <w:szCs w:val="28"/>
              </w:rPr>
              <w:t>iemaksām Fondā</w:t>
            </w:r>
            <w:r w:rsidRPr="008C1B76">
              <w:rPr>
                <w:color w:val="000000"/>
                <w:sz w:val="28"/>
                <w:szCs w:val="28"/>
              </w:rPr>
              <w:t xml:space="preserve"> ekonomiskās klasifikācijas kodā – 7700 </w:t>
            </w:r>
            <w:r w:rsidRPr="008C1B76">
              <w:rPr>
                <w:sz w:val="28"/>
                <w:szCs w:val="28"/>
              </w:rPr>
              <w:t>starptautiskā sadarbība</w:t>
            </w:r>
            <w:r w:rsidRPr="008C1B76">
              <w:rPr>
                <w:color w:val="000000"/>
                <w:sz w:val="28"/>
                <w:szCs w:val="28"/>
              </w:rPr>
              <w:t>.</w:t>
            </w:r>
            <w:r>
              <w:rPr>
                <w:color w:val="000000"/>
                <w:sz w:val="28"/>
                <w:szCs w:val="28"/>
              </w:rPr>
              <w:t xml:space="preserve"> </w:t>
            </w:r>
          </w:p>
          <w:p w:rsidR="00285258" w:rsidRDefault="00285258" w:rsidP="00456487">
            <w:pPr>
              <w:pStyle w:val="Bodytext110"/>
              <w:shd w:val="clear" w:color="auto" w:fill="auto"/>
              <w:spacing w:line="240" w:lineRule="auto"/>
              <w:ind w:firstLine="567"/>
              <w:jc w:val="both"/>
              <w:rPr>
                <w:rFonts w:ascii="Times New Roman" w:hAnsi="Times New Roman" w:cs="Times New Roman"/>
                <w:sz w:val="28"/>
                <w:szCs w:val="28"/>
              </w:rPr>
            </w:pPr>
            <w:r w:rsidRPr="00B673F8">
              <w:rPr>
                <w:rFonts w:ascii="Times New Roman" w:hAnsi="Times New Roman" w:cs="Times New Roman"/>
                <w:sz w:val="28"/>
                <w:szCs w:val="28"/>
              </w:rPr>
              <w:t>Ievērojot minēto, lai Kultūras ministrija 201</w:t>
            </w:r>
            <w:r w:rsidR="005530A5">
              <w:rPr>
                <w:rFonts w:ascii="Times New Roman" w:hAnsi="Times New Roman" w:cs="Times New Roman"/>
                <w:sz w:val="28"/>
                <w:szCs w:val="28"/>
              </w:rPr>
              <w:t>7</w:t>
            </w:r>
            <w:r w:rsidRPr="00B673F8">
              <w:rPr>
                <w:rFonts w:ascii="Times New Roman" w:hAnsi="Times New Roman" w:cs="Times New Roman"/>
                <w:sz w:val="28"/>
                <w:szCs w:val="28"/>
              </w:rPr>
              <w:t xml:space="preserve">.gadā varētu nodrošināt Latvijas iemaksu </w:t>
            </w:r>
            <w:r w:rsidR="005530A5">
              <w:rPr>
                <w:rFonts w:ascii="Times New Roman" w:hAnsi="Times New Roman" w:cs="Times New Roman"/>
                <w:sz w:val="28"/>
                <w:szCs w:val="28"/>
              </w:rPr>
              <w:t>Fondā</w:t>
            </w:r>
            <w:r w:rsidRPr="00B673F8">
              <w:rPr>
                <w:rFonts w:ascii="Times New Roman" w:hAnsi="Times New Roman" w:cs="Times New Roman"/>
                <w:sz w:val="28"/>
                <w:szCs w:val="28"/>
              </w:rPr>
              <w:t xml:space="preserve">, Kultūras ministrija, pamatojoties uz Likuma par budžetu un finanšu vadību 9.panta </w:t>
            </w:r>
            <w:r w:rsidR="003325B3">
              <w:rPr>
                <w:rFonts w:ascii="Times New Roman" w:hAnsi="Times New Roman" w:cs="Times New Roman"/>
                <w:sz w:val="28"/>
                <w:szCs w:val="28"/>
              </w:rPr>
              <w:t>trīspadsmito</w:t>
            </w:r>
            <w:r w:rsidRPr="00B673F8">
              <w:rPr>
                <w:rFonts w:ascii="Times New Roman" w:hAnsi="Times New Roman" w:cs="Times New Roman"/>
                <w:sz w:val="28"/>
                <w:szCs w:val="28"/>
              </w:rPr>
              <w:t xml:space="preserve"> daļu un likuma „</w:t>
            </w:r>
            <w:r w:rsidRPr="00B673F8">
              <w:rPr>
                <w:rFonts w:ascii="Times New Roman" w:hAnsi="Times New Roman" w:cs="Times New Roman"/>
                <w:bCs/>
                <w:sz w:val="28"/>
                <w:szCs w:val="28"/>
              </w:rPr>
              <w:t>Par valsts budžetu 201</w:t>
            </w:r>
            <w:r w:rsidR="00CA7886">
              <w:rPr>
                <w:rFonts w:ascii="Times New Roman" w:hAnsi="Times New Roman" w:cs="Times New Roman"/>
                <w:bCs/>
                <w:sz w:val="28"/>
                <w:szCs w:val="28"/>
              </w:rPr>
              <w:t>7</w:t>
            </w:r>
            <w:r w:rsidRPr="00B673F8">
              <w:rPr>
                <w:rFonts w:ascii="Times New Roman" w:hAnsi="Times New Roman" w:cs="Times New Roman"/>
                <w:bCs/>
                <w:sz w:val="28"/>
                <w:szCs w:val="28"/>
              </w:rPr>
              <w:t>.gadam</w:t>
            </w:r>
            <w:r w:rsidRPr="00B673F8">
              <w:rPr>
                <w:rFonts w:ascii="Times New Roman" w:hAnsi="Times New Roman" w:cs="Times New Roman"/>
                <w:sz w:val="28"/>
                <w:szCs w:val="28"/>
              </w:rPr>
              <w:t>” 3</w:t>
            </w:r>
            <w:r w:rsidR="003325B3">
              <w:rPr>
                <w:rFonts w:ascii="Times New Roman" w:hAnsi="Times New Roman" w:cs="Times New Roman"/>
                <w:sz w:val="28"/>
                <w:szCs w:val="28"/>
              </w:rPr>
              <w:t>1</w:t>
            </w:r>
            <w:r w:rsidRPr="00B673F8">
              <w:rPr>
                <w:rFonts w:ascii="Times New Roman" w:hAnsi="Times New Roman" w:cs="Times New Roman"/>
                <w:sz w:val="28"/>
                <w:szCs w:val="28"/>
              </w:rPr>
              <w:t>.pant</w:t>
            </w:r>
            <w:r w:rsidR="003325B3">
              <w:rPr>
                <w:rFonts w:ascii="Times New Roman" w:hAnsi="Times New Roman" w:cs="Times New Roman"/>
                <w:sz w:val="28"/>
                <w:szCs w:val="28"/>
              </w:rPr>
              <w:t>a</w:t>
            </w:r>
            <w:r w:rsidR="00CA0C6A">
              <w:rPr>
                <w:rFonts w:ascii="Times New Roman" w:hAnsi="Times New Roman" w:cs="Times New Roman"/>
                <w:sz w:val="28"/>
                <w:szCs w:val="28"/>
              </w:rPr>
              <w:t xml:space="preserve"> </w:t>
            </w:r>
            <w:r w:rsidR="003325B3">
              <w:rPr>
                <w:rFonts w:ascii="Times New Roman" w:hAnsi="Times New Roman" w:cs="Times New Roman"/>
                <w:sz w:val="28"/>
                <w:szCs w:val="28"/>
              </w:rPr>
              <w:t>5.punktu</w:t>
            </w:r>
            <w:r w:rsidRPr="00B673F8">
              <w:rPr>
                <w:rFonts w:ascii="Times New Roman" w:hAnsi="Times New Roman" w:cs="Times New Roman"/>
                <w:sz w:val="28"/>
                <w:szCs w:val="28"/>
              </w:rPr>
              <w:t>, kas nosaka, ka apropriācijas pārdale</w:t>
            </w:r>
            <w:r w:rsidR="006F13AC">
              <w:rPr>
                <w:rFonts w:ascii="Times New Roman" w:hAnsi="Times New Roman" w:cs="Times New Roman"/>
                <w:sz w:val="28"/>
                <w:szCs w:val="28"/>
              </w:rPr>
              <w:t xml:space="preserve"> </w:t>
            </w:r>
            <w:r w:rsidR="003325B3">
              <w:rPr>
                <w:rFonts w:ascii="Times New Roman" w:hAnsi="Times New Roman" w:cs="Times New Roman"/>
                <w:sz w:val="28"/>
                <w:szCs w:val="28"/>
              </w:rPr>
              <w:t>starp budžeta izdevumu kodiem atbilstoši ekon</w:t>
            </w:r>
            <w:r w:rsidR="006F13AC">
              <w:rPr>
                <w:rFonts w:ascii="Times New Roman" w:hAnsi="Times New Roman" w:cs="Times New Roman"/>
                <w:sz w:val="28"/>
                <w:szCs w:val="28"/>
              </w:rPr>
              <w:t>omiskajām kategorijām budžeta resoram likumā noteiktās apropriācijas ietvaros</w:t>
            </w:r>
            <w:r w:rsidRPr="00B673F8">
              <w:rPr>
                <w:rFonts w:ascii="Times New Roman" w:hAnsi="Times New Roman" w:cs="Times New Roman"/>
                <w:sz w:val="28"/>
                <w:szCs w:val="28"/>
              </w:rPr>
              <w:t xml:space="preserve">, ir pieļaujama, ja ir pieņemts Ministru kabineta lēmums un Ministru kabinets ir deleģējis finanšu ministram tiesības veikt apropriācijas pārdali, nepiemērojot šā likuma </w:t>
            </w:r>
            <w:hyperlink r:id="rId6" w:anchor="p30" w:tgtFrame="_blank" w:history="1">
              <w:r w:rsidRPr="00B673F8">
                <w:rPr>
                  <w:rFonts w:ascii="Times New Roman" w:hAnsi="Times New Roman" w:cs="Times New Roman"/>
                  <w:sz w:val="28"/>
                  <w:szCs w:val="28"/>
                </w:rPr>
                <w:t>3</w:t>
              </w:r>
              <w:r w:rsidR="006F13AC">
                <w:rPr>
                  <w:rFonts w:ascii="Times New Roman" w:hAnsi="Times New Roman" w:cs="Times New Roman"/>
                  <w:sz w:val="28"/>
                  <w:szCs w:val="28"/>
                </w:rPr>
                <w:t>0</w:t>
              </w:r>
              <w:r w:rsidRPr="00B673F8">
                <w:rPr>
                  <w:rFonts w:ascii="Times New Roman" w:hAnsi="Times New Roman" w:cs="Times New Roman"/>
                  <w:sz w:val="28"/>
                  <w:szCs w:val="28"/>
                </w:rPr>
                <w:t>.panta</w:t>
              </w:r>
            </w:hyperlink>
            <w:r w:rsidRPr="00B673F8">
              <w:rPr>
                <w:rFonts w:ascii="Times New Roman" w:hAnsi="Times New Roman" w:cs="Times New Roman"/>
                <w:sz w:val="28"/>
                <w:szCs w:val="28"/>
              </w:rPr>
              <w:t xml:space="preserve"> nosacījumus un šādu apropriācijas pārdali atļauts veikt, ja Saeimas Budžeta un finanšu (nodokļu) komisija piecu darba dienu laikā no attiecīgās informācijas saņemšanas nav iebildusi pret apropriācijas pārdali, ir</w:t>
            </w:r>
            <w:proofErr w:type="gramStart"/>
            <w:r w:rsidRPr="00B673F8">
              <w:rPr>
                <w:rFonts w:ascii="Times New Roman" w:hAnsi="Times New Roman" w:cs="Times New Roman"/>
                <w:sz w:val="28"/>
                <w:szCs w:val="28"/>
              </w:rPr>
              <w:t xml:space="preserve">  </w:t>
            </w:r>
            <w:proofErr w:type="gramEnd"/>
            <w:r w:rsidRPr="00B673F8">
              <w:rPr>
                <w:rFonts w:ascii="Times New Roman" w:hAnsi="Times New Roman" w:cs="Times New Roman"/>
                <w:sz w:val="28"/>
                <w:szCs w:val="28"/>
              </w:rPr>
              <w:t>sagatavojusi Projektu.</w:t>
            </w:r>
          </w:p>
          <w:p w:rsidR="00EF723D" w:rsidRPr="00B673F8" w:rsidRDefault="00EF723D" w:rsidP="00EF723D">
            <w:pPr>
              <w:pStyle w:val="Bodytext110"/>
              <w:shd w:val="clear" w:color="auto" w:fill="auto"/>
              <w:spacing w:line="240" w:lineRule="auto"/>
              <w:ind w:firstLine="567"/>
              <w:jc w:val="both"/>
              <w:rPr>
                <w:rFonts w:ascii="Times New Roman" w:hAnsi="Times New Roman" w:cs="Times New Roman"/>
                <w:sz w:val="28"/>
                <w:szCs w:val="28"/>
              </w:rPr>
            </w:pPr>
            <w:r w:rsidRPr="00EF723D">
              <w:rPr>
                <w:rFonts w:ascii="Times New Roman" w:hAnsi="Times New Roman" w:cs="Times New Roman"/>
                <w:sz w:val="28"/>
                <w:szCs w:val="28"/>
              </w:rPr>
              <w:t xml:space="preserve">Kultūras ministrija turpmākajos gados iemaksas </w:t>
            </w:r>
            <w:r>
              <w:rPr>
                <w:rFonts w:ascii="Times New Roman" w:hAnsi="Times New Roman" w:cs="Times New Roman"/>
                <w:sz w:val="28"/>
                <w:szCs w:val="28"/>
              </w:rPr>
              <w:t>Fondā</w:t>
            </w:r>
            <w:r w:rsidRPr="00EF723D">
              <w:rPr>
                <w:rFonts w:ascii="Times New Roman" w:hAnsi="Times New Roman" w:cs="Times New Roman"/>
                <w:sz w:val="28"/>
                <w:szCs w:val="28"/>
              </w:rPr>
              <w:t xml:space="preserve"> nodrošinās esošo valsts </w:t>
            </w:r>
            <w:r w:rsidRPr="00EF723D">
              <w:rPr>
                <w:rFonts w:ascii="Times New Roman" w:hAnsi="Times New Roman" w:cs="Times New Roman"/>
                <w:sz w:val="28"/>
                <w:szCs w:val="28"/>
              </w:rPr>
              <w:lastRenderedPageBreak/>
              <w:t>budžeta līdzekļu ietvaros.</w:t>
            </w:r>
          </w:p>
        </w:tc>
      </w:tr>
      <w:tr w:rsidR="00285258" w:rsidRPr="0068792E" w:rsidTr="00C752BF">
        <w:trPr>
          <w:trHeight w:val="476"/>
        </w:trPr>
        <w:tc>
          <w:tcPr>
            <w:tcW w:w="315" w:type="pct"/>
          </w:tcPr>
          <w:p w:rsidR="00285258" w:rsidRPr="00EA26DE" w:rsidRDefault="00285258" w:rsidP="00C752BF">
            <w:pPr>
              <w:pStyle w:val="naiskr"/>
              <w:spacing w:before="0" w:after="0"/>
              <w:jc w:val="center"/>
              <w:rPr>
                <w:sz w:val="28"/>
                <w:szCs w:val="28"/>
              </w:rPr>
            </w:pPr>
            <w:r w:rsidRPr="00EA26DE">
              <w:rPr>
                <w:sz w:val="28"/>
                <w:szCs w:val="28"/>
              </w:rPr>
              <w:lastRenderedPageBreak/>
              <w:t>3.</w:t>
            </w:r>
          </w:p>
        </w:tc>
        <w:tc>
          <w:tcPr>
            <w:tcW w:w="1951" w:type="pct"/>
          </w:tcPr>
          <w:p w:rsidR="00285258" w:rsidRPr="00EA26DE" w:rsidRDefault="00285258" w:rsidP="00C752BF">
            <w:pPr>
              <w:pStyle w:val="naiskr"/>
              <w:spacing w:before="0" w:after="0"/>
              <w:rPr>
                <w:sz w:val="28"/>
                <w:szCs w:val="28"/>
              </w:rPr>
            </w:pPr>
            <w:r w:rsidRPr="00EA26DE">
              <w:rPr>
                <w:sz w:val="28"/>
                <w:szCs w:val="28"/>
              </w:rPr>
              <w:t>Projekta izstrādē iesaistītās institūcijas</w:t>
            </w:r>
          </w:p>
        </w:tc>
        <w:tc>
          <w:tcPr>
            <w:tcW w:w="2734" w:type="pct"/>
          </w:tcPr>
          <w:p w:rsidR="00285258" w:rsidRPr="00EA26DE" w:rsidRDefault="00285258" w:rsidP="005530A5">
            <w:pPr>
              <w:pStyle w:val="naisf"/>
              <w:ind w:firstLine="0"/>
              <w:rPr>
                <w:bCs/>
                <w:sz w:val="28"/>
                <w:szCs w:val="28"/>
              </w:rPr>
            </w:pPr>
            <w:r w:rsidRPr="00EA26DE">
              <w:rPr>
                <w:sz w:val="28"/>
                <w:szCs w:val="28"/>
              </w:rPr>
              <w:t>Kultūras ministrija</w:t>
            </w:r>
            <w:r w:rsidR="007F0D07">
              <w:rPr>
                <w:sz w:val="28"/>
                <w:szCs w:val="28"/>
              </w:rPr>
              <w:t>.</w:t>
            </w:r>
          </w:p>
        </w:tc>
      </w:tr>
      <w:tr w:rsidR="00285258" w:rsidRPr="00A56C50" w:rsidTr="00C752BF">
        <w:trPr>
          <w:trHeight w:val="410"/>
        </w:trPr>
        <w:tc>
          <w:tcPr>
            <w:tcW w:w="315" w:type="pct"/>
          </w:tcPr>
          <w:p w:rsidR="00285258" w:rsidRPr="00EA26DE" w:rsidRDefault="00285258" w:rsidP="00C752BF">
            <w:pPr>
              <w:pStyle w:val="naiskr"/>
              <w:spacing w:before="0" w:after="0"/>
              <w:jc w:val="center"/>
              <w:rPr>
                <w:sz w:val="28"/>
                <w:szCs w:val="28"/>
              </w:rPr>
            </w:pPr>
            <w:r w:rsidRPr="00EA26DE">
              <w:rPr>
                <w:sz w:val="28"/>
                <w:szCs w:val="28"/>
              </w:rPr>
              <w:t>4.</w:t>
            </w:r>
          </w:p>
        </w:tc>
        <w:tc>
          <w:tcPr>
            <w:tcW w:w="1951" w:type="pct"/>
          </w:tcPr>
          <w:p w:rsidR="00285258" w:rsidRPr="00EA26DE" w:rsidRDefault="00285258" w:rsidP="00C752BF">
            <w:pPr>
              <w:pStyle w:val="naiskr"/>
              <w:spacing w:before="0" w:after="0"/>
              <w:rPr>
                <w:sz w:val="28"/>
                <w:szCs w:val="28"/>
              </w:rPr>
            </w:pPr>
            <w:r w:rsidRPr="00EA26DE">
              <w:rPr>
                <w:sz w:val="28"/>
                <w:szCs w:val="28"/>
              </w:rPr>
              <w:t>Cita informācija</w:t>
            </w:r>
          </w:p>
        </w:tc>
        <w:tc>
          <w:tcPr>
            <w:tcW w:w="2734" w:type="pct"/>
          </w:tcPr>
          <w:p w:rsidR="00285258" w:rsidRPr="000E40A7" w:rsidRDefault="00285258" w:rsidP="00C752BF">
            <w:pPr>
              <w:pStyle w:val="naiskr"/>
              <w:spacing w:before="0" w:after="0"/>
              <w:rPr>
                <w:sz w:val="28"/>
                <w:szCs w:val="28"/>
              </w:rPr>
            </w:pPr>
            <w:r w:rsidRPr="00EA26DE">
              <w:rPr>
                <w:sz w:val="28"/>
                <w:szCs w:val="28"/>
              </w:rPr>
              <w:t>Nav</w:t>
            </w:r>
          </w:p>
        </w:tc>
      </w:tr>
    </w:tbl>
    <w:p w:rsidR="00285258" w:rsidRPr="006126B1" w:rsidRDefault="00285258" w:rsidP="00285258">
      <w:pPr>
        <w:pStyle w:val="naisf"/>
        <w:spacing w:before="0" w:after="0"/>
        <w:ind w:firstLine="0"/>
        <w:rPr>
          <w:sz w:val="28"/>
          <w:szCs w:val="28"/>
        </w:rPr>
      </w:pPr>
    </w:p>
    <w:p w:rsidR="00285258" w:rsidRDefault="00285258" w:rsidP="00285258">
      <w:pPr>
        <w:spacing w:before="75" w:after="75"/>
        <w:outlineLvl w:val="0"/>
        <w:rPr>
          <w:i/>
          <w:iCs/>
          <w:sz w:val="28"/>
          <w:szCs w:val="28"/>
        </w:rPr>
      </w:pPr>
      <w:r w:rsidRPr="006126B1">
        <w:rPr>
          <w:i/>
          <w:iCs/>
          <w:sz w:val="28"/>
          <w:szCs w:val="28"/>
        </w:rPr>
        <w:t xml:space="preserve">Anotācijas II, </w:t>
      </w:r>
      <w:r>
        <w:rPr>
          <w:i/>
          <w:iCs/>
          <w:sz w:val="28"/>
          <w:szCs w:val="28"/>
        </w:rPr>
        <w:t xml:space="preserve">III, </w:t>
      </w:r>
      <w:r w:rsidRPr="006126B1">
        <w:rPr>
          <w:i/>
          <w:iCs/>
          <w:sz w:val="28"/>
          <w:szCs w:val="28"/>
        </w:rPr>
        <w:t>IV, V un VI sadaļa –</w:t>
      </w:r>
      <w:r>
        <w:rPr>
          <w:i/>
          <w:iCs/>
          <w:sz w:val="28"/>
          <w:szCs w:val="28"/>
        </w:rPr>
        <w:t xml:space="preserve"> P</w:t>
      </w:r>
      <w:r w:rsidRPr="006126B1">
        <w:rPr>
          <w:i/>
          <w:iCs/>
          <w:sz w:val="28"/>
          <w:szCs w:val="28"/>
        </w:rPr>
        <w:t xml:space="preserve">rojekts šīs jomas neskar. </w:t>
      </w:r>
    </w:p>
    <w:p w:rsidR="00285258" w:rsidRPr="00F00BC9" w:rsidRDefault="00285258" w:rsidP="00285258">
      <w:pPr>
        <w:spacing w:before="75" w:after="75"/>
        <w:outlineLvl w:val="0"/>
        <w:rPr>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3647"/>
        <w:gridCol w:w="4846"/>
      </w:tblGrid>
      <w:tr w:rsidR="00285258" w:rsidRPr="006126B1" w:rsidTr="00C752BF">
        <w:tc>
          <w:tcPr>
            <w:tcW w:w="5000" w:type="pct"/>
            <w:gridSpan w:val="3"/>
            <w:tcBorders>
              <w:top w:val="single" w:sz="4" w:space="0" w:color="auto"/>
            </w:tcBorders>
          </w:tcPr>
          <w:p w:rsidR="00285258" w:rsidRPr="006126B1" w:rsidRDefault="00285258" w:rsidP="00C752BF">
            <w:pPr>
              <w:pStyle w:val="naisnod"/>
              <w:spacing w:before="0" w:after="0"/>
              <w:ind w:left="-170" w:right="57"/>
              <w:rPr>
                <w:sz w:val="28"/>
                <w:szCs w:val="28"/>
              </w:rPr>
            </w:pPr>
            <w:r w:rsidRPr="006126B1">
              <w:rPr>
                <w:sz w:val="28"/>
                <w:szCs w:val="28"/>
              </w:rPr>
              <w:t>VII. Tiesību akta projekta izpildes nodrošināšana un tās ietekme uz institūcijām</w:t>
            </w:r>
          </w:p>
        </w:tc>
      </w:tr>
      <w:tr w:rsidR="00285258" w:rsidRPr="006126B1" w:rsidTr="00C752BF">
        <w:trPr>
          <w:trHeight w:val="427"/>
        </w:trPr>
        <w:tc>
          <w:tcPr>
            <w:tcW w:w="347" w:type="pct"/>
          </w:tcPr>
          <w:p w:rsidR="00285258" w:rsidRPr="006126B1" w:rsidRDefault="00285258" w:rsidP="00C752BF">
            <w:pPr>
              <w:pStyle w:val="naisnod"/>
              <w:spacing w:before="0" w:after="0"/>
              <w:ind w:left="57" w:right="57"/>
              <w:rPr>
                <w:b w:val="0"/>
                <w:sz w:val="28"/>
                <w:szCs w:val="28"/>
              </w:rPr>
            </w:pPr>
            <w:r w:rsidRPr="006126B1">
              <w:rPr>
                <w:b w:val="0"/>
                <w:sz w:val="28"/>
                <w:szCs w:val="28"/>
              </w:rPr>
              <w:t>1.</w:t>
            </w:r>
          </w:p>
        </w:tc>
        <w:tc>
          <w:tcPr>
            <w:tcW w:w="1998" w:type="pct"/>
          </w:tcPr>
          <w:p w:rsidR="00285258" w:rsidRPr="006126B1" w:rsidRDefault="00285258" w:rsidP="00C752BF">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5" w:type="pct"/>
          </w:tcPr>
          <w:p w:rsidR="00285258" w:rsidRPr="006126B1" w:rsidRDefault="00285258" w:rsidP="00C752BF">
            <w:pPr>
              <w:spacing w:before="75" w:after="75"/>
              <w:jc w:val="both"/>
              <w:rPr>
                <w:sz w:val="28"/>
                <w:szCs w:val="28"/>
              </w:rPr>
            </w:pPr>
            <w:r w:rsidRPr="006126B1">
              <w:rPr>
                <w:color w:val="000000"/>
                <w:sz w:val="28"/>
                <w:szCs w:val="28"/>
              </w:rPr>
              <w:t>Kultūras ministrija, Finanšu ministrija.</w:t>
            </w:r>
          </w:p>
        </w:tc>
      </w:tr>
      <w:tr w:rsidR="00285258" w:rsidRPr="006126B1" w:rsidTr="00C752BF">
        <w:trPr>
          <w:trHeight w:val="463"/>
        </w:trPr>
        <w:tc>
          <w:tcPr>
            <w:tcW w:w="347" w:type="pct"/>
          </w:tcPr>
          <w:p w:rsidR="00285258" w:rsidRPr="006126B1" w:rsidRDefault="00285258" w:rsidP="00C752BF">
            <w:pPr>
              <w:pStyle w:val="naisnod"/>
              <w:spacing w:before="0" w:after="0"/>
              <w:ind w:left="57" w:right="57"/>
              <w:rPr>
                <w:b w:val="0"/>
                <w:sz w:val="28"/>
                <w:szCs w:val="28"/>
              </w:rPr>
            </w:pPr>
            <w:r w:rsidRPr="006126B1">
              <w:rPr>
                <w:b w:val="0"/>
                <w:sz w:val="28"/>
                <w:szCs w:val="28"/>
              </w:rPr>
              <w:t>2.</w:t>
            </w:r>
          </w:p>
        </w:tc>
        <w:tc>
          <w:tcPr>
            <w:tcW w:w="1998" w:type="pct"/>
          </w:tcPr>
          <w:p w:rsidR="00285258" w:rsidRPr="006126B1" w:rsidRDefault="00285258" w:rsidP="00C752BF">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285258" w:rsidRPr="006126B1" w:rsidRDefault="00285258" w:rsidP="00C752BF">
            <w:pPr>
              <w:pStyle w:val="naisf"/>
              <w:spacing w:before="0" w:after="0"/>
              <w:ind w:left="57" w:right="57" w:firstLine="0"/>
              <w:jc w:val="left"/>
              <w:rPr>
                <w:sz w:val="28"/>
                <w:szCs w:val="28"/>
              </w:rPr>
            </w:pPr>
          </w:p>
          <w:p w:rsidR="00285258" w:rsidRPr="006126B1" w:rsidRDefault="00285258" w:rsidP="00C752BF">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5" w:type="pct"/>
          </w:tcPr>
          <w:p w:rsidR="00285258" w:rsidRPr="006126B1" w:rsidRDefault="00285258" w:rsidP="00C752BF">
            <w:pPr>
              <w:jc w:val="both"/>
              <w:rPr>
                <w:sz w:val="28"/>
                <w:szCs w:val="28"/>
              </w:rPr>
            </w:pPr>
            <w:r>
              <w:rPr>
                <w:sz w:val="28"/>
                <w:szCs w:val="28"/>
              </w:rPr>
              <w:t>P</w:t>
            </w:r>
            <w:r w:rsidRPr="008D4DEC">
              <w:rPr>
                <w:sz w:val="28"/>
                <w:szCs w:val="28"/>
              </w:rPr>
              <w:t>rojekts šo jomu neskar.</w:t>
            </w:r>
          </w:p>
        </w:tc>
      </w:tr>
      <w:tr w:rsidR="00285258" w:rsidRPr="006126B1" w:rsidTr="00C752BF">
        <w:trPr>
          <w:trHeight w:val="476"/>
        </w:trPr>
        <w:tc>
          <w:tcPr>
            <w:tcW w:w="347" w:type="pct"/>
          </w:tcPr>
          <w:p w:rsidR="00285258" w:rsidRPr="006126B1" w:rsidRDefault="00285258" w:rsidP="00C752BF">
            <w:pPr>
              <w:pStyle w:val="naiskr"/>
              <w:spacing w:before="0" w:after="0"/>
              <w:ind w:left="57" w:right="57"/>
              <w:jc w:val="center"/>
              <w:rPr>
                <w:sz w:val="28"/>
                <w:szCs w:val="28"/>
              </w:rPr>
            </w:pPr>
            <w:r w:rsidRPr="006126B1">
              <w:rPr>
                <w:sz w:val="28"/>
                <w:szCs w:val="28"/>
              </w:rPr>
              <w:t>3.</w:t>
            </w:r>
          </w:p>
        </w:tc>
        <w:tc>
          <w:tcPr>
            <w:tcW w:w="1998" w:type="pct"/>
          </w:tcPr>
          <w:p w:rsidR="00285258" w:rsidRPr="006126B1" w:rsidRDefault="00285258" w:rsidP="00C752BF">
            <w:pPr>
              <w:pStyle w:val="naiskr"/>
              <w:spacing w:before="0" w:after="0"/>
              <w:ind w:left="57" w:right="57"/>
              <w:rPr>
                <w:sz w:val="28"/>
                <w:szCs w:val="28"/>
              </w:rPr>
            </w:pPr>
            <w:r w:rsidRPr="006126B1">
              <w:rPr>
                <w:sz w:val="28"/>
                <w:szCs w:val="28"/>
              </w:rPr>
              <w:t>Cita informācija</w:t>
            </w:r>
          </w:p>
        </w:tc>
        <w:tc>
          <w:tcPr>
            <w:tcW w:w="2655" w:type="pct"/>
          </w:tcPr>
          <w:p w:rsidR="00285258" w:rsidRPr="006126B1" w:rsidRDefault="00285258" w:rsidP="00C752BF">
            <w:pPr>
              <w:spacing w:before="75" w:after="75"/>
              <w:rPr>
                <w:sz w:val="28"/>
                <w:szCs w:val="28"/>
              </w:rPr>
            </w:pPr>
            <w:r w:rsidRPr="006126B1">
              <w:rPr>
                <w:sz w:val="28"/>
                <w:szCs w:val="28"/>
              </w:rPr>
              <w:t> Nav</w:t>
            </w:r>
          </w:p>
        </w:tc>
      </w:tr>
    </w:tbl>
    <w:p w:rsidR="00285258" w:rsidRDefault="00285258" w:rsidP="00285258">
      <w:pPr>
        <w:tabs>
          <w:tab w:val="left" w:pos="6804"/>
        </w:tabs>
        <w:jc w:val="both"/>
        <w:rPr>
          <w:sz w:val="28"/>
          <w:szCs w:val="28"/>
        </w:rPr>
      </w:pPr>
      <w:bookmarkStart w:id="6" w:name="_GoBack"/>
      <w:bookmarkEnd w:id="6"/>
    </w:p>
    <w:p w:rsidR="00285258" w:rsidRPr="006126B1" w:rsidRDefault="00285258" w:rsidP="00285258">
      <w:pPr>
        <w:tabs>
          <w:tab w:val="left" w:pos="6804"/>
        </w:tabs>
        <w:jc w:val="both"/>
        <w:rPr>
          <w:sz w:val="28"/>
          <w:szCs w:val="28"/>
        </w:rPr>
      </w:pPr>
    </w:p>
    <w:p w:rsidR="00285258" w:rsidRPr="00330CA0" w:rsidRDefault="00285258" w:rsidP="00285258">
      <w:pPr>
        <w:tabs>
          <w:tab w:val="left" w:pos="6804"/>
        </w:tabs>
        <w:ind w:left="142"/>
        <w:jc w:val="both"/>
        <w:rPr>
          <w:sz w:val="28"/>
          <w:szCs w:val="28"/>
        </w:rPr>
      </w:pPr>
      <w:r w:rsidRPr="00330CA0">
        <w:rPr>
          <w:sz w:val="28"/>
          <w:szCs w:val="28"/>
        </w:rPr>
        <w:t>Kultūras ministr</w:t>
      </w:r>
      <w:r>
        <w:rPr>
          <w:sz w:val="28"/>
          <w:szCs w:val="28"/>
        </w:rPr>
        <w:t>e</w:t>
      </w:r>
      <w:r>
        <w:rPr>
          <w:sz w:val="28"/>
          <w:szCs w:val="28"/>
        </w:rPr>
        <w:tab/>
      </w:r>
      <w:r w:rsidRPr="00330CA0">
        <w:rPr>
          <w:sz w:val="28"/>
          <w:szCs w:val="28"/>
        </w:rPr>
        <w:t>D</w:t>
      </w:r>
      <w:r>
        <w:rPr>
          <w:sz w:val="28"/>
          <w:szCs w:val="28"/>
        </w:rPr>
        <w:t>.Melbārde</w:t>
      </w:r>
    </w:p>
    <w:p w:rsidR="00285258" w:rsidRPr="00330CA0" w:rsidRDefault="00285258" w:rsidP="00285258">
      <w:pPr>
        <w:tabs>
          <w:tab w:val="left" w:pos="6804"/>
        </w:tabs>
        <w:ind w:left="142"/>
        <w:jc w:val="both"/>
        <w:rPr>
          <w:sz w:val="28"/>
          <w:szCs w:val="28"/>
        </w:rPr>
      </w:pPr>
    </w:p>
    <w:p w:rsidR="00285258" w:rsidRPr="00330CA0" w:rsidRDefault="00285258" w:rsidP="00285258">
      <w:pPr>
        <w:tabs>
          <w:tab w:val="left" w:pos="6804"/>
        </w:tabs>
        <w:ind w:left="142"/>
        <w:rPr>
          <w:sz w:val="28"/>
          <w:szCs w:val="28"/>
        </w:rPr>
      </w:pPr>
      <w:r w:rsidRPr="00330CA0">
        <w:rPr>
          <w:sz w:val="28"/>
          <w:szCs w:val="28"/>
        </w:rPr>
        <w:t>Vīza: Valsts sekretār</w:t>
      </w:r>
      <w:r>
        <w:rPr>
          <w:sz w:val="28"/>
          <w:szCs w:val="28"/>
        </w:rPr>
        <w:t>s</w:t>
      </w:r>
      <w:r>
        <w:rPr>
          <w:sz w:val="28"/>
          <w:szCs w:val="28"/>
        </w:rPr>
        <w:tab/>
        <w:t>S.Voldiņš</w:t>
      </w:r>
    </w:p>
    <w:p w:rsidR="00285258" w:rsidRDefault="00285258" w:rsidP="00285258">
      <w:pPr>
        <w:pStyle w:val="ParastaisWeb"/>
        <w:spacing w:before="0" w:beforeAutospacing="0" w:after="0" w:afterAutospacing="0"/>
        <w:rPr>
          <w:sz w:val="22"/>
          <w:szCs w:val="22"/>
        </w:rPr>
      </w:pPr>
    </w:p>
    <w:p w:rsidR="00285258" w:rsidRDefault="00285258" w:rsidP="00285258">
      <w:pPr>
        <w:pStyle w:val="ParastaisWeb"/>
        <w:spacing w:before="0" w:beforeAutospacing="0" w:after="0" w:afterAutospacing="0"/>
        <w:rPr>
          <w:sz w:val="22"/>
          <w:szCs w:val="22"/>
        </w:rPr>
      </w:pPr>
    </w:p>
    <w:p w:rsidR="00285258" w:rsidRDefault="00285258" w:rsidP="00285258">
      <w:pPr>
        <w:pStyle w:val="ParastaisWeb"/>
        <w:spacing w:before="0" w:beforeAutospacing="0" w:after="0" w:afterAutospacing="0"/>
        <w:rPr>
          <w:sz w:val="22"/>
          <w:szCs w:val="22"/>
        </w:rPr>
      </w:pPr>
    </w:p>
    <w:p w:rsidR="00285258" w:rsidRDefault="00285258" w:rsidP="00285258">
      <w:pPr>
        <w:pStyle w:val="ParastaisWeb"/>
        <w:spacing w:before="0" w:beforeAutospacing="0" w:after="0" w:afterAutospacing="0"/>
        <w:rPr>
          <w:sz w:val="22"/>
          <w:szCs w:val="22"/>
        </w:rPr>
      </w:pPr>
    </w:p>
    <w:p w:rsidR="00CA0C6A" w:rsidRDefault="00CA0C6A" w:rsidP="00285258">
      <w:pPr>
        <w:pStyle w:val="ParastaisWeb"/>
        <w:spacing w:before="0" w:beforeAutospacing="0" w:after="0" w:afterAutospacing="0"/>
        <w:rPr>
          <w:sz w:val="22"/>
          <w:szCs w:val="22"/>
        </w:rPr>
      </w:pPr>
    </w:p>
    <w:p w:rsidR="00285258" w:rsidRDefault="00285258" w:rsidP="00285258">
      <w:pPr>
        <w:pStyle w:val="ParastaisWeb"/>
        <w:spacing w:before="0" w:beforeAutospacing="0" w:after="0" w:afterAutospacing="0"/>
        <w:rPr>
          <w:sz w:val="22"/>
          <w:szCs w:val="22"/>
        </w:rPr>
      </w:pPr>
    </w:p>
    <w:p w:rsidR="002378D3" w:rsidRDefault="002378D3" w:rsidP="00285258">
      <w:pPr>
        <w:pStyle w:val="ParastaisWeb"/>
        <w:spacing w:before="0" w:beforeAutospacing="0" w:after="0" w:afterAutospacing="0"/>
        <w:rPr>
          <w:sz w:val="22"/>
          <w:szCs w:val="22"/>
        </w:rPr>
      </w:pPr>
    </w:p>
    <w:p w:rsidR="00AF3FD3" w:rsidRDefault="00AF3FD3" w:rsidP="00285258">
      <w:pPr>
        <w:pStyle w:val="ParastaisWeb"/>
        <w:spacing w:before="0" w:beforeAutospacing="0" w:after="0" w:afterAutospacing="0"/>
        <w:rPr>
          <w:sz w:val="22"/>
          <w:szCs w:val="22"/>
        </w:rPr>
      </w:pPr>
    </w:p>
    <w:p w:rsidR="002378D3" w:rsidRDefault="002378D3" w:rsidP="00285258">
      <w:pPr>
        <w:pStyle w:val="ParastaisWeb"/>
        <w:spacing w:before="0" w:beforeAutospacing="0" w:after="0" w:afterAutospacing="0"/>
        <w:rPr>
          <w:sz w:val="22"/>
          <w:szCs w:val="22"/>
        </w:rPr>
      </w:pPr>
    </w:p>
    <w:p w:rsidR="007F0D07" w:rsidRDefault="007F0D07" w:rsidP="00285258">
      <w:pPr>
        <w:pStyle w:val="ParastaisWeb"/>
        <w:spacing w:before="0" w:beforeAutospacing="0" w:after="0" w:afterAutospacing="0"/>
        <w:rPr>
          <w:sz w:val="22"/>
          <w:szCs w:val="22"/>
        </w:rPr>
      </w:pPr>
    </w:p>
    <w:p w:rsidR="00285258" w:rsidRDefault="00285258" w:rsidP="00285258">
      <w:pPr>
        <w:pStyle w:val="ParastaisWeb"/>
        <w:spacing w:before="0" w:beforeAutospacing="0" w:after="0" w:afterAutospacing="0"/>
        <w:rPr>
          <w:sz w:val="22"/>
          <w:szCs w:val="22"/>
        </w:rPr>
      </w:pPr>
    </w:p>
    <w:p w:rsidR="00285258" w:rsidRDefault="00285258" w:rsidP="00285258">
      <w:pPr>
        <w:pStyle w:val="ParastaisWeb"/>
        <w:spacing w:before="0" w:beforeAutospacing="0" w:after="0" w:afterAutospacing="0"/>
        <w:rPr>
          <w:sz w:val="22"/>
          <w:szCs w:val="22"/>
        </w:rPr>
      </w:pPr>
    </w:p>
    <w:p w:rsidR="00285258" w:rsidRPr="007C5128" w:rsidRDefault="00285258" w:rsidP="00285258">
      <w:pPr>
        <w:pStyle w:val="ParastaisWeb"/>
        <w:spacing w:before="0" w:beforeAutospacing="0" w:after="0" w:afterAutospacing="0"/>
        <w:rPr>
          <w:sz w:val="22"/>
          <w:szCs w:val="22"/>
        </w:rPr>
      </w:pPr>
    </w:p>
    <w:p w:rsidR="00285258" w:rsidRPr="00CA0C6A" w:rsidRDefault="00285258" w:rsidP="00285258">
      <w:pPr>
        <w:pStyle w:val="Galvene"/>
        <w:tabs>
          <w:tab w:val="left" w:pos="780"/>
        </w:tabs>
        <w:rPr>
          <w:sz w:val="20"/>
          <w:szCs w:val="20"/>
        </w:rPr>
      </w:pPr>
      <w:bookmarkStart w:id="7" w:name="OLE_LINK16"/>
      <w:bookmarkStart w:id="8" w:name="OLE_LINK17"/>
      <w:bookmarkStart w:id="9" w:name="OLE_LINK6"/>
      <w:bookmarkStart w:id="10" w:name="OLE_LINK9"/>
      <w:bookmarkStart w:id="11" w:name="OLE_LINK14"/>
      <w:bookmarkStart w:id="12" w:name="OLE_LINK15"/>
      <w:r w:rsidRPr="00CA0C6A">
        <w:rPr>
          <w:sz w:val="20"/>
          <w:szCs w:val="20"/>
        </w:rPr>
        <w:t>Turlaja</w:t>
      </w:r>
      <w:bookmarkEnd w:id="7"/>
      <w:bookmarkEnd w:id="8"/>
      <w:r w:rsidRPr="00CA0C6A">
        <w:rPr>
          <w:sz w:val="20"/>
          <w:szCs w:val="20"/>
        </w:rPr>
        <w:t xml:space="preserve">, </w:t>
      </w:r>
      <w:bookmarkStart w:id="13" w:name="OLE_LINK11"/>
      <w:bookmarkStart w:id="14" w:name="OLE_LINK12"/>
      <w:bookmarkStart w:id="15" w:name="OLE_LINK19"/>
      <w:bookmarkStart w:id="16" w:name="OLE_LINK20"/>
      <w:r w:rsidRPr="00CA0C6A">
        <w:rPr>
          <w:sz w:val="20"/>
          <w:szCs w:val="20"/>
        </w:rPr>
        <w:t>67330250</w:t>
      </w:r>
    </w:p>
    <w:bookmarkEnd w:id="9"/>
    <w:bookmarkEnd w:id="10"/>
    <w:bookmarkEnd w:id="11"/>
    <w:bookmarkEnd w:id="12"/>
    <w:p w:rsidR="00285258" w:rsidRPr="00CA0C6A" w:rsidRDefault="00F446D5" w:rsidP="00285258">
      <w:pPr>
        <w:tabs>
          <w:tab w:val="left" w:pos="7425"/>
        </w:tabs>
        <w:rPr>
          <w:sz w:val="20"/>
          <w:szCs w:val="20"/>
        </w:rPr>
      </w:pPr>
      <w:r w:rsidRPr="00CA0C6A">
        <w:rPr>
          <w:sz w:val="20"/>
          <w:szCs w:val="20"/>
        </w:rPr>
        <w:fldChar w:fldCharType="begin"/>
      </w:r>
      <w:r w:rsidR="00285258" w:rsidRPr="00CA0C6A">
        <w:rPr>
          <w:sz w:val="20"/>
          <w:szCs w:val="20"/>
        </w:rPr>
        <w:instrText xml:space="preserve"> HYPERLINK "mailto:Laura.Turlaja@km.gov.lv" </w:instrText>
      </w:r>
      <w:r w:rsidRPr="00CA0C6A">
        <w:rPr>
          <w:sz w:val="20"/>
          <w:szCs w:val="20"/>
        </w:rPr>
        <w:fldChar w:fldCharType="separate"/>
      </w:r>
      <w:r w:rsidR="00285258" w:rsidRPr="00CA0C6A">
        <w:rPr>
          <w:rStyle w:val="Hipersaite"/>
          <w:sz w:val="20"/>
          <w:szCs w:val="20"/>
        </w:rPr>
        <w:t>Laura.Turlaja@km.gov.lv</w:t>
      </w:r>
      <w:r w:rsidRPr="00CA0C6A">
        <w:rPr>
          <w:sz w:val="20"/>
          <w:szCs w:val="20"/>
        </w:rPr>
        <w:fldChar w:fldCharType="end"/>
      </w:r>
      <w:r w:rsidR="00285258" w:rsidRPr="00CA0C6A">
        <w:rPr>
          <w:sz w:val="20"/>
          <w:szCs w:val="20"/>
        </w:rPr>
        <w:t xml:space="preserve"> </w:t>
      </w:r>
      <w:bookmarkEnd w:id="13"/>
      <w:bookmarkEnd w:id="14"/>
    </w:p>
    <w:bookmarkEnd w:id="15"/>
    <w:bookmarkEnd w:id="16"/>
    <w:p w:rsidR="000610F6" w:rsidRDefault="000610F6"/>
    <w:sectPr w:rsidR="000610F6" w:rsidSect="00C752BF">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D3" w:rsidRDefault="00AF3FD3" w:rsidP="008B0783">
      <w:r>
        <w:separator/>
      </w:r>
    </w:p>
  </w:endnote>
  <w:endnote w:type="continuationSeparator" w:id="0">
    <w:p w:rsidR="00AF3FD3" w:rsidRDefault="00AF3FD3" w:rsidP="008B07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D3" w:rsidRPr="00CA0C6A" w:rsidRDefault="00AF3FD3" w:rsidP="00C752BF">
    <w:pPr>
      <w:pStyle w:val="ParastaisWeb"/>
      <w:spacing w:before="0" w:beforeAutospacing="0" w:after="0" w:afterAutospacing="0"/>
      <w:ind w:left="-142"/>
      <w:jc w:val="both"/>
      <w:rPr>
        <w:bCs/>
        <w:sz w:val="20"/>
        <w:szCs w:val="20"/>
      </w:rPr>
    </w:pPr>
    <w:r w:rsidRPr="00CA0C6A">
      <w:rPr>
        <w:sz w:val="20"/>
        <w:szCs w:val="20"/>
      </w:rPr>
      <w:t>KMAnot_</w:t>
    </w:r>
    <w:r w:rsidR="00AC5383">
      <w:rPr>
        <w:sz w:val="20"/>
        <w:szCs w:val="20"/>
      </w:rPr>
      <w:t>15</w:t>
    </w:r>
    <w:r>
      <w:rPr>
        <w:sz w:val="20"/>
        <w:szCs w:val="20"/>
      </w:rPr>
      <w:t>02</w:t>
    </w:r>
    <w:r w:rsidRPr="00CA0C6A">
      <w:rPr>
        <w:sz w:val="20"/>
        <w:szCs w:val="20"/>
      </w:rPr>
      <w:t>17_UNESCO_IFCD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D3" w:rsidRPr="00CA0C6A" w:rsidRDefault="00AC5383" w:rsidP="00CA0C6A">
    <w:pPr>
      <w:pStyle w:val="ParastaisWeb"/>
      <w:spacing w:before="0" w:beforeAutospacing="0" w:after="0" w:afterAutospacing="0"/>
      <w:ind w:left="-142"/>
      <w:jc w:val="both"/>
      <w:rPr>
        <w:bCs/>
        <w:sz w:val="20"/>
        <w:szCs w:val="20"/>
      </w:rPr>
    </w:pPr>
    <w:r>
      <w:rPr>
        <w:sz w:val="20"/>
        <w:szCs w:val="20"/>
      </w:rPr>
      <w:t>KMAnot_15</w:t>
    </w:r>
    <w:r w:rsidR="00AF3FD3">
      <w:rPr>
        <w:sz w:val="20"/>
        <w:szCs w:val="20"/>
      </w:rPr>
      <w:t>02</w:t>
    </w:r>
    <w:r w:rsidR="00AF3FD3" w:rsidRPr="00CA0C6A">
      <w:rPr>
        <w:sz w:val="20"/>
        <w:szCs w:val="20"/>
      </w:rPr>
      <w:t>17_UNESCO_IFCD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D3" w:rsidRDefault="00AF3FD3" w:rsidP="008B0783">
      <w:r>
        <w:separator/>
      </w:r>
    </w:p>
  </w:footnote>
  <w:footnote w:type="continuationSeparator" w:id="0">
    <w:p w:rsidR="00AF3FD3" w:rsidRDefault="00AF3FD3" w:rsidP="008B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D3" w:rsidRDefault="00F446D5" w:rsidP="00C752BF">
    <w:pPr>
      <w:pStyle w:val="Galvene"/>
      <w:framePr w:wrap="around" w:vAnchor="text" w:hAnchor="margin" w:xAlign="center" w:y="1"/>
      <w:rPr>
        <w:rStyle w:val="Lappusesnumurs"/>
      </w:rPr>
    </w:pPr>
    <w:r>
      <w:rPr>
        <w:rStyle w:val="Lappusesnumurs"/>
      </w:rPr>
      <w:fldChar w:fldCharType="begin"/>
    </w:r>
    <w:r w:rsidR="00AF3FD3">
      <w:rPr>
        <w:rStyle w:val="Lappusesnumurs"/>
      </w:rPr>
      <w:instrText xml:space="preserve">PAGE  </w:instrText>
    </w:r>
    <w:r>
      <w:rPr>
        <w:rStyle w:val="Lappusesnumurs"/>
      </w:rPr>
      <w:fldChar w:fldCharType="end"/>
    </w:r>
  </w:p>
  <w:p w:rsidR="00AF3FD3" w:rsidRDefault="00AF3FD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D3" w:rsidRPr="00E37EAB" w:rsidRDefault="00F446D5" w:rsidP="00C752BF">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AF3FD3" w:rsidRPr="00E37EAB">
      <w:rPr>
        <w:rStyle w:val="Lappusesnumurs"/>
        <w:sz w:val="22"/>
        <w:szCs w:val="22"/>
      </w:rPr>
      <w:instrText xml:space="preserve">PAGE  </w:instrText>
    </w:r>
    <w:r w:rsidRPr="00E37EAB">
      <w:rPr>
        <w:rStyle w:val="Lappusesnumurs"/>
        <w:sz w:val="22"/>
        <w:szCs w:val="22"/>
      </w:rPr>
      <w:fldChar w:fldCharType="separate"/>
    </w:r>
    <w:r w:rsidR="00DB47FD">
      <w:rPr>
        <w:rStyle w:val="Lappusesnumurs"/>
        <w:noProof/>
        <w:sz w:val="22"/>
        <w:szCs w:val="22"/>
      </w:rPr>
      <w:t>3</w:t>
    </w:r>
    <w:r w:rsidRPr="00E37EAB">
      <w:rPr>
        <w:rStyle w:val="Lappusesnumurs"/>
        <w:sz w:val="22"/>
        <w:szCs w:val="22"/>
      </w:rPr>
      <w:fldChar w:fldCharType="end"/>
    </w:r>
  </w:p>
  <w:p w:rsidR="00AF3FD3" w:rsidRDefault="00AF3FD3">
    <w:pPr>
      <w:pStyle w:val="Galvene"/>
    </w:pPr>
  </w:p>
  <w:p w:rsidR="00AF3FD3" w:rsidRDefault="00AF3FD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5258"/>
    <w:rsid w:val="000610F6"/>
    <w:rsid w:val="000D28D4"/>
    <w:rsid w:val="0014438F"/>
    <w:rsid w:val="0018178D"/>
    <w:rsid w:val="002378D3"/>
    <w:rsid w:val="002426E9"/>
    <w:rsid w:val="00285258"/>
    <w:rsid w:val="003325B3"/>
    <w:rsid w:val="00346927"/>
    <w:rsid w:val="00353677"/>
    <w:rsid w:val="00367FAE"/>
    <w:rsid w:val="003A5F96"/>
    <w:rsid w:val="00401576"/>
    <w:rsid w:val="00456487"/>
    <w:rsid w:val="00480100"/>
    <w:rsid w:val="005530A5"/>
    <w:rsid w:val="005D7CC2"/>
    <w:rsid w:val="006F13AC"/>
    <w:rsid w:val="00764858"/>
    <w:rsid w:val="007C6336"/>
    <w:rsid w:val="007E66C8"/>
    <w:rsid w:val="007F0D07"/>
    <w:rsid w:val="00871CF4"/>
    <w:rsid w:val="008B0783"/>
    <w:rsid w:val="00A22CCB"/>
    <w:rsid w:val="00AC5383"/>
    <w:rsid w:val="00AD4013"/>
    <w:rsid w:val="00AF3FD3"/>
    <w:rsid w:val="00B07EC1"/>
    <w:rsid w:val="00B27167"/>
    <w:rsid w:val="00B27E8C"/>
    <w:rsid w:val="00B673F8"/>
    <w:rsid w:val="00B715F7"/>
    <w:rsid w:val="00BA630A"/>
    <w:rsid w:val="00C45983"/>
    <w:rsid w:val="00C752BF"/>
    <w:rsid w:val="00C96CB4"/>
    <w:rsid w:val="00CA0C6A"/>
    <w:rsid w:val="00CA7886"/>
    <w:rsid w:val="00D97A86"/>
    <w:rsid w:val="00DB47FD"/>
    <w:rsid w:val="00ED108E"/>
    <w:rsid w:val="00EF723D"/>
    <w:rsid w:val="00F446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8525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285258"/>
    <w:pPr>
      <w:tabs>
        <w:tab w:val="center" w:pos="4153"/>
        <w:tab w:val="right" w:pos="8306"/>
      </w:tabs>
    </w:pPr>
  </w:style>
  <w:style w:type="character" w:customStyle="1" w:styleId="GalveneRakstz">
    <w:name w:val="Galvene Rakstz."/>
    <w:aliases w:val="18pt Bold Rakstz."/>
    <w:basedOn w:val="Noklusjumarindkopasfonts"/>
    <w:link w:val="Galvene"/>
    <w:uiPriority w:val="99"/>
    <w:rsid w:val="00285258"/>
    <w:rPr>
      <w:rFonts w:ascii="Times New Roman" w:eastAsia="Times New Roman" w:hAnsi="Times New Roman" w:cs="Times New Roman"/>
      <w:sz w:val="24"/>
      <w:szCs w:val="24"/>
      <w:lang w:eastAsia="lv-LV"/>
    </w:rPr>
  </w:style>
  <w:style w:type="character" w:styleId="Lappusesnumurs">
    <w:name w:val="page number"/>
    <w:basedOn w:val="Noklusjumarindkopasfonts"/>
    <w:rsid w:val="00285258"/>
  </w:style>
  <w:style w:type="paragraph" w:customStyle="1" w:styleId="naisf">
    <w:name w:val="naisf"/>
    <w:basedOn w:val="Parastais"/>
    <w:rsid w:val="00285258"/>
    <w:pPr>
      <w:spacing w:before="75" w:after="75"/>
      <w:ind w:firstLine="375"/>
      <w:jc w:val="both"/>
    </w:pPr>
  </w:style>
  <w:style w:type="paragraph" w:customStyle="1" w:styleId="naisnod">
    <w:name w:val="naisnod"/>
    <w:basedOn w:val="Parastais"/>
    <w:rsid w:val="00285258"/>
    <w:pPr>
      <w:spacing w:before="150" w:after="150"/>
      <w:jc w:val="center"/>
    </w:pPr>
    <w:rPr>
      <w:b/>
      <w:bCs/>
    </w:rPr>
  </w:style>
  <w:style w:type="paragraph" w:customStyle="1" w:styleId="naiskr">
    <w:name w:val="naiskr"/>
    <w:basedOn w:val="Parastais"/>
    <w:rsid w:val="00285258"/>
    <w:pPr>
      <w:spacing w:before="75" w:after="75"/>
    </w:pPr>
  </w:style>
  <w:style w:type="character" w:styleId="Hipersaite">
    <w:name w:val="Hyperlink"/>
    <w:rsid w:val="00285258"/>
    <w:rPr>
      <w:color w:val="0000FF"/>
      <w:u w:val="single"/>
    </w:rPr>
  </w:style>
  <w:style w:type="paragraph" w:styleId="ParastaisWeb">
    <w:name w:val="Normal (Web)"/>
    <w:basedOn w:val="Parastais"/>
    <w:link w:val="ParastaisWebRakstz"/>
    <w:rsid w:val="00285258"/>
    <w:pPr>
      <w:spacing w:before="100" w:beforeAutospacing="1" w:after="100" w:afterAutospacing="1"/>
    </w:pPr>
  </w:style>
  <w:style w:type="character" w:customStyle="1" w:styleId="ParastaisWebRakstz">
    <w:name w:val="Parastais (Web) Rakstz."/>
    <w:link w:val="ParastaisWeb"/>
    <w:rsid w:val="00285258"/>
    <w:rPr>
      <w:rFonts w:ascii="Times New Roman" w:eastAsia="Times New Roman" w:hAnsi="Times New Roman" w:cs="Times New Roman"/>
      <w:sz w:val="24"/>
      <w:szCs w:val="24"/>
      <w:lang w:eastAsia="lv-LV"/>
    </w:rPr>
  </w:style>
  <w:style w:type="character" w:customStyle="1" w:styleId="Bodytext11">
    <w:name w:val="Body text (11)_"/>
    <w:link w:val="Bodytext110"/>
    <w:rsid w:val="00285258"/>
    <w:rPr>
      <w:sz w:val="21"/>
      <w:szCs w:val="21"/>
      <w:shd w:val="clear" w:color="auto" w:fill="FFFFFF"/>
    </w:rPr>
  </w:style>
  <w:style w:type="paragraph" w:customStyle="1" w:styleId="Bodytext110">
    <w:name w:val="Body text (11)"/>
    <w:basedOn w:val="Parastais"/>
    <w:link w:val="Bodytext11"/>
    <w:rsid w:val="00285258"/>
    <w:pPr>
      <w:shd w:val="clear" w:color="auto" w:fill="FFFFFF"/>
      <w:spacing w:line="274" w:lineRule="exact"/>
      <w:ind w:hanging="360"/>
      <w:jc w:val="right"/>
    </w:pPr>
    <w:rPr>
      <w:rFonts w:asciiTheme="minorHAnsi" w:eastAsiaTheme="minorHAnsi" w:hAnsiTheme="minorHAnsi" w:cstheme="minorBidi"/>
      <w:sz w:val="21"/>
      <w:szCs w:val="21"/>
      <w:lang w:eastAsia="en-US"/>
    </w:rPr>
  </w:style>
  <w:style w:type="paragraph" w:styleId="Kjene">
    <w:name w:val="footer"/>
    <w:basedOn w:val="Parastais"/>
    <w:link w:val="KjeneRakstz"/>
    <w:uiPriority w:val="99"/>
    <w:semiHidden/>
    <w:unhideWhenUsed/>
    <w:rsid w:val="00B715F7"/>
    <w:pPr>
      <w:tabs>
        <w:tab w:val="center" w:pos="4153"/>
        <w:tab w:val="right" w:pos="8306"/>
      </w:tabs>
    </w:pPr>
  </w:style>
  <w:style w:type="character" w:customStyle="1" w:styleId="KjeneRakstz">
    <w:name w:val="Kājene Rakstz."/>
    <w:basedOn w:val="Noklusjumarindkopasfonts"/>
    <w:link w:val="Kjene"/>
    <w:uiPriority w:val="99"/>
    <w:semiHidden/>
    <w:rsid w:val="00B715F7"/>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CA78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7886"/>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1309-par-valsts-budzetu-2015-gada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4935</Words>
  <Characters>2814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pamatbudžeta apropriācijas pārdali Kultūras ministrijas programmas 22.00.00 „Kultūras projekti un investīcijas” apakšprogrammā 22.02.00 „Kultūras pasākumi, sadarbības līgumi un programmas”” sākotnējās ietekmes novērtējuma ziņojums (anotācija)</dc:title>
  <dc:subject>Anotācija</dc:subject>
  <dc:creator>Laura Turlaja</dc:creator>
  <cp:keywords>KMAnot_150217_UNESCO_IFCD</cp:keywords>
  <dc:description>67330250
Laura.Turlaja@km.gov.lv </dc:description>
  <cp:lastModifiedBy>Dzintra Rozīte</cp:lastModifiedBy>
  <cp:revision>9</cp:revision>
  <dcterms:created xsi:type="dcterms:W3CDTF">2017-01-11T14:08:00Z</dcterms:created>
  <dcterms:modified xsi:type="dcterms:W3CDTF">2017-02-16T09:12:00Z</dcterms:modified>
</cp:coreProperties>
</file>