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E0DE" w14:textId="4A020C11" w:rsidR="001C7750" w:rsidRPr="00992DE1" w:rsidRDefault="001C7750" w:rsidP="00346F24">
      <w:pPr>
        <w:pStyle w:val="tv2121"/>
        <w:spacing w:before="0" w:line="240" w:lineRule="auto"/>
        <w:rPr>
          <w:rFonts w:ascii="Times New Roman" w:hAnsi="Times New Roman"/>
          <w:sz w:val="24"/>
          <w:szCs w:val="24"/>
        </w:rPr>
      </w:pPr>
      <w:bookmarkStart w:id="0" w:name="372832"/>
      <w:r w:rsidRPr="00992DE1">
        <w:rPr>
          <w:rFonts w:ascii="Times New Roman" w:hAnsi="Times New Roman"/>
          <w:bCs w:val="0"/>
          <w:sz w:val="24"/>
          <w:szCs w:val="24"/>
        </w:rPr>
        <w:t>Ministru kabineta noteikumu</w:t>
      </w:r>
      <w:bookmarkEnd w:id="0"/>
      <w:r w:rsidRPr="00992DE1">
        <w:rPr>
          <w:rFonts w:ascii="Times New Roman" w:hAnsi="Times New Roman"/>
          <w:bCs w:val="0"/>
          <w:sz w:val="24"/>
          <w:szCs w:val="24"/>
        </w:rPr>
        <w:t xml:space="preserve"> “</w:t>
      </w:r>
      <w:r w:rsidRPr="00992DE1">
        <w:rPr>
          <w:rFonts w:ascii="Times New Roman" w:hAnsi="Times New Roman"/>
          <w:sz w:val="24"/>
          <w:szCs w:val="24"/>
        </w:rPr>
        <w:t>Grozījumi “Ministru kabineta 2015.gada 28.aprīļa noteikumos Nr.207 “Darbības programmas “Izaugsme un nodarbinātība” 7.2.1.</w:t>
      </w:r>
      <w:r w:rsidR="00D6708E" w:rsidRPr="00992DE1">
        <w:rPr>
          <w:rFonts w:ascii="Times New Roman" w:hAnsi="Times New Roman"/>
          <w:sz w:val="24"/>
          <w:szCs w:val="24"/>
        </w:rPr>
        <w:t> </w:t>
      </w:r>
      <w:r w:rsidRPr="00992DE1">
        <w:rPr>
          <w:rFonts w:ascii="Times New Roman" w:hAnsi="Times New Roman"/>
          <w:sz w:val="24"/>
          <w:szCs w:val="24"/>
        </w:rPr>
        <w:t xml:space="preserve">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Pr="00992DE1">
        <w:rPr>
          <w:rFonts w:ascii="Times New Roman" w:hAnsi="Times New Roman"/>
          <w:bCs w:val="0"/>
          <w:sz w:val="24"/>
          <w:szCs w:val="24"/>
        </w:rPr>
        <w:t>projekta</w:t>
      </w:r>
      <w:r w:rsidRPr="00992DE1">
        <w:rPr>
          <w:rFonts w:ascii="Times New Roman" w:hAnsi="Times New Roman"/>
          <w:sz w:val="24"/>
          <w:szCs w:val="24"/>
        </w:rPr>
        <w:t xml:space="preserve"> sākotnējās ietekmes novērtējuma ziņojums (anotācija)</w:t>
      </w:r>
    </w:p>
    <w:p w14:paraId="44806A1B" w14:textId="77777777" w:rsidR="002E153C" w:rsidRPr="00992DE1" w:rsidRDefault="002E153C" w:rsidP="00346F24">
      <w:pPr>
        <w:jc w:val="center"/>
        <w:rPr>
          <w:b/>
        </w:rPr>
      </w:pPr>
    </w:p>
    <w:tbl>
      <w:tblPr>
        <w:tblW w:w="555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411"/>
        <w:gridCol w:w="6658"/>
      </w:tblGrid>
      <w:tr w:rsidR="00F81B5A" w:rsidRPr="00992DE1" w14:paraId="218CA3C3" w14:textId="77777777" w:rsidTr="005A1038">
        <w:tc>
          <w:tcPr>
            <w:tcW w:w="5000" w:type="pct"/>
            <w:gridSpan w:val="3"/>
            <w:shd w:val="clear" w:color="auto" w:fill="auto"/>
          </w:tcPr>
          <w:p w14:paraId="0D737643" w14:textId="77777777" w:rsidR="002E153C" w:rsidRPr="00992DE1" w:rsidRDefault="002E153C" w:rsidP="00346F24">
            <w:pPr>
              <w:jc w:val="center"/>
              <w:rPr>
                <w:b/>
              </w:rPr>
            </w:pPr>
            <w:r w:rsidRPr="00992DE1">
              <w:rPr>
                <w:b/>
              </w:rPr>
              <w:t xml:space="preserve">I. Tiesību </w:t>
            </w:r>
            <w:smartTag w:uri="schemas-tilde-lv/tildestengine" w:element="veidnes">
              <w:smartTagPr>
                <w:attr w:name="text" w:val="akta"/>
                <w:attr w:name="id" w:val="-1"/>
                <w:attr w:name="baseform" w:val="akt|s"/>
              </w:smartTagPr>
              <w:r w:rsidRPr="00992DE1">
                <w:rPr>
                  <w:b/>
                </w:rPr>
                <w:t>akta</w:t>
              </w:r>
            </w:smartTag>
            <w:r w:rsidRPr="00992DE1">
              <w:rPr>
                <w:b/>
              </w:rPr>
              <w:t xml:space="preserve"> projekta izstrādes nepieciešamība</w:t>
            </w:r>
          </w:p>
        </w:tc>
      </w:tr>
      <w:tr w:rsidR="00F81B5A" w:rsidRPr="00992DE1" w14:paraId="03E453AF" w14:textId="77777777" w:rsidTr="005A1038">
        <w:trPr>
          <w:trHeight w:val="4149"/>
        </w:trPr>
        <w:tc>
          <w:tcPr>
            <w:tcW w:w="295" w:type="pct"/>
            <w:shd w:val="clear" w:color="auto" w:fill="auto"/>
          </w:tcPr>
          <w:p w14:paraId="2B7324E4" w14:textId="77777777" w:rsidR="002E153C" w:rsidRPr="00992DE1" w:rsidRDefault="002E153C" w:rsidP="00346F24">
            <w:r w:rsidRPr="00992DE1">
              <w:t>1.</w:t>
            </w:r>
          </w:p>
        </w:tc>
        <w:tc>
          <w:tcPr>
            <w:tcW w:w="1251" w:type="pct"/>
            <w:shd w:val="clear" w:color="auto" w:fill="auto"/>
          </w:tcPr>
          <w:p w14:paraId="7B5B0961" w14:textId="77777777" w:rsidR="002E153C" w:rsidRPr="00992DE1" w:rsidRDefault="002E153C" w:rsidP="00346F24">
            <w:r w:rsidRPr="00992DE1">
              <w:t>Pamatojums</w:t>
            </w:r>
          </w:p>
        </w:tc>
        <w:tc>
          <w:tcPr>
            <w:tcW w:w="3455" w:type="pct"/>
            <w:shd w:val="clear" w:color="auto" w:fill="auto"/>
          </w:tcPr>
          <w:p w14:paraId="01D7EF8E" w14:textId="77777777" w:rsidR="00334C9B" w:rsidRPr="00992DE1" w:rsidRDefault="007B1898" w:rsidP="00E54FEC">
            <w:pPr>
              <w:jc w:val="both"/>
              <w:rPr>
                <w:bCs/>
                <w:shd w:val="clear" w:color="auto" w:fill="FFFFFF"/>
              </w:rPr>
            </w:pPr>
            <w:r w:rsidRPr="00992DE1">
              <w:rPr>
                <w:bCs/>
                <w:shd w:val="clear" w:color="auto" w:fill="FFFFFF"/>
              </w:rPr>
              <w:t>Ministru kabineta (turpmāk - MK) noteikumu projekts “Grozījumi “Ministru kabineta 2015.gada 28.aprīļa noteikumos Nr.207 “Darbības programmas “Izaugsme un nodarbinātība” 7.2.1.</w:t>
            </w:r>
            <w:r w:rsidR="00D6708E" w:rsidRPr="00992DE1">
              <w:rPr>
                <w:bCs/>
                <w:shd w:val="clear" w:color="auto" w:fill="FFFFFF"/>
              </w:rPr>
              <w:t xml:space="preserve"> </w:t>
            </w:r>
            <w:r w:rsidRPr="00992DE1">
              <w:rPr>
                <w:bCs/>
                <w:shd w:val="clear" w:color="auto" w:fill="FFFFFF"/>
              </w:rPr>
              <w:t xml:space="preserve">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w:t>
            </w:r>
            <w:r w:rsidR="00D6708E" w:rsidRPr="00992DE1">
              <w:rPr>
                <w:bCs/>
                <w:shd w:val="clear" w:color="auto" w:fill="FFFFFF"/>
              </w:rPr>
              <w:t>-</w:t>
            </w:r>
            <w:r w:rsidRPr="00992DE1">
              <w:rPr>
                <w:bCs/>
                <w:shd w:val="clear" w:color="auto" w:fill="FFFFFF"/>
              </w:rPr>
              <w:t xml:space="preserve"> MK noteikumu projekts) izstrādāts saskaņā ar</w:t>
            </w:r>
            <w:r w:rsidR="00334C9B" w:rsidRPr="00992DE1">
              <w:rPr>
                <w:bCs/>
                <w:shd w:val="clear" w:color="auto" w:fill="FFFFFF"/>
              </w:rPr>
              <w:t>:</w:t>
            </w:r>
          </w:p>
          <w:p w14:paraId="0E60D09B" w14:textId="0C9229ED" w:rsidR="00B71F18" w:rsidRPr="00992DE1" w:rsidRDefault="00334C9B" w:rsidP="00E54FEC">
            <w:pPr>
              <w:jc w:val="both"/>
              <w:rPr>
                <w:bCs/>
                <w:shd w:val="clear" w:color="auto" w:fill="FFFFFF"/>
              </w:rPr>
            </w:pPr>
            <w:r w:rsidRPr="00992DE1">
              <w:rPr>
                <w:bCs/>
                <w:shd w:val="clear" w:color="auto" w:fill="FFFFFF"/>
              </w:rPr>
              <w:t>-</w:t>
            </w:r>
            <w:r w:rsidR="007B1898" w:rsidRPr="00992DE1">
              <w:rPr>
                <w:bCs/>
                <w:shd w:val="clear" w:color="auto" w:fill="FFFFFF"/>
              </w:rPr>
              <w:t xml:space="preserve"> Labklājības ministrijas (turpmāk </w:t>
            </w:r>
            <w:r w:rsidR="00D6708E" w:rsidRPr="00992DE1">
              <w:rPr>
                <w:bCs/>
                <w:shd w:val="clear" w:color="auto" w:fill="FFFFFF"/>
              </w:rPr>
              <w:t>-</w:t>
            </w:r>
            <w:r w:rsidR="007B1898" w:rsidRPr="00992DE1">
              <w:rPr>
                <w:bCs/>
                <w:shd w:val="clear" w:color="auto" w:fill="FFFFFF"/>
              </w:rPr>
              <w:t xml:space="preserve"> LM) rosinātajiem grozījumiem MK 2011.gada 25.janvāra noteikumos Nr.75 “Noteikumi par aktīvo nodarbinātības pasākumu un preventīvo bezdarba samazināšanas pasākumu organizēšanas un finansēšanas kārtību un pasākumu īstenotāju izvēles principiem” (izsludināti valsts sekretāru sanāksmē </w:t>
            </w:r>
            <w:r w:rsidR="00E13834" w:rsidRPr="00992DE1">
              <w:rPr>
                <w:bCs/>
                <w:shd w:val="clear" w:color="auto" w:fill="FFFFFF"/>
              </w:rPr>
              <w:t xml:space="preserve">2016.gada </w:t>
            </w:r>
            <w:r w:rsidR="00346F24" w:rsidRPr="00992DE1">
              <w:rPr>
                <w:bCs/>
                <w:shd w:val="clear" w:color="auto" w:fill="FFFFFF"/>
              </w:rPr>
              <w:t>13</w:t>
            </w:r>
            <w:r w:rsidR="00EB2B65" w:rsidRPr="00992DE1">
              <w:rPr>
                <w:bCs/>
                <w:shd w:val="clear" w:color="auto" w:fill="FFFFFF"/>
              </w:rPr>
              <w:t>.oktobrī,  VSS</w:t>
            </w:r>
            <w:r w:rsidR="00EB2B65" w:rsidRPr="00992DE1">
              <w:rPr>
                <w:bCs/>
                <w:shd w:val="clear" w:color="auto" w:fill="FFFFFF"/>
              </w:rPr>
              <w:noBreakHyphen/>
            </w:r>
            <w:r w:rsidR="00CD169D" w:rsidRPr="00992DE1">
              <w:rPr>
                <w:bCs/>
                <w:shd w:val="clear" w:color="auto" w:fill="FFFFFF"/>
              </w:rPr>
              <w:t>968</w:t>
            </w:r>
            <w:r w:rsidR="00E54FEC" w:rsidRPr="00992DE1">
              <w:rPr>
                <w:bCs/>
                <w:shd w:val="clear" w:color="auto" w:fill="FFFFFF"/>
              </w:rPr>
              <w:t xml:space="preserve">, </w:t>
            </w:r>
            <w:r w:rsidR="00346F24" w:rsidRPr="00992DE1">
              <w:rPr>
                <w:bCs/>
                <w:shd w:val="clear" w:color="auto" w:fill="FFFFFF"/>
              </w:rPr>
              <w:t xml:space="preserve">turpmāk </w:t>
            </w:r>
            <w:r w:rsidR="00D6708E" w:rsidRPr="00992DE1">
              <w:rPr>
                <w:bCs/>
                <w:shd w:val="clear" w:color="auto" w:fill="FFFFFF"/>
              </w:rPr>
              <w:t>-</w:t>
            </w:r>
            <w:r w:rsidR="00346F24" w:rsidRPr="00992DE1">
              <w:rPr>
                <w:bCs/>
                <w:shd w:val="clear" w:color="auto" w:fill="FFFFFF"/>
              </w:rPr>
              <w:t xml:space="preserve"> grozījumi MK noteikumos Nr.75)</w:t>
            </w:r>
            <w:r w:rsidRPr="00992DE1">
              <w:rPr>
                <w:bCs/>
                <w:shd w:val="clear" w:color="auto" w:fill="FFFFFF"/>
              </w:rPr>
              <w:t>;</w:t>
            </w:r>
          </w:p>
          <w:p w14:paraId="1E2B4789" w14:textId="77777777" w:rsidR="00AB7105" w:rsidRPr="00992DE1" w:rsidRDefault="00334C9B" w:rsidP="00E54FEC">
            <w:pPr>
              <w:jc w:val="both"/>
              <w:rPr>
                <w:bCs/>
                <w:shd w:val="clear" w:color="auto" w:fill="FFFFFF"/>
              </w:rPr>
            </w:pPr>
            <w:r w:rsidRPr="00992DE1">
              <w:t xml:space="preserve">- </w:t>
            </w:r>
            <w:r w:rsidRPr="00992DE1">
              <w:rPr>
                <w:bCs/>
                <w:shd w:val="clear" w:color="auto" w:fill="FFFFFF"/>
              </w:rPr>
              <w:t>Eiropas Savienības struktūrfondu un Kohēzijas fonda 2014.-2020.gada plānošanas perioda vadības likuma 20.panta 6. un 13.punktu.</w:t>
            </w:r>
          </w:p>
          <w:p w14:paraId="22612565" w14:textId="0526021A" w:rsidR="002C0928" w:rsidRPr="00992DE1" w:rsidRDefault="002C0928" w:rsidP="00E54FEC">
            <w:pPr>
              <w:jc w:val="both"/>
              <w:rPr>
                <w:sz w:val="14"/>
                <w:szCs w:val="14"/>
              </w:rPr>
            </w:pPr>
          </w:p>
        </w:tc>
      </w:tr>
      <w:tr w:rsidR="00F81B5A" w:rsidRPr="00992DE1" w14:paraId="58ED4406" w14:textId="77777777" w:rsidTr="005A1038">
        <w:tc>
          <w:tcPr>
            <w:tcW w:w="295" w:type="pct"/>
            <w:shd w:val="clear" w:color="auto" w:fill="auto"/>
          </w:tcPr>
          <w:p w14:paraId="696B18B1" w14:textId="77777777" w:rsidR="002E153C" w:rsidRPr="00992DE1" w:rsidRDefault="002E153C" w:rsidP="00346F24">
            <w:r w:rsidRPr="00992DE1">
              <w:t xml:space="preserve">2. </w:t>
            </w:r>
          </w:p>
        </w:tc>
        <w:tc>
          <w:tcPr>
            <w:tcW w:w="1251" w:type="pct"/>
            <w:shd w:val="clear" w:color="auto" w:fill="auto"/>
          </w:tcPr>
          <w:p w14:paraId="4C9F4060" w14:textId="77777777" w:rsidR="002E153C" w:rsidRPr="00992DE1" w:rsidRDefault="002E153C" w:rsidP="00346F24">
            <w:r w:rsidRPr="00992DE1">
              <w:t>Pašreizējā situācija un problēmas, kuru risināšanai tiesību akta projekts izstrādāts, tiesiskā regulējuma mērķis un būtība</w:t>
            </w:r>
          </w:p>
        </w:tc>
        <w:tc>
          <w:tcPr>
            <w:tcW w:w="3455" w:type="pct"/>
            <w:shd w:val="clear" w:color="auto" w:fill="auto"/>
          </w:tcPr>
          <w:p w14:paraId="1475894E" w14:textId="1CCECDB2" w:rsidR="00E13834" w:rsidRPr="00992DE1" w:rsidRDefault="00715166" w:rsidP="00417E90">
            <w:pPr>
              <w:jc w:val="both"/>
              <w:rPr>
                <w:bCs/>
                <w:shd w:val="clear" w:color="auto" w:fill="FFFFFF"/>
              </w:rPr>
            </w:pPr>
            <w:r w:rsidRPr="00992DE1">
              <w:rPr>
                <w:shd w:val="clear" w:color="auto" w:fill="FFFFFF"/>
              </w:rPr>
              <w:t xml:space="preserve">Atbilstoši </w:t>
            </w:r>
            <w:r w:rsidR="002D08DF" w:rsidRPr="00992DE1">
              <w:rPr>
                <w:shd w:val="clear" w:color="auto" w:fill="FFFFFF"/>
              </w:rPr>
              <w:t xml:space="preserve">LM virzītajiem </w:t>
            </w:r>
            <w:r w:rsidRPr="00992DE1">
              <w:rPr>
                <w:shd w:val="clear" w:color="auto" w:fill="FFFFFF"/>
              </w:rPr>
              <w:t>grozījumiem MK noteikumos Nr.75</w:t>
            </w:r>
            <w:r w:rsidR="00E07A67" w:rsidRPr="00992DE1">
              <w:rPr>
                <w:bCs/>
                <w:shd w:val="clear" w:color="auto" w:fill="FFFFFF"/>
              </w:rPr>
              <w:t xml:space="preserve">, ir nepieciešams veikt atbilstošus grozījumus </w:t>
            </w:r>
            <w:r w:rsidR="00712FF7" w:rsidRPr="00992DE1">
              <w:rPr>
                <w:bCs/>
                <w:shd w:val="clear" w:color="auto" w:fill="FFFFFF"/>
              </w:rPr>
              <w:t>MK 2015.gada 28.aprīļa noteikumos Nr.207 “Darbības programmas “Izaugsme un nodarbinātība” 7.2.1.</w:t>
            </w:r>
            <w:r w:rsidR="00D6708E" w:rsidRPr="00992DE1">
              <w:rPr>
                <w:bCs/>
                <w:shd w:val="clear" w:color="auto" w:fill="FFFFFF"/>
              </w:rPr>
              <w:t xml:space="preserve"> </w:t>
            </w:r>
            <w:r w:rsidR="00712FF7" w:rsidRPr="00992DE1">
              <w:rPr>
                <w:bCs/>
                <w:shd w:val="clear" w:color="auto" w:fill="FFFFFF"/>
              </w:rPr>
              <w:t>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w:t>
            </w:r>
            <w:r w:rsidR="00D6708E" w:rsidRPr="00992DE1">
              <w:rPr>
                <w:bCs/>
                <w:shd w:val="clear" w:color="auto" w:fill="FFFFFF"/>
              </w:rPr>
              <w:t>stenošanas noteikumi” (turpmāk -</w:t>
            </w:r>
            <w:r w:rsidR="00712FF7" w:rsidRPr="00992DE1">
              <w:rPr>
                <w:bCs/>
                <w:shd w:val="clear" w:color="auto" w:fill="FFFFFF"/>
              </w:rPr>
              <w:t xml:space="preserve"> </w:t>
            </w:r>
            <w:r w:rsidR="00417E90" w:rsidRPr="00992DE1">
              <w:rPr>
                <w:bCs/>
                <w:shd w:val="clear" w:color="auto" w:fill="FFFFFF"/>
              </w:rPr>
              <w:t xml:space="preserve">grozījumi </w:t>
            </w:r>
            <w:r w:rsidR="00712FF7" w:rsidRPr="00992DE1">
              <w:rPr>
                <w:bCs/>
                <w:shd w:val="clear" w:color="auto" w:fill="FFFFFF"/>
              </w:rPr>
              <w:t>MK noteikum</w:t>
            </w:r>
            <w:r w:rsidR="00417E90" w:rsidRPr="00992DE1">
              <w:rPr>
                <w:bCs/>
                <w:shd w:val="clear" w:color="auto" w:fill="FFFFFF"/>
              </w:rPr>
              <w:t>os</w:t>
            </w:r>
            <w:r w:rsidR="00712FF7" w:rsidRPr="00992DE1">
              <w:rPr>
                <w:bCs/>
                <w:shd w:val="clear" w:color="auto" w:fill="FFFFFF"/>
              </w:rPr>
              <w:t>)</w:t>
            </w:r>
            <w:r w:rsidRPr="00992DE1">
              <w:rPr>
                <w:bCs/>
                <w:shd w:val="clear" w:color="auto" w:fill="FFFFFF"/>
              </w:rPr>
              <w:t>, precizējot 7.2.1. specifiskā atbalsta mērķa “Palielināt nodarbinātībā, izglītībā vai apmācībās neiesaistītu jauniešu nodarbinātību un izglītības ieguvi Jauniešu garantijas ietvaros” (turpmāk - 7.2.1. SAM) ietvaros īstenoto atbalstāmo darbību plānotās izmaksas un īstenošanas nosacījumus</w:t>
            </w:r>
            <w:r w:rsidR="00712FF7" w:rsidRPr="00992DE1">
              <w:rPr>
                <w:bCs/>
                <w:shd w:val="clear" w:color="auto" w:fill="FFFFFF"/>
              </w:rPr>
              <w:t>, tai skaitā:</w:t>
            </w:r>
          </w:p>
          <w:p w14:paraId="7C21346C" w14:textId="77777777" w:rsidR="001C7750" w:rsidRPr="00992DE1" w:rsidRDefault="001C7750" w:rsidP="00417E90">
            <w:pPr>
              <w:pStyle w:val="ListParagraph"/>
              <w:shd w:val="clear" w:color="auto" w:fill="FFFFFF"/>
              <w:spacing w:after="0" w:line="240" w:lineRule="auto"/>
              <w:ind w:left="-66"/>
              <w:jc w:val="both"/>
              <w:rPr>
                <w:rFonts w:ascii="Times New Roman" w:hAnsi="Times New Roman"/>
                <w:sz w:val="14"/>
                <w:szCs w:val="14"/>
              </w:rPr>
            </w:pPr>
          </w:p>
          <w:p w14:paraId="20E51131" w14:textId="771A0184" w:rsidR="00F36B6C" w:rsidRPr="00992DE1" w:rsidRDefault="00F36B6C" w:rsidP="00CF7A17">
            <w:pPr>
              <w:pStyle w:val="ListParagraph"/>
              <w:shd w:val="clear" w:color="auto" w:fill="FFFFFF"/>
              <w:spacing w:after="0" w:line="240" w:lineRule="auto"/>
              <w:ind w:left="32"/>
              <w:jc w:val="both"/>
              <w:rPr>
                <w:rFonts w:ascii="Times New Roman" w:hAnsi="Times New Roman"/>
                <w:sz w:val="24"/>
                <w:szCs w:val="24"/>
              </w:rPr>
            </w:pPr>
            <w:r w:rsidRPr="00992DE1">
              <w:rPr>
                <w:rFonts w:ascii="Times New Roman" w:hAnsi="Times New Roman"/>
                <w:sz w:val="24"/>
                <w:szCs w:val="24"/>
              </w:rPr>
              <w:lastRenderedPageBreak/>
              <w:t xml:space="preserve">1. </w:t>
            </w:r>
            <w:r w:rsidR="00417E90" w:rsidRPr="00992DE1">
              <w:rPr>
                <w:rFonts w:ascii="Times New Roman" w:hAnsi="Times New Roman"/>
                <w:sz w:val="24"/>
                <w:szCs w:val="24"/>
              </w:rPr>
              <w:t xml:space="preserve">paredzēt, ka </w:t>
            </w:r>
            <w:r w:rsidR="00417E90" w:rsidRPr="00992DE1">
              <w:rPr>
                <w:rFonts w:ascii="Times New Roman" w:hAnsi="Times New Roman"/>
                <w:bCs/>
                <w:sz w:val="24"/>
                <w:szCs w:val="24"/>
              </w:rPr>
              <w:t xml:space="preserve">atbalstāmās darbības “Subsidētās darba vietas jauniešiem bezdarbniekiem (pasākumi noteiktām personu grupām)” </w:t>
            </w:r>
            <w:r w:rsidR="00A23552" w:rsidRPr="00992DE1">
              <w:rPr>
                <w:rFonts w:ascii="Times New Roman" w:hAnsi="Times New Roman"/>
                <w:sz w:val="24"/>
                <w:szCs w:val="24"/>
              </w:rPr>
              <w:t xml:space="preserve">(turpmāk - SDV) </w:t>
            </w:r>
            <w:r w:rsidR="00417E90" w:rsidRPr="00992DE1">
              <w:rPr>
                <w:rFonts w:ascii="Times New Roman" w:hAnsi="Times New Roman"/>
                <w:bCs/>
                <w:sz w:val="24"/>
                <w:szCs w:val="24"/>
              </w:rPr>
              <w:t>ietvaros</w:t>
            </w:r>
            <w:r w:rsidR="00417E90" w:rsidRPr="00992DE1">
              <w:rPr>
                <w:rFonts w:ascii="Times New Roman" w:hAnsi="Times New Roman"/>
                <w:sz w:val="24"/>
                <w:szCs w:val="24"/>
              </w:rPr>
              <w:t xml:space="preserve"> iesaista </w:t>
            </w:r>
            <w:r w:rsidRPr="00992DE1">
              <w:rPr>
                <w:rFonts w:ascii="Times New Roman" w:hAnsi="Times New Roman"/>
                <w:sz w:val="24"/>
                <w:szCs w:val="24"/>
              </w:rPr>
              <w:t>personas, kuras ieguvušas bēgļa vai alternatīv</w:t>
            </w:r>
            <w:r w:rsidR="002A540F" w:rsidRPr="00992DE1">
              <w:rPr>
                <w:rFonts w:ascii="Times New Roman" w:hAnsi="Times New Roman"/>
                <w:sz w:val="24"/>
                <w:szCs w:val="24"/>
              </w:rPr>
              <w:t>o</w:t>
            </w:r>
            <w:r w:rsidRPr="00992DE1">
              <w:rPr>
                <w:rFonts w:ascii="Times New Roman" w:hAnsi="Times New Roman"/>
                <w:sz w:val="24"/>
                <w:szCs w:val="24"/>
              </w:rPr>
              <w:t xml:space="preserve"> statusu (</w:t>
            </w:r>
            <w:r w:rsidR="00417E90" w:rsidRPr="00992DE1">
              <w:rPr>
                <w:rFonts w:ascii="Times New Roman" w:hAnsi="Times New Roman"/>
                <w:sz w:val="24"/>
                <w:szCs w:val="24"/>
              </w:rPr>
              <w:t>MK n</w:t>
            </w:r>
            <w:r w:rsidRPr="00992DE1">
              <w:rPr>
                <w:rFonts w:ascii="Times New Roman" w:hAnsi="Times New Roman"/>
                <w:sz w:val="24"/>
                <w:szCs w:val="24"/>
              </w:rPr>
              <w:t xml:space="preserve">oteikumu projekta </w:t>
            </w:r>
            <w:r w:rsidR="006731EF" w:rsidRPr="00992DE1">
              <w:rPr>
                <w:rFonts w:ascii="Times New Roman" w:hAnsi="Times New Roman"/>
                <w:sz w:val="24"/>
                <w:szCs w:val="24"/>
              </w:rPr>
              <w:t>1</w:t>
            </w:r>
            <w:r w:rsidRPr="00992DE1">
              <w:rPr>
                <w:rFonts w:ascii="Times New Roman" w:hAnsi="Times New Roman"/>
                <w:sz w:val="24"/>
                <w:szCs w:val="24"/>
              </w:rPr>
              <w:t xml:space="preserve">. </w:t>
            </w:r>
            <w:r w:rsidR="00AF70FF" w:rsidRPr="00992DE1">
              <w:rPr>
                <w:rFonts w:ascii="Times New Roman" w:hAnsi="Times New Roman"/>
                <w:sz w:val="24"/>
                <w:szCs w:val="24"/>
              </w:rPr>
              <w:t xml:space="preserve">un </w:t>
            </w:r>
            <w:r w:rsidR="00C67D39" w:rsidRPr="00992DE1">
              <w:rPr>
                <w:rFonts w:ascii="Times New Roman" w:hAnsi="Times New Roman"/>
                <w:sz w:val="24"/>
                <w:szCs w:val="24"/>
              </w:rPr>
              <w:t>1</w:t>
            </w:r>
            <w:r w:rsidR="00085823" w:rsidRPr="00992DE1">
              <w:rPr>
                <w:rFonts w:ascii="Times New Roman" w:hAnsi="Times New Roman"/>
                <w:sz w:val="24"/>
                <w:szCs w:val="24"/>
              </w:rPr>
              <w:t>6</w:t>
            </w:r>
            <w:r w:rsidR="00854DE8" w:rsidRPr="00992DE1">
              <w:rPr>
                <w:rFonts w:ascii="Times New Roman" w:hAnsi="Times New Roman"/>
                <w:sz w:val="24"/>
                <w:szCs w:val="24"/>
              </w:rPr>
              <w:t>.</w:t>
            </w:r>
            <w:r w:rsidRPr="00992DE1">
              <w:rPr>
                <w:rFonts w:ascii="Times New Roman" w:hAnsi="Times New Roman"/>
                <w:sz w:val="24"/>
                <w:szCs w:val="24"/>
              </w:rPr>
              <w:t>punkts)</w:t>
            </w:r>
            <w:r w:rsidR="0038308E" w:rsidRPr="00992DE1">
              <w:rPr>
                <w:rFonts w:ascii="Times New Roman" w:hAnsi="Times New Roman"/>
                <w:sz w:val="24"/>
                <w:szCs w:val="24"/>
              </w:rPr>
              <w:t xml:space="preserve">. </w:t>
            </w:r>
            <w:r w:rsidRPr="00992DE1">
              <w:rPr>
                <w:rFonts w:ascii="Times New Roman" w:hAnsi="Times New Roman"/>
                <w:sz w:val="24"/>
                <w:szCs w:val="24"/>
              </w:rPr>
              <w:t>Personām, kuras Latvijā ieguvušas bēgļa vai alternatīv</w:t>
            </w:r>
            <w:r w:rsidR="00085823" w:rsidRPr="00992DE1">
              <w:rPr>
                <w:rFonts w:ascii="Times New Roman" w:hAnsi="Times New Roman"/>
                <w:sz w:val="24"/>
                <w:szCs w:val="24"/>
              </w:rPr>
              <w:t>o</w:t>
            </w:r>
            <w:r w:rsidRPr="00992DE1">
              <w:rPr>
                <w:rFonts w:ascii="Times New Roman" w:hAnsi="Times New Roman"/>
                <w:sz w:val="24"/>
                <w:szCs w:val="24"/>
              </w:rPr>
              <w:t xml:space="preserve">  statusu, sociālekonomiskā iekļaušana un iesaiste darba tirgū ir sarežģītāk</w:t>
            </w:r>
            <w:r w:rsidR="00C247C9" w:rsidRPr="00992DE1">
              <w:rPr>
                <w:rFonts w:ascii="Times New Roman" w:hAnsi="Times New Roman"/>
                <w:sz w:val="24"/>
                <w:szCs w:val="24"/>
              </w:rPr>
              <w:t>a</w:t>
            </w:r>
            <w:r w:rsidRPr="00992DE1">
              <w:rPr>
                <w:rFonts w:ascii="Times New Roman" w:hAnsi="Times New Roman"/>
                <w:sz w:val="24"/>
                <w:szCs w:val="24"/>
              </w:rPr>
              <w:t xml:space="preserve"> un var prasīt ilgāku</w:t>
            </w:r>
            <w:r w:rsidR="00C247C9" w:rsidRPr="00992DE1">
              <w:rPr>
                <w:rFonts w:ascii="Times New Roman" w:hAnsi="Times New Roman"/>
                <w:sz w:val="24"/>
                <w:szCs w:val="24"/>
              </w:rPr>
              <w:t xml:space="preserve"> laiku</w:t>
            </w:r>
            <w:r w:rsidRPr="00992DE1">
              <w:rPr>
                <w:rFonts w:ascii="Times New Roman" w:hAnsi="Times New Roman"/>
                <w:sz w:val="24"/>
                <w:szCs w:val="24"/>
              </w:rPr>
              <w:t xml:space="preserve"> valodas barjeru, kultūras atšķirību, vāja drošības/</w:t>
            </w:r>
            <w:r w:rsidR="007C26F2" w:rsidRPr="00992DE1">
              <w:rPr>
                <w:rFonts w:ascii="Times New Roman" w:hAnsi="Times New Roman"/>
                <w:sz w:val="24"/>
                <w:szCs w:val="24"/>
              </w:rPr>
              <w:t xml:space="preserve"> </w:t>
            </w:r>
            <w:r w:rsidRPr="00992DE1">
              <w:rPr>
                <w:rFonts w:ascii="Times New Roman" w:hAnsi="Times New Roman"/>
                <w:sz w:val="24"/>
                <w:szCs w:val="24"/>
              </w:rPr>
              <w:t>kontaktu tīkls u.c. apstākļu dēļ. Minēto iemeslu dēļ konkrētajai mērķa grupai nepieciešams sniegt efektīvu un operatīvu atbalstu iekļaušanai darba tirgū un sabiedrībā.</w:t>
            </w:r>
            <w:r w:rsidR="0038308E" w:rsidRPr="00992DE1">
              <w:rPr>
                <w:rFonts w:ascii="Times New Roman" w:hAnsi="Times New Roman"/>
                <w:sz w:val="24"/>
                <w:szCs w:val="24"/>
              </w:rPr>
              <w:t xml:space="preserve"> </w:t>
            </w:r>
            <w:r w:rsidR="00C247C9" w:rsidRPr="00992DE1">
              <w:rPr>
                <w:rFonts w:ascii="Times New Roman" w:hAnsi="Times New Roman"/>
                <w:sz w:val="24"/>
                <w:szCs w:val="24"/>
              </w:rPr>
              <w:t>Citos N</w:t>
            </w:r>
            <w:r w:rsidR="00C67D39" w:rsidRPr="00992DE1">
              <w:rPr>
                <w:rFonts w:ascii="Times New Roman" w:hAnsi="Times New Roman"/>
                <w:sz w:val="24"/>
                <w:szCs w:val="24"/>
              </w:rPr>
              <w:t>odarbinātības valsts aģentūras (turpmāk – N</w:t>
            </w:r>
            <w:r w:rsidR="00C247C9" w:rsidRPr="00992DE1">
              <w:rPr>
                <w:rFonts w:ascii="Times New Roman" w:hAnsi="Times New Roman"/>
                <w:sz w:val="24"/>
                <w:szCs w:val="24"/>
              </w:rPr>
              <w:t>VA</w:t>
            </w:r>
            <w:r w:rsidR="00C67D39" w:rsidRPr="00992DE1">
              <w:rPr>
                <w:rFonts w:ascii="Times New Roman" w:hAnsi="Times New Roman"/>
                <w:sz w:val="24"/>
                <w:szCs w:val="24"/>
              </w:rPr>
              <w:t>)</w:t>
            </w:r>
            <w:r w:rsidR="00C247C9" w:rsidRPr="00992DE1">
              <w:rPr>
                <w:rFonts w:ascii="Times New Roman" w:hAnsi="Times New Roman"/>
                <w:sz w:val="24"/>
                <w:szCs w:val="24"/>
              </w:rPr>
              <w:t xml:space="preserve"> īstenotajos aktīvajos nodarbinātības pasākumos m</w:t>
            </w:r>
            <w:r w:rsidR="0038308E" w:rsidRPr="00992DE1">
              <w:rPr>
                <w:rFonts w:ascii="Times New Roman" w:hAnsi="Times New Roman"/>
                <w:sz w:val="24"/>
                <w:szCs w:val="24"/>
              </w:rPr>
              <w:t>inēto personu iesaiste paredzēta vispārējā kārtībā, neizdalot tos kā atsevišķu mērķa grupu.</w:t>
            </w:r>
          </w:p>
          <w:p w14:paraId="1431C0AB" w14:textId="6CB0732B" w:rsidR="00693AE3" w:rsidRPr="00992DE1" w:rsidRDefault="0079327C" w:rsidP="00693AE3">
            <w:pPr>
              <w:jc w:val="both"/>
              <w:rPr>
                <w:sz w:val="22"/>
              </w:rPr>
            </w:pPr>
            <w:r w:rsidRPr="00992DE1">
              <w:t>P</w:t>
            </w:r>
            <w:r w:rsidR="00C67D39" w:rsidRPr="00992DE1">
              <w:t>apildus p</w:t>
            </w:r>
            <w:r w:rsidRPr="00992DE1">
              <w:t xml:space="preserve">ēc nepieciešamības </w:t>
            </w:r>
            <w:r w:rsidR="00BD1E3B" w:rsidRPr="00992DE1">
              <w:t xml:space="preserve">7.2.1. SAM </w:t>
            </w:r>
            <w:r w:rsidR="00C67D39" w:rsidRPr="00992DE1">
              <w:t xml:space="preserve">atbalstāmo darbību </w:t>
            </w:r>
            <w:r w:rsidR="00BD1E3B" w:rsidRPr="00992DE1">
              <w:t xml:space="preserve">SDV un “Pirmā darba pieredze jaunietim” (turpmāk - PDP) ietvaros </w:t>
            </w:r>
            <w:r w:rsidR="00C67D39" w:rsidRPr="00992DE1">
              <w:t xml:space="preserve">personām ar bēgļa vai alternatīvo statusu tiks nodrošināts </w:t>
            </w:r>
            <w:r w:rsidRPr="00992DE1">
              <w:t xml:space="preserve">sociālā mentora pakalpojums </w:t>
            </w:r>
            <w:r w:rsidR="00C67D39" w:rsidRPr="00992DE1">
              <w:t xml:space="preserve">darbības </w:t>
            </w:r>
            <w:r w:rsidRPr="00992DE1">
              <w:t xml:space="preserve">programmas “Izaugsme un nodarbinātība” 9.1.4. </w:t>
            </w:r>
            <w:r w:rsidR="00C67D39" w:rsidRPr="00992DE1">
              <w:t xml:space="preserve">specifiskā atbalsta mērķa </w:t>
            </w:r>
            <w:r w:rsidRPr="00992DE1">
              <w:t>“Palielināt diskriminācijas riskiem pakļauto personu integrāciju sabiedrībā un darba tirgū” 9.1.4.4. pasākuma “Dažādību veicināšana (diskriminācijas novēršana)” ietvaros.</w:t>
            </w:r>
            <w:r w:rsidR="00AF223D" w:rsidRPr="00992DE1">
              <w:t xml:space="preserve"> </w:t>
            </w:r>
            <w:r w:rsidR="00646628" w:rsidRPr="00992DE1">
              <w:rPr>
                <w:lang w:eastAsia="en-US"/>
              </w:rPr>
              <w:t>S</w:t>
            </w:r>
            <w:r w:rsidR="00646628" w:rsidRPr="00992DE1">
              <w:t xml:space="preserve">ociālais mentors sniedz atbalstu personām ar bēgļa vai alternatīvās personas statusu darba uzsākšanas sākuma periodā, palīdzot apgūt darba dzīves uzsākšanai nepieciešamās prasmes (t.i., darba laika režīma ievērošanu; darba kultūru un etiķeti; nokļūšanu uz un no darba vietas; kontaktu veidošanu darba kolektīvā) </w:t>
            </w:r>
            <w:r w:rsidR="00646628" w:rsidRPr="00992DE1">
              <w:rPr>
                <w:lang w:eastAsia="en-US"/>
              </w:rPr>
              <w:t>9.1.4. SAM ietvaros</w:t>
            </w:r>
            <w:r w:rsidR="00646628" w:rsidRPr="00992DE1">
              <w:t>. Savukārt, kvalificēts darba vadītājs palīdz pasākumos iesaistītajiem jauniešiem bezdarbniekiem apgūt darbam nepieciešamās pamatprasmes un iemaņas saskaņā ar MK noteikumos Nr.75 noteikto 7.2.1. SAM ietvaros.</w:t>
            </w:r>
          </w:p>
          <w:p w14:paraId="0ED14551" w14:textId="1123599E" w:rsidR="00F36B6C" w:rsidRPr="00992DE1" w:rsidRDefault="00F36B6C" w:rsidP="00417E90">
            <w:pPr>
              <w:pStyle w:val="ListParagraph"/>
              <w:shd w:val="clear" w:color="auto" w:fill="FFFFFF"/>
              <w:spacing w:after="0" w:line="240" w:lineRule="auto"/>
              <w:ind w:left="-62"/>
              <w:jc w:val="both"/>
              <w:rPr>
                <w:rFonts w:ascii="Times New Roman" w:hAnsi="Times New Roman"/>
                <w:sz w:val="14"/>
                <w:szCs w:val="14"/>
              </w:rPr>
            </w:pPr>
          </w:p>
          <w:p w14:paraId="0D5CF6F7" w14:textId="28B0BBFD" w:rsidR="00CC6CFD" w:rsidRPr="00992DE1" w:rsidRDefault="00F36B6C" w:rsidP="00AD7F3C">
            <w:pPr>
              <w:jc w:val="both"/>
              <w:rPr>
                <w:rFonts w:ascii="Calibri" w:hAnsi="Calibri" w:cs="Calibri"/>
                <w:color w:val="1F497D"/>
                <w:sz w:val="22"/>
                <w:szCs w:val="22"/>
              </w:rPr>
            </w:pPr>
            <w:r w:rsidRPr="00992DE1">
              <w:t>2</w:t>
            </w:r>
            <w:r w:rsidR="00C047D2" w:rsidRPr="00992DE1">
              <w:t xml:space="preserve">. </w:t>
            </w:r>
            <w:r w:rsidR="002E72D7" w:rsidRPr="00992DE1">
              <w:t>ņemot vērā, ka transportlīdzekļu un traktortehnikas vadītāju apmācību programmas ir reglamentētas un kvalifikācija iegūstama noteiktā kārtībā, kuru nosaka MK 2009.gada 29.septembra noteikumi Nr.1123 “Traktortehnikas vadītāja tiesību iegūšanas un atjaunošanas, kā arī traktortehnikas vadītāja apliecības izsniegšanas, apmaiņas, atjaunošanas un iznīcināšanas kārtība” un MK 2010.gada 2.februāra noteikumi Nr.103 “Transportlīdzekļu vadītāja tiesību iegūšanas un atjaunošanas kārtība un vadītāja apliecības izsniegšanas, apmaiņas, atjaunošanas un iznīcināšanas kārtība”, kas paredz transportlīdzekļu un traktortehnikas vadītāja kvalifikācijas iegūšanas eksāmenu kārtošanu un vadītāja apliecības saņemšanu, un to, ka bezdarbnieki, kas apguvuši minēto apmācību kurs</w:t>
            </w:r>
            <w:r w:rsidR="00334C9B" w:rsidRPr="00992DE1">
              <w:t>u</w:t>
            </w:r>
            <w:r w:rsidR="002E72D7" w:rsidRPr="00992DE1">
              <w:t xml:space="preserve">, var strādāt profesijā “transportlīdzekļu vadītājs” (Profesiju klasifikatora 832.apakškods), paredzēt, ka transportlīdzekļu un traktortehnikas vadītāju apmācība ir uzskatāma par apmācību kursu, kuras ietvaros tiek apgūtas prasmes un kompetences spēkā esošo normatīvo aktu noteiktajā kārtībā, kas ir pielīdzināmas noteiktas </w:t>
            </w:r>
            <w:r w:rsidR="002E72D7" w:rsidRPr="00992DE1">
              <w:lastRenderedPageBreak/>
              <w:t xml:space="preserve">kvalifikācijas ieguvei </w:t>
            </w:r>
            <w:r w:rsidR="00AF70FF" w:rsidRPr="00992DE1">
              <w:t xml:space="preserve">(Noteikumu projekta </w:t>
            </w:r>
            <w:r w:rsidR="00F156A2" w:rsidRPr="00992DE1">
              <w:t>2</w:t>
            </w:r>
            <w:r w:rsidR="00BE5285" w:rsidRPr="00992DE1">
              <w:t xml:space="preserve">., </w:t>
            </w:r>
            <w:r w:rsidR="00E66432" w:rsidRPr="00992DE1">
              <w:t>7</w:t>
            </w:r>
            <w:r w:rsidR="00CC6CFD" w:rsidRPr="00992DE1">
              <w:t xml:space="preserve">., </w:t>
            </w:r>
            <w:r w:rsidR="00E66432" w:rsidRPr="00992DE1">
              <w:t>8</w:t>
            </w:r>
            <w:r w:rsidR="00CC6CFD" w:rsidRPr="00992DE1">
              <w:t>.</w:t>
            </w:r>
            <w:r w:rsidR="00B11828" w:rsidRPr="00992DE1">
              <w:t xml:space="preserve">, </w:t>
            </w:r>
            <w:r w:rsidR="00E66432" w:rsidRPr="00992DE1">
              <w:t>11</w:t>
            </w:r>
            <w:r w:rsidR="00B11828" w:rsidRPr="00992DE1">
              <w:t>.</w:t>
            </w:r>
            <w:r w:rsidR="00CC6CFD" w:rsidRPr="00992DE1">
              <w:t xml:space="preserve"> </w:t>
            </w:r>
            <w:r w:rsidR="00E66432" w:rsidRPr="00992DE1">
              <w:t>13</w:t>
            </w:r>
            <w:r w:rsidR="00CC6CFD" w:rsidRPr="00992DE1">
              <w:t>.</w:t>
            </w:r>
            <w:r w:rsidR="00A106CC" w:rsidRPr="00992DE1">
              <w:t xml:space="preserve"> un</w:t>
            </w:r>
            <w:r w:rsidR="00E05C69" w:rsidRPr="00992DE1">
              <w:t xml:space="preserve"> </w:t>
            </w:r>
            <w:r w:rsidR="00C67D39" w:rsidRPr="00992DE1">
              <w:t>18</w:t>
            </w:r>
            <w:r w:rsidR="00E05C69" w:rsidRPr="00992DE1">
              <w:t>.</w:t>
            </w:r>
            <w:r w:rsidR="00C047D2" w:rsidRPr="00992DE1">
              <w:t>punkts)</w:t>
            </w:r>
            <w:r w:rsidR="002E153C" w:rsidRPr="00992DE1">
              <w:t xml:space="preserve">. </w:t>
            </w:r>
            <w:r w:rsidR="00BB17E6" w:rsidRPr="00992DE1">
              <w:t>Tādējādi jaunieši bezdarbnieki, kuri pabeiguši transportlīdzekļu un traktortehnikas vadītāju apmācība 7.2.1.</w:t>
            </w:r>
            <w:r w:rsidR="00D6708E" w:rsidRPr="00992DE1">
              <w:t> </w:t>
            </w:r>
            <w:r w:rsidR="00BB17E6" w:rsidRPr="00992DE1">
              <w:t xml:space="preserve">SAM ietvaros,  iekļaujami  projekta rezultāta rādītājā kā kvalifikāciju ieguvušie dalībnieki </w:t>
            </w:r>
            <w:r w:rsidR="00417E90" w:rsidRPr="00992DE1">
              <w:t>(arī tos, kas ir j</w:t>
            </w:r>
            <w:r w:rsidR="00D6708E" w:rsidRPr="00992DE1">
              <w:t>au pabeiguši minētās apmācības -</w:t>
            </w:r>
            <w:r w:rsidR="00417E90" w:rsidRPr="00992DE1">
              <w:t xml:space="preserve"> ņemot vērā, ka apmācību saturs projekta īstenošanas gaitā nav mainījies) </w:t>
            </w:r>
            <w:r w:rsidR="00BB17E6" w:rsidRPr="00992DE1">
              <w:t>- s</w:t>
            </w:r>
            <w:r w:rsidR="00220B3E" w:rsidRPr="00992DE1">
              <w:t xml:space="preserve">askaņā ar </w:t>
            </w:r>
            <w:r w:rsidR="00334C9B" w:rsidRPr="00992DE1">
              <w:t>NVA</w:t>
            </w:r>
            <w:r w:rsidR="00220B3E" w:rsidRPr="00992DE1">
              <w:t xml:space="preserve"> rīcībā esošajiem datiem transportlīdzekļu vadītāja kvalifikāciju 2014.gadā ieguva 4</w:t>
            </w:r>
            <w:r w:rsidR="00AD7F3C" w:rsidRPr="00992DE1">
              <w:t>6</w:t>
            </w:r>
            <w:r w:rsidR="00220B3E" w:rsidRPr="00992DE1">
              <w:t xml:space="preserve"> jaunieši bezdarbnieki, 2015.gadā</w:t>
            </w:r>
            <w:r w:rsidR="00AD7F3C" w:rsidRPr="00992DE1">
              <w:t xml:space="preserve"> - 79 un 2016.gada I pusgadā - 7</w:t>
            </w:r>
            <w:r w:rsidR="00220B3E" w:rsidRPr="00992DE1">
              <w:t>3. Traktortehnikas vadītāja kvalifikāciju 2015.gadā ieguva 79 jauni</w:t>
            </w:r>
            <w:r w:rsidR="00383224" w:rsidRPr="00992DE1">
              <w:t>eši bezdarbnieki un 2016.gada I </w:t>
            </w:r>
            <w:r w:rsidR="00220B3E" w:rsidRPr="00992DE1">
              <w:t>pusgad</w:t>
            </w:r>
            <w:r w:rsidR="00D6708E" w:rsidRPr="00992DE1">
              <w:t>ā -</w:t>
            </w:r>
            <w:r w:rsidR="00220B3E" w:rsidRPr="00992DE1">
              <w:t xml:space="preserve"> 1</w:t>
            </w:r>
            <w:r w:rsidR="00AD7F3C" w:rsidRPr="00992DE1">
              <w:t>82</w:t>
            </w:r>
            <w:r w:rsidR="00220B3E" w:rsidRPr="00992DE1">
              <w:t>.</w:t>
            </w:r>
            <w:r w:rsidR="00AD7F3C" w:rsidRPr="00992DE1">
              <w:t xml:space="preserve"> </w:t>
            </w:r>
            <w:r w:rsidR="00BB17E6" w:rsidRPr="00992DE1">
              <w:t xml:space="preserve">Pēc MK noteikumu </w:t>
            </w:r>
            <w:r w:rsidR="00417E90" w:rsidRPr="00992DE1">
              <w:t>grozījumu</w:t>
            </w:r>
            <w:r w:rsidR="00BB17E6" w:rsidRPr="00992DE1">
              <w:t xml:space="preserve"> spēkā stāšanās LM ierosinās arī atbilstoš</w:t>
            </w:r>
            <w:r w:rsidR="00417E90" w:rsidRPr="00992DE1">
              <w:t>as izmaiņas rādītāju noteikšanas aprakstos.</w:t>
            </w:r>
          </w:p>
          <w:p w14:paraId="427B2098" w14:textId="77777777" w:rsidR="00CC6CFD" w:rsidRPr="00992DE1" w:rsidRDefault="00CC6CFD" w:rsidP="00417E90">
            <w:pPr>
              <w:pStyle w:val="ListParagraph"/>
              <w:shd w:val="clear" w:color="auto" w:fill="FFFFFF"/>
              <w:spacing w:after="0" w:line="240" w:lineRule="auto"/>
              <w:ind w:left="-62"/>
              <w:jc w:val="both"/>
              <w:rPr>
                <w:rFonts w:ascii="Times New Roman" w:hAnsi="Times New Roman"/>
                <w:sz w:val="14"/>
                <w:szCs w:val="14"/>
              </w:rPr>
            </w:pPr>
          </w:p>
          <w:p w14:paraId="36DAEB2C" w14:textId="624C3827" w:rsidR="00C70E8E" w:rsidRPr="00992DE1" w:rsidRDefault="00F36B6C" w:rsidP="00CF7A17">
            <w:pPr>
              <w:pStyle w:val="ListParagraph"/>
              <w:shd w:val="clear" w:color="auto" w:fill="FFFFFF"/>
              <w:spacing w:after="0" w:line="240" w:lineRule="auto"/>
              <w:ind w:left="32"/>
              <w:jc w:val="both"/>
              <w:rPr>
                <w:rFonts w:ascii="Times New Roman" w:hAnsi="Times New Roman"/>
                <w:sz w:val="24"/>
                <w:szCs w:val="24"/>
              </w:rPr>
            </w:pPr>
            <w:r w:rsidRPr="00992DE1">
              <w:rPr>
                <w:rFonts w:ascii="Times New Roman" w:hAnsi="Times New Roman"/>
                <w:sz w:val="24"/>
                <w:szCs w:val="24"/>
              </w:rPr>
              <w:t>3</w:t>
            </w:r>
            <w:r w:rsidR="00CC6CFD" w:rsidRPr="00992DE1">
              <w:rPr>
                <w:rFonts w:ascii="Times New Roman" w:hAnsi="Times New Roman"/>
                <w:sz w:val="24"/>
                <w:szCs w:val="24"/>
              </w:rPr>
              <w:t xml:space="preserve">. </w:t>
            </w:r>
            <w:r w:rsidR="004B0D78" w:rsidRPr="00992DE1">
              <w:rPr>
                <w:rFonts w:ascii="Times New Roman" w:hAnsi="Times New Roman"/>
                <w:sz w:val="24"/>
                <w:szCs w:val="24"/>
              </w:rPr>
              <w:t xml:space="preserve">Lai nodrošinātu iespēju bezdarbniekiem, t.sk. tiem, kas nav pabeiguši profesionālās izglītības programmas, taču ieguvuši nozīmīgu darba pieredzi vai attīstījuši prasmes ārpus formālās izglītības sistēmas, iegūt valsts atzītu kvalifikāciju apliecinošu dokumentu, </w:t>
            </w:r>
            <w:r w:rsidR="00036380" w:rsidRPr="00992DE1">
              <w:rPr>
                <w:rFonts w:ascii="Times New Roman" w:hAnsi="Times New Roman"/>
                <w:sz w:val="24"/>
                <w:szCs w:val="24"/>
              </w:rPr>
              <w:t xml:space="preserve">paredzēt </w:t>
            </w:r>
            <w:r w:rsidR="002E153C" w:rsidRPr="00992DE1">
              <w:rPr>
                <w:rFonts w:ascii="Times New Roman" w:hAnsi="Times New Roman"/>
                <w:sz w:val="24"/>
                <w:szCs w:val="24"/>
              </w:rPr>
              <w:t>jaunu atbalst</w:t>
            </w:r>
            <w:r w:rsidR="00036380" w:rsidRPr="00992DE1">
              <w:rPr>
                <w:rFonts w:ascii="Times New Roman" w:hAnsi="Times New Roman"/>
                <w:sz w:val="24"/>
                <w:szCs w:val="24"/>
              </w:rPr>
              <w:t>āmo darbību</w:t>
            </w:r>
            <w:r w:rsidR="002E153C" w:rsidRPr="00992DE1">
              <w:rPr>
                <w:rFonts w:ascii="Times New Roman" w:hAnsi="Times New Roman"/>
                <w:sz w:val="24"/>
                <w:szCs w:val="24"/>
              </w:rPr>
              <w:t xml:space="preserve"> </w:t>
            </w:r>
            <w:r w:rsidR="00036380" w:rsidRPr="00992DE1">
              <w:rPr>
                <w:rFonts w:ascii="Times New Roman" w:hAnsi="Times New Roman"/>
                <w:sz w:val="24"/>
                <w:szCs w:val="24"/>
              </w:rPr>
              <w:t xml:space="preserve">jauniešiem </w:t>
            </w:r>
            <w:r w:rsidR="002E153C" w:rsidRPr="00992DE1">
              <w:rPr>
                <w:rFonts w:ascii="Times New Roman" w:hAnsi="Times New Roman"/>
                <w:sz w:val="24"/>
                <w:szCs w:val="24"/>
              </w:rPr>
              <w:t xml:space="preserve">bezdarbniekiem </w:t>
            </w:r>
            <w:r w:rsidR="00D6708E" w:rsidRPr="00992DE1">
              <w:rPr>
                <w:rFonts w:ascii="Times New Roman" w:hAnsi="Times New Roman"/>
                <w:sz w:val="24"/>
                <w:szCs w:val="24"/>
              </w:rPr>
              <w:t>-</w:t>
            </w:r>
            <w:r w:rsidR="00036380" w:rsidRPr="00992DE1">
              <w:rPr>
                <w:rFonts w:ascii="Times New Roman" w:hAnsi="Times New Roman"/>
                <w:sz w:val="24"/>
                <w:szCs w:val="24"/>
              </w:rPr>
              <w:t xml:space="preserve"> </w:t>
            </w:r>
            <w:r w:rsidR="002E153C" w:rsidRPr="00992DE1">
              <w:rPr>
                <w:rFonts w:ascii="Times New Roman" w:hAnsi="Times New Roman"/>
                <w:sz w:val="24"/>
                <w:szCs w:val="24"/>
              </w:rPr>
              <w:t>ārpus formālās izglītības sistēmas apgūtās profesionālās kompetences</w:t>
            </w:r>
            <w:r w:rsidR="00036380" w:rsidRPr="00992DE1">
              <w:rPr>
                <w:rFonts w:ascii="Times New Roman" w:hAnsi="Times New Roman"/>
                <w:sz w:val="24"/>
                <w:szCs w:val="24"/>
              </w:rPr>
              <w:t>, kas atbilst pirm</w:t>
            </w:r>
            <w:r w:rsidR="009676B8" w:rsidRPr="00992DE1">
              <w:rPr>
                <w:rFonts w:ascii="Times New Roman" w:hAnsi="Times New Roman"/>
                <w:sz w:val="24"/>
                <w:szCs w:val="24"/>
              </w:rPr>
              <w:t>ajam</w:t>
            </w:r>
            <w:r w:rsidR="00036380" w:rsidRPr="00992DE1">
              <w:rPr>
                <w:rFonts w:ascii="Times New Roman" w:hAnsi="Times New Roman"/>
                <w:sz w:val="24"/>
                <w:szCs w:val="24"/>
              </w:rPr>
              <w:t>, otr</w:t>
            </w:r>
            <w:r w:rsidR="009676B8" w:rsidRPr="00992DE1">
              <w:rPr>
                <w:rFonts w:ascii="Times New Roman" w:hAnsi="Times New Roman"/>
                <w:sz w:val="24"/>
                <w:szCs w:val="24"/>
              </w:rPr>
              <w:t>ajam</w:t>
            </w:r>
            <w:r w:rsidR="00036380" w:rsidRPr="00992DE1">
              <w:rPr>
                <w:rFonts w:ascii="Times New Roman" w:hAnsi="Times New Roman"/>
                <w:sz w:val="24"/>
                <w:szCs w:val="24"/>
              </w:rPr>
              <w:t xml:space="preserve"> vai treš</w:t>
            </w:r>
            <w:r w:rsidR="009676B8" w:rsidRPr="00992DE1">
              <w:rPr>
                <w:rFonts w:ascii="Times New Roman" w:hAnsi="Times New Roman"/>
                <w:sz w:val="24"/>
                <w:szCs w:val="24"/>
              </w:rPr>
              <w:t>ajam</w:t>
            </w:r>
            <w:r w:rsidR="00036380" w:rsidRPr="00992DE1">
              <w:rPr>
                <w:rFonts w:ascii="Times New Roman" w:hAnsi="Times New Roman"/>
                <w:sz w:val="24"/>
                <w:szCs w:val="24"/>
              </w:rPr>
              <w:t xml:space="preserve"> </w:t>
            </w:r>
            <w:r w:rsidR="002A540F" w:rsidRPr="00992DE1">
              <w:rPr>
                <w:rFonts w:ascii="Times New Roman" w:hAnsi="Times New Roman"/>
                <w:sz w:val="24"/>
                <w:szCs w:val="24"/>
              </w:rPr>
              <w:t xml:space="preserve">profesionālās </w:t>
            </w:r>
            <w:r w:rsidR="00036380" w:rsidRPr="00992DE1">
              <w:rPr>
                <w:rFonts w:ascii="Times New Roman" w:hAnsi="Times New Roman"/>
                <w:sz w:val="24"/>
                <w:szCs w:val="24"/>
              </w:rPr>
              <w:t>kvalifikācijas līme</w:t>
            </w:r>
            <w:r w:rsidR="009676B8" w:rsidRPr="00992DE1">
              <w:rPr>
                <w:rFonts w:ascii="Times New Roman" w:hAnsi="Times New Roman"/>
                <w:sz w:val="24"/>
                <w:szCs w:val="24"/>
              </w:rPr>
              <w:t>nim</w:t>
            </w:r>
            <w:r w:rsidR="00036380" w:rsidRPr="00992DE1">
              <w:rPr>
                <w:rFonts w:ascii="Times New Roman" w:hAnsi="Times New Roman"/>
                <w:sz w:val="24"/>
                <w:szCs w:val="24"/>
              </w:rPr>
              <w:t>,</w:t>
            </w:r>
            <w:r w:rsidR="002E153C" w:rsidRPr="00992DE1">
              <w:rPr>
                <w:rFonts w:ascii="Times New Roman" w:hAnsi="Times New Roman"/>
                <w:sz w:val="24"/>
                <w:szCs w:val="24"/>
              </w:rPr>
              <w:t xml:space="preserve"> </w:t>
            </w:r>
            <w:r w:rsidR="00036380" w:rsidRPr="00992DE1">
              <w:rPr>
                <w:rFonts w:ascii="Times New Roman" w:hAnsi="Times New Roman"/>
                <w:sz w:val="24"/>
                <w:szCs w:val="24"/>
              </w:rPr>
              <w:t xml:space="preserve">novērtēšanu, paredzot segt jaunietim bezdarbniekam profesionālās kvalifikācijas eksāmenu </w:t>
            </w:r>
            <w:r w:rsidR="002E153C" w:rsidRPr="00992DE1">
              <w:rPr>
                <w:rFonts w:ascii="Times New Roman" w:hAnsi="Times New Roman"/>
                <w:sz w:val="24"/>
                <w:szCs w:val="24"/>
              </w:rPr>
              <w:t>izmaksas</w:t>
            </w:r>
            <w:r w:rsidR="00036380" w:rsidRPr="00992DE1">
              <w:rPr>
                <w:rFonts w:ascii="Times New Roman" w:hAnsi="Times New Roman"/>
                <w:sz w:val="24"/>
                <w:szCs w:val="24"/>
              </w:rPr>
              <w:t>,</w:t>
            </w:r>
            <w:r w:rsidR="002E153C" w:rsidRPr="00992DE1">
              <w:rPr>
                <w:rFonts w:ascii="Times New Roman" w:hAnsi="Times New Roman"/>
                <w:sz w:val="24"/>
                <w:szCs w:val="24"/>
              </w:rPr>
              <w:t xml:space="preserve"> atbilstoši profesionālās izglītības iestāžu un eksaminācijas centru maksas pakalpojumu cenrādim</w:t>
            </w:r>
            <w:r w:rsidR="00CC6CFD" w:rsidRPr="00992DE1">
              <w:rPr>
                <w:rFonts w:ascii="Times New Roman" w:hAnsi="Times New Roman"/>
                <w:sz w:val="24"/>
                <w:szCs w:val="24"/>
              </w:rPr>
              <w:t xml:space="preserve">. </w:t>
            </w:r>
          </w:p>
          <w:p w14:paraId="3FA7BC66" w14:textId="542F2CC4" w:rsidR="00C70E8E" w:rsidRPr="00992DE1" w:rsidRDefault="00BC7B29" w:rsidP="00CF7A17">
            <w:pPr>
              <w:pStyle w:val="ListParagraph"/>
              <w:shd w:val="clear" w:color="auto" w:fill="FFFFFF"/>
              <w:spacing w:after="0" w:line="240" w:lineRule="auto"/>
              <w:ind w:left="32"/>
              <w:jc w:val="both"/>
              <w:rPr>
                <w:rFonts w:ascii="Times New Roman" w:hAnsi="Times New Roman"/>
                <w:sz w:val="24"/>
                <w:szCs w:val="24"/>
              </w:rPr>
            </w:pPr>
            <w:r w:rsidRPr="00992DE1">
              <w:rPr>
                <w:rFonts w:ascii="Times New Roman" w:hAnsi="Times New Roman"/>
                <w:sz w:val="24"/>
                <w:szCs w:val="24"/>
              </w:rPr>
              <w:t>Atbalstāmā darbība “ārpus formālās izglītības sistēmas apgūtās profesionālās kompetences, kas atbilst pirmajam, otrajam vai trešajam kvalifikācijas līmenim, novērtēšana” ir papildinoša darbība 7.2.1.SAM ietvaros īstenotai atbalstāmai darbībai “Profesionālās izglītības programmu īstenošana” - profesionālās kompetences atzīšanai nav nepieciešamības apgūt profesionālās izglītības programmas bezdarbnieku apmācību ietvaros, proti, bezdarbniekam normatīvajos aktos noteiktā kārtībā tiek dota iespēja kārtot eksāmenu un iegūt zināšanas un prasmes apliecinošu dokumentu (t.sk., profesionālo kvalifikāciju).</w:t>
            </w:r>
            <w:r w:rsidRPr="00992DE1">
              <w:rPr>
                <w:rFonts w:ascii="Times New Roman" w:eastAsia="Times New Roman" w:hAnsi="Times New Roman"/>
                <w:sz w:val="24"/>
                <w:szCs w:val="24"/>
                <w:lang w:eastAsia="lv-LV"/>
              </w:rPr>
              <w:t xml:space="preserve"> </w:t>
            </w:r>
            <w:r w:rsidRPr="00992DE1">
              <w:rPr>
                <w:rFonts w:ascii="Times New Roman" w:hAnsi="Times New Roman"/>
                <w:sz w:val="24"/>
                <w:szCs w:val="24"/>
              </w:rPr>
              <w:t xml:space="preserve">Tādējādi minētais paaugstina bezdarbnieka iespējas iekārtoties darbā profesijā, kurā iegūta pieredze. </w:t>
            </w:r>
            <w:r w:rsidR="00085823" w:rsidRPr="00992DE1">
              <w:rPr>
                <w:rFonts w:ascii="Times New Roman" w:hAnsi="Times New Roman"/>
                <w:sz w:val="24"/>
                <w:szCs w:val="24"/>
              </w:rPr>
              <w:t xml:space="preserve">Attiecīgi minētās personas, ja tās neiesaistās citās atbalstāmajās darbībās, tiks ieskaitītas pie projekta iznākuma un rezultāta rādītāja. </w:t>
            </w:r>
            <w:r w:rsidRPr="00992DE1">
              <w:rPr>
                <w:rFonts w:ascii="Times New Roman" w:hAnsi="Times New Roman"/>
                <w:sz w:val="24"/>
                <w:szCs w:val="24"/>
              </w:rPr>
              <w:t xml:space="preserve">Minētais pozitīvi ietekmēs projekta sasniedzamos iznākuma un rezultāta rādītājus </w:t>
            </w:r>
            <w:r w:rsidR="002E153C" w:rsidRPr="00992DE1">
              <w:rPr>
                <w:rFonts w:ascii="Times New Roman" w:hAnsi="Times New Roman"/>
                <w:sz w:val="24"/>
                <w:szCs w:val="24"/>
              </w:rPr>
              <w:t>(</w:t>
            </w:r>
            <w:r w:rsidR="002D08DF" w:rsidRPr="00992DE1">
              <w:rPr>
                <w:rFonts w:ascii="Times New Roman" w:hAnsi="Times New Roman"/>
                <w:sz w:val="24"/>
                <w:szCs w:val="24"/>
              </w:rPr>
              <w:t xml:space="preserve">MK noteikumu </w:t>
            </w:r>
            <w:r w:rsidR="002E153C" w:rsidRPr="00992DE1">
              <w:rPr>
                <w:rFonts w:ascii="Times New Roman" w:hAnsi="Times New Roman"/>
                <w:sz w:val="24"/>
                <w:szCs w:val="24"/>
              </w:rPr>
              <w:t xml:space="preserve">projekta </w:t>
            </w:r>
            <w:r w:rsidR="002848CF" w:rsidRPr="00992DE1">
              <w:rPr>
                <w:rFonts w:ascii="Times New Roman" w:hAnsi="Times New Roman"/>
                <w:sz w:val="24"/>
                <w:szCs w:val="24"/>
              </w:rPr>
              <w:t>9</w:t>
            </w:r>
            <w:r w:rsidR="00CC6CFD" w:rsidRPr="00992DE1">
              <w:rPr>
                <w:rFonts w:ascii="Times New Roman" w:hAnsi="Times New Roman"/>
                <w:sz w:val="24"/>
                <w:szCs w:val="24"/>
              </w:rPr>
              <w:t xml:space="preserve">., </w:t>
            </w:r>
            <w:r w:rsidR="002848CF" w:rsidRPr="00992DE1">
              <w:rPr>
                <w:rFonts w:ascii="Times New Roman" w:hAnsi="Times New Roman"/>
                <w:sz w:val="24"/>
                <w:szCs w:val="24"/>
              </w:rPr>
              <w:t>10</w:t>
            </w:r>
            <w:r w:rsidR="00CC6CFD" w:rsidRPr="00992DE1">
              <w:rPr>
                <w:rFonts w:ascii="Times New Roman" w:hAnsi="Times New Roman"/>
                <w:sz w:val="24"/>
                <w:szCs w:val="24"/>
              </w:rPr>
              <w:t xml:space="preserve">., </w:t>
            </w:r>
            <w:r w:rsidR="002848CF" w:rsidRPr="00992DE1">
              <w:rPr>
                <w:rFonts w:ascii="Times New Roman" w:hAnsi="Times New Roman"/>
                <w:sz w:val="24"/>
                <w:szCs w:val="24"/>
              </w:rPr>
              <w:t>12</w:t>
            </w:r>
            <w:r w:rsidR="00CC6CFD" w:rsidRPr="00992DE1">
              <w:rPr>
                <w:rFonts w:ascii="Times New Roman" w:hAnsi="Times New Roman"/>
                <w:sz w:val="24"/>
                <w:szCs w:val="24"/>
              </w:rPr>
              <w:t xml:space="preserve">. un </w:t>
            </w:r>
            <w:r w:rsidR="002848CF" w:rsidRPr="00992DE1">
              <w:rPr>
                <w:rFonts w:ascii="Times New Roman" w:hAnsi="Times New Roman"/>
                <w:sz w:val="24"/>
                <w:szCs w:val="24"/>
              </w:rPr>
              <w:t>13</w:t>
            </w:r>
            <w:r w:rsidR="00CC6CFD" w:rsidRPr="00992DE1">
              <w:rPr>
                <w:rFonts w:ascii="Times New Roman" w:hAnsi="Times New Roman"/>
                <w:sz w:val="24"/>
                <w:szCs w:val="24"/>
              </w:rPr>
              <w:t>.punkts</w:t>
            </w:r>
            <w:r w:rsidR="002E153C" w:rsidRPr="00992DE1">
              <w:rPr>
                <w:rFonts w:ascii="Times New Roman" w:hAnsi="Times New Roman"/>
                <w:sz w:val="24"/>
                <w:szCs w:val="24"/>
              </w:rPr>
              <w:t>).</w:t>
            </w:r>
            <w:r w:rsidR="00EB2AC3" w:rsidRPr="00992DE1">
              <w:rPr>
                <w:rFonts w:ascii="Times New Roman" w:hAnsi="Times New Roman"/>
                <w:sz w:val="24"/>
                <w:szCs w:val="24"/>
              </w:rPr>
              <w:t xml:space="preserve"> </w:t>
            </w:r>
          </w:p>
          <w:p w14:paraId="089E5046" w14:textId="6B196EAC" w:rsidR="00AF70FF" w:rsidRPr="00992DE1" w:rsidRDefault="00BC7B29" w:rsidP="00CF7A17">
            <w:pPr>
              <w:pStyle w:val="ListParagraph"/>
              <w:shd w:val="clear" w:color="auto" w:fill="FFFFFF"/>
              <w:spacing w:after="0" w:line="240" w:lineRule="auto"/>
              <w:ind w:left="32"/>
              <w:jc w:val="both"/>
              <w:rPr>
                <w:rFonts w:ascii="Times New Roman" w:hAnsi="Times New Roman"/>
                <w:sz w:val="24"/>
                <w:szCs w:val="24"/>
              </w:rPr>
            </w:pPr>
            <w:r w:rsidRPr="00992DE1">
              <w:rPr>
                <w:rFonts w:ascii="Times New Roman" w:hAnsi="Times New Roman"/>
                <w:sz w:val="24"/>
                <w:szCs w:val="24"/>
              </w:rPr>
              <w:t xml:space="preserve">Atbalstāmai darbībai “ārpus formālās izglītības sistēmas apgūtās profesionālās kompetences, kas atbilst pirmajam, otrajam vai trešajam kvalifikācijas līmenim, novērtēšana” kopumā </w:t>
            </w:r>
            <w:r w:rsidR="00EB2AC3" w:rsidRPr="00992DE1">
              <w:rPr>
                <w:rFonts w:ascii="Times New Roman" w:hAnsi="Times New Roman"/>
                <w:sz w:val="24"/>
                <w:szCs w:val="24"/>
              </w:rPr>
              <w:t>nav būtiska ietekme uz apmācību pasākumiem paredzēto finansējumu, jo plānots, ka daļa no bezdarbniekiem, tā vietā lai apgūtu profesionālās izglītības programmas, izvēlēsies veikt profesionālās kompetences atzīšanu.</w:t>
            </w:r>
            <w:r w:rsidR="00CA24B4" w:rsidRPr="00992DE1">
              <w:rPr>
                <w:rFonts w:ascii="Times New Roman" w:hAnsi="Times New Roman"/>
                <w:sz w:val="24"/>
                <w:szCs w:val="24"/>
              </w:rPr>
              <w:t xml:space="preserve"> NVA sedz ārpus formālās izglītības </w:t>
            </w:r>
            <w:r w:rsidR="00CA24B4" w:rsidRPr="00992DE1">
              <w:rPr>
                <w:rFonts w:ascii="Times New Roman" w:hAnsi="Times New Roman"/>
                <w:sz w:val="24"/>
                <w:szCs w:val="24"/>
              </w:rPr>
              <w:lastRenderedPageBreak/>
              <w:t>sistēmas apgūtās profesionālās kompetences novērtēšanas izmaksas atbilstoši profesionālās izglītības iestāžu un eksaminācijas centru maksas pakalpojumu cenrādim (</w:t>
            </w:r>
            <w:r w:rsidRPr="00992DE1">
              <w:rPr>
                <w:rFonts w:ascii="Times New Roman" w:hAnsi="Times New Roman"/>
                <w:sz w:val="24"/>
                <w:szCs w:val="24"/>
              </w:rPr>
              <w:t>MK 2013.gada 10.septembra</w:t>
            </w:r>
            <w:r w:rsidR="00CA24B4" w:rsidRPr="00992DE1">
              <w:rPr>
                <w:rFonts w:ascii="Times New Roman" w:hAnsi="Times New Roman"/>
                <w:sz w:val="24"/>
                <w:szCs w:val="24"/>
              </w:rPr>
              <w:t xml:space="preserve"> noteikumi Nr.791</w:t>
            </w:r>
            <w:r w:rsidR="00CA24B4" w:rsidRPr="00992DE1">
              <w:rPr>
                <w:rFonts w:ascii="Times New Roman" w:eastAsia="Times New Roman" w:hAnsi="Times New Roman"/>
                <w:sz w:val="24"/>
                <w:szCs w:val="24"/>
                <w:lang w:eastAsia="lv-LV"/>
              </w:rPr>
              <w:t xml:space="preserve"> „</w:t>
            </w:r>
            <w:r w:rsidR="00CA24B4" w:rsidRPr="00992DE1">
              <w:rPr>
                <w:rFonts w:ascii="Times New Roman" w:hAnsi="Times New Roman"/>
                <w:sz w:val="24"/>
                <w:szCs w:val="24"/>
              </w:rPr>
              <w:t>Profesionālās izglītības iestāžu un eksaminācijas centru maksas pakalpojumu cenrādis”).</w:t>
            </w:r>
          </w:p>
          <w:p w14:paraId="46C102A3" w14:textId="2AB6A7B5" w:rsidR="00BC7B29" w:rsidRPr="00992DE1" w:rsidRDefault="00BC7B29" w:rsidP="00CF7A17">
            <w:pPr>
              <w:pStyle w:val="ListParagraph"/>
              <w:shd w:val="clear" w:color="auto" w:fill="FFFFFF"/>
              <w:spacing w:after="0" w:line="240" w:lineRule="auto"/>
              <w:ind w:left="32"/>
              <w:jc w:val="both"/>
              <w:rPr>
                <w:rFonts w:ascii="Times New Roman" w:hAnsi="Times New Roman"/>
                <w:sz w:val="24"/>
                <w:szCs w:val="24"/>
              </w:rPr>
            </w:pPr>
            <w:r w:rsidRPr="00992DE1">
              <w:rPr>
                <w:rFonts w:ascii="Times New Roman" w:hAnsi="Times New Roman"/>
                <w:sz w:val="24"/>
                <w:szCs w:val="24"/>
              </w:rPr>
              <w:t>Attiecībā uz demarkācijas nodrošināšanu ar citiem darbības programmā “Izaugsme un nodarbinātība” specifiskajiem atbalsta pasākumiem, kuru ietvaros plānoti līdzīgi pasākumi, ir paredzēts, ka pasākumā “Aktīvās darba tirgus politikas pasākumu īstenošana jauniešu bezdarbnieku nodarbinātības veicināšanai” iesaista mērķa grupu, kura nav iesaistīta citos apmācību pasākumos, atbilstoši normatīvajiem aktiem par aktīvo nodarbinātības pasākumu un preventīvo bezdarba samazināšanas pasākumu organizēšanas un finansēšanas kārtību un pasākumu īstenotāju izvēles principiem (proti, atbilstoši MK noteikumos Nr.75 noteiktajam, profesionālās izglītības programmu apguvē bezdarbnieku iesaista ne agrāk kā divus gadus pēc iepriekšējās profesionālās izglītības programmas pabeigšanas vai profesionālās kvalifikācijas iegūšanas).</w:t>
            </w:r>
          </w:p>
          <w:p w14:paraId="67C89D05" w14:textId="5670842A" w:rsidR="009D09D6" w:rsidRPr="00992DE1" w:rsidRDefault="009D09D6" w:rsidP="00CF7A17">
            <w:pPr>
              <w:pStyle w:val="ListParagraph"/>
              <w:shd w:val="clear" w:color="auto" w:fill="FFFFFF"/>
              <w:spacing w:after="0" w:line="240" w:lineRule="auto"/>
              <w:ind w:left="32"/>
              <w:jc w:val="both"/>
              <w:rPr>
                <w:rFonts w:ascii="Times New Roman" w:hAnsi="Times New Roman"/>
                <w:sz w:val="14"/>
                <w:szCs w:val="14"/>
              </w:rPr>
            </w:pPr>
          </w:p>
          <w:p w14:paraId="330DCA53" w14:textId="1349EC41" w:rsidR="00322705" w:rsidRPr="00992DE1" w:rsidRDefault="009D09D6" w:rsidP="0052121B">
            <w:pPr>
              <w:pStyle w:val="ListParagraph"/>
              <w:shd w:val="clear" w:color="auto" w:fill="FFFFFF"/>
              <w:spacing w:after="0" w:line="240" w:lineRule="auto"/>
              <w:ind w:left="32"/>
              <w:jc w:val="both"/>
              <w:rPr>
                <w:rFonts w:ascii="Times New Roman" w:eastAsiaTheme="minorHAnsi" w:hAnsi="Times New Roman"/>
                <w:sz w:val="24"/>
                <w:szCs w:val="24"/>
              </w:rPr>
            </w:pPr>
            <w:r w:rsidRPr="00992DE1">
              <w:rPr>
                <w:rFonts w:ascii="Times New Roman" w:hAnsi="Times New Roman"/>
                <w:sz w:val="24"/>
                <w:szCs w:val="24"/>
              </w:rPr>
              <w:t xml:space="preserve">4. </w:t>
            </w:r>
            <w:r w:rsidR="00322705" w:rsidRPr="00992DE1">
              <w:rPr>
                <w:rFonts w:ascii="Times New Roman" w:eastAsiaTheme="minorHAnsi" w:hAnsi="Times New Roman"/>
                <w:sz w:val="24"/>
                <w:szCs w:val="24"/>
              </w:rPr>
              <w:t xml:space="preserve">lai sniegtu papildu atbalstu darba devējiem (biedrībām un nodibinājumiem), kuri veido darbavietas un sekmētu bezdarbnieku iekārtošanos darbā pēc NVA apmācību pabeigšanas, paredzēt, ka 7.2.1.SAM ietvaros - atbalstāmajās darbībās </w:t>
            </w:r>
            <w:r w:rsidR="00BC7B29" w:rsidRPr="00992DE1">
              <w:rPr>
                <w:rFonts w:ascii="Times New Roman" w:eastAsiaTheme="minorHAnsi" w:hAnsi="Times New Roman"/>
                <w:sz w:val="24"/>
                <w:szCs w:val="24"/>
              </w:rPr>
              <w:t>SDV</w:t>
            </w:r>
            <w:r w:rsidR="00322705" w:rsidRPr="00992DE1">
              <w:rPr>
                <w:rFonts w:ascii="Times New Roman" w:eastAsiaTheme="minorHAnsi" w:hAnsi="Times New Roman"/>
                <w:sz w:val="24"/>
                <w:szCs w:val="24"/>
              </w:rPr>
              <w:t xml:space="preserve">  un  </w:t>
            </w:r>
            <w:r w:rsidR="00BC7B29" w:rsidRPr="00992DE1">
              <w:rPr>
                <w:rFonts w:ascii="Times New Roman" w:eastAsiaTheme="minorHAnsi" w:hAnsi="Times New Roman"/>
                <w:sz w:val="24"/>
                <w:szCs w:val="24"/>
              </w:rPr>
              <w:t>PDP</w:t>
            </w:r>
            <w:r w:rsidR="00322705" w:rsidRPr="00992DE1">
              <w:rPr>
                <w:rFonts w:ascii="Times New Roman" w:eastAsiaTheme="minorHAnsi" w:hAnsi="Times New Roman"/>
                <w:sz w:val="24"/>
                <w:szCs w:val="24"/>
              </w:rPr>
              <w:t xml:space="preserve"> NVA sedz valsts sociālās apdrošināšanas obligātās </w:t>
            </w:r>
            <w:r w:rsidR="00603406" w:rsidRPr="00992DE1">
              <w:rPr>
                <w:rFonts w:ascii="Times New Roman" w:eastAsiaTheme="minorHAnsi" w:hAnsi="Times New Roman"/>
                <w:sz w:val="24"/>
                <w:szCs w:val="24"/>
              </w:rPr>
              <w:t xml:space="preserve">iemaksas </w:t>
            </w:r>
            <w:r w:rsidR="00322705" w:rsidRPr="00992DE1">
              <w:rPr>
                <w:rFonts w:ascii="Times New Roman" w:eastAsiaTheme="minorHAnsi" w:hAnsi="Times New Roman"/>
                <w:sz w:val="24"/>
                <w:szCs w:val="24"/>
              </w:rPr>
              <w:t>(turpmāk - VSAO</w:t>
            </w:r>
            <w:r w:rsidR="00603406" w:rsidRPr="00992DE1">
              <w:rPr>
                <w:rFonts w:ascii="Times New Roman" w:eastAsiaTheme="minorHAnsi" w:hAnsi="Times New Roman"/>
                <w:sz w:val="24"/>
                <w:szCs w:val="24"/>
              </w:rPr>
              <w:t>I</w:t>
            </w:r>
            <w:r w:rsidR="00322705" w:rsidRPr="00992DE1">
              <w:rPr>
                <w:rFonts w:ascii="Times New Roman" w:eastAsiaTheme="minorHAnsi" w:hAnsi="Times New Roman"/>
                <w:sz w:val="24"/>
                <w:szCs w:val="24"/>
              </w:rPr>
              <w:t>) no algas dotācijas daļas ne tikai par iesaistītajiem bezdarbniekiem, ja darba devējs, kas noslēdzis līgumu par pasākuma īstenošanu, ir biedrība vai nodibinājums, kura darbības mērķis ir atbalsta sniegšana personām ar invaliditāti un kurš nodarbina bezdarbniekus šādās profesijās – asistents vai pavadonis personām ar invaliditāti, surdotulks, latviešu nedzirdīgo zīmju valodas tulks, interešu pulciņa audzinātājs personām ar invaliditāti, speciālais pedagogs vai sniedz atbalstu personām ar redzes invaliditāti, bet arī gadījumos, kad minētā biedrība vai nodibinājums nodarbina bezdarbniekus tajās profesijās, kurās atbilstoši darba tirgus pieprasījumam un tautsaimniecības nozaru attīstības prognozēm nepieciešams veikt bezdarbnieku, darba meklētāju un bezdarba riskam pakļauto personu apmācību (MK noteikumu projekta</w:t>
            </w:r>
            <w:r w:rsidR="00322705" w:rsidRPr="00992DE1">
              <w:rPr>
                <w:rFonts w:ascii="Times New Roman" w:eastAsiaTheme="minorHAnsi" w:hAnsi="Times New Roman"/>
                <w:i/>
                <w:iCs/>
                <w:sz w:val="24"/>
                <w:szCs w:val="24"/>
              </w:rPr>
              <w:t xml:space="preserve"> </w:t>
            </w:r>
            <w:r w:rsidR="00322705" w:rsidRPr="00992DE1">
              <w:rPr>
                <w:rFonts w:ascii="Times New Roman" w:hAnsi="Times New Roman"/>
                <w:sz w:val="24"/>
                <w:szCs w:val="24"/>
              </w:rPr>
              <w:t>1</w:t>
            </w:r>
            <w:r w:rsidR="002848CF" w:rsidRPr="00992DE1">
              <w:rPr>
                <w:rFonts w:ascii="Times New Roman" w:hAnsi="Times New Roman"/>
                <w:sz w:val="24"/>
                <w:szCs w:val="24"/>
              </w:rPr>
              <w:t>4</w:t>
            </w:r>
            <w:r w:rsidR="00322705" w:rsidRPr="00992DE1">
              <w:rPr>
                <w:rFonts w:ascii="Times New Roman" w:hAnsi="Times New Roman"/>
                <w:sz w:val="24"/>
                <w:szCs w:val="24"/>
              </w:rPr>
              <w:t>.</w:t>
            </w:r>
            <w:r w:rsidR="00854DE8" w:rsidRPr="00992DE1">
              <w:rPr>
                <w:rFonts w:ascii="Times New Roman" w:hAnsi="Times New Roman"/>
                <w:sz w:val="24"/>
                <w:szCs w:val="24"/>
              </w:rPr>
              <w:t xml:space="preserve"> un </w:t>
            </w:r>
            <w:r w:rsidR="00BC7B29" w:rsidRPr="00992DE1">
              <w:rPr>
                <w:rFonts w:ascii="Times New Roman" w:hAnsi="Times New Roman"/>
                <w:sz w:val="24"/>
                <w:szCs w:val="24"/>
              </w:rPr>
              <w:t>1</w:t>
            </w:r>
            <w:r w:rsidR="00085823" w:rsidRPr="00992DE1">
              <w:rPr>
                <w:rFonts w:ascii="Times New Roman" w:hAnsi="Times New Roman"/>
                <w:sz w:val="24"/>
                <w:szCs w:val="24"/>
              </w:rPr>
              <w:t>7</w:t>
            </w:r>
            <w:r w:rsidR="00322705" w:rsidRPr="00992DE1">
              <w:rPr>
                <w:rFonts w:ascii="Times New Roman" w:hAnsi="Times New Roman"/>
                <w:sz w:val="24"/>
                <w:szCs w:val="24"/>
              </w:rPr>
              <w:t>.punkts</w:t>
            </w:r>
            <w:r w:rsidR="00322705" w:rsidRPr="00992DE1">
              <w:rPr>
                <w:rFonts w:ascii="Times New Roman" w:eastAsiaTheme="minorHAnsi" w:hAnsi="Times New Roman"/>
                <w:sz w:val="24"/>
                <w:szCs w:val="24"/>
              </w:rPr>
              <w:t>).</w:t>
            </w:r>
          </w:p>
          <w:p w14:paraId="1DB3987F" w14:textId="77777777" w:rsidR="00322705" w:rsidRPr="00992DE1" w:rsidRDefault="00322705" w:rsidP="00322705">
            <w:pPr>
              <w:jc w:val="both"/>
              <w:rPr>
                <w:sz w:val="14"/>
                <w:szCs w:val="14"/>
              </w:rPr>
            </w:pPr>
          </w:p>
          <w:p w14:paraId="0DEE0C7E" w14:textId="09483471" w:rsidR="00322705" w:rsidRPr="00992DE1" w:rsidRDefault="00322705" w:rsidP="00322705">
            <w:pPr>
              <w:jc w:val="both"/>
              <w:rPr>
                <w:b/>
              </w:rPr>
            </w:pPr>
            <w:r w:rsidRPr="00992DE1">
              <w:rPr>
                <w:b/>
              </w:rPr>
              <w:t xml:space="preserve">Izmaksu aprēķins </w:t>
            </w:r>
            <w:r w:rsidR="00A23552" w:rsidRPr="00992DE1">
              <w:rPr>
                <w:b/>
              </w:rPr>
              <w:t>SDV</w:t>
            </w:r>
            <w:r w:rsidRPr="00992DE1">
              <w:rPr>
                <w:b/>
              </w:rPr>
              <w:t xml:space="preserve"> noteiktām personu grupām:</w:t>
            </w:r>
          </w:p>
          <w:p w14:paraId="0061F4C6" w14:textId="1C4C0815" w:rsidR="00322705" w:rsidRPr="00992DE1" w:rsidRDefault="00322705" w:rsidP="00322705">
            <w:pPr>
              <w:jc w:val="both"/>
            </w:pPr>
            <w:r w:rsidRPr="00992DE1">
              <w:t>1) SDV mērķa grupas izmaksas 1 cilvēkam ir 3 705 </w:t>
            </w:r>
            <w:r w:rsidRPr="00992DE1">
              <w:rPr>
                <w:i/>
              </w:rPr>
              <w:t>euro</w:t>
            </w:r>
            <w:r w:rsidRPr="00992DE1">
              <w:t xml:space="preserve"> (vidējā darba algas dotācijas daļa 285 </w:t>
            </w:r>
            <w:r w:rsidRPr="00992DE1">
              <w:rPr>
                <w:i/>
              </w:rPr>
              <w:t>euro</w:t>
            </w:r>
            <w:r w:rsidRPr="00992DE1">
              <w:t xml:space="preserve"> x 11 mēneši + dotācija darba vadītājam 190 </w:t>
            </w:r>
            <w:r w:rsidRPr="00992DE1">
              <w:rPr>
                <w:i/>
              </w:rPr>
              <w:t>euro</w:t>
            </w:r>
            <w:r w:rsidRPr="00992DE1">
              <w:t xml:space="preserve"> x 3 mēneši). </w:t>
            </w:r>
            <w:r w:rsidRPr="00992DE1">
              <w:rPr>
                <w:bCs/>
              </w:rPr>
              <w:t xml:space="preserve">VSAOI papildus dotāciju piešķiršanas gadījumā izmaksas 1 cilvēkam ir </w:t>
            </w:r>
            <w:r w:rsidR="001A4CD8" w:rsidRPr="00992DE1">
              <w:rPr>
                <w:bCs/>
              </w:rPr>
              <w:t>739,55</w:t>
            </w:r>
            <w:r w:rsidRPr="00992DE1">
              <w:rPr>
                <w:bCs/>
              </w:rPr>
              <w:t xml:space="preserve"> </w:t>
            </w:r>
            <w:r w:rsidRPr="00992DE1">
              <w:rPr>
                <w:bCs/>
                <w:i/>
              </w:rPr>
              <w:t>euro</w:t>
            </w:r>
            <w:r w:rsidRPr="00992DE1">
              <w:rPr>
                <w:bCs/>
              </w:rPr>
              <w:t xml:space="preserve"> (</w:t>
            </w:r>
            <w:r w:rsidR="001A4CD8" w:rsidRPr="00992DE1">
              <w:rPr>
                <w:bCs/>
              </w:rPr>
              <w:t>67,23 </w:t>
            </w:r>
            <w:r w:rsidRPr="00992DE1">
              <w:rPr>
                <w:bCs/>
                <w:i/>
              </w:rPr>
              <w:t>euro</w:t>
            </w:r>
            <w:r w:rsidRPr="00992DE1">
              <w:rPr>
                <w:bCs/>
              </w:rPr>
              <w:t xml:space="preserve"> x 11 mēneši). Kopā SDV mērķa grupas izmaksas 1 cilvēkam ir </w:t>
            </w:r>
            <w:r w:rsidR="001A4CD8" w:rsidRPr="00992DE1">
              <w:rPr>
                <w:bCs/>
              </w:rPr>
              <w:t>4 444,55</w:t>
            </w:r>
            <w:r w:rsidRPr="00992DE1">
              <w:rPr>
                <w:bCs/>
              </w:rPr>
              <w:t xml:space="preserve"> </w:t>
            </w:r>
            <w:r w:rsidRPr="00992DE1">
              <w:rPr>
                <w:bCs/>
                <w:i/>
              </w:rPr>
              <w:t>euro</w:t>
            </w:r>
            <w:r w:rsidRPr="00992DE1">
              <w:rPr>
                <w:bCs/>
              </w:rPr>
              <w:t xml:space="preserve"> apmērā,</w:t>
            </w:r>
          </w:p>
          <w:p w14:paraId="48F80FD8" w14:textId="1BB1C9D7" w:rsidR="00322705" w:rsidRPr="00992DE1" w:rsidRDefault="00322705" w:rsidP="00322705">
            <w:pPr>
              <w:pStyle w:val="PlainText"/>
              <w:jc w:val="both"/>
              <w:rPr>
                <w:rFonts w:ascii="Times New Roman" w:hAnsi="Times New Roman" w:cs="Times New Roman"/>
                <w:bCs/>
                <w:sz w:val="24"/>
                <w:szCs w:val="24"/>
              </w:rPr>
            </w:pPr>
            <w:r w:rsidRPr="00992DE1">
              <w:rPr>
                <w:rFonts w:ascii="Times New Roman" w:hAnsi="Times New Roman" w:cs="Times New Roman"/>
                <w:sz w:val="24"/>
                <w:szCs w:val="24"/>
              </w:rPr>
              <w:lastRenderedPageBreak/>
              <w:t xml:space="preserve">2) SDV jaunietim ar invaliditāti izmaksas 1 cilvēkam ir 7 260 </w:t>
            </w:r>
            <w:r w:rsidRPr="00992DE1">
              <w:rPr>
                <w:rFonts w:ascii="Times New Roman" w:hAnsi="Times New Roman" w:cs="Times New Roman"/>
                <w:i/>
                <w:sz w:val="24"/>
                <w:szCs w:val="24"/>
              </w:rPr>
              <w:t>euro</w:t>
            </w:r>
            <w:r w:rsidRPr="00992DE1">
              <w:rPr>
                <w:rFonts w:ascii="Times New Roman" w:hAnsi="Times New Roman" w:cs="Times New Roman"/>
                <w:sz w:val="24"/>
                <w:szCs w:val="24"/>
              </w:rPr>
              <w:t xml:space="preserve"> (vidējā darba algas dotācijas daļa 470 </w:t>
            </w:r>
            <w:r w:rsidRPr="00992DE1">
              <w:rPr>
                <w:rFonts w:ascii="Times New Roman" w:hAnsi="Times New Roman" w:cs="Times New Roman"/>
                <w:i/>
                <w:sz w:val="24"/>
                <w:szCs w:val="24"/>
              </w:rPr>
              <w:t>euro</w:t>
            </w:r>
            <w:r w:rsidRPr="00992DE1">
              <w:rPr>
                <w:rFonts w:ascii="Times New Roman" w:hAnsi="Times New Roman" w:cs="Times New Roman"/>
                <w:sz w:val="24"/>
                <w:szCs w:val="24"/>
              </w:rPr>
              <w:t xml:space="preserve"> x 11 mēneši + dotācija darba vadītājam 190 </w:t>
            </w:r>
            <w:r w:rsidRPr="00992DE1">
              <w:rPr>
                <w:rFonts w:ascii="Times New Roman" w:hAnsi="Times New Roman" w:cs="Times New Roman"/>
                <w:i/>
                <w:sz w:val="24"/>
                <w:szCs w:val="24"/>
              </w:rPr>
              <w:t>euro</w:t>
            </w:r>
            <w:r w:rsidRPr="00992DE1">
              <w:rPr>
                <w:rFonts w:ascii="Times New Roman" w:hAnsi="Times New Roman" w:cs="Times New Roman"/>
                <w:sz w:val="24"/>
                <w:szCs w:val="24"/>
              </w:rPr>
              <w:t xml:space="preserve"> x 11 mēneši). </w:t>
            </w:r>
            <w:r w:rsidRPr="00992DE1">
              <w:rPr>
                <w:rFonts w:ascii="Times New Roman" w:hAnsi="Times New Roman" w:cs="Times New Roman"/>
                <w:bCs/>
                <w:sz w:val="24"/>
                <w:szCs w:val="24"/>
              </w:rPr>
              <w:t xml:space="preserve">VSAOI papildus dotāciju piešķiršanas gadījumā izmaksas 1 cilvēkam ir 1 219,57 </w:t>
            </w:r>
            <w:r w:rsidRPr="00992DE1">
              <w:rPr>
                <w:rFonts w:ascii="Times New Roman" w:hAnsi="Times New Roman" w:cs="Times New Roman"/>
                <w:bCs/>
                <w:i/>
                <w:sz w:val="24"/>
                <w:szCs w:val="24"/>
              </w:rPr>
              <w:t>euro</w:t>
            </w:r>
            <w:r w:rsidRPr="00992DE1">
              <w:rPr>
                <w:rFonts w:ascii="Times New Roman" w:hAnsi="Times New Roman" w:cs="Times New Roman"/>
                <w:bCs/>
                <w:sz w:val="24"/>
                <w:szCs w:val="24"/>
              </w:rPr>
              <w:t xml:space="preserve"> (110,87 </w:t>
            </w:r>
            <w:r w:rsidRPr="00992DE1">
              <w:rPr>
                <w:rFonts w:ascii="Times New Roman" w:hAnsi="Times New Roman" w:cs="Times New Roman"/>
                <w:bCs/>
                <w:i/>
                <w:sz w:val="24"/>
                <w:szCs w:val="24"/>
              </w:rPr>
              <w:t>euro</w:t>
            </w:r>
            <w:r w:rsidRPr="00992DE1">
              <w:rPr>
                <w:rFonts w:ascii="Times New Roman" w:hAnsi="Times New Roman" w:cs="Times New Roman"/>
                <w:bCs/>
                <w:sz w:val="24"/>
                <w:szCs w:val="24"/>
              </w:rPr>
              <w:t xml:space="preserve"> x 11 mēneši). Kopā SDV </w:t>
            </w:r>
            <w:r w:rsidRPr="00992DE1">
              <w:rPr>
                <w:rFonts w:ascii="Times New Roman" w:hAnsi="Times New Roman" w:cs="Times New Roman"/>
                <w:sz w:val="24"/>
                <w:szCs w:val="24"/>
              </w:rPr>
              <w:t xml:space="preserve">jaunietim ar invaliditāti </w:t>
            </w:r>
            <w:r w:rsidRPr="00992DE1">
              <w:rPr>
                <w:rFonts w:ascii="Times New Roman" w:hAnsi="Times New Roman" w:cs="Times New Roman"/>
                <w:bCs/>
                <w:sz w:val="24"/>
                <w:szCs w:val="24"/>
              </w:rPr>
              <w:t xml:space="preserve">izmaksas 1 cilvēkam ir 8 479,57 </w:t>
            </w:r>
            <w:r w:rsidRPr="00992DE1">
              <w:rPr>
                <w:rFonts w:ascii="Times New Roman" w:hAnsi="Times New Roman" w:cs="Times New Roman"/>
                <w:bCs/>
                <w:i/>
                <w:sz w:val="24"/>
                <w:szCs w:val="24"/>
              </w:rPr>
              <w:t>euro</w:t>
            </w:r>
            <w:r w:rsidRPr="00992DE1">
              <w:rPr>
                <w:rFonts w:ascii="Times New Roman" w:hAnsi="Times New Roman" w:cs="Times New Roman"/>
                <w:bCs/>
                <w:sz w:val="24"/>
                <w:szCs w:val="24"/>
              </w:rPr>
              <w:t xml:space="preserve"> apmērā.</w:t>
            </w:r>
          </w:p>
          <w:p w14:paraId="0E98ED96" w14:textId="77777777" w:rsidR="003C12C6" w:rsidRPr="00992DE1" w:rsidRDefault="003C12C6" w:rsidP="00322705">
            <w:pPr>
              <w:pStyle w:val="PlainText"/>
              <w:jc w:val="both"/>
              <w:rPr>
                <w:rFonts w:ascii="Times New Roman" w:hAnsi="Times New Roman" w:cs="Times New Roman"/>
                <w:sz w:val="14"/>
                <w:szCs w:val="14"/>
              </w:rPr>
            </w:pPr>
          </w:p>
          <w:p w14:paraId="6F84A8FC" w14:textId="0FBB7B01" w:rsidR="00322705" w:rsidRPr="00992DE1" w:rsidRDefault="00322705" w:rsidP="00322705">
            <w:pPr>
              <w:jc w:val="both"/>
              <w:rPr>
                <w:b/>
              </w:rPr>
            </w:pPr>
            <w:r w:rsidRPr="00992DE1">
              <w:rPr>
                <w:b/>
              </w:rPr>
              <w:t>Izmaksu aprēķins PDP noteiktām personu grupām:</w:t>
            </w:r>
          </w:p>
          <w:p w14:paraId="4F53B9C4" w14:textId="63DB5BF8" w:rsidR="00322705" w:rsidRPr="00992DE1" w:rsidRDefault="00322705" w:rsidP="00322705">
            <w:pPr>
              <w:pStyle w:val="PlainText"/>
              <w:jc w:val="both"/>
              <w:rPr>
                <w:rFonts w:ascii="Times New Roman" w:hAnsi="Times New Roman" w:cs="Times New Roman"/>
                <w:sz w:val="24"/>
                <w:szCs w:val="24"/>
              </w:rPr>
            </w:pPr>
            <w:r w:rsidRPr="00992DE1">
              <w:rPr>
                <w:rFonts w:ascii="Times New Roman" w:hAnsi="Times New Roman" w:cs="Times New Roman"/>
                <w:sz w:val="24"/>
                <w:szCs w:val="24"/>
              </w:rPr>
              <w:t xml:space="preserve">1) PDP mērķa grupas izmaksas 1 cilvēkam ir 2 570 </w:t>
            </w:r>
            <w:r w:rsidRPr="00992DE1">
              <w:rPr>
                <w:rFonts w:ascii="Times New Roman" w:hAnsi="Times New Roman" w:cs="Times New Roman"/>
                <w:i/>
                <w:sz w:val="24"/>
                <w:szCs w:val="24"/>
              </w:rPr>
              <w:t>euro</w:t>
            </w:r>
            <w:r w:rsidRPr="00992DE1">
              <w:rPr>
                <w:rFonts w:ascii="Times New Roman" w:hAnsi="Times New Roman" w:cs="Times New Roman"/>
                <w:sz w:val="24"/>
                <w:szCs w:val="24"/>
              </w:rPr>
              <w:t xml:space="preserve"> (vidējā darba algas dotācijas daļa 200 </w:t>
            </w:r>
            <w:r w:rsidRPr="00992DE1">
              <w:rPr>
                <w:rFonts w:ascii="Times New Roman" w:hAnsi="Times New Roman" w:cs="Times New Roman"/>
                <w:i/>
                <w:sz w:val="24"/>
                <w:szCs w:val="24"/>
              </w:rPr>
              <w:t>euro</w:t>
            </w:r>
            <w:r w:rsidRPr="00992DE1">
              <w:rPr>
                <w:rFonts w:ascii="Times New Roman" w:hAnsi="Times New Roman" w:cs="Times New Roman"/>
                <w:sz w:val="24"/>
                <w:szCs w:val="24"/>
              </w:rPr>
              <w:t xml:space="preserve"> x 6 mēneši + 160 </w:t>
            </w:r>
            <w:r w:rsidRPr="00992DE1">
              <w:rPr>
                <w:rFonts w:ascii="Times New Roman" w:hAnsi="Times New Roman" w:cs="Times New Roman"/>
                <w:i/>
                <w:sz w:val="24"/>
                <w:szCs w:val="24"/>
              </w:rPr>
              <w:t>euro</w:t>
            </w:r>
            <w:r w:rsidRPr="00992DE1">
              <w:rPr>
                <w:rFonts w:ascii="Times New Roman" w:hAnsi="Times New Roman" w:cs="Times New Roman"/>
                <w:sz w:val="24"/>
                <w:szCs w:val="24"/>
              </w:rPr>
              <w:t xml:space="preserve"> x 5 mēneši + dotācija darba vadītājam 190 </w:t>
            </w:r>
            <w:r w:rsidRPr="00992DE1">
              <w:rPr>
                <w:rFonts w:ascii="Times New Roman" w:hAnsi="Times New Roman" w:cs="Times New Roman"/>
                <w:i/>
                <w:sz w:val="24"/>
                <w:szCs w:val="24"/>
              </w:rPr>
              <w:t>euro</w:t>
            </w:r>
            <w:r w:rsidRPr="00992DE1">
              <w:rPr>
                <w:rFonts w:ascii="Times New Roman" w:hAnsi="Times New Roman" w:cs="Times New Roman"/>
                <w:sz w:val="24"/>
                <w:szCs w:val="24"/>
              </w:rPr>
              <w:t xml:space="preserve"> x 3 mēneši). </w:t>
            </w:r>
            <w:r w:rsidRPr="00992DE1">
              <w:rPr>
                <w:rFonts w:ascii="Times New Roman" w:hAnsi="Times New Roman" w:cs="Times New Roman"/>
                <w:bCs/>
                <w:sz w:val="24"/>
                <w:szCs w:val="24"/>
              </w:rPr>
              <w:t xml:space="preserve">VSAOI papildus dotāciju piešķiršanas gadījumā izmaksas 1 cilvēkam ir </w:t>
            </w:r>
            <w:r w:rsidR="00823285" w:rsidRPr="00992DE1">
              <w:rPr>
                <w:rFonts w:ascii="Times New Roman" w:hAnsi="Times New Roman" w:cs="Times New Roman"/>
                <w:bCs/>
                <w:sz w:val="24"/>
                <w:szCs w:val="24"/>
              </w:rPr>
              <w:t>471,80</w:t>
            </w:r>
            <w:r w:rsidRPr="00992DE1">
              <w:rPr>
                <w:rFonts w:ascii="Times New Roman" w:hAnsi="Times New Roman" w:cs="Times New Roman"/>
                <w:bCs/>
                <w:sz w:val="24"/>
                <w:szCs w:val="24"/>
              </w:rPr>
              <w:t xml:space="preserve"> </w:t>
            </w:r>
            <w:r w:rsidRPr="00992DE1">
              <w:rPr>
                <w:rFonts w:ascii="Times New Roman" w:hAnsi="Times New Roman" w:cs="Times New Roman"/>
                <w:bCs/>
                <w:i/>
                <w:sz w:val="24"/>
                <w:szCs w:val="24"/>
              </w:rPr>
              <w:t>euro</w:t>
            </w:r>
            <w:r w:rsidRPr="00992DE1">
              <w:rPr>
                <w:rFonts w:ascii="Times New Roman" w:hAnsi="Times New Roman" w:cs="Times New Roman"/>
                <w:bCs/>
                <w:sz w:val="24"/>
                <w:szCs w:val="24"/>
              </w:rPr>
              <w:t xml:space="preserve"> (</w:t>
            </w:r>
            <w:r w:rsidR="00823285" w:rsidRPr="00992DE1">
              <w:rPr>
                <w:rFonts w:ascii="Times New Roman" w:hAnsi="Times New Roman" w:cs="Times New Roman"/>
                <w:bCs/>
                <w:sz w:val="24"/>
                <w:szCs w:val="24"/>
              </w:rPr>
              <w:t>42,89</w:t>
            </w:r>
            <w:r w:rsidRPr="00992DE1">
              <w:rPr>
                <w:rFonts w:ascii="Times New Roman" w:hAnsi="Times New Roman" w:cs="Times New Roman"/>
                <w:bCs/>
                <w:sz w:val="24"/>
                <w:szCs w:val="24"/>
              </w:rPr>
              <w:t xml:space="preserve"> </w:t>
            </w:r>
            <w:r w:rsidRPr="00992DE1">
              <w:rPr>
                <w:rFonts w:ascii="Times New Roman" w:hAnsi="Times New Roman" w:cs="Times New Roman"/>
                <w:bCs/>
                <w:i/>
                <w:sz w:val="24"/>
                <w:szCs w:val="24"/>
              </w:rPr>
              <w:t>euro</w:t>
            </w:r>
            <w:r w:rsidRPr="00992DE1">
              <w:rPr>
                <w:rFonts w:ascii="Times New Roman" w:hAnsi="Times New Roman" w:cs="Times New Roman"/>
                <w:bCs/>
                <w:sz w:val="24"/>
                <w:szCs w:val="24"/>
              </w:rPr>
              <w:t xml:space="preserve"> x 11 mēneši). Kopā</w:t>
            </w:r>
            <w:r w:rsidRPr="00992DE1">
              <w:rPr>
                <w:rFonts w:ascii="Times New Roman" w:hAnsi="Times New Roman" w:cs="Times New Roman"/>
                <w:b/>
                <w:bCs/>
                <w:sz w:val="24"/>
                <w:szCs w:val="24"/>
              </w:rPr>
              <w:t xml:space="preserve"> </w:t>
            </w:r>
            <w:r w:rsidRPr="00992DE1">
              <w:rPr>
                <w:rFonts w:ascii="Times New Roman" w:hAnsi="Times New Roman" w:cs="Times New Roman"/>
                <w:sz w:val="24"/>
                <w:szCs w:val="24"/>
              </w:rPr>
              <w:t>PDP mērķa grupas izmaksas 1 cilvēkam ir</w:t>
            </w:r>
            <w:r w:rsidRPr="00992DE1">
              <w:rPr>
                <w:rFonts w:ascii="Times New Roman" w:hAnsi="Times New Roman" w:cs="Times New Roman"/>
                <w:b/>
                <w:bCs/>
                <w:sz w:val="24"/>
                <w:szCs w:val="24"/>
              </w:rPr>
              <w:t xml:space="preserve"> </w:t>
            </w:r>
            <w:r w:rsidR="00823285" w:rsidRPr="00992DE1">
              <w:rPr>
                <w:rFonts w:ascii="Times New Roman" w:hAnsi="Times New Roman" w:cs="Times New Roman"/>
                <w:bCs/>
                <w:sz w:val="24"/>
                <w:szCs w:val="24"/>
              </w:rPr>
              <w:t>3 041,80</w:t>
            </w:r>
            <w:r w:rsidRPr="00992DE1">
              <w:rPr>
                <w:rFonts w:ascii="Times New Roman" w:hAnsi="Times New Roman" w:cs="Times New Roman"/>
                <w:bCs/>
                <w:sz w:val="24"/>
                <w:szCs w:val="24"/>
              </w:rPr>
              <w:t xml:space="preserve"> </w:t>
            </w:r>
            <w:r w:rsidRPr="00992DE1">
              <w:rPr>
                <w:rFonts w:ascii="Times New Roman" w:hAnsi="Times New Roman" w:cs="Times New Roman"/>
                <w:bCs/>
                <w:i/>
                <w:sz w:val="24"/>
                <w:szCs w:val="24"/>
              </w:rPr>
              <w:t>euro</w:t>
            </w:r>
            <w:r w:rsidRPr="00992DE1">
              <w:rPr>
                <w:rFonts w:ascii="Times New Roman" w:hAnsi="Times New Roman" w:cs="Times New Roman"/>
                <w:bCs/>
                <w:sz w:val="24"/>
                <w:szCs w:val="24"/>
              </w:rPr>
              <w:t xml:space="preserve"> apmērā,</w:t>
            </w:r>
          </w:p>
          <w:p w14:paraId="3CC56F9B" w14:textId="2B48C50E" w:rsidR="00322705" w:rsidRPr="00992DE1" w:rsidRDefault="00322705" w:rsidP="00322705">
            <w:pPr>
              <w:pStyle w:val="ListParagraph"/>
              <w:shd w:val="clear" w:color="auto" w:fill="FFFFFF"/>
              <w:spacing w:after="0" w:line="240" w:lineRule="auto"/>
              <w:ind w:left="32"/>
              <w:jc w:val="both"/>
              <w:rPr>
                <w:rFonts w:ascii="Times New Roman" w:eastAsiaTheme="minorHAnsi" w:hAnsi="Times New Roman"/>
                <w:sz w:val="24"/>
                <w:szCs w:val="24"/>
              </w:rPr>
            </w:pPr>
            <w:r w:rsidRPr="00992DE1">
              <w:rPr>
                <w:rFonts w:ascii="Times New Roman" w:hAnsi="Times New Roman"/>
                <w:sz w:val="24"/>
                <w:szCs w:val="24"/>
              </w:rPr>
              <w:t xml:space="preserve">2) PDP jaunietim ar invaliditāti izmaksas 1 cilvēkam ir 5 090 </w:t>
            </w:r>
            <w:r w:rsidRPr="00992DE1">
              <w:rPr>
                <w:rFonts w:ascii="Times New Roman" w:hAnsi="Times New Roman"/>
                <w:i/>
                <w:sz w:val="24"/>
                <w:szCs w:val="24"/>
              </w:rPr>
              <w:t xml:space="preserve">euro </w:t>
            </w:r>
            <w:r w:rsidRPr="00992DE1">
              <w:rPr>
                <w:rFonts w:ascii="Times New Roman" w:hAnsi="Times New Roman"/>
                <w:sz w:val="24"/>
                <w:szCs w:val="24"/>
              </w:rPr>
              <w:t xml:space="preserve">(vidējā darba algas dotācijas daļa 300 </w:t>
            </w:r>
            <w:r w:rsidRPr="00992DE1">
              <w:rPr>
                <w:rFonts w:ascii="Times New Roman" w:hAnsi="Times New Roman"/>
                <w:i/>
                <w:sz w:val="24"/>
                <w:szCs w:val="24"/>
              </w:rPr>
              <w:t>euro</w:t>
            </w:r>
            <w:r w:rsidRPr="00992DE1">
              <w:rPr>
                <w:rFonts w:ascii="Times New Roman" w:hAnsi="Times New Roman"/>
                <w:sz w:val="24"/>
                <w:szCs w:val="24"/>
              </w:rPr>
              <w:t xml:space="preserve"> x 6 mēneši + 240 </w:t>
            </w:r>
            <w:r w:rsidRPr="00992DE1">
              <w:rPr>
                <w:rFonts w:ascii="Times New Roman" w:hAnsi="Times New Roman"/>
                <w:i/>
                <w:sz w:val="24"/>
                <w:szCs w:val="24"/>
              </w:rPr>
              <w:t>euro</w:t>
            </w:r>
            <w:r w:rsidRPr="00992DE1">
              <w:rPr>
                <w:rFonts w:ascii="Times New Roman" w:hAnsi="Times New Roman"/>
                <w:sz w:val="24"/>
                <w:szCs w:val="24"/>
              </w:rPr>
              <w:t xml:space="preserve"> x 5 mēneši + dotācija darba vadītājam 190 </w:t>
            </w:r>
            <w:r w:rsidRPr="00992DE1">
              <w:rPr>
                <w:rFonts w:ascii="Times New Roman" w:hAnsi="Times New Roman"/>
                <w:i/>
                <w:sz w:val="24"/>
                <w:szCs w:val="24"/>
              </w:rPr>
              <w:t>euro</w:t>
            </w:r>
            <w:r w:rsidRPr="00992DE1">
              <w:rPr>
                <w:rFonts w:ascii="Times New Roman" w:hAnsi="Times New Roman"/>
                <w:sz w:val="24"/>
                <w:szCs w:val="24"/>
              </w:rPr>
              <w:t xml:space="preserve"> x 11 mēneši). </w:t>
            </w:r>
            <w:r w:rsidRPr="00992DE1">
              <w:rPr>
                <w:rFonts w:ascii="Times New Roman" w:hAnsi="Times New Roman"/>
                <w:bCs/>
                <w:sz w:val="24"/>
                <w:szCs w:val="24"/>
              </w:rPr>
              <w:t xml:space="preserve">VSAOI papildus dotāciju piešķiršanas gadījumā izmaksas 1 cilvēkam ir </w:t>
            </w:r>
            <w:r w:rsidR="00EE047C" w:rsidRPr="00992DE1">
              <w:rPr>
                <w:rFonts w:ascii="Times New Roman" w:hAnsi="Times New Roman"/>
                <w:bCs/>
                <w:sz w:val="24"/>
                <w:szCs w:val="24"/>
              </w:rPr>
              <w:t>707,70</w:t>
            </w:r>
            <w:r w:rsidRPr="00992DE1">
              <w:rPr>
                <w:rFonts w:ascii="Times New Roman" w:hAnsi="Times New Roman"/>
                <w:bCs/>
                <w:sz w:val="24"/>
                <w:szCs w:val="24"/>
              </w:rPr>
              <w:t xml:space="preserve"> </w:t>
            </w:r>
            <w:r w:rsidRPr="00992DE1">
              <w:rPr>
                <w:rFonts w:ascii="Times New Roman" w:hAnsi="Times New Roman"/>
                <w:bCs/>
                <w:i/>
                <w:sz w:val="24"/>
                <w:szCs w:val="24"/>
              </w:rPr>
              <w:t>euro</w:t>
            </w:r>
            <w:r w:rsidRPr="00992DE1">
              <w:rPr>
                <w:rFonts w:ascii="Times New Roman" w:hAnsi="Times New Roman"/>
                <w:b/>
                <w:bCs/>
                <w:sz w:val="24"/>
                <w:szCs w:val="24"/>
              </w:rPr>
              <w:t xml:space="preserve"> </w:t>
            </w:r>
            <w:r w:rsidRPr="00992DE1">
              <w:rPr>
                <w:rFonts w:ascii="Times New Roman" w:hAnsi="Times New Roman"/>
                <w:bCs/>
                <w:sz w:val="24"/>
                <w:szCs w:val="24"/>
              </w:rPr>
              <w:t>(</w:t>
            </w:r>
            <w:r w:rsidR="00EE047C" w:rsidRPr="00992DE1">
              <w:rPr>
                <w:rFonts w:ascii="Times New Roman" w:hAnsi="Times New Roman"/>
                <w:bCs/>
                <w:sz w:val="24"/>
                <w:szCs w:val="24"/>
              </w:rPr>
              <w:t>64,34</w:t>
            </w:r>
            <w:r w:rsidRPr="00992DE1">
              <w:rPr>
                <w:rFonts w:ascii="Times New Roman" w:hAnsi="Times New Roman"/>
                <w:bCs/>
                <w:sz w:val="24"/>
                <w:szCs w:val="24"/>
              </w:rPr>
              <w:t xml:space="preserve"> </w:t>
            </w:r>
            <w:r w:rsidRPr="00992DE1">
              <w:rPr>
                <w:rFonts w:ascii="Times New Roman" w:hAnsi="Times New Roman"/>
                <w:bCs/>
                <w:i/>
                <w:sz w:val="24"/>
                <w:szCs w:val="24"/>
              </w:rPr>
              <w:t>euro</w:t>
            </w:r>
            <w:r w:rsidRPr="00992DE1">
              <w:rPr>
                <w:rFonts w:ascii="Times New Roman" w:hAnsi="Times New Roman"/>
                <w:bCs/>
                <w:sz w:val="24"/>
                <w:szCs w:val="24"/>
              </w:rPr>
              <w:t xml:space="preserve"> x 11 mēneši).</w:t>
            </w:r>
            <w:r w:rsidRPr="00992DE1">
              <w:rPr>
                <w:rFonts w:ascii="Times New Roman" w:hAnsi="Times New Roman"/>
                <w:b/>
                <w:bCs/>
                <w:sz w:val="24"/>
                <w:szCs w:val="24"/>
              </w:rPr>
              <w:t xml:space="preserve"> </w:t>
            </w:r>
            <w:r w:rsidRPr="00992DE1">
              <w:rPr>
                <w:rFonts w:ascii="Times New Roman" w:hAnsi="Times New Roman"/>
                <w:bCs/>
                <w:sz w:val="24"/>
                <w:szCs w:val="24"/>
              </w:rPr>
              <w:t xml:space="preserve">Kopā </w:t>
            </w:r>
            <w:r w:rsidRPr="00992DE1">
              <w:rPr>
                <w:rFonts w:ascii="Times New Roman" w:hAnsi="Times New Roman"/>
                <w:sz w:val="24"/>
                <w:szCs w:val="24"/>
              </w:rPr>
              <w:t xml:space="preserve">PDP jaunietim ar invaliditāti </w:t>
            </w:r>
            <w:r w:rsidRPr="00992DE1">
              <w:rPr>
                <w:rFonts w:ascii="Times New Roman" w:hAnsi="Times New Roman"/>
                <w:bCs/>
                <w:sz w:val="24"/>
                <w:szCs w:val="24"/>
              </w:rPr>
              <w:t>izmaksas 1 cilvēkam ir</w:t>
            </w:r>
            <w:r w:rsidRPr="00992DE1">
              <w:rPr>
                <w:rFonts w:ascii="Times New Roman" w:hAnsi="Times New Roman"/>
                <w:b/>
                <w:bCs/>
                <w:sz w:val="24"/>
                <w:szCs w:val="24"/>
              </w:rPr>
              <w:t xml:space="preserve"> </w:t>
            </w:r>
            <w:r w:rsidR="00EE047C" w:rsidRPr="00992DE1">
              <w:rPr>
                <w:rFonts w:ascii="Times New Roman" w:hAnsi="Times New Roman"/>
                <w:bCs/>
                <w:sz w:val="24"/>
                <w:szCs w:val="24"/>
              </w:rPr>
              <w:t>5 797,70</w:t>
            </w:r>
            <w:r w:rsidRPr="00992DE1">
              <w:rPr>
                <w:rFonts w:ascii="Times New Roman" w:hAnsi="Times New Roman"/>
                <w:bCs/>
                <w:sz w:val="24"/>
                <w:szCs w:val="24"/>
              </w:rPr>
              <w:t xml:space="preserve"> </w:t>
            </w:r>
            <w:r w:rsidRPr="00992DE1">
              <w:rPr>
                <w:rFonts w:ascii="Times New Roman" w:hAnsi="Times New Roman"/>
                <w:bCs/>
                <w:i/>
                <w:sz w:val="24"/>
                <w:szCs w:val="24"/>
              </w:rPr>
              <w:t>euro</w:t>
            </w:r>
            <w:r w:rsidRPr="00992DE1">
              <w:rPr>
                <w:rFonts w:ascii="Times New Roman" w:hAnsi="Times New Roman"/>
                <w:bCs/>
                <w:sz w:val="24"/>
                <w:szCs w:val="24"/>
              </w:rPr>
              <w:t xml:space="preserve"> apmērā.</w:t>
            </w:r>
          </w:p>
          <w:p w14:paraId="4EB3546F" w14:textId="5404CFCD" w:rsidR="00A748B2" w:rsidRPr="00992DE1" w:rsidRDefault="0052121B" w:rsidP="00322705">
            <w:pPr>
              <w:jc w:val="both"/>
            </w:pPr>
            <w:r w:rsidRPr="00992DE1">
              <w:t xml:space="preserve">Pēc statistikas datiem no 2014.gada 2.janvāra līdz 2016.gada 19.oktobrim, </w:t>
            </w:r>
            <w:r w:rsidR="004B0D78" w:rsidRPr="00992DE1">
              <w:rPr>
                <w:bCs/>
              </w:rPr>
              <w:t xml:space="preserve">pasākumā “Aktīvās darba tirgus politikas pasākumu īstenošana jauniešu bezdarbnieku nodarbinātības veicināšanai” </w:t>
            </w:r>
            <w:r w:rsidRPr="00992DE1">
              <w:t xml:space="preserve">kopējais darba devēju skaits ir 1512, kas iesaistījušies </w:t>
            </w:r>
            <w:r w:rsidR="00322705" w:rsidRPr="00992DE1">
              <w:t xml:space="preserve">SDV un PDP </w:t>
            </w:r>
            <w:r w:rsidRPr="00992DE1">
              <w:t>pasākumos, no kuriem 184 jeb 12% ir izveidojuši biedrības vai nodibinājumus. Ņemot vērā, ka 2017.gadā plānots izveidot 460 darba vietas SDV un PDP pasākumos, un pieņemot, ka 12% no kopējā darba vietu skaita ir biedrības vai nodibinājumi, tad provizoriski 72 darba vietas būtu aptuvenais rādītājs, kas tiktu sasniegts, ja visu biedrību un nodibinājumu izveidotās vakances atbilstu apmācību komisijas apstiprinātajam sarakstam</w:t>
            </w:r>
            <w:r w:rsidR="00CA20CC" w:rsidRPr="00992DE1">
              <w:t xml:space="preserve"> (</w:t>
            </w:r>
            <w:r w:rsidR="00707A37" w:rsidRPr="00992DE1">
              <w:t>7.2.1.</w:t>
            </w:r>
            <w:r w:rsidR="00C8655C" w:rsidRPr="00992DE1">
              <w:t xml:space="preserve"> </w:t>
            </w:r>
            <w:r w:rsidR="00707A37" w:rsidRPr="00992DE1">
              <w:t xml:space="preserve">SAM </w:t>
            </w:r>
            <w:r w:rsidR="00CA20CC" w:rsidRPr="00992DE1">
              <w:t xml:space="preserve">ietvaros </w:t>
            </w:r>
            <w:r w:rsidR="00707A37" w:rsidRPr="00992DE1">
              <w:t>līdz šim ir bijusi 1 darba vieta, kas atbilst apmācību komi</w:t>
            </w:r>
            <w:r w:rsidR="00CA20CC" w:rsidRPr="00992DE1">
              <w:t>sijas apstiprinātajam sarakstam, ņemot vērā minētās izmaiņas, kas attieksies uz VSAOI izmaksām).</w:t>
            </w:r>
            <w:r w:rsidR="00A748B2" w:rsidRPr="00992DE1">
              <w:t xml:space="preserve"> </w:t>
            </w:r>
            <w:r w:rsidR="0018284A" w:rsidRPr="00992DE1">
              <w:t xml:space="preserve">Izvērtējot </w:t>
            </w:r>
            <w:r w:rsidR="007C26F2" w:rsidRPr="00992DE1">
              <w:t xml:space="preserve">minēto </w:t>
            </w:r>
            <w:r w:rsidR="0018284A" w:rsidRPr="00992DE1">
              <w:t xml:space="preserve">izmaksu pieaugumu, izmaiņas </w:t>
            </w:r>
            <w:r w:rsidR="004B0D78" w:rsidRPr="00992DE1">
              <w:t xml:space="preserve">kopumā </w:t>
            </w:r>
            <w:r w:rsidR="0018284A" w:rsidRPr="00992DE1">
              <w:t>neatstātu būtisku ietekmi uz projekta īstenošanu.</w:t>
            </w:r>
            <w:r w:rsidR="00E54FEC" w:rsidRPr="00992DE1">
              <w:t xml:space="preserve"> </w:t>
            </w:r>
          </w:p>
          <w:p w14:paraId="1A2907AE" w14:textId="70E34359" w:rsidR="004B0D78" w:rsidRPr="00992DE1" w:rsidRDefault="004B0D78" w:rsidP="00322705">
            <w:pPr>
              <w:jc w:val="both"/>
              <w:rPr>
                <w:sz w:val="14"/>
                <w:szCs w:val="14"/>
              </w:rPr>
            </w:pPr>
          </w:p>
          <w:p w14:paraId="1F62A76E" w14:textId="2F04F3D9" w:rsidR="00DD4ED9" w:rsidRPr="00992DE1" w:rsidRDefault="004B0D78" w:rsidP="00322705">
            <w:pPr>
              <w:jc w:val="both"/>
            </w:pPr>
            <w:r w:rsidRPr="00992DE1">
              <w:t xml:space="preserve">5. </w:t>
            </w:r>
            <w:r w:rsidR="00DD4ED9" w:rsidRPr="00992DE1">
              <w:t>a</w:t>
            </w:r>
            <w:r w:rsidRPr="00992DE1">
              <w:t xml:space="preserve">tbilstoši ieteikumiem, kas tika izteikti no nevalstisko organizāciju pārstāvjiem, kuru ikdienas darbs ir saistīts ar personu ar garīga rakstura traucējumiem integrāciju sabiedrībā, tai skaitā arī darba tirgū, šādām personām veiksmīgai integrācijai darba tirgū ir nepieciešama atbalsta personas palīdzība ne tikai uzsākot dalību </w:t>
            </w:r>
            <w:r w:rsidR="00DD4ED9" w:rsidRPr="00992DE1">
              <w:t>SDV</w:t>
            </w:r>
            <w:r w:rsidRPr="00992DE1">
              <w:t>, bet arī uzsākot dalību citos nodarbinātības pasākumos, kas paredz darba līguma slēgšanu</w:t>
            </w:r>
            <w:r w:rsidR="00DD4ED9" w:rsidRPr="00992DE1">
              <w:t>. Ņemot vērā minēto, ir nepieciešams paredzēt</w:t>
            </w:r>
            <w:r w:rsidRPr="00992DE1">
              <w:t xml:space="preserve">, ka atbalsta persona </w:t>
            </w:r>
            <w:r w:rsidR="00DD4ED9" w:rsidRPr="00992DE1">
              <w:t>ir pieejama</w:t>
            </w:r>
            <w:r w:rsidRPr="00992DE1">
              <w:t xml:space="preserve"> personai ar garīga rakstura traucējumiem </w:t>
            </w:r>
            <w:r w:rsidR="00DD4ED9" w:rsidRPr="00992DE1">
              <w:t>arī</w:t>
            </w:r>
            <w:r w:rsidRPr="00992DE1">
              <w:t xml:space="preserve"> </w:t>
            </w:r>
            <w:r w:rsidR="00DD4ED9" w:rsidRPr="00992DE1">
              <w:t>PDV</w:t>
            </w:r>
            <w:r w:rsidRPr="00992DE1">
              <w:t xml:space="preserve"> ietvaros </w:t>
            </w:r>
            <w:r w:rsidR="00DD4ED9" w:rsidRPr="00992DE1">
              <w:t xml:space="preserve">– t.sk., tā palīdz </w:t>
            </w:r>
            <w:r w:rsidRPr="00992DE1">
              <w:t>integrēties darba vietā (</w:t>
            </w:r>
            <w:r w:rsidR="00DD4ED9" w:rsidRPr="00992DE1">
              <w:t xml:space="preserve">piemēram, </w:t>
            </w:r>
            <w:r w:rsidRPr="00992DE1">
              <w:t xml:space="preserve">līdzdalība pārrunās ar darba devēju, atbalsta </w:t>
            </w:r>
            <w:r w:rsidRPr="00992DE1">
              <w:lastRenderedPageBreak/>
              <w:t xml:space="preserve">sniegšana darba vadītāja norādīto darba uzdevumu apguvē un izpildē, komunikācijas un saskarsmes veidošana ar darba devēju, darba vadītāju un darba kolēģiem, psiholoģiska un motivējoša atbalsta sniegšana) un ievērot darba kārtības noteikumus un darba pienākumus u.c. </w:t>
            </w:r>
          </w:p>
          <w:p w14:paraId="0747AB5A" w14:textId="5DD5B0BB" w:rsidR="00B924A9" w:rsidRPr="00992DE1" w:rsidRDefault="00DD4ED9" w:rsidP="00B924A9">
            <w:pPr>
              <w:jc w:val="both"/>
              <w:rPr>
                <w:lang w:eastAsia="en-US"/>
              </w:rPr>
            </w:pPr>
            <w:r w:rsidRPr="00992DE1">
              <w:t>Atbilstoši MK noteikumos Nr.75 noteiktajam, t</w:t>
            </w:r>
            <w:r w:rsidR="004B0D78" w:rsidRPr="00992DE1">
              <w:t>āpat iespējami gadījumi, kad darba devējs vēlas nodarbināt bezdarbnieku ar garīga rakstura traucējumiem vispārējā kārtā, neveidojot subsidēto dar</w:t>
            </w:r>
            <w:r w:rsidRPr="00992DE1">
              <w:t>ba</w:t>
            </w:r>
            <w:r w:rsidR="004B0D78" w:rsidRPr="00992DE1">
              <w:t xml:space="preserve">, taču veiksmīgai darba uzsākšanai un turpināšanai nepieciešams papildus atbalsts (darba vietas pielāgojums, algas daļas subsīdija darba vadītājam, surdotulka, ergoterapeita vai atbalsta personas pakalpojums), tādēļ </w:t>
            </w:r>
            <w:r w:rsidRPr="00992DE1">
              <w:t>tiek paredzēta</w:t>
            </w:r>
            <w:r w:rsidR="004B0D78" w:rsidRPr="00992DE1">
              <w:t xml:space="preserve"> iespēj</w:t>
            </w:r>
            <w:r w:rsidRPr="00992DE1">
              <w:t>a</w:t>
            </w:r>
            <w:r w:rsidR="004B0D78" w:rsidRPr="00992DE1">
              <w:t xml:space="preserve"> darba devējam saņemt finanšu atbalstu arī citiem pasākumos paredzētajiem mērķiem gadījumos, kad darba devējs uzsāk darba attiecības ar NVA reģistrētu personu ar invaliditāti, taču atsakās no finanšu atbalsta - dotācijas bezdarbnieka ar invaliditāti darba algai </w:t>
            </w:r>
            <w:r w:rsidRPr="00992DE1">
              <w:t xml:space="preserve">SDV un PDV </w:t>
            </w:r>
            <w:r w:rsidR="004B0D78" w:rsidRPr="00992DE1">
              <w:t>ietvaros (</w:t>
            </w:r>
            <w:r w:rsidR="00854DE8" w:rsidRPr="00992DE1">
              <w:t>MK noteikumu projekta 15.</w:t>
            </w:r>
            <w:r w:rsidRPr="00992DE1">
              <w:t>punkts</w:t>
            </w:r>
            <w:r w:rsidR="004B0D78" w:rsidRPr="00992DE1">
              <w:t>)</w:t>
            </w:r>
            <w:r w:rsidRPr="00992DE1">
              <w:t>.</w:t>
            </w:r>
            <w:r w:rsidR="00B924A9" w:rsidRPr="00992DE1">
              <w:rPr>
                <w:lang w:eastAsia="en-US"/>
              </w:rPr>
              <w:t xml:space="preserve"> Līdz šim nav bijis neviens pieteikums </w:t>
            </w:r>
            <w:r w:rsidR="00CD4FA6" w:rsidRPr="00992DE1">
              <w:rPr>
                <w:lang w:eastAsia="en-US"/>
              </w:rPr>
              <w:t xml:space="preserve">NVA </w:t>
            </w:r>
            <w:r w:rsidR="00B924A9" w:rsidRPr="00992DE1">
              <w:rPr>
                <w:lang w:eastAsia="en-US"/>
              </w:rPr>
              <w:t>šādām atbalsta personām darbā ar jauniešiem ar garīga rakstura traucējumiem.</w:t>
            </w:r>
          </w:p>
          <w:p w14:paraId="21897450" w14:textId="77777777" w:rsidR="00C17A3B" w:rsidRPr="00992DE1" w:rsidRDefault="00C17A3B" w:rsidP="00B924A9">
            <w:pPr>
              <w:jc w:val="both"/>
              <w:rPr>
                <w:sz w:val="14"/>
                <w:szCs w:val="14"/>
                <w:lang w:eastAsia="en-US"/>
              </w:rPr>
            </w:pPr>
          </w:p>
          <w:p w14:paraId="30F824B7" w14:textId="77777777" w:rsidR="00C17A3B" w:rsidRPr="00992DE1" w:rsidRDefault="00C17A3B" w:rsidP="00B924A9">
            <w:pPr>
              <w:jc w:val="both"/>
              <w:rPr>
                <w:lang w:eastAsia="en-US"/>
              </w:rPr>
            </w:pPr>
            <w:r w:rsidRPr="00992DE1">
              <w:rPr>
                <w:lang w:eastAsia="en-US"/>
              </w:rPr>
              <w:t>Izmaksu aprēķins atbalsta personām darbā ar jauniešiem ar garīga raksturu traucējumiem:</w:t>
            </w:r>
          </w:p>
          <w:p w14:paraId="1B49F1B4" w14:textId="01B4470F" w:rsidR="00C17A3B" w:rsidRPr="00992DE1" w:rsidRDefault="00C17A3B" w:rsidP="00B924A9">
            <w:pPr>
              <w:jc w:val="both"/>
              <w:rPr>
                <w:lang w:eastAsia="en-US"/>
              </w:rPr>
            </w:pPr>
            <w:r w:rsidRPr="00992DE1">
              <w:rPr>
                <w:lang w:eastAsia="en-US"/>
              </w:rPr>
              <w:t xml:space="preserve">1) Atbalsta personas izmaksas 4,50 </w:t>
            </w:r>
            <w:r w:rsidRPr="00992DE1">
              <w:rPr>
                <w:i/>
                <w:lang w:eastAsia="en-US"/>
              </w:rPr>
              <w:t>euro</w:t>
            </w:r>
            <w:r w:rsidRPr="00992DE1">
              <w:rPr>
                <w:lang w:eastAsia="en-US"/>
              </w:rPr>
              <w:t xml:space="preserve"> x 168 stundas (vidējais darba stundu skaits mēnesī) x </w:t>
            </w:r>
            <w:r w:rsidRPr="00992DE1">
              <w:rPr>
                <w:bCs/>
                <w:lang w:eastAsia="en-US"/>
              </w:rPr>
              <w:t>11 mēneši</w:t>
            </w:r>
            <w:r w:rsidRPr="00992DE1">
              <w:rPr>
                <w:lang w:eastAsia="en-US"/>
              </w:rPr>
              <w:t xml:space="preserve"> (jauniešu iesaistes ilgums pasākumā) = 8 316 </w:t>
            </w:r>
            <w:r w:rsidRPr="00992DE1">
              <w:rPr>
                <w:i/>
                <w:lang w:eastAsia="en-US"/>
              </w:rPr>
              <w:t>euro</w:t>
            </w:r>
            <w:r w:rsidRPr="00992DE1">
              <w:rPr>
                <w:lang w:eastAsia="en-US"/>
              </w:rPr>
              <w:t xml:space="preserve"> – kopā 1 jaunietim vienai atbalsta personai;</w:t>
            </w:r>
          </w:p>
          <w:p w14:paraId="5C229CE7" w14:textId="4454946B" w:rsidR="00C17A3B" w:rsidRPr="00992DE1" w:rsidRDefault="00C17A3B" w:rsidP="00B924A9">
            <w:pPr>
              <w:jc w:val="both"/>
              <w:rPr>
                <w:lang w:eastAsia="en-US"/>
              </w:rPr>
            </w:pPr>
            <w:r w:rsidRPr="00992DE1">
              <w:rPr>
                <w:lang w:eastAsia="en-US"/>
              </w:rPr>
              <w:t xml:space="preserve">2) Atbalsta personas izmaksas 4,50 euro x 168 stundas (vidējais darba stundu skaits mēnesī) x </w:t>
            </w:r>
            <w:r w:rsidRPr="00992DE1">
              <w:rPr>
                <w:bCs/>
                <w:lang w:eastAsia="en-US"/>
              </w:rPr>
              <w:t>6 mēneši</w:t>
            </w:r>
            <w:r w:rsidRPr="00992DE1">
              <w:rPr>
                <w:lang w:eastAsia="en-US"/>
              </w:rPr>
              <w:t xml:space="preserve"> (jauniešu iesaistes ilgums pasākumā) = 4 536 </w:t>
            </w:r>
            <w:r w:rsidRPr="00992DE1">
              <w:rPr>
                <w:i/>
                <w:lang w:eastAsia="en-US"/>
              </w:rPr>
              <w:t>euro</w:t>
            </w:r>
            <w:r w:rsidRPr="00992DE1">
              <w:rPr>
                <w:lang w:eastAsia="en-US"/>
              </w:rPr>
              <w:t xml:space="preserve"> – kopā 1 jaunietim vienai atbalsta personai.</w:t>
            </w:r>
          </w:p>
          <w:p w14:paraId="7BCEAC67" w14:textId="301A1651" w:rsidR="00334C9B" w:rsidRPr="00992DE1" w:rsidRDefault="00334C9B" w:rsidP="00B924A9">
            <w:pPr>
              <w:jc w:val="both"/>
              <w:rPr>
                <w:lang w:eastAsia="en-US"/>
              </w:rPr>
            </w:pPr>
            <w:r w:rsidRPr="00992DE1">
              <w:t>Izvērtējot minēto izmaksu pieaugumu, izmaiņas kopumā neatstātu būtisku ietekmi uz projekta īstenošanu.</w:t>
            </w:r>
          </w:p>
          <w:p w14:paraId="7A98D8AC" w14:textId="23F40F52" w:rsidR="009D09D6" w:rsidRPr="00992DE1" w:rsidRDefault="009D09D6" w:rsidP="00E54FEC">
            <w:pPr>
              <w:shd w:val="clear" w:color="auto" w:fill="FFFFFF"/>
              <w:jc w:val="both"/>
              <w:rPr>
                <w:sz w:val="14"/>
                <w:szCs w:val="14"/>
              </w:rPr>
            </w:pPr>
          </w:p>
          <w:p w14:paraId="3724AC75" w14:textId="41820243" w:rsidR="00346F24" w:rsidRPr="00992DE1" w:rsidRDefault="00A238D8" w:rsidP="00CF7A17">
            <w:pPr>
              <w:pStyle w:val="ListParagraph"/>
              <w:shd w:val="clear" w:color="auto" w:fill="FFFFFF"/>
              <w:spacing w:after="0" w:line="240" w:lineRule="auto"/>
              <w:ind w:left="32"/>
              <w:jc w:val="both"/>
              <w:rPr>
                <w:rFonts w:ascii="Times New Roman" w:hAnsi="Times New Roman"/>
                <w:sz w:val="24"/>
                <w:szCs w:val="24"/>
              </w:rPr>
            </w:pPr>
            <w:r w:rsidRPr="00992DE1">
              <w:rPr>
                <w:rFonts w:ascii="Times New Roman" w:hAnsi="Times New Roman"/>
                <w:sz w:val="24"/>
                <w:szCs w:val="24"/>
              </w:rPr>
              <w:t xml:space="preserve">Vienlaikus </w:t>
            </w:r>
            <w:r w:rsidR="00346F24" w:rsidRPr="00992DE1">
              <w:rPr>
                <w:rFonts w:ascii="Times New Roman" w:hAnsi="Times New Roman"/>
                <w:sz w:val="24"/>
                <w:szCs w:val="24"/>
              </w:rPr>
              <w:t xml:space="preserve">MK </w:t>
            </w:r>
            <w:r w:rsidRPr="00992DE1">
              <w:rPr>
                <w:rFonts w:ascii="Times New Roman" w:hAnsi="Times New Roman"/>
                <w:sz w:val="24"/>
                <w:szCs w:val="24"/>
              </w:rPr>
              <w:t>noteikumu projekts paredz</w:t>
            </w:r>
            <w:r w:rsidR="00346F24" w:rsidRPr="00992DE1">
              <w:rPr>
                <w:rFonts w:ascii="Times New Roman" w:hAnsi="Times New Roman"/>
                <w:sz w:val="24"/>
                <w:szCs w:val="24"/>
              </w:rPr>
              <w:t>:</w:t>
            </w:r>
          </w:p>
          <w:p w14:paraId="14F8D20F" w14:textId="11894DB2" w:rsidR="00346F24" w:rsidRPr="00992DE1" w:rsidRDefault="00346F24" w:rsidP="00CF7A17">
            <w:pPr>
              <w:pStyle w:val="ListParagraph"/>
              <w:shd w:val="clear" w:color="auto" w:fill="FFFFFF"/>
              <w:spacing w:after="0" w:line="240" w:lineRule="auto"/>
              <w:ind w:left="32"/>
              <w:jc w:val="both"/>
              <w:rPr>
                <w:rFonts w:ascii="Times New Roman" w:hAnsi="Times New Roman"/>
                <w:sz w:val="24"/>
                <w:szCs w:val="24"/>
              </w:rPr>
            </w:pPr>
            <w:r w:rsidRPr="00992DE1">
              <w:rPr>
                <w:rFonts w:ascii="Times New Roman" w:hAnsi="Times New Roman"/>
                <w:sz w:val="24"/>
                <w:szCs w:val="24"/>
              </w:rPr>
              <w:t>-</w:t>
            </w:r>
            <w:r w:rsidR="00A238D8" w:rsidRPr="00992DE1">
              <w:rPr>
                <w:rFonts w:ascii="Times New Roman" w:hAnsi="Times New Roman"/>
                <w:sz w:val="24"/>
                <w:szCs w:val="24"/>
              </w:rPr>
              <w:t xml:space="preserve"> </w:t>
            </w:r>
            <w:r w:rsidR="00AF70FF" w:rsidRPr="00992DE1">
              <w:rPr>
                <w:rFonts w:ascii="Times New Roman" w:hAnsi="Times New Roman"/>
                <w:sz w:val="24"/>
                <w:szCs w:val="24"/>
              </w:rPr>
              <w:t>atbilstoši Finanšu ministrijas</w:t>
            </w:r>
            <w:r w:rsidRPr="00992DE1">
              <w:rPr>
                <w:rFonts w:ascii="Times New Roman" w:hAnsi="Times New Roman"/>
                <w:sz w:val="24"/>
                <w:szCs w:val="24"/>
              </w:rPr>
              <w:t xml:space="preserve"> (turpmāk </w:t>
            </w:r>
            <w:r w:rsidR="00D6708E" w:rsidRPr="00992DE1">
              <w:rPr>
                <w:rFonts w:ascii="Times New Roman" w:hAnsi="Times New Roman"/>
                <w:sz w:val="24"/>
                <w:szCs w:val="24"/>
              </w:rPr>
              <w:t>-</w:t>
            </w:r>
            <w:r w:rsidRPr="00992DE1">
              <w:rPr>
                <w:rFonts w:ascii="Times New Roman" w:hAnsi="Times New Roman"/>
                <w:sz w:val="24"/>
                <w:szCs w:val="24"/>
              </w:rPr>
              <w:t xml:space="preserve"> FM)</w:t>
            </w:r>
            <w:r w:rsidR="00AF70FF" w:rsidRPr="00992DE1">
              <w:rPr>
                <w:rFonts w:ascii="Times New Roman" w:hAnsi="Times New Roman"/>
                <w:sz w:val="24"/>
                <w:szCs w:val="24"/>
              </w:rPr>
              <w:t xml:space="preserve"> </w:t>
            </w:r>
            <w:r w:rsidR="00715166" w:rsidRPr="00992DE1">
              <w:rPr>
                <w:rFonts w:ascii="Times New Roman" w:hAnsi="Times New Roman"/>
                <w:sz w:val="24"/>
                <w:szCs w:val="24"/>
              </w:rPr>
              <w:t>aicinājumam</w:t>
            </w:r>
            <w:r w:rsidRPr="00992DE1">
              <w:rPr>
                <w:rFonts w:ascii="Times New Roman" w:hAnsi="Times New Roman"/>
                <w:sz w:val="24"/>
                <w:szCs w:val="24"/>
              </w:rPr>
              <w:t xml:space="preserve"> (2016.gada 15.jūnija FM e-pasts)</w:t>
            </w:r>
            <w:r w:rsidR="00AF70FF" w:rsidRPr="00992DE1">
              <w:rPr>
                <w:rFonts w:ascii="Times New Roman" w:hAnsi="Times New Roman"/>
                <w:sz w:val="24"/>
                <w:szCs w:val="24"/>
              </w:rPr>
              <w:t>, precizēt</w:t>
            </w:r>
            <w:r w:rsidR="00ED3C6C" w:rsidRPr="00992DE1">
              <w:rPr>
                <w:rFonts w:ascii="Times New Roman" w:hAnsi="Times New Roman"/>
                <w:sz w:val="24"/>
                <w:szCs w:val="24"/>
              </w:rPr>
              <w:t xml:space="preserve"> </w:t>
            </w:r>
            <w:r w:rsidR="00305941" w:rsidRPr="00992DE1">
              <w:rPr>
                <w:rFonts w:ascii="Times New Roman" w:hAnsi="Times New Roman"/>
                <w:sz w:val="24"/>
                <w:szCs w:val="24"/>
              </w:rPr>
              <w:t xml:space="preserve">7.2.1. SAM </w:t>
            </w:r>
            <w:r w:rsidR="004B0D78" w:rsidRPr="00992DE1">
              <w:rPr>
                <w:rFonts w:ascii="Times New Roman" w:hAnsi="Times New Roman"/>
                <w:bCs/>
                <w:sz w:val="24"/>
                <w:szCs w:val="24"/>
              </w:rPr>
              <w:t>pasākuma “Aktīvās darba tirgus politikas pasākumu īstenošana jauniešu bezdarbnieku nodarbinātības veicināšanai”</w:t>
            </w:r>
            <w:r w:rsidR="00DD4ED9" w:rsidRPr="00992DE1">
              <w:rPr>
                <w:rFonts w:ascii="Times New Roman" w:hAnsi="Times New Roman"/>
                <w:bCs/>
                <w:sz w:val="24"/>
                <w:szCs w:val="24"/>
              </w:rPr>
              <w:t xml:space="preserve"> </w:t>
            </w:r>
            <w:r w:rsidR="00ED3C6C" w:rsidRPr="00992DE1">
              <w:rPr>
                <w:rFonts w:ascii="Times New Roman" w:hAnsi="Times New Roman"/>
                <w:bCs/>
                <w:sz w:val="24"/>
                <w:szCs w:val="24"/>
              </w:rPr>
              <w:t xml:space="preserve">ietvaros sasniedzamo finanšu rādītāju </w:t>
            </w:r>
            <w:r w:rsidR="0006171C" w:rsidRPr="00992DE1">
              <w:rPr>
                <w:rFonts w:ascii="Times New Roman" w:hAnsi="Times New Roman"/>
                <w:bCs/>
                <w:sz w:val="24"/>
                <w:szCs w:val="24"/>
              </w:rPr>
              <w:t xml:space="preserve">(t.sk. </w:t>
            </w:r>
            <w:r w:rsidR="00693CD6" w:rsidRPr="00992DE1">
              <w:rPr>
                <w:rFonts w:ascii="Times New Roman" w:hAnsi="Times New Roman"/>
                <w:bCs/>
                <w:sz w:val="24"/>
                <w:szCs w:val="24"/>
              </w:rPr>
              <w:t xml:space="preserve">projekta finanšu plānu </w:t>
            </w:r>
            <w:r w:rsidR="0006171C" w:rsidRPr="00992DE1">
              <w:rPr>
                <w:rFonts w:ascii="Times New Roman" w:hAnsi="Times New Roman"/>
                <w:bCs/>
                <w:sz w:val="24"/>
                <w:szCs w:val="24"/>
              </w:rPr>
              <w:t>sadalījumā pa gadiem</w:t>
            </w:r>
            <w:r w:rsidR="00693CD6" w:rsidRPr="00992DE1">
              <w:rPr>
                <w:rFonts w:ascii="Times New Roman" w:hAnsi="Times New Roman"/>
                <w:bCs/>
                <w:sz w:val="24"/>
                <w:szCs w:val="24"/>
              </w:rPr>
              <w:t xml:space="preserve"> un izmaksu pozīcijām</w:t>
            </w:r>
            <w:r w:rsidR="0006171C" w:rsidRPr="00992DE1">
              <w:rPr>
                <w:rFonts w:ascii="Times New Roman" w:hAnsi="Times New Roman"/>
                <w:bCs/>
                <w:sz w:val="24"/>
                <w:szCs w:val="24"/>
              </w:rPr>
              <w:t xml:space="preserve">) </w:t>
            </w:r>
            <w:r w:rsidR="00ED3C6C" w:rsidRPr="00992DE1">
              <w:rPr>
                <w:rFonts w:ascii="Times New Roman" w:hAnsi="Times New Roman"/>
                <w:bCs/>
                <w:sz w:val="24"/>
                <w:szCs w:val="24"/>
              </w:rPr>
              <w:t>un</w:t>
            </w:r>
            <w:r w:rsidR="00AF70FF" w:rsidRPr="00992DE1">
              <w:rPr>
                <w:rFonts w:ascii="Times New Roman" w:hAnsi="Times New Roman"/>
                <w:sz w:val="24"/>
                <w:szCs w:val="24"/>
              </w:rPr>
              <w:t xml:space="preserve"> nacionālā finansējuma apmēru par 1 </w:t>
            </w:r>
            <w:r w:rsidRPr="00992DE1">
              <w:rPr>
                <w:rFonts w:ascii="Times New Roman" w:hAnsi="Times New Roman"/>
                <w:i/>
                <w:sz w:val="24"/>
                <w:szCs w:val="24"/>
              </w:rPr>
              <w:t>euro</w:t>
            </w:r>
            <w:r w:rsidRPr="00992DE1">
              <w:rPr>
                <w:rFonts w:ascii="Times New Roman" w:hAnsi="Times New Roman"/>
                <w:sz w:val="24"/>
                <w:szCs w:val="24"/>
              </w:rPr>
              <w:t xml:space="preserve"> </w:t>
            </w:r>
            <w:r w:rsidR="00AF70FF" w:rsidRPr="00992DE1">
              <w:rPr>
                <w:rFonts w:ascii="Times New Roman" w:hAnsi="Times New Roman"/>
                <w:sz w:val="24"/>
                <w:szCs w:val="24"/>
              </w:rPr>
              <w:t>(</w:t>
            </w:r>
            <w:r w:rsidRPr="00992DE1">
              <w:rPr>
                <w:rFonts w:ascii="Times New Roman" w:hAnsi="Times New Roman"/>
                <w:sz w:val="24"/>
                <w:szCs w:val="24"/>
              </w:rPr>
              <w:t>MK n</w:t>
            </w:r>
            <w:r w:rsidR="00AF70FF" w:rsidRPr="00992DE1">
              <w:rPr>
                <w:rFonts w:ascii="Times New Roman" w:hAnsi="Times New Roman"/>
                <w:sz w:val="24"/>
                <w:szCs w:val="24"/>
              </w:rPr>
              <w:t xml:space="preserve">oteikumu projekta </w:t>
            </w:r>
            <w:r w:rsidR="002848CF" w:rsidRPr="00992DE1">
              <w:rPr>
                <w:rFonts w:ascii="Times New Roman" w:hAnsi="Times New Roman"/>
                <w:sz w:val="24"/>
                <w:szCs w:val="24"/>
              </w:rPr>
              <w:t>3</w:t>
            </w:r>
            <w:r w:rsidR="00AF70FF" w:rsidRPr="00992DE1">
              <w:rPr>
                <w:rFonts w:ascii="Times New Roman" w:hAnsi="Times New Roman"/>
                <w:sz w:val="24"/>
                <w:szCs w:val="24"/>
              </w:rPr>
              <w:t xml:space="preserve">., </w:t>
            </w:r>
            <w:r w:rsidR="002848CF" w:rsidRPr="00992DE1">
              <w:rPr>
                <w:rFonts w:ascii="Times New Roman" w:hAnsi="Times New Roman"/>
                <w:sz w:val="24"/>
                <w:szCs w:val="24"/>
              </w:rPr>
              <w:t>4</w:t>
            </w:r>
            <w:r w:rsidR="00AF70FF" w:rsidRPr="00992DE1">
              <w:rPr>
                <w:rFonts w:ascii="Times New Roman" w:hAnsi="Times New Roman"/>
                <w:sz w:val="24"/>
                <w:szCs w:val="24"/>
              </w:rPr>
              <w:t>.</w:t>
            </w:r>
            <w:r w:rsidR="002848CF" w:rsidRPr="00992DE1">
              <w:rPr>
                <w:rFonts w:ascii="Times New Roman" w:hAnsi="Times New Roman"/>
                <w:sz w:val="24"/>
                <w:szCs w:val="24"/>
              </w:rPr>
              <w:t>, 5.</w:t>
            </w:r>
            <w:r w:rsidR="00854DE8" w:rsidRPr="00992DE1">
              <w:rPr>
                <w:rFonts w:ascii="Times New Roman" w:hAnsi="Times New Roman"/>
                <w:sz w:val="24"/>
                <w:szCs w:val="24"/>
              </w:rPr>
              <w:t xml:space="preserve">, </w:t>
            </w:r>
            <w:r w:rsidR="00C67D39" w:rsidRPr="00992DE1">
              <w:rPr>
                <w:rFonts w:ascii="Times New Roman" w:hAnsi="Times New Roman"/>
                <w:sz w:val="24"/>
                <w:szCs w:val="24"/>
              </w:rPr>
              <w:t>6.</w:t>
            </w:r>
            <w:r w:rsidR="00AF70FF" w:rsidRPr="00992DE1">
              <w:rPr>
                <w:rFonts w:ascii="Times New Roman" w:hAnsi="Times New Roman"/>
                <w:sz w:val="24"/>
                <w:szCs w:val="24"/>
              </w:rPr>
              <w:t xml:space="preserve"> un </w:t>
            </w:r>
            <w:r w:rsidR="00C67D39" w:rsidRPr="00992DE1">
              <w:rPr>
                <w:rFonts w:ascii="Times New Roman" w:hAnsi="Times New Roman"/>
                <w:sz w:val="24"/>
                <w:szCs w:val="24"/>
              </w:rPr>
              <w:t>20</w:t>
            </w:r>
            <w:r w:rsidR="00AF70FF" w:rsidRPr="00992DE1">
              <w:rPr>
                <w:rFonts w:ascii="Times New Roman" w:hAnsi="Times New Roman"/>
                <w:sz w:val="24"/>
                <w:szCs w:val="24"/>
              </w:rPr>
              <w:t>.punkts)</w:t>
            </w:r>
            <w:r w:rsidRPr="00992DE1">
              <w:rPr>
                <w:rFonts w:ascii="Times New Roman" w:hAnsi="Times New Roman"/>
                <w:sz w:val="24"/>
                <w:szCs w:val="24"/>
              </w:rPr>
              <w:t xml:space="preserve"> </w:t>
            </w:r>
            <w:r w:rsidR="00D6708E" w:rsidRPr="00992DE1">
              <w:rPr>
                <w:rFonts w:ascii="Times New Roman" w:hAnsi="Times New Roman"/>
                <w:sz w:val="24"/>
                <w:szCs w:val="24"/>
              </w:rPr>
              <w:t>-</w:t>
            </w:r>
            <w:r w:rsidRPr="00992DE1">
              <w:rPr>
                <w:rFonts w:ascii="Times New Roman" w:hAnsi="Times New Roman"/>
                <w:bCs/>
                <w:sz w:val="24"/>
                <w:szCs w:val="24"/>
              </w:rPr>
              <w:t xml:space="preserve"> neprecizitātes finansējuma apmērā saistītas ar to, ka sākotnējā FM aprēķina formula neparedzēja līdzfinansējumu noapaļot uz augšu, dēļ kā atsevišķos gadījumos nacionālais līdzfinansējums nesasniedza 15%</w:t>
            </w:r>
            <w:r w:rsidR="0006171C" w:rsidRPr="00992DE1">
              <w:rPr>
                <w:rFonts w:ascii="Times New Roman" w:hAnsi="Times New Roman"/>
                <w:bCs/>
                <w:sz w:val="24"/>
                <w:szCs w:val="24"/>
              </w:rPr>
              <w:t>;</w:t>
            </w:r>
          </w:p>
          <w:p w14:paraId="23C1B9DA" w14:textId="6FF9D01C" w:rsidR="008D46D2" w:rsidRPr="00992DE1" w:rsidRDefault="00346F24" w:rsidP="008D46D2">
            <w:pPr>
              <w:pStyle w:val="ListParagraph"/>
              <w:shd w:val="clear" w:color="auto" w:fill="FFFFFF"/>
              <w:spacing w:after="0" w:line="240" w:lineRule="auto"/>
              <w:ind w:left="0"/>
              <w:jc w:val="both"/>
              <w:rPr>
                <w:rFonts w:ascii="Times New Roman" w:hAnsi="Times New Roman"/>
                <w:sz w:val="24"/>
                <w:szCs w:val="24"/>
              </w:rPr>
            </w:pPr>
            <w:r w:rsidRPr="00992DE1">
              <w:rPr>
                <w:rFonts w:ascii="Times New Roman" w:hAnsi="Times New Roman"/>
                <w:sz w:val="24"/>
                <w:szCs w:val="24"/>
              </w:rPr>
              <w:t xml:space="preserve">- </w:t>
            </w:r>
            <w:r w:rsidR="00A238D8" w:rsidRPr="00992DE1">
              <w:rPr>
                <w:rFonts w:ascii="Times New Roman" w:hAnsi="Times New Roman"/>
                <w:sz w:val="24"/>
                <w:szCs w:val="24"/>
              </w:rPr>
              <w:t xml:space="preserve">tehniski precizēt tūlītējā rezultāta rādītāja redakciju </w:t>
            </w:r>
            <w:r w:rsidR="00F36B6C" w:rsidRPr="00992DE1">
              <w:rPr>
                <w:rFonts w:ascii="Times New Roman" w:hAnsi="Times New Roman"/>
                <w:sz w:val="24"/>
                <w:szCs w:val="24"/>
              </w:rPr>
              <w:t>(</w:t>
            </w:r>
            <w:r w:rsidRPr="00992DE1">
              <w:rPr>
                <w:rFonts w:ascii="Times New Roman" w:hAnsi="Times New Roman"/>
                <w:sz w:val="24"/>
                <w:szCs w:val="24"/>
              </w:rPr>
              <w:t>MK n</w:t>
            </w:r>
            <w:r w:rsidR="00AF70FF" w:rsidRPr="00992DE1">
              <w:rPr>
                <w:rFonts w:ascii="Times New Roman" w:hAnsi="Times New Roman"/>
                <w:sz w:val="24"/>
                <w:szCs w:val="24"/>
              </w:rPr>
              <w:t xml:space="preserve">oteikumu projekta </w:t>
            </w:r>
            <w:r w:rsidR="004B0D78" w:rsidRPr="00992DE1">
              <w:rPr>
                <w:rFonts w:ascii="Times New Roman" w:hAnsi="Times New Roman"/>
                <w:sz w:val="24"/>
                <w:szCs w:val="24"/>
              </w:rPr>
              <w:t>19</w:t>
            </w:r>
            <w:r w:rsidR="00F36B6C" w:rsidRPr="00992DE1">
              <w:rPr>
                <w:rFonts w:ascii="Times New Roman" w:hAnsi="Times New Roman"/>
                <w:sz w:val="24"/>
                <w:szCs w:val="24"/>
              </w:rPr>
              <w:t>.punkts)</w:t>
            </w:r>
            <w:r w:rsidRPr="00992DE1">
              <w:rPr>
                <w:rFonts w:ascii="Times New Roman" w:hAnsi="Times New Roman"/>
                <w:sz w:val="24"/>
                <w:szCs w:val="24"/>
              </w:rPr>
              <w:t xml:space="preserve">, tādējādi nodrošinot vienotu informācijas atspoguļošanas pieeju LM pārziņā esošajos MK noteikumos (piemēram, MK 2014.gada 23.decembra noteikumos Nr.835 “Darbības programmas “Izaugsme un nodarbinātība” 9.1.1. </w:t>
            </w:r>
            <w:r w:rsidRPr="00992DE1">
              <w:rPr>
                <w:rFonts w:ascii="Times New Roman" w:hAnsi="Times New Roman"/>
                <w:sz w:val="24"/>
                <w:szCs w:val="24"/>
              </w:rPr>
              <w:lastRenderedPageBreak/>
              <w:t xml:space="preserve">specifiskā atbalsta mērķa “Palielināt nelabvēlīgākā situācijā esošu bezdarbnieku iekļaušanos darba tirgū” 9.1.1.1. pasākuma "Subsidētās darbavietas nelabvēlīgākā situācijā esošiem bezdarbniekiem” īstenošanas noteikumi” un MK </w:t>
            </w:r>
            <w:r w:rsidRPr="00992DE1">
              <w:rPr>
                <w:rFonts w:ascii="Times New Roman" w:hAnsi="Times New Roman"/>
                <w:bCs/>
                <w:sz w:val="24"/>
                <w:szCs w:val="24"/>
              </w:rPr>
              <w:t>2014.gada 23.decembra noteikumos Nr.836 “Darbības programmas “Izaugsme un nodarbinātība” 7.1.1.</w:t>
            </w:r>
            <w:r w:rsidR="00FF4423" w:rsidRPr="00992DE1">
              <w:rPr>
                <w:rFonts w:ascii="Times New Roman" w:hAnsi="Times New Roman"/>
                <w:bCs/>
                <w:sz w:val="24"/>
                <w:szCs w:val="24"/>
              </w:rPr>
              <w:t xml:space="preserve"> </w:t>
            </w:r>
            <w:r w:rsidRPr="00992DE1">
              <w:rPr>
                <w:rFonts w:ascii="Times New Roman" w:hAnsi="Times New Roman"/>
                <w:bCs/>
                <w:sz w:val="24"/>
                <w:szCs w:val="24"/>
              </w:rPr>
              <w:t>specifiskā atbalsta mērķa “Paaugstināt bezdarbnieku kvalifikāciju un prasmes atbilstoši darba tirgus pieprasījumam” īstenošanas noteikumi”</w:t>
            </w:r>
            <w:r w:rsidRPr="00992DE1">
              <w:rPr>
                <w:rFonts w:ascii="Times New Roman" w:hAnsi="Times New Roman"/>
                <w:sz w:val="24"/>
                <w:szCs w:val="24"/>
              </w:rPr>
              <w:t xml:space="preserve">). </w:t>
            </w:r>
          </w:p>
          <w:p w14:paraId="69C5F191" w14:textId="77777777" w:rsidR="008D46D2" w:rsidRPr="00992DE1" w:rsidRDefault="008D46D2" w:rsidP="008D46D2">
            <w:pPr>
              <w:pStyle w:val="ListParagraph"/>
              <w:shd w:val="clear" w:color="auto" w:fill="FFFFFF"/>
              <w:spacing w:after="0" w:line="240" w:lineRule="auto"/>
              <w:ind w:left="0"/>
              <w:jc w:val="both"/>
              <w:rPr>
                <w:rFonts w:ascii="Times New Roman" w:hAnsi="Times New Roman"/>
                <w:sz w:val="14"/>
                <w:szCs w:val="14"/>
              </w:rPr>
            </w:pPr>
          </w:p>
          <w:p w14:paraId="14A93D12" w14:textId="53C28DC7" w:rsidR="008D46D2" w:rsidRPr="00992DE1" w:rsidRDefault="008D46D2" w:rsidP="008D46D2">
            <w:pPr>
              <w:pStyle w:val="ListParagraph"/>
              <w:shd w:val="clear" w:color="auto" w:fill="FFFFFF"/>
              <w:spacing w:after="0" w:line="240" w:lineRule="auto"/>
              <w:ind w:left="0"/>
              <w:jc w:val="both"/>
              <w:rPr>
                <w:rFonts w:ascii="Times New Roman" w:hAnsi="Times New Roman"/>
                <w:sz w:val="24"/>
                <w:szCs w:val="24"/>
              </w:rPr>
            </w:pPr>
            <w:r w:rsidRPr="00992DE1">
              <w:rPr>
                <w:rFonts w:ascii="Times New Roman" w:eastAsiaTheme="minorHAnsi" w:hAnsi="Times New Roman"/>
                <w:sz w:val="24"/>
                <w:szCs w:val="24"/>
              </w:rPr>
              <w:t>Ar MK noteikumu projektu ierosinātās izmaiņas projekta īstenošanas nosacījumos attiecināmas no minēto MK noteikumu grozījumu spēkā stāšanās dienas, izņemot gadījumus, kad ir nepieciešams veikt atbilstošus precizējumus projektā (tādā gadījumā – pēc MK noteikumu spēkā stāšanās LM kā atbildīgā iestāde aicinās finansējuma saņēmēju, izmaiņas iepriekš saskaņot ar sadarbības iestādi, iesniegt atbilstošus grozījumus projektā).</w:t>
            </w:r>
          </w:p>
          <w:p w14:paraId="7262F210" w14:textId="14F0959C" w:rsidR="000053CB" w:rsidRPr="00992DE1" w:rsidRDefault="000053CB" w:rsidP="00CF7A17">
            <w:pPr>
              <w:pStyle w:val="ListParagraph"/>
              <w:shd w:val="clear" w:color="auto" w:fill="FFFFFF"/>
              <w:spacing w:after="0" w:line="240" w:lineRule="auto"/>
              <w:ind w:left="32"/>
              <w:jc w:val="both"/>
              <w:rPr>
                <w:rFonts w:ascii="Times New Roman" w:hAnsi="Times New Roman"/>
                <w:sz w:val="14"/>
                <w:szCs w:val="24"/>
              </w:rPr>
            </w:pPr>
          </w:p>
        </w:tc>
      </w:tr>
      <w:tr w:rsidR="00F81B5A" w:rsidRPr="00992DE1" w14:paraId="7689F320" w14:textId="77777777" w:rsidTr="005A1038">
        <w:tc>
          <w:tcPr>
            <w:tcW w:w="295" w:type="pct"/>
            <w:shd w:val="clear" w:color="auto" w:fill="auto"/>
          </w:tcPr>
          <w:p w14:paraId="21578FE5" w14:textId="77777777" w:rsidR="002E153C" w:rsidRPr="00992DE1" w:rsidRDefault="002E153C" w:rsidP="00346F24">
            <w:r w:rsidRPr="00992DE1">
              <w:lastRenderedPageBreak/>
              <w:t>3.</w:t>
            </w:r>
          </w:p>
        </w:tc>
        <w:tc>
          <w:tcPr>
            <w:tcW w:w="1251" w:type="pct"/>
            <w:shd w:val="clear" w:color="auto" w:fill="auto"/>
          </w:tcPr>
          <w:p w14:paraId="37380561" w14:textId="77777777" w:rsidR="002E153C" w:rsidRPr="00992DE1" w:rsidRDefault="002E153C" w:rsidP="00346F24">
            <w:r w:rsidRPr="00992DE1">
              <w:t>Projekta izstrādē iesaistītās institūcijas</w:t>
            </w:r>
          </w:p>
        </w:tc>
        <w:tc>
          <w:tcPr>
            <w:tcW w:w="3455" w:type="pct"/>
            <w:shd w:val="clear" w:color="auto" w:fill="auto"/>
          </w:tcPr>
          <w:p w14:paraId="7B33351F" w14:textId="3EA96BD0" w:rsidR="002E153C" w:rsidRPr="00992DE1" w:rsidRDefault="007C01FE" w:rsidP="00417E90">
            <w:pPr>
              <w:jc w:val="both"/>
            </w:pPr>
            <w:r w:rsidRPr="00992DE1">
              <w:t>NVA.</w:t>
            </w:r>
          </w:p>
        </w:tc>
      </w:tr>
      <w:tr w:rsidR="00F81B5A" w:rsidRPr="00992DE1" w14:paraId="6377EE19" w14:textId="77777777" w:rsidTr="005A1038">
        <w:tc>
          <w:tcPr>
            <w:tcW w:w="295" w:type="pct"/>
            <w:shd w:val="clear" w:color="auto" w:fill="auto"/>
          </w:tcPr>
          <w:p w14:paraId="2540FF0C" w14:textId="77777777" w:rsidR="002E153C" w:rsidRPr="00992DE1" w:rsidRDefault="002E153C" w:rsidP="00346F24">
            <w:r w:rsidRPr="00992DE1">
              <w:t xml:space="preserve">4. </w:t>
            </w:r>
          </w:p>
        </w:tc>
        <w:tc>
          <w:tcPr>
            <w:tcW w:w="1251" w:type="pct"/>
            <w:shd w:val="clear" w:color="auto" w:fill="auto"/>
          </w:tcPr>
          <w:p w14:paraId="498542E7" w14:textId="77777777" w:rsidR="002E153C" w:rsidRPr="00992DE1" w:rsidRDefault="002E153C" w:rsidP="00346F24">
            <w:r w:rsidRPr="00992DE1">
              <w:t>Cita informācija</w:t>
            </w:r>
          </w:p>
        </w:tc>
        <w:tc>
          <w:tcPr>
            <w:tcW w:w="3455" w:type="pct"/>
            <w:shd w:val="clear" w:color="auto" w:fill="auto"/>
          </w:tcPr>
          <w:p w14:paraId="18648611" w14:textId="77777777" w:rsidR="002E153C" w:rsidRPr="00992DE1" w:rsidRDefault="002E153C" w:rsidP="00417E90">
            <w:pPr>
              <w:jc w:val="both"/>
            </w:pPr>
            <w:r w:rsidRPr="00992DE1">
              <w:t>Nav.</w:t>
            </w:r>
          </w:p>
        </w:tc>
      </w:tr>
    </w:tbl>
    <w:p w14:paraId="0AF63091" w14:textId="77777777" w:rsidR="00D549A1" w:rsidRPr="00992DE1" w:rsidRDefault="00D549A1" w:rsidP="00346F24"/>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409"/>
        <w:gridCol w:w="6657"/>
      </w:tblGrid>
      <w:tr w:rsidR="00F81B5A" w:rsidRPr="00992DE1" w14:paraId="6E009140" w14:textId="77777777" w:rsidTr="00715166">
        <w:trPr>
          <w:trHeight w:val="556"/>
        </w:trPr>
        <w:tc>
          <w:tcPr>
            <w:tcW w:w="9634" w:type="dxa"/>
            <w:gridSpan w:val="3"/>
            <w:vAlign w:val="center"/>
          </w:tcPr>
          <w:p w14:paraId="21B1EB57" w14:textId="77777777" w:rsidR="00077F04" w:rsidRPr="00992DE1" w:rsidRDefault="00077F04" w:rsidP="00346F24">
            <w:pPr>
              <w:pStyle w:val="naisnod"/>
              <w:spacing w:before="0" w:beforeAutospacing="0" w:after="0" w:afterAutospacing="0"/>
              <w:ind w:left="57" w:right="57"/>
              <w:jc w:val="center"/>
              <w:rPr>
                <w:b/>
              </w:rPr>
            </w:pPr>
            <w:r w:rsidRPr="00992DE1">
              <w:rPr>
                <w:b/>
              </w:rPr>
              <w:t>II. Tiesību akta projekta ietekme uz sabiedrību, tautsaimniecības attīstību</w:t>
            </w:r>
          </w:p>
          <w:p w14:paraId="419E3914" w14:textId="77777777" w:rsidR="00077F04" w:rsidRPr="00992DE1" w:rsidRDefault="00077F04" w:rsidP="00417E90">
            <w:pPr>
              <w:pStyle w:val="naisnod"/>
              <w:spacing w:before="0" w:beforeAutospacing="0" w:after="0" w:afterAutospacing="0"/>
              <w:ind w:left="57" w:right="57"/>
              <w:jc w:val="center"/>
              <w:rPr>
                <w:b/>
              </w:rPr>
            </w:pPr>
            <w:r w:rsidRPr="00992DE1">
              <w:rPr>
                <w:b/>
              </w:rPr>
              <w:t>un administratīvo slogu</w:t>
            </w:r>
          </w:p>
        </w:tc>
      </w:tr>
      <w:tr w:rsidR="00F81B5A" w:rsidRPr="00992DE1" w14:paraId="6E5C5212" w14:textId="77777777" w:rsidTr="00715166">
        <w:trPr>
          <w:trHeight w:val="467"/>
        </w:trPr>
        <w:tc>
          <w:tcPr>
            <w:tcW w:w="568" w:type="dxa"/>
          </w:tcPr>
          <w:p w14:paraId="26D12E0D" w14:textId="77777777" w:rsidR="00077F04" w:rsidRPr="00992DE1" w:rsidRDefault="00077F04" w:rsidP="00346F24">
            <w:pPr>
              <w:pStyle w:val="naiskr"/>
              <w:spacing w:before="0" w:beforeAutospacing="0" w:after="0" w:afterAutospacing="0"/>
              <w:ind w:left="57" w:right="57"/>
              <w:jc w:val="both"/>
            </w:pPr>
            <w:r w:rsidRPr="00992DE1">
              <w:t>1.</w:t>
            </w:r>
          </w:p>
        </w:tc>
        <w:tc>
          <w:tcPr>
            <w:tcW w:w="2409" w:type="dxa"/>
          </w:tcPr>
          <w:p w14:paraId="41E06E7B" w14:textId="77777777" w:rsidR="00077F04" w:rsidRPr="00992DE1" w:rsidRDefault="00077F04" w:rsidP="00346F24">
            <w:pPr>
              <w:pStyle w:val="naiskr"/>
              <w:spacing w:before="0" w:beforeAutospacing="0" w:after="0" w:afterAutospacing="0"/>
              <w:ind w:left="57" w:right="57"/>
            </w:pPr>
            <w:r w:rsidRPr="00992DE1">
              <w:t>Sabiedrības mērķgrupas, kuras tiesiskais regulējums ietekmē vai varētu ietekmēt</w:t>
            </w:r>
          </w:p>
        </w:tc>
        <w:tc>
          <w:tcPr>
            <w:tcW w:w="6657" w:type="dxa"/>
          </w:tcPr>
          <w:p w14:paraId="02607515" w14:textId="76817D00" w:rsidR="00077F04" w:rsidRPr="00992DE1" w:rsidRDefault="007C01FE" w:rsidP="00CF7A17">
            <w:pPr>
              <w:shd w:val="clear" w:color="auto" w:fill="FFFFFF"/>
              <w:ind w:left="131" w:right="113"/>
              <w:jc w:val="both"/>
            </w:pPr>
            <w:bookmarkStart w:id="1" w:name="p21"/>
            <w:bookmarkEnd w:id="1"/>
            <w:r w:rsidRPr="00992DE1">
              <w:t>NVA</w:t>
            </w:r>
            <w:r w:rsidR="00077F04" w:rsidRPr="00992DE1">
              <w:t xml:space="preserve"> </w:t>
            </w:r>
            <w:r w:rsidR="00346F24" w:rsidRPr="00992DE1">
              <w:t xml:space="preserve">un Valsts izglītības attīstības aģentūra (turpmāk - VIAA) </w:t>
            </w:r>
            <w:r w:rsidR="00077F04" w:rsidRPr="00992DE1">
              <w:t xml:space="preserve">kā finansējuma saņēmējs, </w:t>
            </w:r>
            <w:r w:rsidR="00B354E3" w:rsidRPr="00992DE1">
              <w:t>j</w:t>
            </w:r>
            <w:r w:rsidR="00B51952" w:rsidRPr="00992DE1">
              <w:t xml:space="preserve">aunieši, kuri nemācās un nav nodarbināti līdz 29 gadu vecumam (ieskaitot), prioritāri atbalstu sniedzot mērķa grupai vecumā </w:t>
            </w:r>
            <w:r w:rsidR="00B354E3" w:rsidRPr="00992DE1">
              <w:t xml:space="preserve">no </w:t>
            </w:r>
            <w:r w:rsidR="00B51952" w:rsidRPr="00992DE1">
              <w:t>15</w:t>
            </w:r>
            <w:r w:rsidR="00B354E3" w:rsidRPr="00992DE1">
              <w:t xml:space="preserve"> līdz </w:t>
            </w:r>
            <w:r w:rsidR="00B51952" w:rsidRPr="00992DE1">
              <w:t xml:space="preserve">24 gadi (ieskaitot) (atbilstoši </w:t>
            </w:r>
            <w:r w:rsidR="00B354E3" w:rsidRPr="00992DE1">
              <w:t>NVA</w:t>
            </w:r>
            <w:r w:rsidR="00B51952" w:rsidRPr="00992DE1">
              <w:t xml:space="preserve"> statistikas datiem</w:t>
            </w:r>
            <w:r w:rsidR="00715166" w:rsidRPr="00992DE1">
              <w:t>,</w:t>
            </w:r>
            <w:r w:rsidR="00B51952" w:rsidRPr="00992DE1">
              <w:t xml:space="preserve"> 2016.</w:t>
            </w:r>
            <w:r w:rsidR="00B354E3" w:rsidRPr="00992DE1">
              <w:t xml:space="preserve"> </w:t>
            </w:r>
            <w:r w:rsidR="00B51952" w:rsidRPr="00992DE1">
              <w:t>gada jūnija beigās 14 563 jeb 18,6% no bezdarbnieku kopskaita bija jaunieši bezdarbnieki vecumā no 15 līdz 29 gadiem, savukārt 5</w:t>
            </w:r>
            <w:r w:rsidR="00AF49FD" w:rsidRPr="00992DE1">
              <w:t> </w:t>
            </w:r>
            <w:r w:rsidR="00B51952" w:rsidRPr="00992DE1">
              <w:t>739 jeb 7,3% no bezdarbnieku kopskaita bija jaunieši bezdarbnieki vecumā no 15 līdz 24 gadiem).</w:t>
            </w:r>
          </w:p>
          <w:p w14:paraId="1738853E" w14:textId="4335CF5A" w:rsidR="001C13B1" w:rsidRPr="00992DE1" w:rsidRDefault="001C13B1" w:rsidP="00CF7A17">
            <w:pPr>
              <w:shd w:val="clear" w:color="auto" w:fill="FFFFFF"/>
              <w:ind w:left="131" w:right="113"/>
              <w:jc w:val="both"/>
              <w:rPr>
                <w:sz w:val="14"/>
              </w:rPr>
            </w:pPr>
          </w:p>
        </w:tc>
      </w:tr>
      <w:tr w:rsidR="00F81B5A" w:rsidRPr="00992DE1" w14:paraId="20821F60" w14:textId="77777777" w:rsidTr="00715166">
        <w:trPr>
          <w:trHeight w:val="523"/>
        </w:trPr>
        <w:tc>
          <w:tcPr>
            <w:tcW w:w="568" w:type="dxa"/>
          </w:tcPr>
          <w:p w14:paraId="66C55F5E" w14:textId="77777777" w:rsidR="00077F04" w:rsidRPr="00992DE1" w:rsidRDefault="00077F04" w:rsidP="00346F24">
            <w:pPr>
              <w:pStyle w:val="naiskr"/>
              <w:spacing w:before="0" w:beforeAutospacing="0" w:after="0" w:afterAutospacing="0"/>
              <w:ind w:left="57" w:right="57"/>
              <w:jc w:val="both"/>
            </w:pPr>
            <w:r w:rsidRPr="00992DE1">
              <w:t>2.</w:t>
            </w:r>
          </w:p>
        </w:tc>
        <w:tc>
          <w:tcPr>
            <w:tcW w:w="2409" w:type="dxa"/>
          </w:tcPr>
          <w:p w14:paraId="3CE88977" w14:textId="77777777" w:rsidR="00077F04" w:rsidRPr="00992DE1" w:rsidRDefault="00077F04" w:rsidP="00346F24">
            <w:pPr>
              <w:pStyle w:val="naiskr"/>
              <w:spacing w:before="0" w:beforeAutospacing="0" w:after="0" w:afterAutospacing="0"/>
              <w:ind w:left="57" w:right="57"/>
            </w:pPr>
            <w:r w:rsidRPr="00992DE1">
              <w:t>Tiesiskā regulējuma ietekme uz tautsaimniecību un administratīvo slogu</w:t>
            </w:r>
          </w:p>
        </w:tc>
        <w:tc>
          <w:tcPr>
            <w:tcW w:w="6657" w:type="dxa"/>
          </w:tcPr>
          <w:p w14:paraId="3FEE7EC9" w14:textId="35570722" w:rsidR="00077F04" w:rsidRPr="00992DE1" w:rsidRDefault="00077F04" w:rsidP="00CF7A17">
            <w:pPr>
              <w:shd w:val="clear" w:color="auto" w:fill="FFFFFF"/>
              <w:ind w:left="131" w:right="113"/>
              <w:jc w:val="both"/>
            </w:pPr>
            <w:r w:rsidRPr="00992DE1">
              <w:t>Kopumā sabiedrības grupām</w:t>
            </w:r>
            <w:r w:rsidR="00C247C9" w:rsidRPr="00992DE1">
              <w:t xml:space="preserve"> (t.sk., finansējuma saņēmējiem un mērķa grupai)</w:t>
            </w:r>
            <w:r w:rsidRPr="00992DE1">
              <w:t xml:space="preserve"> MK noteikumu projekta tiesiskais regulējums nemaina tiesības un pienākumus, kā arī veicamās darbības.</w:t>
            </w:r>
          </w:p>
          <w:p w14:paraId="3B82B5B8" w14:textId="77777777" w:rsidR="00077F04" w:rsidRPr="00992DE1" w:rsidRDefault="00077F04" w:rsidP="00417E90">
            <w:pPr>
              <w:shd w:val="clear" w:color="auto" w:fill="FFFFFF"/>
              <w:ind w:left="57" w:right="113"/>
              <w:jc w:val="both"/>
            </w:pPr>
          </w:p>
        </w:tc>
      </w:tr>
      <w:tr w:rsidR="00F81B5A" w:rsidRPr="00992DE1" w14:paraId="0E5C5418" w14:textId="77777777" w:rsidTr="00715166">
        <w:trPr>
          <w:trHeight w:val="523"/>
        </w:trPr>
        <w:tc>
          <w:tcPr>
            <w:tcW w:w="568" w:type="dxa"/>
          </w:tcPr>
          <w:p w14:paraId="3AFA5CF3" w14:textId="77777777" w:rsidR="00077F04" w:rsidRPr="00992DE1" w:rsidRDefault="00077F04" w:rsidP="00346F24">
            <w:pPr>
              <w:pStyle w:val="naiskr"/>
              <w:spacing w:before="0" w:beforeAutospacing="0" w:after="0" w:afterAutospacing="0"/>
              <w:ind w:left="57" w:right="57"/>
              <w:jc w:val="both"/>
            </w:pPr>
            <w:r w:rsidRPr="00992DE1">
              <w:t>3.</w:t>
            </w:r>
          </w:p>
        </w:tc>
        <w:tc>
          <w:tcPr>
            <w:tcW w:w="2409" w:type="dxa"/>
          </w:tcPr>
          <w:p w14:paraId="31CC9D29" w14:textId="77777777" w:rsidR="00077F04" w:rsidRPr="00992DE1" w:rsidRDefault="00077F04" w:rsidP="00346F24">
            <w:pPr>
              <w:pStyle w:val="naiskr"/>
              <w:spacing w:before="0" w:beforeAutospacing="0" w:after="0" w:afterAutospacing="0"/>
              <w:ind w:left="57" w:right="57"/>
            </w:pPr>
            <w:r w:rsidRPr="00992DE1">
              <w:t>Administratīvo izmaksu monetārs novērtējums</w:t>
            </w:r>
          </w:p>
        </w:tc>
        <w:tc>
          <w:tcPr>
            <w:tcW w:w="6657" w:type="dxa"/>
          </w:tcPr>
          <w:p w14:paraId="11B6014B" w14:textId="77777777" w:rsidR="00077F04" w:rsidRPr="00992DE1" w:rsidRDefault="00077F04" w:rsidP="00CF7A17">
            <w:pPr>
              <w:shd w:val="clear" w:color="auto" w:fill="FFFFFF"/>
              <w:ind w:left="131" w:right="113"/>
              <w:jc w:val="both"/>
            </w:pPr>
            <w:r w:rsidRPr="00992DE1">
              <w:t>MK noteikumu projekts šo jomu neskar.</w:t>
            </w:r>
          </w:p>
        </w:tc>
      </w:tr>
      <w:tr w:rsidR="00F81B5A" w:rsidRPr="00992DE1" w14:paraId="1BFCB42D" w14:textId="77777777" w:rsidTr="00715166">
        <w:trPr>
          <w:trHeight w:val="357"/>
        </w:trPr>
        <w:tc>
          <w:tcPr>
            <w:tcW w:w="568" w:type="dxa"/>
          </w:tcPr>
          <w:p w14:paraId="0712D8E4" w14:textId="77777777" w:rsidR="00077F04" w:rsidRPr="00992DE1" w:rsidRDefault="00077F04" w:rsidP="00346F24">
            <w:pPr>
              <w:pStyle w:val="naiskr"/>
              <w:spacing w:before="0" w:beforeAutospacing="0" w:after="0" w:afterAutospacing="0"/>
              <w:ind w:left="57" w:right="57"/>
              <w:jc w:val="both"/>
            </w:pPr>
            <w:r w:rsidRPr="00992DE1">
              <w:t>4.</w:t>
            </w:r>
          </w:p>
        </w:tc>
        <w:tc>
          <w:tcPr>
            <w:tcW w:w="2409" w:type="dxa"/>
          </w:tcPr>
          <w:p w14:paraId="791750D5" w14:textId="77777777" w:rsidR="00077F04" w:rsidRPr="00992DE1" w:rsidRDefault="00077F04" w:rsidP="00346F24">
            <w:pPr>
              <w:pStyle w:val="naiskr"/>
              <w:spacing w:before="0" w:beforeAutospacing="0" w:after="0" w:afterAutospacing="0"/>
              <w:ind w:left="57" w:right="57"/>
            </w:pPr>
            <w:r w:rsidRPr="00992DE1">
              <w:t>Cita informācija</w:t>
            </w:r>
          </w:p>
        </w:tc>
        <w:tc>
          <w:tcPr>
            <w:tcW w:w="6657" w:type="dxa"/>
          </w:tcPr>
          <w:p w14:paraId="0E84E974" w14:textId="77777777" w:rsidR="00077F04" w:rsidRPr="00992DE1" w:rsidRDefault="00077F04" w:rsidP="00CF7A17">
            <w:pPr>
              <w:shd w:val="clear" w:color="auto" w:fill="FFFFFF"/>
              <w:ind w:left="131" w:right="113"/>
              <w:jc w:val="both"/>
            </w:pPr>
            <w:r w:rsidRPr="00992DE1">
              <w:t>Nav.</w:t>
            </w:r>
          </w:p>
        </w:tc>
      </w:tr>
    </w:tbl>
    <w:p w14:paraId="4898DC31" w14:textId="5C30A67C" w:rsidR="00715166" w:rsidRPr="00992DE1" w:rsidRDefault="00715166" w:rsidP="00715166">
      <w:pPr>
        <w:rPr>
          <w:b/>
        </w:rPr>
      </w:pPr>
    </w:p>
    <w:p w14:paraId="5AC6C942" w14:textId="77777777" w:rsidR="0050193B" w:rsidRPr="00992DE1" w:rsidRDefault="0050193B" w:rsidP="0050193B"/>
    <w:tbl>
      <w:tblPr>
        <w:tblW w:w="547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44"/>
        <w:gridCol w:w="1218"/>
        <w:gridCol w:w="1386"/>
        <w:gridCol w:w="1136"/>
        <w:gridCol w:w="1260"/>
        <w:gridCol w:w="1945"/>
      </w:tblGrid>
      <w:tr w:rsidR="00F81B5A" w:rsidRPr="00992DE1" w14:paraId="54097123" w14:textId="77777777" w:rsidTr="005D395F">
        <w:trPr>
          <w:trHeight w:val="360"/>
          <w:jc w:val="center"/>
        </w:trPr>
        <w:tc>
          <w:tcPr>
            <w:tcW w:w="9489" w:type="dxa"/>
            <w:gridSpan w:val="6"/>
            <w:tcBorders>
              <w:top w:val="outset" w:sz="6" w:space="0" w:color="414142"/>
              <w:left w:val="outset" w:sz="6" w:space="0" w:color="414142"/>
              <w:bottom w:val="outset" w:sz="6" w:space="0" w:color="414142"/>
              <w:right w:val="outset" w:sz="6" w:space="0" w:color="414142"/>
            </w:tcBorders>
            <w:vAlign w:val="center"/>
            <w:hideMark/>
          </w:tcPr>
          <w:p w14:paraId="1723D0AE" w14:textId="77777777" w:rsidR="0050193B" w:rsidRPr="00992DE1" w:rsidRDefault="0050193B" w:rsidP="00DD4ED9">
            <w:pPr>
              <w:jc w:val="center"/>
              <w:rPr>
                <w:b/>
                <w:bCs/>
              </w:rPr>
            </w:pPr>
            <w:r w:rsidRPr="00992DE1">
              <w:rPr>
                <w:b/>
                <w:bCs/>
              </w:rPr>
              <w:t>III. Tiesību akta projekta ietekme uz valsts budžetu un pašvaldību budžetiem</w:t>
            </w:r>
          </w:p>
        </w:tc>
      </w:tr>
      <w:tr w:rsidR="00F81B5A" w:rsidRPr="00992DE1" w14:paraId="4F9DDDA4" w14:textId="77777777" w:rsidTr="00980344">
        <w:trPr>
          <w:jc w:val="center"/>
        </w:trPr>
        <w:tc>
          <w:tcPr>
            <w:tcW w:w="2544" w:type="dxa"/>
            <w:vMerge w:val="restart"/>
            <w:tcBorders>
              <w:top w:val="outset" w:sz="6" w:space="0" w:color="414142"/>
              <w:left w:val="outset" w:sz="6" w:space="0" w:color="414142"/>
              <w:bottom w:val="outset" w:sz="6" w:space="0" w:color="414142"/>
              <w:right w:val="outset" w:sz="6" w:space="0" w:color="414142"/>
            </w:tcBorders>
            <w:vAlign w:val="center"/>
            <w:hideMark/>
          </w:tcPr>
          <w:p w14:paraId="094621F6" w14:textId="77777777" w:rsidR="0050193B" w:rsidRPr="00992DE1" w:rsidRDefault="0050193B" w:rsidP="00DD4ED9">
            <w:pPr>
              <w:jc w:val="center"/>
              <w:rPr>
                <w:b/>
                <w:bCs/>
              </w:rPr>
            </w:pPr>
            <w:r w:rsidRPr="00992DE1">
              <w:rPr>
                <w:b/>
                <w:bCs/>
              </w:rPr>
              <w:t>Rādītāji</w:t>
            </w:r>
          </w:p>
        </w:tc>
        <w:tc>
          <w:tcPr>
            <w:tcW w:w="2604"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2919077" w14:textId="473FA986" w:rsidR="0050193B" w:rsidRPr="00992DE1" w:rsidRDefault="00A24203" w:rsidP="00DD4ED9">
            <w:pPr>
              <w:jc w:val="center"/>
              <w:rPr>
                <w:b/>
                <w:bCs/>
              </w:rPr>
            </w:pPr>
            <w:r w:rsidRPr="00992DE1">
              <w:rPr>
                <w:b/>
                <w:bCs/>
              </w:rPr>
              <w:t>2016</w:t>
            </w:r>
            <w:r w:rsidR="0050193B" w:rsidRPr="00992DE1">
              <w:rPr>
                <w:b/>
                <w:bCs/>
              </w:rPr>
              <w:t>.</w:t>
            </w:r>
          </w:p>
        </w:tc>
        <w:tc>
          <w:tcPr>
            <w:tcW w:w="4341" w:type="dxa"/>
            <w:gridSpan w:val="3"/>
            <w:tcBorders>
              <w:top w:val="outset" w:sz="6" w:space="0" w:color="414142"/>
              <w:left w:val="outset" w:sz="6" w:space="0" w:color="414142"/>
              <w:bottom w:val="single" w:sz="4" w:space="0" w:color="auto"/>
              <w:right w:val="outset" w:sz="6" w:space="0" w:color="414142"/>
            </w:tcBorders>
            <w:vAlign w:val="center"/>
            <w:hideMark/>
          </w:tcPr>
          <w:p w14:paraId="0560049E" w14:textId="77777777" w:rsidR="0050193B" w:rsidRPr="00992DE1" w:rsidRDefault="0050193B" w:rsidP="00DD4ED9">
            <w:pPr>
              <w:jc w:val="center"/>
            </w:pPr>
            <w:r w:rsidRPr="00992DE1">
              <w:t>Turpmākie trīs gadi (</w:t>
            </w:r>
            <w:r w:rsidRPr="00992DE1">
              <w:rPr>
                <w:i/>
                <w:iCs/>
              </w:rPr>
              <w:t>euro</w:t>
            </w:r>
            <w:r w:rsidRPr="00992DE1">
              <w:t>)</w:t>
            </w:r>
          </w:p>
        </w:tc>
      </w:tr>
      <w:tr w:rsidR="00F81B5A" w:rsidRPr="00992DE1" w14:paraId="7CEDAE7C" w14:textId="77777777" w:rsidTr="00980344">
        <w:trPr>
          <w:jc w:val="center"/>
        </w:trPr>
        <w:tc>
          <w:tcPr>
            <w:tcW w:w="2544" w:type="dxa"/>
            <w:vMerge/>
            <w:tcBorders>
              <w:top w:val="outset" w:sz="6" w:space="0" w:color="414142"/>
              <w:left w:val="outset" w:sz="6" w:space="0" w:color="414142"/>
              <w:bottom w:val="outset" w:sz="6" w:space="0" w:color="414142"/>
              <w:right w:val="outset" w:sz="6" w:space="0" w:color="414142"/>
            </w:tcBorders>
            <w:vAlign w:val="center"/>
            <w:hideMark/>
          </w:tcPr>
          <w:p w14:paraId="764CB7EA" w14:textId="77777777" w:rsidR="0050193B" w:rsidRPr="00992DE1" w:rsidRDefault="0050193B" w:rsidP="00DD4ED9">
            <w:pPr>
              <w:jc w:val="center"/>
              <w:rPr>
                <w:b/>
                <w:bCs/>
              </w:rPr>
            </w:pPr>
          </w:p>
        </w:tc>
        <w:tc>
          <w:tcPr>
            <w:tcW w:w="2604" w:type="dxa"/>
            <w:gridSpan w:val="2"/>
            <w:vMerge/>
            <w:tcBorders>
              <w:top w:val="outset" w:sz="6" w:space="0" w:color="414142"/>
              <w:left w:val="outset" w:sz="6" w:space="0" w:color="414142"/>
              <w:bottom w:val="outset" w:sz="6" w:space="0" w:color="414142"/>
              <w:right w:val="single" w:sz="4" w:space="0" w:color="auto"/>
            </w:tcBorders>
            <w:vAlign w:val="center"/>
            <w:hideMark/>
          </w:tcPr>
          <w:p w14:paraId="783875F4" w14:textId="77777777" w:rsidR="0050193B" w:rsidRPr="00992DE1" w:rsidRDefault="0050193B" w:rsidP="00DD4ED9">
            <w:pPr>
              <w:jc w:val="center"/>
              <w:rPr>
                <w:b/>
                <w:bCs/>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9120BDA" w14:textId="67275E6B" w:rsidR="0050193B" w:rsidRPr="00992DE1" w:rsidRDefault="00855FB1" w:rsidP="00DD4ED9">
            <w:pPr>
              <w:jc w:val="center"/>
              <w:rPr>
                <w:b/>
                <w:i/>
              </w:rPr>
            </w:pPr>
            <w:r w:rsidRPr="00992DE1">
              <w:rPr>
                <w:b/>
                <w:bCs/>
              </w:rPr>
              <w:t>2017</w:t>
            </w:r>
            <w:r w:rsidR="0050193B" w:rsidRPr="00992DE1">
              <w:rPr>
                <w:b/>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45D6790" w14:textId="6C5E1479" w:rsidR="0050193B" w:rsidRPr="00992DE1" w:rsidRDefault="0050193B" w:rsidP="00DD4ED9">
            <w:pPr>
              <w:jc w:val="center"/>
              <w:rPr>
                <w:b/>
                <w:i/>
              </w:rPr>
            </w:pPr>
            <w:r w:rsidRPr="00992DE1">
              <w:rPr>
                <w:b/>
                <w:bCs/>
              </w:rPr>
              <w:t>201</w:t>
            </w:r>
            <w:r w:rsidR="00855FB1" w:rsidRPr="00992DE1">
              <w:rPr>
                <w:b/>
                <w:bCs/>
              </w:rPr>
              <w:t>8</w:t>
            </w:r>
            <w:r w:rsidRPr="00992DE1">
              <w:rPr>
                <w:b/>
                <w:bCs/>
              </w:rPr>
              <w:t>.</w:t>
            </w:r>
          </w:p>
        </w:tc>
        <w:tc>
          <w:tcPr>
            <w:tcW w:w="1945" w:type="dxa"/>
            <w:tcBorders>
              <w:top w:val="single" w:sz="4" w:space="0" w:color="auto"/>
              <w:left w:val="single" w:sz="4" w:space="0" w:color="auto"/>
              <w:bottom w:val="single" w:sz="4" w:space="0" w:color="auto"/>
              <w:right w:val="single" w:sz="4" w:space="0" w:color="auto"/>
            </w:tcBorders>
            <w:vAlign w:val="center"/>
            <w:hideMark/>
          </w:tcPr>
          <w:p w14:paraId="7E5AD015" w14:textId="70444B7B" w:rsidR="0050193B" w:rsidRPr="00992DE1" w:rsidRDefault="0050193B" w:rsidP="00DD4ED9">
            <w:pPr>
              <w:jc w:val="center"/>
              <w:rPr>
                <w:b/>
                <w:i/>
              </w:rPr>
            </w:pPr>
            <w:r w:rsidRPr="00992DE1">
              <w:rPr>
                <w:b/>
                <w:bCs/>
              </w:rPr>
              <w:t>201</w:t>
            </w:r>
            <w:r w:rsidR="00855FB1" w:rsidRPr="00992DE1">
              <w:rPr>
                <w:b/>
                <w:bCs/>
              </w:rPr>
              <w:t>9</w:t>
            </w:r>
            <w:r w:rsidRPr="00992DE1">
              <w:rPr>
                <w:b/>
                <w:bCs/>
              </w:rPr>
              <w:t>.</w:t>
            </w:r>
          </w:p>
        </w:tc>
      </w:tr>
      <w:tr w:rsidR="00F81B5A" w:rsidRPr="00992DE1" w14:paraId="06FA1BC7" w14:textId="77777777" w:rsidTr="00980344">
        <w:trPr>
          <w:jc w:val="center"/>
        </w:trPr>
        <w:tc>
          <w:tcPr>
            <w:tcW w:w="2544" w:type="dxa"/>
            <w:vMerge/>
            <w:tcBorders>
              <w:top w:val="outset" w:sz="6" w:space="0" w:color="414142"/>
              <w:left w:val="outset" w:sz="6" w:space="0" w:color="414142"/>
              <w:bottom w:val="outset" w:sz="6" w:space="0" w:color="414142"/>
              <w:right w:val="outset" w:sz="6" w:space="0" w:color="414142"/>
            </w:tcBorders>
            <w:vAlign w:val="center"/>
            <w:hideMark/>
          </w:tcPr>
          <w:p w14:paraId="454BCACD" w14:textId="77777777" w:rsidR="0050193B" w:rsidRPr="00992DE1" w:rsidRDefault="0050193B" w:rsidP="00DD4ED9">
            <w:pPr>
              <w:jc w:val="center"/>
              <w:rPr>
                <w:b/>
                <w:bCs/>
              </w:rPr>
            </w:pPr>
          </w:p>
        </w:tc>
        <w:tc>
          <w:tcPr>
            <w:tcW w:w="1218" w:type="dxa"/>
            <w:tcBorders>
              <w:top w:val="outset" w:sz="6" w:space="0" w:color="414142"/>
              <w:left w:val="outset" w:sz="6" w:space="0" w:color="414142"/>
              <w:bottom w:val="outset" w:sz="6" w:space="0" w:color="414142"/>
              <w:right w:val="outset" w:sz="6" w:space="0" w:color="414142"/>
            </w:tcBorders>
            <w:vAlign w:val="center"/>
            <w:hideMark/>
          </w:tcPr>
          <w:p w14:paraId="07AFE8C7" w14:textId="77777777" w:rsidR="0050193B" w:rsidRPr="00992DE1" w:rsidRDefault="0050193B" w:rsidP="00DD4ED9">
            <w:pPr>
              <w:jc w:val="center"/>
            </w:pPr>
            <w:r w:rsidRPr="00992DE1">
              <w:t>saskaņā ar valsts budžetu kārtējam gadam</w:t>
            </w:r>
          </w:p>
        </w:tc>
        <w:tc>
          <w:tcPr>
            <w:tcW w:w="1386" w:type="dxa"/>
            <w:tcBorders>
              <w:top w:val="outset" w:sz="6" w:space="0" w:color="414142"/>
              <w:left w:val="outset" w:sz="6" w:space="0" w:color="414142"/>
              <w:bottom w:val="outset" w:sz="6" w:space="0" w:color="414142"/>
              <w:right w:val="outset" w:sz="6" w:space="0" w:color="414142"/>
            </w:tcBorders>
            <w:vAlign w:val="center"/>
            <w:hideMark/>
          </w:tcPr>
          <w:p w14:paraId="0281C6A8" w14:textId="77777777" w:rsidR="0050193B" w:rsidRPr="00992DE1" w:rsidRDefault="0050193B" w:rsidP="00DD4ED9">
            <w:pPr>
              <w:jc w:val="center"/>
            </w:pPr>
            <w:r w:rsidRPr="00992DE1">
              <w:t>izmaiņas kārtējā gadā, salīdzinot ar valsts budžetu kārtējam gadam</w:t>
            </w:r>
          </w:p>
        </w:tc>
        <w:tc>
          <w:tcPr>
            <w:tcW w:w="1136" w:type="dxa"/>
            <w:tcBorders>
              <w:top w:val="single" w:sz="4" w:space="0" w:color="auto"/>
              <w:left w:val="outset" w:sz="6" w:space="0" w:color="414142"/>
              <w:bottom w:val="outset" w:sz="6" w:space="0" w:color="414142"/>
              <w:right w:val="outset" w:sz="6" w:space="0" w:color="414142"/>
            </w:tcBorders>
            <w:vAlign w:val="center"/>
            <w:hideMark/>
          </w:tcPr>
          <w:p w14:paraId="47AEBC86" w14:textId="77777777" w:rsidR="0050193B" w:rsidRPr="00992DE1" w:rsidRDefault="0050193B" w:rsidP="00DD4ED9">
            <w:pPr>
              <w:jc w:val="center"/>
            </w:pPr>
            <w:r w:rsidRPr="00992DE1">
              <w:t>izmaiņas, salīdzinot ar kārtējo (n) gadu</w:t>
            </w:r>
          </w:p>
        </w:tc>
        <w:tc>
          <w:tcPr>
            <w:tcW w:w="1260" w:type="dxa"/>
            <w:tcBorders>
              <w:top w:val="single" w:sz="4" w:space="0" w:color="auto"/>
              <w:left w:val="outset" w:sz="6" w:space="0" w:color="414142"/>
              <w:bottom w:val="outset" w:sz="6" w:space="0" w:color="414142"/>
              <w:right w:val="outset" w:sz="6" w:space="0" w:color="414142"/>
            </w:tcBorders>
            <w:vAlign w:val="center"/>
            <w:hideMark/>
          </w:tcPr>
          <w:p w14:paraId="158341F1" w14:textId="77777777" w:rsidR="0050193B" w:rsidRPr="00992DE1" w:rsidRDefault="0050193B" w:rsidP="00DD4ED9">
            <w:pPr>
              <w:jc w:val="center"/>
            </w:pPr>
            <w:r w:rsidRPr="00992DE1">
              <w:t>izmaiņas, salīdzinot ar kārtējo (n) gadu</w:t>
            </w:r>
          </w:p>
        </w:tc>
        <w:tc>
          <w:tcPr>
            <w:tcW w:w="1945" w:type="dxa"/>
            <w:tcBorders>
              <w:top w:val="single" w:sz="4" w:space="0" w:color="auto"/>
              <w:left w:val="outset" w:sz="6" w:space="0" w:color="414142"/>
              <w:bottom w:val="outset" w:sz="6" w:space="0" w:color="414142"/>
              <w:right w:val="outset" w:sz="6" w:space="0" w:color="414142"/>
            </w:tcBorders>
            <w:vAlign w:val="center"/>
            <w:hideMark/>
          </w:tcPr>
          <w:p w14:paraId="67857C30" w14:textId="77777777" w:rsidR="0050193B" w:rsidRPr="00992DE1" w:rsidRDefault="0050193B" w:rsidP="00DD4ED9">
            <w:pPr>
              <w:jc w:val="center"/>
            </w:pPr>
            <w:r w:rsidRPr="00992DE1">
              <w:t>izmaiņas, salīdzinot ar kārtējo (n) gadu</w:t>
            </w:r>
          </w:p>
        </w:tc>
      </w:tr>
      <w:tr w:rsidR="00F81B5A" w:rsidRPr="00992DE1" w14:paraId="33CF869E" w14:textId="77777777" w:rsidTr="00980344">
        <w:trPr>
          <w:jc w:val="center"/>
        </w:trPr>
        <w:tc>
          <w:tcPr>
            <w:tcW w:w="2544" w:type="dxa"/>
            <w:tcBorders>
              <w:top w:val="outset" w:sz="6" w:space="0" w:color="414142"/>
              <w:left w:val="outset" w:sz="6" w:space="0" w:color="414142"/>
              <w:bottom w:val="outset" w:sz="6" w:space="0" w:color="414142"/>
              <w:right w:val="outset" w:sz="6" w:space="0" w:color="414142"/>
            </w:tcBorders>
            <w:vAlign w:val="center"/>
            <w:hideMark/>
          </w:tcPr>
          <w:p w14:paraId="440848B5" w14:textId="77777777" w:rsidR="0050193B" w:rsidRPr="00992DE1" w:rsidRDefault="0050193B" w:rsidP="00DD4ED9">
            <w:pPr>
              <w:jc w:val="center"/>
            </w:pPr>
            <w:r w:rsidRPr="00992DE1">
              <w:t>1</w:t>
            </w:r>
          </w:p>
        </w:tc>
        <w:tc>
          <w:tcPr>
            <w:tcW w:w="1218" w:type="dxa"/>
            <w:tcBorders>
              <w:top w:val="outset" w:sz="6" w:space="0" w:color="414142"/>
              <w:left w:val="outset" w:sz="6" w:space="0" w:color="414142"/>
              <w:bottom w:val="single" w:sz="4" w:space="0" w:color="auto"/>
              <w:right w:val="outset" w:sz="6" w:space="0" w:color="414142"/>
            </w:tcBorders>
            <w:vAlign w:val="center"/>
            <w:hideMark/>
          </w:tcPr>
          <w:p w14:paraId="0CDA1010" w14:textId="77777777" w:rsidR="0050193B" w:rsidRPr="00992DE1" w:rsidRDefault="0050193B" w:rsidP="00DD4ED9">
            <w:pPr>
              <w:jc w:val="center"/>
            </w:pPr>
            <w:r w:rsidRPr="00992DE1">
              <w:t>2</w:t>
            </w:r>
          </w:p>
        </w:tc>
        <w:tc>
          <w:tcPr>
            <w:tcW w:w="1386" w:type="dxa"/>
            <w:tcBorders>
              <w:top w:val="outset" w:sz="6" w:space="0" w:color="414142"/>
              <w:left w:val="outset" w:sz="6" w:space="0" w:color="414142"/>
              <w:bottom w:val="single" w:sz="4" w:space="0" w:color="auto"/>
              <w:right w:val="outset" w:sz="6" w:space="0" w:color="414142"/>
            </w:tcBorders>
            <w:vAlign w:val="center"/>
            <w:hideMark/>
          </w:tcPr>
          <w:p w14:paraId="24A6F428" w14:textId="77777777" w:rsidR="0050193B" w:rsidRPr="00992DE1" w:rsidRDefault="0050193B" w:rsidP="00DD4ED9">
            <w:pPr>
              <w:jc w:val="center"/>
            </w:pPr>
            <w:r w:rsidRPr="00992DE1">
              <w:t>3</w:t>
            </w:r>
          </w:p>
        </w:tc>
        <w:tc>
          <w:tcPr>
            <w:tcW w:w="1136" w:type="dxa"/>
            <w:tcBorders>
              <w:top w:val="outset" w:sz="6" w:space="0" w:color="414142"/>
              <w:left w:val="outset" w:sz="6" w:space="0" w:color="414142"/>
              <w:bottom w:val="single" w:sz="4" w:space="0" w:color="auto"/>
              <w:right w:val="outset" w:sz="6" w:space="0" w:color="414142"/>
            </w:tcBorders>
            <w:vAlign w:val="center"/>
            <w:hideMark/>
          </w:tcPr>
          <w:p w14:paraId="33F15ACE" w14:textId="77777777" w:rsidR="0050193B" w:rsidRPr="00992DE1" w:rsidRDefault="0050193B" w:rsidP="00DD4ED9">
            <w:pPr>
              <w:jc w:val="center"/>
            </w:pPr>
            <w:r w:rsidRPr="00992DE1">
              <w:t>4</w:t>
            </w:r>
          </w:p>
        </w:tc>
        <w:tc>
          <w:tcPr>
            <w:tcW w:w="1260" w:type="dxa"/>
            <w:tcBorders>
              <w:top w:val="outset" w:sz="6" w:space="0" w:color="414142"/>
              <w:left w:val="outset" w:sz="6" w:space="0" w:color="414142"/>
              <w:bottom w:val="single" w:sz="4" w:space="0" w:color="auto"/>
              <w:right w:val="outset" w:sz="6" w:space="0" w:color="414142"/>
            </w:tcBorders>
            <w:vAlign w:val="center"/>
            <w:hideMark/>
          </w:tcPr>
          <w:p w14:paraId="4D35541F" w14:textId="77777777" w:rsidR="0050193B" w:rsidRPr="00992DE1" w:rsidRDefault="0050193B" w:rsidP="00DD4ED9">
            <w:pPr>
              <w:jc w:val="center"/>
            </w:pPr>
            <w:r w:rsidRPr="00992DE1">
              <w:t>5</w:t>
            </w:r>
          </w:p>
        </w:tc>
        <w:tc>
          <w:tcPr>
            <w:tcW w:w="1945" w:type="dxa"/>
            <w:tcBorders>
              <w:top w:val="outset" w:sz="6" w:space="0" w:color="414142"/>
              <w:left w:val="outset" w:sz="6" w:space="0" w:color="414142"/>
              <w:bottom w:val="single" w:sz="4" w:space="0" w:color="auto"/>
              <w:right w:val="outset" w:sz="6" w:space="0" w:color="414142"/>
            </w:tcBorders>
            <w:vAlign w:val="center"/>
            <w:hideMark/>
          </w:tcPr>
          <w:p w14:paraId="11E90773" w14:textId="77777777" w:rsidR="0050193B" w:rsidRPr="00992DE1" w:rsidRDefault="0050193B" w:rsidP="00DD4ED9">
            <w:pPr>
              <w:jc w:val="center"/>
            </w:pPr>
            <w:r w:rsidRPr="00992DE1">
              <w:t>6</w:t>
            </w:r>
          </w:p>
        </w:tc>
      </w:tr>
      <w:tr w:rsidR="00F81B5A" w:rsidRPr="00992DE1" w14:paraId="54578ACE" w14:textId="77777777" w:rsidTr="00F219AF">
        <w:trPr>
          <w:jc w:val="center"/>
        </w:trPr>
        <w:tc>
          <w:tcPr>
            <w:tcW w:w="2544" w:type="dxa"/>
            <w:tcBorders>
              <w:top w:val="outset" w:sz="6" w:space="0" w:color="414142"/>
              <w:left w:val="outset" w:sz="6" w:space="0" w:color="414142"/>
              <w:bottom w:val="outset" w:sz="6" w:space="0" w:color="414142"/>
              <w:right w:val="single" w:sz="4" w:space="0" w:color="auto"/>
            </w:tcBorders>
            <w:hideMark/>
          </w:tcPr>
          <w:p w14:paraId="3B6C2BF2" w14:textId="77777777" w:rsidR="00C03A67" w:rsidRPr="00992DE1" w:rsidRDefault="00C03A67" w:rsidP="00C03A67">
            <w:r w:rsidRPr="00992DE1">
              <w:t xml:space="preserve">1. Budžeta ieņēmumi: </w:t>
            </w:r>
          </w:p>
          <w:p w14:paraId="3FDEC6DE" w14:textId="77777777" w:rsidR="00C03A67" w:rsidRPr="00992DE1" w:rsidRDefault="00C03A67" w:rsidP="00C03A67">
            <w:r w:rsidRPr="00992DE1">
              <w:t>1.1. valsts pamatbudžets, tai skaitā ieņēmumi no maksas pakalpojumiem un citi pašu ieņēmumi</w:t>
            </w:r>
          </w:p>
          <w:p w14:paraId="60801853" w14:textId="77777777" w:rsidR="00C03A67" w:rsidRPr="00992DE1" w:rsidRDefault="00C03A67" w:rsidP="00C03A67">
            <w:r w:rsidRPr="00992DE1">
              <w:t>1.2. valsts speciālais budžets</w:t>
            </w:r>
          </w:p>
          <w:p w14:paraId="2D3214A6" w14:textId="77777777" w:rsidR="00C03A67" w:rsidRPr="00992DE1" w:rsidRDefault="00C03A67" w:rsidP="00C03A67">
            <w:r w:rsidRPr="00992DE1">
              <w:t>1.3. pašvaldību budžets</w:t>
            </w:r>
          </w:p>
        </w:tc>
        <w:tc>
          <w:tcPr>
            <w:tcW w:w="1218" w:type="dxa"/>
            <w:tcBorders>
              <w:top w:val="single" w:sz="4" w:space="0" w:color="auto"/>
              <w:left w:val="single" w:sz="4" w:space="0" w:color="auto"/>
              <w:bottom w:val="single" w:sz="4" w:space="0" w:color="auto"/>
              <w:right w:val="single" w:sz="4" w:space="0" w:color="auto"/>
            </w:tcBorders>
          </w:tcPr>
          <w:p w14:paraId="754EFEBD" w14:textId="1E12D17D" w:rsidR="00C03A67" w:rsidRPr="00992DE1" w:rsidRDefault="00C03A67" w:rsidP="00C03A67">
            <w:pPr>
              <w:jc w:val="center"/>
            </w:pPr>
            <w:r w:rsidRPr="00992DE1">
              <w:t xml:space="preserve">18 </w:t>
            </w:r>
            <w:r w:rsidR="00FE7E14" w:rsidRPr="00992DE1">
              <w:t>771</w:t>
            </w:r>
            <w:r w:rsidRPr="00992DE1">
              <w:t xml:space="preserve"> </w:t>
            </w:r>
            <w:r w:rsidR="00FE7E14" w:rsidRPr="00992DE1">
              <w:t>095</w:t>
            </w:r>
          </w:p>
        </w:tc>
        <w:tc>
          <w:tcPr>
            <w:tcW w:w="1386" w:type="dxa"/>
            <w:tcBorders>
              <w:top w:val="single" w:sz="4" w:space="0" w:color="auto"/>
              <w:left w:val="single" w:sz="4" w:space="0" w:color="auto"/>
              <w:bottom w:val="single" w:sz="4" w:space="0" w:color="auto"/>
              <w:right w:val="single" w:sz="4" w:space="0" w:color="auto"/>
            </w:tcBorders>
          </w:tcPr>
          <w:p w14:paraId="728FA213" w14:textId="37FA509B" w:rsidR="00C03A67" w:rsidRPr="00992DE1" w:rsidRDefault="00A971B1" w:rsidP="00C03A67">
            <w:pPr>
              <w:jc w:val="center"/>
            </w:pPr>
            <w:r w:rsidRPr="00992DE1">
              <w:t>2</w:t>
            </w:r>
          </w:p>
        </w:tc>
        <w:tc>
          <w:tcPr>
            <w:tcW w:w="1136" w:type="dxa"/>
            <w:tcBorders>
              <w:top w:val="single" w:sz="4" w:space="0" w:color="auto"/>
              <w:left w:val="single" w:sz="4" w:space="0" w:color="auto"/>
              <w:bottom w:val="single" w:sz="4" w:space="0" w:color="auto"/>
              <w:right w:val="single" w:sz="4" w:space="0" w:color="auto"/>
            </w:tcBorders>
          </w:tcPr>
          <w:p w14:paraId="0B49B834" w14:textId="405F4192" w:rsidR="00C03A67" w:rsidRPr="00992DE1" w:rsidRDefault="00C03A67" w:rsidP="00C03A67">
            <w:pPr>
              <w:jc w:val="center"/>
            </w:pPr>
            <w:r w:rsidRPr="00992DE1">
              <w:t>1</w:t>
            </w:r>
            <w:r w:rsidR="00FE7E14" w:rsidRPr="00992DE1">
              <w:t> </w:t>
            </w:r>
            <w:r w:rsidR="00A971B1" w:rsidRPr="00992DE1">
              <w:t>586</w:t>
            </w:r>
            <w:r w:rsidR="00FE7E14" w:rsidRPr="00992DE1">
              <w:t xml:space="preserve"> 3</w:t>
            </w:r>
            <w:r w:rsidR="00A971B1" w:rsidRPr="00992DE1">
              <w:t>33</w:t>
            </w:r>
          </w:p>
        </w:tc>
        <w:tc>
          <w:tcPr>
            <w:tcW w:w="1260" w:type="dxa"/>
            <w:tcBorders>
              <w:top w:val="single" w:sz="4" w:space="0" w:color="auto"/>
              <w:left w:val="single" w:sz="4" w:space="0" w:color="auto"/>
              <w:bottom w:val="single" w:sz="4" w:space="0" w:color="auto"/>
              <w:right w:val="single" w:sz="4" w:space="0" w:color="auto"/>
            </w:tcBorders>
          </w:tcPr>
          <w:p w14:paraId="262C5BC3" w14:textId="2FA82A25" w:rsidR="00C03A67" w:rsidRPr="00992DE1" w:rsidRDefault="00C03A67" w:rsidP="00C03A67">
            <w:pPr>
              <w:jc w:val="center"/>
            </w:pPr>
            <w:r w:rsidRPr="00992DE1">
              <w:t>-10</w:t>
            </w:r>
            <w:r w:rsidR="00FE7E14" w:rsidRPr="00992DE1">
              <w:t> </w:t>
            </w:r>
            <w:r w:rsidR="00A971B1" w:rsidRPr="00992DE1">
              <w:t>262</w:t>
            </w:r>
            <w:r w:rsidR="00FE7E14" w:rsidRPr="00992DE1">
              <w:t xml:space="preserve"> </w:t>
            </w:r>
            <w:r w:rsidR="00A971B1" w:rsidRPr="00992DE1">
              <w:t>956</w:t>
            </w:r>
          </w:p>
        </w:tc>
        <w:tc>
          <w:tcPr>
            <w:tcW w:w="1945" w:type="dxa"/>
            <w:tcBorders>
              <w:top w:val="single" w:sz="4" w:space="0" w:color="auto"/>
              <w:left w:val="single" w:sz="4" w:space="0" w:color="auto"/>
              <w:bottom w:val="single" w:sz="4" w:space="0" w:color="auto"/>
              <w:right w:val="single" w:sz="4" w:space="0" w:color="auto"/>
            </w:tcBorders>
          </w:tcPr>
          <w:p w14:paraId="0EC91C83" w14:textId="6A9E0B7F" w:rsidR="00C03A67" w:rsidRPr="00992DE1" w:rsidRDefault="00FE7E14" w:rsidP="00C03A67">
            <w:pPr>
              <w:jc w:val="center"/>
            </w:pPr>
            <w:r w:rsidRPr="00992DE1">
              <w:t>-1</w:t>
            </w:r>
            <w:r w:rsidR="00A971B1" w:rsidRPr="00992DE1">
              <w:t>8</w:t>
            </w:r>
            <w:r w:rsidRPr="00992DE1">
              <w:t> </w:t>
            </w:r>
            <w:r w:rsidR="00A971B1" w:rsidRPr="00992DE1">
              <w:t>771</w:t>
            </w:r>
            <w:r w:rsidRPr="00992DE1">
              <w:t xml:space="preserve"> </w:t>
            </w:r>
            <w:r w:rsidR="00D46D00" w:rsidRPr="00992DE1">
              <w:t>0</w:t>
            </w:r>
            <w:r w:rsidR="00A971B1" w:rsidRPr="00992DE1">
              <w:t>95</w:t>
            </w:r>
          </w:p>
        </w:tc>
      </w:tr>
      <w:tr w:rsidR="00F81B5A" w:rsidRPr="00992DE1" w14:paraId="3535909C" w14:textId="77777777" w:rsidTr="00F219AF">
        <w:trPr>
          <w:jc w:val="center"/>
        </w:trPr>
        <w:tc>
          <w:tcPr>
            <w:tcW w:w="2544" w:type="dxa"/>
            <w:tcBorders>
              <w:top w:val="outset" w:sz="6" w:space="0" w:color="414142"/>
              <w:left w:val="outset" w:sz="6" w:space="0" w:color="414142"/>
              <w:bottom w:val="outset" w:sz="6" w:space="0" w:color="414142"/>
              <w:right w:val="single" w:sz="4" w:space="0" w:color="auto"/>
            </w:tcBorders>
            <w:hideMark/>
          </w:tcPr>
          <w:p w14:paraId="3D74EA09" w14:textId="77777777" w:rsidR="00C03A67" w:rsidRPr="00992DE1" w:rsidRDefault="00C03A67" w:rsidP="00C03A67">
            <w:r w:rsidRPr="00992DE1">
              <w:t xml:space="preserve">2. Budžeta izdevumi: </w:t>
            </w:r>
          </w:p>
          <w:p w14:paraId="49433602" w14:textId="77777777" w:rsidR="00C03A67" w:rsidRPr="00992DE1" w:rsidRDefault="00C03A67" w:rsidP="00C03A67">
            <w:r w:rsidRPr="00992DE1">
              <w:t>2.1. valsts pamatbudžets</w:t>
            </w:r>
          </w:p>
          <w:p w14:paraId="327BC34B" w14:textId="77777777" w:rsidR="00C03A67" w:rsidRPr="00992DE1" w:rsidRDefault="00C03A67" w:rsidP="00C03A67">
            <w:r w:rsidRPr="00992DE1">
              <w:t>2.2. valsts speciālais budžets</w:t>
            </w:r>
          </w:p>
          <w:p w14:paraId="50FFE28C" w14:textId="77777777" w:rsidR="00C03A67" w:rsidRPr="00992DE1" w:rsidRDefault="00C03A67" w:rsidP="00C03A67">
            <w:r w:rsidRPr="00992DE1">
              <w:t>2.3. pašvaldību budžets</w:t>
            </w:r>
          </w:p>
        </w:tc>
        <w:tc>
          <w:tcPr>
            <w:tcW w:w="1218" w:type="dxa"/>
            <w:tcBorders>
              <w:top w:val="single" w:sz="4" w:space="0" w:color="auto"/>
              <w:left w:val="single" w:sz="4" w:space="0" w:color="auto"/>
              <w:bottom w:val="single" w:sz="4" w:space="0" w:color="auto"/>
              <w:right w:val="single" w:sz="4" w:space="0" w:color="auto"/>
            </w:tcBorders>
          </w:tcPr>
          <w:p w14:paraId="03A2E796" w14:textId="41C03D53" w:rsidR="00C03A67" w:rsidRPr="00992DE1" w:rsidRDefault="00063D05" w:rsidP="00C03A67">
            <w:pPr>
              <w:jc w:val="center"/>
            </w:pPr>
            <w:r w:rsidRPr="00992DE1">
              <w:t>20</w:t>
            </w:r>
            <w:r w:rsidR="00C03A67" w:rsidRPr="00992DE1">
              <w:t xml:space="preserve"> </w:t>
            </w:r>
            <w:r w:rsidRPr="00992DE1">
              <w:t>454</w:t>
            </w:r>
            <w:r w:rsidR="00C03A67" w:rsidRPr="00992DE1">
              <w:t xml:space="preserve"> 712</w:t>
            </w:r>
          </w:p>
        </w:tc>
        <w:tc>
          <w:tcPr>
            <w:tcW w:w="1386" w:type="dxa"/>
            <w:tcBorders>
              <w:top w:val="single" w:sz="4" w:space="0" w:color="auto"/>
              <w:left w:val="single" w:sz="4" w:space="0" w:color="auto"/>
              <w:bottom w:val="single" w:sz="4" w:space="0" w:color="auto"/>
              <w:right w:val="single" w:sz="4" w:space="0" w:color="auto"/>
            </w:tcBorders>
          </w:tcPr>
          <w:p w14:paraId="1B9B06FD" w14:textId="786A769D" w:rsidR="00C03A67" w:rsidRPr="00992DE1" w:rsidRDefault="00063D05" w:rsidP="00C03A67">
            <w:pPr>
              <w:jc w:val="center"/>
            </w:pPr>
            <w:r w:rsidRPr="00992DE1">
              <w:t>2</w:t>
            </w:r>
          </w:p>
        </w:tc>
        <w:tc>
          <w:tcPr>
            <w:tcW w:w="1136" w:type="dxa"/>
            <w:tcBorders>
              <w:top w:val="single" w:sz="4" w:space="0" w:color="auto"/>
              <w:left w:val="single" w:sz="4" w:space="0" w:color="auto"/>
              <w:bottom w:val="single" w:sz="4" w:space="0" w:color="auto"/>
              <w:right w:val="single" w:sz="4" w:space="0" w:color="auto"/>
            </w:tcBorders>
          </w:tcPr>
          <w:p w14:paraId="2567D2CE" w14:textId="1EA3B9D7" w:rsidR="00C03A67" w:rsidRPr="00992DE1" w:rsidRDefault="00C03A67" w:rsidP="00C03A67">
            <w:pPr>
              <w:jc w:val="center"/>
            </w:pPr>
            <w:r w:rsidRPr="00992DE1">
              <w:t xml:space="preserve">1 </w:t>
            </w:r>
            <w:r w:rsidR="00063D05" w:rsidRPr="00992DE1">
              <w:t>163</w:t>
            </w:r>
            <w:r w:rsidRPr="00992DE1">
              <w:t xml:space="preserve"> 355</w:t>
            </w:r>
          </w:p>
        </w:tc>
        <w:tc>
          <w:tcPr>
            <w:tcW w:w="1260" w:type="dxa"/>
            <w:tcBorders>
              <w:top w:val="single" w:sz="4" w:space="0" w:color="auto"/>
              <w:left w:val="single" w:sz="4" w:space="0" w:color="auto"/>
              <w:bottom w:val="single" w:sz="4" w:space="0" w:color="auto"/>
              <w:right w:val="single" w:sz="4" w:space="0" w:color="auto"/>
            </w:tcBorders>
          </w:tcPr>
          <w:p w14:paraId="1B0EF9D6" w14:textId="09ABD170" w:rsidR="00C03A67" w:rsidRPr="00992DE1" w:rsidRDefault="00063D05" w:rsidP="00C03A67">
            <w:pPr>
              <w:jc w:val="center"/>
            </w:pPr>
            <w:r w:rsidRPr="00992DE1">
              <w:t>-11</w:t>
            </w:r>
            <w:r w:rsidR="00FE7E14" w:rsidRPr="00992DE1">
              <w:t xml:space="preserve"> </w:t>
            </w:r>
            <w:r w:rsidRPr="00992DE1">
              <w:t>319</w:t>
            </w:r>
            <w:r w:rsidR="00C03A67" w:rsidRPr="00992DE1">
              <w:t xml:space="preserve"> </w:t>
            </w:r>
            <w:r w:rsidRPr="00992DE1">
              <w:t>64</w:t>
            </w:r>
            <w:r w:rsidR="00421696" w:rsidRPr="00992DE1">
              <w:t>7</w:t>
            </w:r>
          </w:p>
        </w:tc>
        <w:tc>
          <w:tcPr>
            <w:tcW w:w="1945" w:type="dxa"/>
            <w:tcBorders>
              <w:top w:val="single" w:sz="4" w:space="0" w:color="auto"/>
              <w:left w:val="single" w:sz="4" w:space="0" w:color="auto"/>
              <w:bottom w:val="single" w:sz="4" w:space="0" w:color="auto"/>
              <w:right w:val="single" w:sz="4" w:space="0" w:color="auto"/>
            </w:tcBorders>
          </w:tcPr>
          <w:p w14:paraId="289347C8" w14:textId="6489751F" w:rsidR="00C03A67" w:rsidRPr="00992DE1" w:rsidRDefault="00063D05" w:rsidP="00C03A67">
            <w:pPr>
              <w:jc w:val="center"/>
            </w:pPr>
            <w:r w:rsidRPr="00992DE1">
              <w:t>-20</w:t>
            </w:r>
            <w:r w:rsidR="00C03A67" w:rsidRPr="00992DE1">
              <w:t xml:space="preserve"> </w:t>
            </w:r>
            <w:r w:rsidRPr="00992DE1">
              <w:t>45</w:t>
            </w:r>
            <w:r w:rsidR="00C03A67" w:rsidRPr="00992DE1">
              <w:t>4 712</w:t>
            </w:r>
          </w:p>
        </w:tc>
      </w:tr>
      <w:tr w:rsidR="00F81B5A" w:rsidRPr="00992DE1" w14:paraId="0A0B83BF" w14:textId="77777777" w:rsidTr="00F219AF">
        <w:trPr>
          <w:jc w:val="center"/>
        </w:trPr>
        <w:tc>
          <w:tcPr>
            <w:tcW w:w="2544" w:type="dxa"/>
            <w:tcBorders>
              <w:top w:val="outset" w:sz="6" w:space="0" w:color="414142"/>
              <w:left w:val="outset" w:sz="6" w:space="0" w:color="414142"/>
              <w:bottom w:val="outset" w:sz="6" w:space="0" w:color="414142"/>
              <w:right w:val="single" w:sz="4" w:space="0" w:color="auto"/>
            </w:tcBorders>
            <w:hideMark/>
          </w:tcPr>
          <w:p w14:paraId="62F9790D" w14:textId="77777777" w:rsidR="00C03A67" w:rsidRPr="00992DE1" w:rsidRDefault="00C03A67" w:rsidP="00C03A67">
            <w:r w:rsidRPr="00992DE1">
              <w:t>3. Finansiālā ietekme:</w:t>
            </w:r>
          </w:p>
          <w:p w14:paraId="17A5D366" w14:textId="77777777" w:rsidR="00C03A67" w:rsidRPr="00992DE1" w:rsidRDefault="00C03A67" w:rsidP="00C03A67">
            <w:r w:rsidRPr="00992DE1">
              <w:t>3.1. valsts pamatbudžets</w:t>
            </w:r>
          </w:p>
          <w:p w14:paraId="4FABA434" w14:textId="77777777" w:rsidR="00C03A67" w:rsidRPr="00992DE1" w:rsidRDefault="00C03A67" w:rsidP="00C03A67">
            <w:r w:rsidRPr="00992DE1">
              <w:t>3.2. speciālais budžets</w:t>
            </w:r>
          </w:p>
          <w:p w14:paraId="06C748EB" w14:textId="77777777" w:rsidR="00C03A67" w:rsidRPr="00992DE1" w:rsidRDefault="00C03A67" w:rsidP="00C03A67">
            <w:r w:rsidRPr="00992DE1">
              <w:t>3.3. pašvaldību budžets</w:t>
            </w:r>
          </w:p>
        </w:tc>
        <w:tc>
          <w:tcPr>
            <w:tcW w:w="1218" w:type="dxa"/>
            <w:tcBorders>
              <w:top w:val="single" w:sz="4" w:space="0" w:color="auto"/>
              <w:left w:val="single" w:sz="4" w:space="0" w:color="auto"/>
              <w:bottom w:val="single" w:sz="4" w:space="0" w:color="auto"/>
              <w:right w:val="single" w:sz="4" w:space="0" w:color="auto"/>
            </w:tcBorders>
          </w:tcPr>
          <w:p w14:paraId="264513AC" w14:textId="0C9E25B0" w:rsidR="00C03A67" w:rsidRPr="00992DE1" w:rsidRDefault="00C03A67" w:rsidP="00C03A67">
            <w:pPr>
              <w:jc w:val="center"/>
            </w:pPr>
            <w:r w:rsidRPr="00992DE1">
              <w:t>-1 6</w:t>
            </w:r>
            <w:r w:rsidR="00FE7E14" w:rsidRPr="00992DE1">
              <w:t>83</w:t>
            </w:r>
            <w:r w:rsidRPr="00992DE1">
              <w:t xml:space="preserve"> </w:t>
            </w:r>
            <w:r w:rsidR="00FE7E14" w:rsidRPr="00992DE1">
              <w:t>617</w:t>
            </w:r>
          </w:p>
        </w:tc>
        <w:tc>
          <w:tcPr>
            <w:tcW w:w="1386" w:type="dxa"/>
            <w:tcBorders>
              <w:top w:val="single" w:sz="4" w:space="0" w:color="auto"/>
              <w:left w:val="single" w:sz="4" w:space="0" w:color="auto"/>
              <w:bottom w:val="single" w:sz="4" w:space="0" w:color="auto"/>
              <w:right w:val="single" w:sz="4" w:space="0" w:color="auto"/>
            </w:tcBorders>
          </w:tcPr>
          <w:p w14:paraId="43107F15" w14:textId="71D47545" w:rsidR="00C03A67" w:rsidRPr="00992DE1" w:rsidRDefault="00A971B1" w:rsidP="00C03A67">
            <w:pPr>
              <w:jc w:val="center"/>
            </w:pPr>
            <w:r w:rsidRPr="00992DE1">
              <w:t>0</w:t>
            </w:r>
          </w:p>
        </w:tc>
        <w:tc>
          <w:tcPr>
            <w:tcW w:w="1136" w:type="dxa"/>
            <w:tcBorders>
              <w:top w:val="single" w:sz="4" w:space="0" w:color="auto"/>
              <w:left w:val="single" w:sz="4" w:space="0" w:color="auto"/>
              <w:bottom w:val="single" w:sz="4" w:space="0" w:color="auto"/>
              <w:right w:val="single" w:sz="4" w:space="0" w:color="auto"/>
            </w:tcBorders>
          </w:tcPr>
          <w:p w14:paraId="6AE81B0C" w14:textId="65349BFA" w:rsidR="00C03A67" w:rsidRPr="00992DE1" w:rsidRDefault="00A971B1" w:rsidP="00C03A67">
            <w:pPr>
              <w:jc w:val="center"/>
            </w:pPr>
            <w:r w:rsidRPr="00992DE1">
              <w:t>- 422 978</w:t>
            </w:r>
          </w:p>
        </w:tc>
        <w:tc>
          <w:tcPr>
            <w:tcW w:w="1260" w:type="dxa"/>
            <w:tcBorders>
              <w:top w:val="single" w:sz="4" w:space="0" w:color="auto"/>
              <w:left w:val="single" w:sz="4" w:space="0" w:color="auto"/>
              <w:bottom w:val="single" w:sz="4" w:space="0" w:color="auto"/>
              <w:right w:val="single" w:sz="4" w:space="0" w:color="auto"/>
            </w:tcBorders>
          </w:tcPr>
          <w:p w14:paraId="65629411" w14:textId="020B8BC6" w:rsidR="00C03A67" w:rsidRPr="00992DE1" w:rsidRDefault="00A971B1" w:rsidP="00C03A67">
            <w:pPr>
              <w:jc w:val="center"/>
            </w:pPr>
            <w:r w:rsidRPr="00992DE1">
              <w:t>- 1 056 691</w:t>
            </w:r>
          </w:p>
        </w:tc>
        <w:tc>
          <w:tcPr>
            <w:tcW w:w="1945" w:type="dxa"/>
            <w:tcBorders>
              <w:top w:val="single" w:sz="4" w:space="0" w:color="auto"/>
              <w:left w:val="single" w:sz="4" w:space="0" w:color="auto"/>
              <w:bottom w:val="single" w:sz="4" w:space="0" w:color="auto"/>
              <w:right w:val="single" w:sz="4" w:space="0" w:color="auto"/>
            </w:tcBorders>
          </w:tcPr>
          <w:p w14:paraId="11D741FF" w14:textId="376295EF" w:rsidR="00C03A67" w:rsidRPr="00992DE1" w:rsidRDefault="00C03A67" w:rsidP="00C03A67">
            <w:pPr>
              <w:jc w:val="center"/>
            </w:pPr>
            <w:r w:rsidRPr="00992DE1">
              <w:t xml:space="preserve">1 </w:t>
            </w:r>
            <w:r w:rsidR="00A971B1" w:rsidRPr="00992DE1">
              <w:t>683</w:t>
            </w:r>
            <w:r w:rsidRPr="00992DE1">
              <w:t xml:space="preserve"> </w:t>
            </w:r>
            <w:r w:rsidR="00D46D00" w:rsidRPr="00992DE1">
              <w:t>6</w:t>
            </w:r>
            <w:r w:rsidR="00421696" w:rsidRPr="00992DE1">
              <w:t>1</w:t>
            </w:r>
            <w:r w:rsidR="00A971B1" w:rsidRPr="00992DE1">
              <w:t>7</w:t>
            </w:r>
          </w:p>
        </w:tc>
      </w:tr>
      <w:tr w:rsidR="00F81B5A" w:rsidRPr="00992DE1" w14:paraId="3D55B01E" w14:textId="77777777" w:rsidTr="00980344">
        <w:trPr>
          <w:jc w:val="center"/>
        </w:trPr>
        <w:tc>
          <w:tcPr>
            <w:tcW w:w="2544" w:type="dxa"/>
            <w:tcBorders>
              <w:top w:val="outset" w:sz="6" w:space="0" w:color="414142"/>
              <w:left w:val="outset" w:sz="6" w:space="0" w:color="414142"/>
              <w:bottom w:val="outset" w:sz="6" w:space="0" w:color="414142"/>
              <w:right w:val="single" w:sz="4" w:space="0" w:color="auto"/>
            </w:tcBorders>
            <w:hideMark/>
          </w:tcPr>
          <w:p w14:paraId="76C9DB06" w14:textId="77777777" w:rsidR="005D395F" w:rsidRPr="00992DE1" w:rsidRDefault="005D395F" w:rsidP="005D395F">
            <w:r w:rsidRPr="00992DE1">
              <w:t>4. Finanšu līdzekļi papildu izdevumu finansēšanai (kompensējošu izdevumu samazinājumu norāda ar "+" zīmi)</w:t>
            </w:r>
          </w:p>
        </w:tc>
        <w:tc>
          <w:tcPr>
            <w:tcW w:w="1218" w:type="dxa"/>
            <w:tcBorders>
              <w:top w:val="single" w:sz="4" w:space="0" w:color="auto"/>
              <w:left w:val="single" w:sz="4" w:space="0" w:color="auto"/>
              <w:bottom w:val="single" w:sz="4" w:space="0" w:color="auto"/>
              <w:right w:val="single" w:sz="4" w:space="0" w:color="auto"/>
            </w:tcBorders>
            <w:vAlign w:val="center"/>
          </w:tcPr>
          <w:p w14:paraId="38E46E90" w14:textId="490FFFF9" w:rsidR="005D395F" w:rsidRPr="00992DE1" w:rsidRDefault="005D395F" w:rsidP="005D395F">
            <w:pPr>
              <w:jc w:val="center"/>
            </w:pPr>
            <w:r w:rsidRPr="00992DE1">
              <w:t>N/A</w:t>
            </w:r>
          </w:p>
        </w:tc>
        <w:tc>
          <w:tcPr>
            <w:tcW w:w="1386" w:type="dxa"/>
            <w:tcBorders>
              <w:top w:val="single" w:sz="4" w:space="0" w:color="auto"/>
              <w:left w:val="single" w:sz="4" w:space="0" w:color="auto"/>
              <w:bottom w:val="single" w:sz="4" w:space="0" w:color="auto"/>
              <w:right w:val="single" w:sz="4" w:space="0" w:color="auto"/>
            </w:tcBorders>
            <w:vAlign w:val="center"/>
          </w:tcPr>
          <w:p w14:paraId="2E726E0B" w14:textId="05DBBDF1" w:rsidR="005D395F" w:rsidRPr="00992DE1" w:rsidRDefault="005D395F" w:rsidP="005D395F">
            <w:pPr>
              <w:jc w:val="center"/>
            </w:pPr>
            <w:r w:rsidRPr="00992DE1">
              <w:t>N/A</w:t>
            </w:r>
          </w:p>
        </w:tc>
        <w:tc>
          <w:tcPr>
            <w:tcW w:w="1136" w:type="dxa"/>
            <w:tcBorders>
              <w:top w:val="single" w:sz="4" w:space="0" w:color="auto"/>
              <w:left w:val="single" w:sz="4" w:space="0" w:color="auto"/>
              <w:bottom w:val="single" w:sz="4" w:space="0" w:color="auto"/>
              <w:right w:val="single" w:sz="4" w:space="0" w:color="auto"/>
            </w:tcBorders>
            <w:vAlign w:val="center"/>
          </w:tcPr>
          <w:p w14:paraId="76F46CC4" w14:textId="5A1268CB" w:rsidR="005D395F" w:rsidRPr="00992DE1" w:rsidRDefault="005D395F" w:rsidP="005D395F">
            <w:pPr>
              <w:jc w:val="center"/>
            </w:pPr>
            <w:r w:rsidRPr="00992DE1">
              <w:t>N/A</w:t>
            </w:r>
          </w:p>
        </w:tc>
        <w:tc>
          <w:tcPr>
            <w:tcW w:w="1260" w:type="dxa"/>
            <w:tcBorders>
              <w:top w:val="single" w:sz="4" w:space="0" w:color="auto"/>
              <w:left w:val="single" w:sz="4" w:space="0" w:color="auto"/>
              <w:bottom w:val="single" w:sz="4" w:space="0" w:color="auto"/>
              <w:right w:val="single" w:sz="4" w:space="0" w:color="auto"/>
            </w:tcBorders>
            <w:vAlign w:val="center"/>
          </w:tcPr>
          <w:p w14:paraId="19FD9411" w14:textId="0F4B0DF7" w:rsidR="005D395F" w:rsidRPr="00992DE1" w:rsidRDefault="005D395F" w:rsidP="005D395F">
            <w:pPr>
              <w:jc w:val="center"/>
            </w:pPr>
            <w:r w:rsidRPr="00992DE1">
              <w:t>N/A</w:t>
            </w:r>
          </w:p>
        </w:tc>
        <w:tc>
          <w:tcPr>
            <w:tcW w:w="1945" w:type="dxa"/>
            <w:tcBorders>
              <w:top w:val="single" w:sz="4" w:space="0" w:color="auto"/>
              <w:left w:val="single" w:sz="4" w:space="0" w:color="auto"/>
              <w:bottom w:val="single" w:sz="4" w:space="0" w:color="auto"/>
              <w:right w:val="single" w:sz="4" w:space="0" w:color="auto"/>
            </w:tcBorders>
            <w:vAlign w:val="center"/>
          </w:tcPr>
          <w:p w14:paraId="30260334" w14:textId="4D636484" w:rsidR="005D395F" w:rsidRPr="00992DE1" w:rsidRDefault="005D395F" w:rsidP="005D395F">
            <w:pPr>
              <w:jc w:val="center"/>
            </w:pPr>
            <w:r w:rsidRPr="00992DE1">
              <w:t>N/A</w:t>
            </w:r>
          </w:p>
        </w:tc>
      </w:tr>
      <w:tr w:rsidR="00F81B5A" w:rsidRPr="00992DE1" w14:paraId="4DF0E796" w14:textId="77777777" w:rsidTr="00980344">
        <w:trPr>
          <w:jc w:val="center"/>
        </w:trPr>
        <w:tc>
          <w:tcPr>
            <w:tcW w:w="2544" w:type="dxa"/>
            <w:tcBorders>
              <w:top w:val="outset" w:sz="6" w:space="0" w:color="414142"/>
              <w:left w:val="outset" w:sz="6" w:space="0" w:color="414142"/>
              <w:bottom w:val="outset" w:sz="6" w:space="0" w:color="414142"/>
              <w:right w:val="single" w:sz="4" w:space="0" w:color="auto"/>
            </w:tcBorders>
            <w:hideMark/>
          </w:tcPr>
          <w:p w14:paraId="1B523AA7" w14:textId="77777777" w:rsidR="005D395F" w:rsidRPr="00992DE1" w:rsidRDefault="005D395F" w:rsidP="005D395F">
            <w:r w:rsidRPr="00992DE1">
              <w:t>5. Precizēta finansiālā ietekme:</w:t>
            </w:r>
          </w:p>
          <w:p w14:paraId="3CA0E4A5" w14:textId="77777777" w:rsidR="005D395F" w:rsidRPr="00992DE1" w:rsidRDefault="005D395F" w:rsidP="005D395F">
            <w:r w:rsidRPr="00992DE1">
              <w:t>5.1. valsts pamatbudžets</w:t>
            </w:r>
          </w:p>
          <w:p w14:paraId="03706ED4" w14:textId="77777777" w:rsidR="005D395F" w:rsidRPr="00992DE1" w:rsidRDefault="005D395F" w:rsidP="005D395F">
            <w:r w:rsidRPr="00992DE1">
              <w:t>5.2. speciālais budžets</w:t>
            </w:r>
          </w:p>
          <w:p w14:paraId="0B58692D" w14:textId="77777777" w:rsidR="005D395F" w:rsidRPr="00992DE1" w:rsidRDefault="005D395F" w:rsidP="005D395F">
            <w:r w:rsidRPr="00992DE1">
              <w:t>5.3. pašvaldību budžets</w:t>
            </w:r>
          </w:p>
        </w:tc>
        <w:tc>
          <w:tcPr>
            <w:tcW w:w="1218" w:type="dxa"/>
            <w:tcBorders>
              <w:top w:val="single" w:sz="4" w:space="0" w:color="auto"/>
              <w:left w:val="single" w:sz="4" w:space="0" w:color="auto"/>
              <w:bottom w:val="single" w:sz="4" w:space="0" w:color="auto"/>
              <w:right w:val="single" w:sz="4" w:space="0" w:color="auto"/>
            </w:tcBorders>
            <w:vAlign w:val="center"/>
          </w:tcPr>
          <w:p w14:paraId="59C792A0" w14:textId="79140719" w:rsidR="005D395F" w:rsidRPr="00992DE1" w:rsidRDefault="005D395F" w:rsidP="005D395F">
            <w:pPr>
              <w:jc w:val="center"/>
            </w:pPr>
            <w:r w:rsidRPr="00992DE1">
              <w:t>N/A</w:t>
            </w:r>
          </w:p>
        </w:tc>
        <w:tc>
          <w:tcPr>
            <w:tcW w:w="1386" w:type="dxa"/>
            <w:tcBorders>
              <w:top w:val="single" w:sz="4" w:space="0" w:color="auto"/>
              <w:left w:val="single" w:sz="4" w:space="0" w:color="auto"/>
              <w:bottom w:val="single" w:sz="4" w:space="0" w:color="auto"/>
              <w:right w:val="single" w:sz="4" w:space="0" w:color="auto"/>
            </w:tcBorders>
            <w:vAlign w:val="center"/>
          </w:tcPr>
          <w:p w14:paraId="5850F591" w14:textId="1061408C" w:rsidR="005D395F" w:rsidRPr="00992DE1" w:rsidRDefault="005D395F" w:rsidP="005D395F">
            <w:pPr>
              <w:jc w:val="center"/>
            </w:pPr>
            <w:r w:rsidRPr="00992DE1">
              <w:t>N/A</w:t>
            </w:r>
          </w:p>
        </w:tc>
        <w:tc>
          <w:tcPr>
            <w:tcW w:w="1136" w:type="dxa"/>
            <w:tcBorders>
              <w:top w:val="single" w:sz="4" w:space="0" w:color="auto"/>
              <w:left w:val="single" w:sz="4" w:space="0" w:color="auto"/>
              <w:bottom w:val="single" w:sz="4" w:space="0" w:color="auto"/>
              <w:right w:val="single" w:sz="4" w:space="0" w:color="auto"/>
            </w:tcBorders>
            <w:vAlign w:val="center"/>
          </w:tcPr>
          <w:p w14:paraId="34E995AA" w14:textId="7DF5F513" w:rsidR="005D395F" w:rsidRPr="00992DE1" w:rsidRDefault="005D395F" w:rsidP="005D395F">
            <w:pPr>
              <w:jc w:val="center"/>
            </w:pPr>
            <w:r w:rsidRPr="00992DE1">
              <w:t>N/A</w:t>
            </w:r>
          </w:p>
        </w:tc>
        <w:tc>
          <w:tcPr>
            <w:tcW w:w="1260" w:type="dxa"/>
            <w:tcBorders>
              <w:top w:val="single" w:sz="4" w:space="0" w:color="auto"/>
              <w:left w:val="single" w:sz="4" w:space="0" w:color="auto"/>
              <w:bottom w:val="single" w:sz="4" w:space="0" w:color="auto"/>
              <w:right w:val="single" w:sz="4" w:space="0" w:color="auto"/>
            </w:tcBorders>
            <w:vAlign w:val="center"/>
          </w:tcPr>
          <w:p w14:paraId="001F7A5F" w14:textId="5FC7DF46" w:rsidR="005D395F" w:rsidRPr="00992DE1" w:rsidRDefault="005D395F" w:rsidP="005D395F">
            <w:pPr>
              <w:jc w:val="center"/>
            </w:pPr>
            <w:r w:rsidRPr="00992DE1">
              <w:t>N/A</w:t>
            </w:r>
          </w:p>
        </w:tc>
        <w:tc>
          <w:tcPr>
            <w:tcW w:w="1945" w:type="dxa"/>
            <w:tcBorders>
              <w:top w:val="single" w:sz="4" w:space="0" w:color="auto"/>
              <w:left w:val="single" w:sz="4" w:space="0" w:color="auto"/>
              <w:bottom w:val="single" w:sz="4" w:space="0" w:color="auto"/>
              <w:right w:val="single" w:sz="4" w:space="0" w:color="auto"/>
            </w:tcBorders>
            <w:vAlign w:val="center"/>
          </w:tcPr>
          <w:p w14:paraId="52A6394C" w14:textId="11CD668F" w:rsidR="005D395F" w:rsidRPr="00992DE1" w:rsidRDefault="005D395F" w:rsidP="005D395F">
            <w:pPr>
              <w:jc w:val="center"/>
            </w:pPr>
            <w:r w:rsidRPr="00992DE1">
              <w:t>N/A</w:t>
            </w:r>
          </w:p>
        </w:tc>
      </w:tr>
      <w:tr w:rsidR="00F81B5A" w:rsidRPr="00992DE1" w14:paraId="36F6CF93" w14:textId="77777777" w:rsidTr="00980344">
        <w:trPr>
          <w:jc w:val="center"/>
        </w:trPr>
        <w:tc>
          <w:tcPr>
            <w:tcW w:w="2544" w:type="dxa"/>
            <w:tcBorders>
              <w:top w:val="outset" w:sz="6" w:space="0" w:color="414142"/>
              <w:left w:val="outset" w:sz="6" w:space="0" w:color="414142"/>
              <w:bottom w:val="outset" w:sz="6" w:space="0" w:color="414142"/>
              <w:right w:val="single" w:sz="4" w:space="0" w:color="auto"/>
            </w:tcBorders>
            <w:hideMark/>
          </w:tcPr>
          <w:p w14:paraId="2DF13897" w14:textId="77777777" w:rsidR="0050193B" w:rsidRPr="00992DE1" w:rsidRDefault="0050193B" w:rsidP="00DD4ED9">
            <w:r w:rsidRPr="00992DE1">
              <w:t xml:space="preserve">6. Detalizēts ieņēmumu un izdevumu aprēķins (ja nepieciešams, detalizētu ieņēmumu un izdevumu aprēķinu var pievienot anotācijas pielikumā): </w:t>
            </w:r>
          </w:p>
          <w:p w14:paraId="1A14BD31" w14:textId="77777777" w:rsidR="0050193B" w:rsidRPr="00992DE1" w:rsidRDefault="0050193B" w:rsidP="00DD4ED9">
            <w:r w:rsidRPr="00992DE1">
              <w:t>6.1. detalizēts ieņēmumu aprēķins</w:t>
            </w:r>
          </w:p>
          <w:p w14:paraId="28AACD74" w14:textId="77777777" w:rsidR="0050193B" w:rsidRPr="00992DE1" w:rsidRDefault="0050193B" w:rsidP="00DD4ED9">
            <w:r w:rsidRPr="00992DE1">
              <w:lastRenderedPageBreak/>
              <w:t>6.2. detalizēts izdevumu aprēķins</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4E914111" w14:textId="4C0877CA" w:rsidR="00CF7A17" w:rsidRPr="00992DE1" w:rsidRDefault="005D395F" w:rsidP="00CF7A17">
            <w:pPr>
              <w:ind w:left="72"/>
              <w:jc w:val="both"/>
            </w:pPr>
            <w:r w:rsidRPr="00992DE1">
              <w:lastRenderedPageBreak/>
              <w:t>7.2.1.</w:t>
            </w:r>
            <w:r w:rsidR="00B5498E" w:rsidRPr="00992DE1">
              <w:t> </w:t>
            </w:r>
            <w:r w:rsidRPr="00992DE1">
              <w:t>SAM</w:t>
            </w:r>
            <w:r w:rsidRPr="00992DE1">
              <w:rPr>
                <w:bCs/>
              </w:rPr>
              <w:t xml:space="preserve"> pasākumu “Aktīvās darba tirgus politikas pasākumu īstenošana jauniešu bezdarbnieku nodarbinātības veicināšanai” un “Sākotnējās profesionālās izglītības programmu īstenošana Jauniešu garantijas ietvaros” </w:t>
            </w:r>
            <w:r w:rsidRPr="00992DE1">
              <w:t xml:space="preserve">projektiem </w:t>
            </w:r>
            <w:r w:rsidRPr="00992DE1">
              <w:rPr>
                <w:bCs/>
              </w:rPr>
              <w:t>pieejamais kopējais attiecināmais finansējums ir 70 161 382 </w:t>
            </w:r>
            <w:r w:rsidRPr="00992DE1">
              <w:rPr>
                <w:bCs/>
                <w:i/>
                <w:iCs/>
              </w:rPr>
              <w:t>euro</w:t>
            </w:r>
            <w:r w:rsidRPr="00992DE1">
              <w:rPr>
                <w:bCs/>
              </w:rPr>
              <w:t xml:space="preserve">, tai skaitā Eiropas Savienības budžeta speciālais piešķīrums Jauniešu nodarbinātības iniciatīvas (turpmāk - JNI) finansēšanai </w:t>
            </w:r>
            <w:r w:rsidR="00FF4423" w:rsidRPr="00992DE1">
              <w:rPr>
                <w:bCs/>
              </w:rPr>
              <w:t>-</w:t>
            </w:r>
            <w:r w:rsidRPr="00992DE1">
              <w:rPr>
                <w:bCs/>
              </w:rPr>
              <w:t xml:space="preserve"> 29 010 639 </w:t>
            </w:r>
            <w:r w:rsidRPr="00992DE1">
              <w:rPr>
                <w:bCs/>
                <w:i/>
                <w:iCs/>
              </w:rPr>
              <w:t>euro</w:t>
            </w:r>
            <w:r w:rsidRPr="00992DE1">
              <w:rPr>
                <w:bCs/>
              </w:rPr>
              <w:t xml:space="preserve">, </w:t>
            </w:r>
            <w:r w:rsidR="00E0784F" w:rsidRPr="00992DE1">
              <w:rPr>
                <w:bCs/>
              </w:rPr>
              <w:t>Eiropas Sociālā fonda (turpmāk -</w:t>
            </w:r>
            <w:r w:rsidRPr="00992DE1">
              <w:rPr>
                <w:bCs/>
              </w:rPr>
              <w:t>ESF</w:t>
            </w:r>
            <w:r w:rsidR="00E0784F" w:rsidRPr="00992DE1">
              <w:rPr>
                <w:bCs/>
              </w:rPr>
              <w:t>)</w:t>
            </w:r>
            <w:r w:rsidRPr="00992DE1">
              <w:rPr>
                <w:bCs/>
              </w:rPr>
              <w:t xml:space="preserve"> finansējums -</w:t>
            </w:r>
            <w:r w:rsidR="004F7568" w:rsidRPr="00992DE1">
              <w:rPr>
                <w:bCs/>
              </w:rPr>
              <w:t xml:space="preserve"> 34 978 </w:t>
            </w:r>
            <w:r w:rsidRPr="00992DE1">
              <w:rPr>
                <w:bCs/>
              </w:rPr>
              <w:t>130 </w:t>
            </w:r>
            <w:r w:rsidRPr="00992DE1">
              <w:rPr>
                <w:bCs/>
                <w:i/>
                <w:iCs/>
              </w:rPr>
              <w:t>euro</w:t>
            </w:r>
            <w:r w:rsidRPr="00992DE1">
              <w:rPr>
                <w:bCs/>
              </w:rPr>
              <w:t>, valsts budžeta līdzfinansējums - 5 029 039 </w:t>
            </w:r>
            <w:r w:rsidRPr="00992DE1">
              <w:rPr>
                <w:bCs/>
                <w:i/>
                <w:iCs/>
              </w:rPr>
              <w:t>euro</w:t>
            </w:r>
            <w:r w:rsidRPr="00992DE1">
              <w:rPr>
                <w:bCs/>
              </w:rPr>
              <w:t> un privātais līdz</w:t>
            </w:r>
            <w:r w:rsidR="00D82021" w:rsidRPr="00992DE1">
              <w:rPr>
                <w:bCs/>
              </w:rPr>
              <w:t xml:space="preserve">finansējums - ne mazāk kā </w:t>
            </w:r>
            <w:r w:rsidR="00D82021" w:rsidRPr="00992DE1">
              <w:rPr>
                <w:bCs/>
              </w:rPr>
              <w:lastRenderedPageBreak/>
              <w:t>1 143 </w:t>
            </w:r>
            <w:r w:rsidRPr="00992DE1">
              <w:rPr>
                <w:bCs/>
              </w:rPr>
              <w:t>574 </w:t>
            </w:r>
            <w:r w:rsidRPr="00992DE1">
              <w:rPr>
                <w:bCs/>
                <w:i/>
                <w:iCs/>
              </w:rPr>
              <w:t>euro</w:t>
            </w:r>
            <w:r w:rsidRPr="00992DE1">
              <w:t>. Budžeta ieņēmumi ir finansējuma ESF un JNI finansējuma daļa. Attiecināmajām izmaksām, kas saistītas ar nodarbinātu jauniešu iesaistīšanu pasākumos un publicitātes pasākumu izmaksām ESF līdzfinansējums nepārsniedz 85 procentus no izmaksām. Kopumā attiecināmajām izmaksām JNI finansēšanai nepārsniedz 4</w:t>
            </w:r>
            <w:r w:rsidR="00E0784F" w:rsidRPr="00992DE1">
              <w:t>1</w:t>
            </w:r>
            <w:r w:rsidRPr="00992DE1">
              <w:t>,</w:t>
            </w:r>
            <w:r w:rsidR="00E0784F" w:rsidRPr="00992DE1">
              <w:t>35</w:t>
            </w:r>
            <w:r w:rsidRPr="00992DE1">
              <w:t xml:space="preserve"> procentus no specifiskā atbalsta kopējā attiecināmā finansējuma, un maksimālais attiecināmais ESF finansējuma apmērs nepārsniedz 49,85 procentus no specifiskā atbalsta kopējā attiecināmā finansējuma. </w:t>
            </w:r>
          </w:p>
          <w:p w14:paraId="7608341D" w14:textId="3242FA83" w:rsidR="0050193B" w:rsidRPr="00992DE1" w:rsidRDefault="005D395F" w:rsidP="00CF7A17">
            <w:pPr>
              <w:ind w:left="72"/>
              <w:jc w:val="both"/>
            </w:pPr>
            <w:r w:rsidRPr="00992DE1">
              <w:t>Budžeta izdevumi ir kopējie projekta ieviešanai nepieciešamie publiskā finansējuma līdzekļi attiecīgajā gadā.</w:t>
            </w:r>
          </w:p>
          <w:p w14:paraId="6E530BE0" w14:textId="0E26F697" w:rsidR="00FF4423" w:rsidRPr="00992DE1" w:rsidRDefault="00FF4423" w:rsidP="005D395F">
            <w:pPr>
              <w:jc w:val="both"/>
              <w:rPr>
                <w:sz w:val="14"/>
                <w:szCs w:val="14"/>
              </w:rPr>
            </w:pPr>
          </w:p>
          <w:p w14:paraId="08561E00" w14:textId="77777777" w:rsidR="00537226" w:rsidRPr="00992DE1" w:rsidRDefault="00537226" w:rsidP="00CF7A17">
            <w:pPr>
              <w:ind w:left="72"/>
            </w:pPr>
            <w:r w:rsidRPr="00992DE1">
              <w:t>1.pasākumam (NVA)</w:t>
            </w:r>
          </w:p>
          <w:p w14:paraId="736D526F" w14:textId="0AA01DA2" w:rsidR="00FF4423" w:rsidRPr="00992DE1" w:rsidRDefault="00FF4423" w:rsidP="00CF7A17">
            <w:pPr>
              <w:ind w:left="72"/>
              <w:jc w:val="both"/>
            </w:pPr>
            <w:r w:rsidRPr="00992DE1">
              <w:t>Pasākumam “Aktīvās darba tirgus politikas pasākumu īstenošana jauniešu bezdarbnieku nodarbinātības veicināšanai”</w:t>
            </w:r>
            <w:r w:rsidR="00537226" w:rsidRPr="00992DE1">
              <w:t xml:space="preserve"> </w:t>
            </w:r>
            <w:r w:rsidRPr="00992DE1">
              <w:t>pieejamais kopējais attiecināmais finansējums ir 33 977 163 </w:t>
            </w:r>
            <w:r w:rsidRPr="00992DE1">
              <w:rPr>
                <w:i/>
                <w:iCs/>
              </w:rPr>
              <w:t>euro</w:t>
            </w:r>
            <w:r w:rsidRPr="00992DE1">
              <w:t>, tai skaitā JNI finansēšanai - 15 515 561 </w:t>
            </w:r>
            <w:r w:rsidRPr="00992DE1">
              <w:rPr>
                <w:i/>
                <w:iCs/>
              </w:rPr>
              <w:t>euro</w:t>
            </w:r>
            <w:r w:rsidRPr="00992DE1">
              <w:t>, ESF finansējums - 15 692 361 </w:t>
            </w:r>
            <w:r w:rsidRPr="00992DE1">
              <w:rPr>
                <w:i/>
                <w:iCs/>
              </w:rPr>
              <w:t>euro</w:t>
            </w:r>
            <w:r w:rsidRPr="00992DE1">
              <w:t>, valsts budžeta līdzfinansējums - 1 625 667 </w:t>
            </w:r>
            <w:r w:rsidRPr="00992DE1">
              <w:rPr>
                <w:i/>
                <w:iCs/>
              </w:rPr>
              <w:t>euro</w:t>
            </w:r>
            <w:r w:rsidRPr="00992DE1">
              <w:t> un privātais līdzfinansējums - ne mazāk kā 1 143 574 </w:t>
            </w:r>
            <w:r w:rsidRPr="00992DE1">
              <w:rPr>
                <w:i/>
                <w:iCs/>
              </w:rPr>
              <w:t>euro</w:t>
            </w:r>
            <w:r w:rsidRPr="00992DE1">
              <w:t>.</w:t>
            </w:r>
          </w:p>
          <w:p w14:paraId="44007225" w14:textId="58EB92B8" w:rsidR="00FF4423" w:rsidRPr="00992DE1" w:rsidRDefault="00FF4423" w:rsidP="00CF7A17">
            <w:pPr>
              <w:ind w:left="72"/>
              <w:jc w:val="both"/>
            </w:pPr>
            <w:r w:rsidRPr="00992DE1">
              <w:t xml:space="preserve">Finanšu līdzekļi pasākuma </w:t>
            </w:r>
            <w:r w:rsidRPr="00992DE1">
              <w:rPr>
                <w:bCs/>
              </w:rPr>
              <w:t xml:space="preserve">“Aktīvās darba tirgus politikas pasākumu īstenošana jauniešu bezdarbnieku nodarbinātības veicināšanai” </w:t>
            </w:r>
            <w:r w:rsidRPr="00992DE1">
              <w:t>ieviešanai plānoti LM budžeta apakšprogrammā 63.07.00 “Eiropas Sociālā fonda (ESF) īstenotie projekti labklājības nozarē (2014-2020)”.</w:t>
            </w:r>
          </w:p>
          <w:p w14:paraId="6068775B" w14:textId="01419479" w:rsidR="00FF4423" w:rsidRPr="00992DE1" w:rsidRDefault="00FF4423" w:rsidP="00FF4423">
            <w:pPr>
              <w:jc w:val="both"/>
              <w:rPr>
                <w:sz w:val="14"/>
                <w:szCs w:val="14"/>
              </w:rPr>
            </w:pPr>
          </w:p>
          <w:p w14:paraId="01DA497F" w14:textId="40D238C3" w:rsidR="004C656A" w:rsidRPr="00992DE1" w:rsidRDefault="004C656A" w:rsidP="00CF7A17">
            <w:pPr>
              <w:ind w:left="72"/>
              <w:jc w:val="both"/>
            </w:pPr>
            <w:r w:rsidRPr="00992DE1">
              <w:t>- 2014.gadā kopējais apgūtais finansējums 3 1</w:t>
            </w:r>
            <w:r w:rsidR="0081068C" w:rsidRPr="00992DE1">
              <w:t>46</w:t>
            </w:r>
            <w:r w:rsidRPr="00992DE1">
              <w:t> </w:t>
            </w:r>
            <w:r w:rsidR="0081068C" w:rsidRPr="00992DE1">
              <w:t>826</w:t>
            </w:r>
            <w:r w:rsidRPr="00992DE1">
              <w:t xml:space="preserve"> </w:t>
            </w:r>
            <w:r w:rsidRPr="00992DE1">
              <w:rPr>
                <w:i/>
                <w:iCs/>
              </w:rPr>
              <w:t>euro</w:t>
            </w:r>
            <w:r w:rsidRPr="00992DE1">
              <w:t>, no tā publiskais finansējums 3 0</w:t>
            </w:r>
            <w:r w:rsidR="0081068C" w:rsidRPr="00992DE1">
              <w:t>65</w:t>
            </w:r>
            <w:r w:rsidRPr="00992DE1">
              <w:t> </w:t>
            </w:r>
            <w:r w:rsidR="0081068C" w:rsidRPr="00992DE1">
              <w:t>554</w:t>
            </w:r>
            <w:r w:rsidRPr="00992DE1">
              <w:t xml:space="preserve"> </w:t>
            </w:r>
            <w:r w:rsidRPr="00992DE1">
              <w:rPr>
                <w:i/>
                <w:iCs/>
              </w:rPr>
              <w:t>euro</w:t>
            </w:r>
            <w:r w:rsidRPr="00992DE1">
              <w:t>, tai skaitā ESF finansējums 1 4</w:t>
            </w:r>
            <w:r w:rsidR="0081068C" w:rsidRPr="00992DE1">
              <w:t>71</w:t>
            </w:r>
            <w:r w:rsidRPr="00992DE1">
              <w:t> </w:t>
            </w:r>
            <w:r w:rsidR="0081068C" w:rsidRPr="00992DE1">
              <w:t>973</w:t>
            </w:r>
            <w:r w:rsidRPr="00992DE1">
              <w:t xml:space="preserve"> </w:t>
            </w:r>
            <w:r w:rsidRPr="00992DE1">
              <w:rPr>
                <w:i/>
                <w:iCs/>
              </w:rPr>
              <w:t>euro</w:t>
            </w:r>
            <w:r w:rsidRPr="00992DE1">
              <w:t>, JNI finansējums 1 </w:t>
            </w:r>
            <w:r w:rsidR="0081068C" w:rsidRPr="00992DE1">
              <w:t>334</w:t>
            </w:r>
            <w:r w:rsidRPr="00992DE1">
              <w:t> </w:t>
            </w:r>
            <w:r w:rsidR="0081068C" w:rsidRPr="00992DE1">
              <w:t>167</w:t>
            </w:r>
            <w:r w:rsidRPr="00992DE1">
              <w:t xml:space="preserve"> </w:t>
            </w:r>
            <w:r w:rsidRPr="00992DE1">
              <w:rPr>
                <w:i/>
                <w:iCs/>
              </w:rPr>
              <w:t>euro</w:t>
            </w:r>
            <w:r w:rsidRPr="00992DE1">
              <w:t xml:space="preserve"> un valsts budžeta finansējums </w:t>
            </w:r>
            <w:r w:rsidR="0081068C" w:rsidRPr="00992DE1">
              <w:t>259</w:t>
            </w:r>
            <w:r w:rsidRPr="00992DE1">
              <w:t> </w:t>
            </w:r>
            <w:r w:rsidR="0081068C" w:rsidRPr="00992DE1">
              <w:t>414</w:t>
            </w:r>
            <w:r w:rsidRPr="00992DE1">
              <w:t xml:space="preserve"> </w:t>
            </w:r>
            <w:r w:rsidRPr="00992DE1">
              <w:rPr>
                <w:i/>
                <w:iCs/>
              </w:rPr>
              <w:t>euro</w:t>
            </w:r>
            <w:r w:rsidRPr="00992DE1">
              <w:t xml:space="preserve"> un privātais līdzfinansējums 81 272 </w:t>
            </w:r>
            <w:r w:rsidRPr="00992DE1">
              <w:rPr>
                <w:i/>
                <w:iCs/>
              </w:rPr>
              <w:t>euro</w:t>
            </w:r>
            <w:r w:rsidRPr="00992DE1">
              <w:t>.</w:t>
            </w:r>
            <w:r w:rsidR="002F3D5A" w:rsidRPr="00992DE1">
              <w:t xml:space="preserve"> </w:t>
            </w:r>
            <w:r w:rsidR="00D1712D" w:rsidRPr="00992DE1">
              <w:rPr>
                <w:rFonts w:eastAsiaTheme="minorHAnsi"/>
                <w:lang w:eastAsia="en-US"/>
              </w:rPr>
              <w:t>Papildus valsts budžetā ir iztērēts finansējums 13 648</w:t>
            </w:r>
            <w:r w:rsidR="00D1712D" w:rsidRPr="00992DE1">
              <w:rPr>
                <w:i/>
                <w:iCs/>
              </w:rPr>
              <w:t xml:space="preserve"> euro </w:t>
            </w:r>
            <w:r w:rsidR="00D1712D" w:rsidRPr="00992DE1">
              <w:rPr>
                <w:rFonts w:eastAsiaTheme="minorHAnsi"/>
                <w:lang w:eastAsia="en-US"/>
              </w:rPr>
              <w:t xml:space="preserve">apmērā, kuru nevar attiecināt no </w:t>
            </w:r>
            <w:r w:rsidR="00C247C9" w:rsidRPr="00992DE1">
              <w:rPr>
                <w:rFonts w:eastAsiaTheme="minorHAnsi"/>
                <w:lang w:eastAsia="en-US"/>
              </w:rPr>
              <w:t xml:space="preserve">SAM attiecināmajām izmaksām </w:t>
            </w:r>
            <w:r w:rsidR="00D1712D" w:rsidRPr="00992DE1">
              <w:rPr>
                <w:rFonts w:eastAsiaTheme="minorHAnsi"/>
                <w:lang w:eastAsia="en-US"/>
              </w:rPr>
              <w:t>(papildatvaļinājumi, kuri tika apmaksāti par periodu, kurš neattiecas uz projektu)</w:t>
            </w:r>
            <w:r w:rsidR="00BE0785" w:rsidRPr="00992DE1">
              <w:rPr>
                <w:rFonts w:eastAsiaTheme="minorHAnsi"/>
                <w:lang w:eastAsia="en-US"/>
              </w:rPr>
              <w:t>.</w:t>
            </w:r>
          </w:p>
          <w:p w14:paraId="54502C19" w14:textId="4F41845D" w:rsidR="0081068C" w:rsidRPr="00992DE1" w:rsidRDefault="004C656A" w:rsidP="00CF7A17">
            <w:pPr>
              <w:ind w:left="72"/>
              <w:jc w:val="both"/>
            </w:pPr>
            <w:r w:rsidRPr="00992DE1">
              <w:t>- 2015.gad</w:t>
            </w:r>
            <w:r w:rsidR="00A6012D" w:rsidRPr="00992DE1">
              <w:t>ā</w:t>
            </w:r>
            <w:r w:rsidRPr="00992DE1">
              <w:t xml:space="preserve"> </w:t>
            </w:r>
            <w:r w:rsidR="0081068C" w:rsidRPr="00992DE1">
              <w:t xml:space="preserve">kopējais apgūtais finansējums 6 306 084 </w:t>
            </w:r>
            <w:r w:rsidR="0081068C" w:rsidRPr="00992DE1">
              <w:rPr>
                <w:i/>
                <w:iCs/>
              </w:rPr>
              <w:t>euro</w:t>
            </w:r>
            <w:r w:rsidR="0081068C" w:rsidRPr="00992DE1">
              <w:t xml:space="preserve">, no tā publiskais finansējums 5 995 068 </w:t>
            </w:r>
            <w:r w:rsidR="0081068C" w:rsidRPr="00992DE1">
              <w:rPr>
                <w:i/>
                <w:iCs/>
              </w:rPr>
              <w:t>euro</w:t>
            </w:r>
            <w:r w:rsidR="0081068C" w:rsidRPr="00992DE1">
              <w:t xml:space="preserve">, tai skaitā ESF finansējums 2 770 243 </w:t>
            </w:r>
            <w:r w:rsidR="0081068C" w:rsidRPr="00992DE1">
              <w:rPr>
                <w:i/>
                <w:iCs/>
              </w:rPr>
              <w:t>euro</w:t>
            </w:r>
            <w:r w:rsidR="0081068C" w:rsidRPr="00992DE1">
              <w:t xml:space="preserve">, JNI finansējums 2 736 557 </w:t>
            </w:r>
            <w:r w:rsidR="0081068C" w:rsidRPr="00992DE1">
              <w:rPr>
                <w:i/>
                <w:iCs/>
              </w:rPr>
              <w:t>euro</w:t>
            </w:r>
            <w:r w:rsidR="0081068C" w:rsidRPr="00992DE1">
              <w:t xml:space="preserve"> un valsts budžeta finansējums 488 268 </w:t>
            </w:r>
            <w:r w:rsidR="0081068C" w:rsidRPr="00992DE1">
              <w:rPr>
                <w:i/>
                <w:iCs/>
              </w:rPr>
              <w:t>euro</w:t>
            </w:r>
            <w:r w:rsidR="0081068C" w:rsidRPr="00992DE1">
              <w:t xml:space="preserve"> un privātais līdzfinansējums 311 016 </w:t>
            </w:r>
            <w:r w:rsidR="0081068C" w:rsidRPr="00992DE1">
              <w:rPr>
                <w:i/>
                <w:iCs/>
              </w:rPr>
              <w:t>euro</w:t>
            </w:r>
            <w:r w:rsidR="0081068C" w:rsidRPr="00992DE1">
              <w:t xml:space="preserve">. </w:t>
            </w:r>
            <w:r w:rsidR="00D1712D" w:rsidRPr="00992DE1">
              <w:rPr>
                <w:rFonts w:eastAsiaTheme="minorHAnsi"/>
                <w:lang w:eastAsia="en-US"/>
              </w:rPr>
              <w:t>Papildus valsts budžetā ir iztērēts finansējums 15 721</w:t>
            </w:r>
            <w:r w:rsidR="00D1712D" w:rsidRPr="00992DE1">
              <w:rPr>
                <w:i/>
                <w:iCs/>
              </w:rPr>
              <w:t xml:space="preserve"> euro </w:t>
            </w:r>
            <w:r w:rsidR="00D1712D" w:rsidRPr="00992DE1">
              <w:rPr>
                <w:rFonts w:eastAsiaTheme="minorHAnsi"/>
                <w:lang w:eastAsia="en-US"/>
              </w:rPr>
              <w:t xml:space="preserve">apmērā, kuru nevar attiecināt no </w:t>
            </w:r>
            <w:r w:rsidR="00C247C9" w:rsidRPr="00992DE1">
              <w:rPr>
                <w:rFonts w:eastAsiaTheme="minorHAnsi"/>
                <w:lang w:eastAsia="en-US"/>
              </w:rPr>
              <w:t xml:space="preserve">SAM attiecināmajām izmaksām </w:t>
            </w:r>
            <w:r w:rsidR="00D1712D" w:rsidRPr="00992DE1">
              <w:rPr>
                <w:rFonts w:eastAsiaTheme="minorHAnsi"/>
                <w:lang w:eastAsia="en-US"/>
              </w:rPr>
              <w:t xml:space="preserve">(papildatvaļinājumi 10 682 </w:t>
            </w:r>
            <w:r w:rsidR="00D1712D" w:rsidRPr="00992DE1">
              <w:rPr>
                <w:rFonts w:eastAsiaTheme="minorHAnsi"/>
                <w:i/>
                <w:lang w:eastAsia="en-US"/>
              </w:rPr>
              <w:t>euro</w:t>
            </w:r>
            <w:r w:rsidR="00D1712D" w:rsidRPr="00992DE1">
              <w:rPr>
                <w:rFonts w:eastAsiaTheme="minorHAnsi"/>
                <w:lang w:eastAsia="en-US"/>
              </w:rPr>
              <w:t>, kuri tika apmaksāti par periodu, kurš neattiecas uz projektu un 5 039 </w:t>
            </w:r>
            <w:r w:rsidR="00D1712D" w:rsidRPr="00992DE1">
              <w:rPr>
                <w:rFonts w:eastAsiaTheme="minorHAnsi"/>
                <w:i/>
                <w:lang w:eastAsia="en-US"/>
              </w:rPr>
              <w:t>euro</w:t>
            </w:r>
            <w:r w:rsidR="00D1712D" w:rsidRPr="00992DE1">
              <w:rPr>
                <w:rFonts w:eastAsiaTheme="minorHAnsi"/>
                <w:lang w:eastAsia="en-US"/>
              </w:rPr>
              <w:t>, atlaišanas pabalsti, kuri tika apmaksāti par periodu, kurš neattiecas uz projektu)</w:t>
            </w:r>
            <w:r w:rsidR="00A72FC9" w:rsidRPr="00992DE1">
              <w:rPr>
                <w:rFonts w:eastAsiaTheme="minorHAnsi"/>
                <w:lang w:eastAsia="en-US"/>
              </w:rPr>
              <w:t>.</w:t>
            </w:r>
          </w:p>
          <w:p w14:paraId="0B595CF6" w14:textId="3A6AF865" w:rsidR="00FF4423" w:rsidRPr="00992DE1" w:rsidRDefault="004C656A" w:rsidP="00CF7A17">
            <w:pPr>
              <w:ind w:left="72"/>
              <w:jc w:val="both"/>
            </w:pPr>
            <w:r w:rsidRPr="00992DE1">
              <w:t xml:space="preserve">- </w:t>
            </w:r>
            <w:r w:rsidR="00FF4423" w:rsidRPr="00992DE1">
              <w:t xml:space="preserve">2016.gadam kopējās izmaksas plānotas 8 364 945 </w:t>
            </w:r>
            <w:r w:rsidR="00FF4423" w:rsidRPr="00992DE1">
              <w:rPr>
                <w:i/>
                <w:iCs/>
              </w:rPr>
              <w:t xml:space="preserve">euro </w:t>
            </w:r>
            <w:r w:rsidR="00FF4423" w:rsidRPr="00992DE1">
              <w:t xml:space="preserve">apmērā, no tā publiskais finansējums 8 </w:t>
            </w:r>
            <w:r w:rsidR="00A9376B" w:rsidRPr="00992DE1">
              <w:t>077</w:t>
            </w:r>
            <w:r w:rsidR="00FF4423" w:rsidRPr="00992DE1">
              <w:t> 0</w:t>
            </w:r>
            <w:r w:rsidR="00A9376B" w:rsidRPr="00992DE1">
              <w:t>57</w:t>
            </w:r>
            <w:r w:rsidR="00FF4423" w:rsidRPr="00992DE1">
              <w:t xml:space="preserve"> </w:t>
            </w:r>
            <w:r w:rsidR="00FF4423" w:rsidRPr="00992DE1">
              <w:rPr>
                <w:i/>
                <w:iCs/>
              </w:rPr>
              <w:t>euro</w:t>
            </w:r>
            <w:r w:rsidR="00FF4423" w:rsidRPr="00992DE1">
              <w:t xml:space="preserve">, tai skaitā ESF finansējums </w:t>
            </w:r>
            <w:r w:rsidR="00A9376B" w:rsidRPr="00992DE1">
              <w:t>3</w:t>
            </w:r>
            <w:r w:rsidR="004F7568" w:rsidRPr="00992DE1">
              <w:t xml:space="preserve">  </w:t>
            </w:r>
            <w:r w:rsidR="00A9376B" w:rsidRPr="00992DE1">
              <w:t>835</w:t>
            </w:r>
            <w:r w:rsidR="00FF4423" w:rsidRPr="00992DE1">
              <w:t> </w:t>
            </w:r>
            <w:r w:rsidR="00A9376B" w:rsidRPr="00992DE1">
              <w:t>664</w:t>
            </w:r>
            <w:r w:rsidR="00FF4423" w:rsidRPr="00992DE1">
              <w:t xml:space="preserve"> </w:t>
            </w:r>
            <w:r w:rsidR="00FF4423" w:rsidRPr="00992DE1">
              <w:rPr>
                <w:i/>
                <w:iCs/>
              </w:rPr>
              <w:t>euro</w:t>
            </w:r>
            <w:r w:rsidR="00FF4423" w:rsidRPr="00992DE1">
              <w:t xml:space="preserve">, JNI finansējums </w:t>
            </w:r>
            <w:r w:rsidR="00A9376B" w:rsidRPr="00992DE1">
              <w:t>3</w:t>
            </w:r>
            <w:r w:rsidR="00FF4423" w:rsidRPr="00992DE1">
              <w:t xml:space="preserve"> </w:t>
            </w:r>
            <w:r w:rsidR="00A9376B" w:rsidRPr="00992DE1">
              <w:t>830</w:t>
            </w:r>
            <w:r w:rsidR="00FF4423" w:rsidRPr="00992DE1">
              <w:t> </w:t>
            </w:r>
            <w:r w:rsidR="00A9376B" w:rsidRPr="00992DE1">
              <w:t>356</w:t>
            </w:r>
            <w:r w:rsidR="00FF4423" w:rsidRPr="00992DE1">
              <w:t xml:space="preserve"> </w:t>
            </w:r>
            <w:r w:rsidR="00FF4423" w:rsidRPr="00992DE1">
              <w:rPr>
                <w:i/>
                <w:iCs/>
              </w:rPr>
              <w:t>euro</w:t>
            </w:r>
            <w:r w:rsidR="00FF4423" w:rsidRPr="00992DE1">
              <w:t xml:space="preserve"> un valsts budžeta finansējums 4</w:t>
            </w:r>
            <w:r w:rsidR="00A9376B" w:rsidRPr="00992DE1">
              <w:t>11</w:t>
            </w:r>
            <w:r w:rsidR="00FF4423" w:rsidRPr="00992DE1">
              <w:t> </w:t>
            </w:r>
            <w:r w:rsidR="00A9376B" w:rsidRPr="00992DE1">
              <w:t>037</w:t>
            </w:r>
            <w:r w:rsidR="00FF4423" w:rsidRPr="00992DE1">
              <w:t xml:space="preserve"> </w:t>
            </w:r>
            <w:r w:rsidR="00FF4423" w:rsidRPr="00992DE1">
              <w:rPr>
                <w:i/>
                <w:iCs/>
              </w:rPr>
              <w:t>euro</w:t>
            </w:r>
            <w:r w:rsidR="00FF4423" w:rsidRPr="00992DE1">
              <w:t xml:space="preserve"> un privātais līdzfinansējums 287 888 </w:t>
            </w:r>
            <w:r w:rsidR="00FF4423" w:rsidRPr="00992DE1">
              <w:rPr>
                <w:i/>
                <w:iCs/>
              </w:rPr>
              <w:t>euro</w:t>
            </w:r>
            <w:r w:rsidR="00FF4423" w:rsidRPr="00992DE1">
              <w:t>. 2016.gadam projekta ieviešanai par</w:t>
            </w:r>
            <w:r w:rsidR="00077996" w:rsidRPr="00992DE1">
              <w:t xml:space="preserve">edzēts </w:t>
            </w:r>
            <w:r w:rsidR="00855FB1" w:rsidRPr="00992DE1">
              <w:t xml:space="preserve">valsts budžeta </w:t>
            </w:r>
            <w:r w:rsidR="00077996" w:rsidRPr="00992DE1">
              <w:t>finansējums indikatīvi 8</w:t>
            </w:r>
            <w:r w:rsidR="004F7568" w:rsidRPr="00992DE1">
              <w:t> </w:t>
            </w:r>
            <w:r w:rsidR="00077996" w:rsidRPr="00992DE1">
              <w:t>077</w:t>
            </w:r>
            <w:r w:rsidR="00FF4423" w:rsidRPr="00992DE1">
              <w:t> </w:t>
            </w:r>
            <w:r w:rsidR="00077996" w:rsidRPr="00992DE1">
              <w:t>055</w:t>
            </w:r>
            <w:r w:rsidR="00FF4423" w:rsidRPr="00992DE1">
              <w:t xml:space="preserve"> </w:t>
            </w:r>
            <w:r w:rsidR="00FF4423" w:rsidRPr="00992DE1">
              <w:rPr>
                <w:i/>
                <w:iCs/>
              </w:rPr>
              <w:t>euro</w:t>
            </w:r>
            <w:r w:rsidR="00FF4423" w:rsidRPr="00992DE1">
              <w:t xml:space="preserve"> apmērā. </w:t>
            </w:r>
          </w:p>
          <w:p w14:paraId="7E500754" w14:textId="53DD6470" w:rsidR="00FF4423" w:rsidRPr="00992DE1" w:rsidRDefault="004C656A" w:rsidP="00CF7A17">
            <w:pPr>
              <w:ind w:left="72"/>
              <w:jc w:val="both"/>
            </w:pPr>
            <w:r w:rsidRPr="00992DE1">
              <w:lastRenderedPageBreak/>
              <w:t xml:space="preserve">- </w:t>
            </w:r>
            <w:r w:rsidR="00FF4423" w:rsidRPr="00992DE1">
              <w:t xml:space="preserve">2017.gadam kopējās izmaksas plānotas </w:t>
            </w:r>
            <w:r w:rsidR="00A9376B" w:rsidRPr="00992DE1">
              <w:t>11</w:t>
            </w:r>
            <w:r w:rsidR="00FF4423" w:rsidRPr="00992DE1">
              <w:t xml:space="preserve"> </w:t>
            </w:r>
            <w:r w:rsidR="00A9376B" w:rsidRPr="00992DE1">
              <w:t>371</w:t>
            </w:r>
            <w:r w:rsidR="00FF4423" w:rsidRPr="00992DE1">
              <w:t> </w:t>
            </w:r>
            <w:r w:rsidR="00A9376B" w:rsidRPr="00992DE1">
              <w:t>468</w:t>
            </w:r>
            <w:r w:rsidR="00FF4423" w:rsidRPr="00992DE1">
              <w:t xml:space="preserve"> </w:t>
            </w:r>
            <w:r w:rsidR="00FF4423" w:rsidRPr="00992DE1">
              <w:rPr>
                <w:i/>
                <w:iCs/>
              </w:rPr>
              <w:t>euro</w:t>
            </w:r>
            <w:r w:rsidR="00FF4423" w:rsidRPr="00992DE1">
              <w:t xml:space="preserve"> apmērā, no tā publiskais finansējums </w:t>
            </w:r>
            <w:r w:rsidR="00A9376B" w:rsidRPr="00992DE1">
              <w:t>11 083 580</w:t>
            </w:r>
            <w:r w:rsidR="00FF4423" w:rsidRPr="00992DE1">
              <w:t xml:space="preserve"> </w:t>
            </w:r>
            <w:r w:rsidR="00FF4423" w:rsidRPr="00992DE1">
              <w:rPr>
                <w:i/>
                <w:iCs/>
              </w:rPr>
              <w:t>euro</w:t>
            </w:r>
            <w:r w:rsidR="00FF4423" w:rsidRPr="00992DE1">
              <w:t xml:space="preserve">, tai skaitā ESF finansējums </w:t>
            </w:r>
            <w:r w:rsidR="00A9376B" w:rsidRPr="00992DE1">
              <w:t>5</w:t>
            </w:r>
            <w:r w:rsidR="00FF4423" w:rsidRPr="00992DE1">
              <w:t xml:space="preserve"> </w:t>
            </w:r>
            <w:r w:rsidR="00A9376B" w:rsidRPr="00992DE1">
              <w:t>414</w:t>
            </w:r>
            <w:r w:rsidR="00FF4423" w:rsidRPr="00992DE1">
              <w:t> </w:t>
            </w:r>
            <w:r w:rsidR="00A9376B" w:rsidRPr="00992DE1">
              <w:t>835</w:t>
            </w:r>
            <w:r w:rsidR="00FF4423" w:rsidRPr="00992DE1">
              <w:t xml:space="preserve"> </w:t>
            </w:r>
            <w:r w:rsidR="00FF4423" w:rsidRPr="00992DE1">
              <w:rPr>
                <w:i/>
                <w:iCs/>
              </w:rPr>
              <w:t>euro</w:t>
            </w:r>
            <w:r w:rsidR="00FF4423" w:rsidRPr="00992DE1">
              <w:t xml:space="preserve">, JNI finansējums </w:t>
            </w:r>
            <w:r w:rsidR="00A9376B" w:rsidRPr="00992DE1">
              <w:t>5</w:t>
            </w:r>
            <w:r w:rsidR="00FF4423" w:rsidRPr="00992DE1">
              <w:t xml:space="preserve"> </w:t>
            </w:r>
            <w:r w:rsidR="00A9376B" w:rsidRPr="00992DE1">
              <w:t>414</w:t>
            </w:r>
            <w:r w:rsidR="00FF4423" w:rsidRPr="00992DE1">
              <w:t> </w:t>
            </w:r>
            <w:r w:rsidR="00A9376B" w:rsidRPr="00992DE1">
              <w:t>835</w:t>
            </w:r>
            <w:r w:rsidR="00FF4423" w:rsidRPr="00992DE1">
              <w:t xml:space="preserve"> </w:t>
            </w:r>
            <w:r w:rsidR="00FF4423" w:rsidRPr="00992DE1">
              <w:rPr>
                <w:i/>
                <w:iCs/>
              </w:rPr>
              <w:t>euro</w:t>
            </w:r>
            <w:r w:rsidR="00FF4423" w:rsidRPr="00992DE1">
              <w:t xml:space="preserve"> un valsts budžeta finansējums </w:t>
            </w:r>
            <w:r w:rsidR="00A9376B" w:rsidRPr="00992DE1">
              <w:t>253</w:t>
            </w:r>
            <w:r w:rsidR="00FF4423" w:rsidRPr="00992DE1">
              <w:t> </w:t>
            </w:r>
            <w:r w:rsidR="00A9376B" w:rsidRPr="00992DE1">
              <w:t>910</w:t>
            </w:r>
            <w:r w:rsidR="00FF4423" w:rsidRPr="00992DE1">
              <w:t xml:space="preserve"> </w:t>
            </w:r>
            <w:r w:rsidR="00FF4423" w:rsidRPr="00992DE1">
              <w:rPr>
                <w:i/>
                <w:iCs/>
              </w:rPr>
              <w:t>euro</w:t>
            </w:r>
            <w:r w:rsidR="00FF4423" w:rsidRPr="00992DE1">
              <w:t xml:space="preserve"> un privātais līdzfinansējums 287 888 </w:t>
            </w:r>
            <w:r w:rsidR="00FF4423" w:rsidRPr="00992DE1">
              <w:rPr>
                <w:i/>
                <w:iCs/>
              </w:rPr>
              <w:t>euro.</w:t>
            </w:r>
            <w:r w:rsidR="00FF4423" w:rsidRPr="00992DE1">
              <w:t xml:space="preserve"> 2017.gadam projekta ieviešanai par</w:t>
            </w:r>
            <w:r w:rsidR="00077996" w:rsidRPr="00992DE1">
              <w:t xml:space="preserve">edzēts </w:t>
            </w:r>
            <w:r w:rsidR="00855FB1" w:rsidRPr="00992DE1">
              <w:t xml:space="preserve">valsts budžeta </w:t>
            </w:r>
            <w:r w:rsidR="00077996" w:rsidRPr="00992DE1">
              <w:t>finansējums indikatīvi 8</w:t>
            </w:r>
            <w:r w:rsidR="004F7568" w:rsidRPr="00992DE1">
              <w:t> </w:t>
            </w:r>
            <w:r w:rsidR="00077996" w:rsidRPr="00992DE1">
              <w:t>762</w:t>
            </w:r>
            <w:r w:rsidR="00FF4423" w:rsidRPr="00992DE1">
              <w:t> </w:t>
            </w:r>
            <w:r w:rsidR="00077996" w:rsidRPr="00992DE1">
              <w:t>919</w:t>
            </w:r>
            <w:r w:rsidR="00FF4423" w:rsidRPr="00992DE1">
              <w:t xml:space="preserve"> </w:t>
            </w:r>
            <w:r w:rsidR="00FF4423" w:rsidRPr="00992DE1">
              <w:rPr>
                <w:i/>
                <w:iCs/>
              </w:rPr>
              <w:t>euro</w:t>
            </w:r>
            <w:r w:rsidR="00FF4423" w:rsidRPr="00992DE1">
              <w:t xml:space="preserve"> apm</w:t>
            </w:r>
            <w:r w:rsidR="00077996" w:rsidRPr="00992DE1">
              <w:t>ērā un tas ir indikatīvi par 2 </w:t>
            </w:r>
            <w:r w:rsidR="00855FB1" w:rsidRPr="00992DE1">
              <w:t xml:space="preserve">320 661 </w:t>
            </w:r>
            <w:r w:rsidR="00FF4423" w:rsidRPr="00992DE1">
              <w:rPr>
                <w:i/>
                <w:iCs/>
              </w:rPr>
              <w:t>euro</w:t>
            </w:r>
            <w:r w:rsidR="00FF4423" w:rsidRPr="00992DE1">
              <w:t xml:space="preserve"> mazāk kā nepieciešams projekta ieviešanai 2017.gadā. </w:t>
            </w:r>
          </w:p>
          <w:p w14:paraId="373AD00B" w14:textId="16C71641" w:rsidR="00FF4423" w:rsidRPr="00992DE1" w:rsidRDefault="004C656A" w:rsidP="00CF7A17">
            <w:pPr>
              <w:ind w:left="72"/>
              <w:jc w:val="both"/>
            </w:pPr>
            <w:r w:rsidRPr="00992DE1">
              <w:t xml:space="preserve">- </w:t>
            </w:r>
            <w:r w:rsidR="00FF4423" w:rsidRPr="00992DE1">
              <w:t xml:space="preserve">2018.gadam kopējās izmaksas plānotas 4 </w:t>
            </w:r>
            <w:r w:rsidR="00A910F7" w:rsidRPr="00992DE1">
              <w:t>787 840</w:t>
            </w:r>
            <w:r w:rsidR="00FF4423" w:rsidRPr="00992DE1">
              <w:t xml:space="preserve"> </w:t>
            </w:r>
            <w:r w:rsidR="00FF4423" w:rsidRPr="00992DE1">
              <w:rPr>
                <w:i/>
                <w:iCs/>
              </w:rPr>
              <w:t xml:space="preserve">euro </w:t>
            </w:r>
            <w:r w:rsidR="00FF4423" w:rsidRPr="00992DE1">
              <w:t xml:space="preserve">apmērā, no tā publiskais finansējums 4 612 330 </w:t>
            </w:r>
            <w:r w:rsidR="00FF4423" w:rsidRPr="00992DE1">
              <w:rPr>
                <w:i/>
                <w:iCs/>
              </w:rPr>
              <w:t>euro</w:t>
            </w:r>
            <w:r w:rsidR="00FF4423" w:rsidRPr="00992DE1">
              <w:t>, tai skaitā ESF finansējums 2</w:t>
            </w:r>
            <w:r w:rsidR="008C1B37" w:rsidRPr="00992DE1">
              <w:t> </w:t>
            </w:r>
            <w:r w:rsidR="00A9376B" w:rsidRPr="00992DE1">
              <w:t>199</w:t>
            </w:r>
            <w:r w:rsidR="00FF4423" w:rsidRPr="00992DE1">
              <w:t> </w:t>
            </w:r>
            <w:r w:rsidR="00A9376B" w:rsidRPr="00992DE1">
              <w:t>646</w:t>
            </w:r>
            <w:r w:rsidR="00FF4423" w:rsidRPr="00992DE1">
              <w:t xml:space="preserve"> </w:t>
            </w:r>
            <w:r w:rsidR="00FF4423" w:rsidRPr="00992DE1">
              <w:rPr>
                <w:i/>
                <w:iCs/>
              </w:rPr>
              <w:t>euro</w:t>
            </w:r>
            <w:r w:rsidR="00FF4423" w:rsidRPr="00992DE1">
              <w:t>, JNI finansējums 2 19</w:t>
            </w:r>
            <w:r w:rsidR="00A9376B" w:rsidRPr="00992DE1">
              <w:t>9</w:t>
            </w:r>
            <w:r w:rsidR="00FF4423" w:rsidRPr="00992DE1">
              <w:t> </w:t>
            </w:r>
            <w:r w:rsidR="00A9376B" w:rsidRPr="00992DE1">
              <w:t>646</w:t>
            </w:r>
            <w:r w:rsidR="00FF4423" w:rsidRPr="00992DE1">
              <w:t xml:space="preserve"> </w:t>
            </w:r>
            <w:r w:rsidR="00FF4423" w:rsidRPr="00992DE1">
              <w:rPr>
                <w:i/>
                <w:iCs/>
              </w:rPr>
              <w:t>euro</w:t>
            </w:r>
            <w:r w:rsidR="00FF4423" w:rsidRPr="00992DE1">
              <w:t xml:space="preserve"> un valsts budžeta finansējums 213 038 </w:t>
            </w:r>
            <w:r w:rsidR="00FF4423" w:rsidRPr="00992DE1">
              <w:rPr>
                <w:i/>
                <w:iCs/>
              </w:rPr>
              <w:t>euro</w:t>
            </w:r>
            <w:r w:rsidR="00FF4423" w:rsidRPr="00992DE1">
              <w:t xml:space="preserve"> un privātais līdzfinansējums 175 5</w:t>
            </w:r>
            <w:r w:rsidR="00D62494" w:rsidRPr="00992DE1">
              <w:t>10</w:t>
            </w:r>
            <w:r w:rsidR="00FF4423" w:rsidRPr="00992DE1">
              <w:t xml:space="preserve"> </w:t>
            </w:r>
            <w:r w:rsidR="00FF4423" w:rsidRPr="00992DE1">
              <w:rPr>
                <w:i/>
                <w:iCs/>
              </w:rPr>
              <w:t>euro</w:t>
            </w:r>
            <w:r w:rsidR="00FF4423" w:rsidRPr="00992DE1">
              <w:t>. 2018.gadam projekta ieviešanai paredzē</w:t>
            </w:r>
            <w:r w:rsidR="004F7568" w:rsidRPr="00992DE1">
              <w:t xml:space="preserve">ts </w:t>
            </w:r>
            <w:r w:rsidR="00855FB1" w:rsidRPr="00992DE1">
              <w:t xml:space="preserve">valsts budžeta </w:t>
            </w:r>
            <w:r w:rsidR="004F7568" w:rsidRPr="00992DE1">
              <w:t>finansējums indikatīvi 4 </w:t>
            </w:r>
            <w:r w:rsidR="00997115" w:rsidRPr="00992DE1">
              <w:t xml:space="preserve">612 330 </w:t>
            </w:r>
            <w:r w:rsidR="00FF4423" w:rsidRPr="00992DE1">
              <w:rPr>
                <w:i/>
                <w:iCs/>
              </w:rPr>
              <w:t xml:space="preserve">euro </w:t>
            </w:r>
            <w:r w:rsidR="00FF4423" w:rsidRPr="00992DE1">
              <w:t>a</w:t>
            </w:r>
            <w:r w:rsidR="00997115" w:rsidRPr="00992DE1">
              <w:t>pmērā</w:t>
            </w:r>
            <w:r w:rsidR="00FF4423" w:rsidRPr="00992DE1">
              <w:t xml:space="preserve">. </w:t>
            </w:r>
          </w:p>
          <w:p w14:paraId="5DFCAB86" w14:textId="77777777" w:rsidR="00FF4423" w:rsidRPr="00992DE1" w:rsidRDefault="00FF4423" w:rsidP="005D395F">
            <w:pPr>
              <w:jc w:val="both"/>
              <w:rPr>
                <w:sz w:val="14"/>
                <w:szCs w:val="14"/>
              </w:rPr>
            </w:pPr>
          </w:p>
          <w:p w14:paraId="1128854A" w14:textId="18558B87" w:rsidR="00D16246" w:rsidRPr="00992DE1" w:rsidRDefault="00D16246" w:rsidP="00CF7A17">
            <w:pPr>
              <w:ind w:left="72"/>
            </w:pPr>
            <w:r w:rsidRPr="00992DE1">
              <w:t>2.pasākumam (</w:t>
            </w:r>
            <w:r w:rsidR="00A910F7" w:rsidRPr="00992DE1">
              <w:t>VIAA</w:t>
            </w:r>
            <w:r w:rsidRPr="00992DE1">
              <w:t>)</w:t>
            </w:r>
          </w:p>
          <w:p w14:paraId="5A8E12BE" w14:textId="1455D153" w:rsidR="00D16246" w:rsidRPr="00992DE1" w:rsidRDefault="00D16246" w:rsidP="00CF7A17">
            <w:pPr>
              <w:ind w:left="72"/>
              <w:jc w:val="both"/>
              <w:rPr>
                <w:i/>
              </w:rPr>
            </w:pPr>
            <w:r w:rsidRPr="00992DE1">
              <w:rPr>
                <w:bCs/>
              </w:rPr>
              <w:t>Pasākumam “Sākotnējās profesionālās izglītības programmu īstenošana Jauniešu garantijas ietvaros” pieejamais kopējais attiecināmais finansējums ir 36 184 21</w:t>
            </w:r>
            <w:r w:rsidR="00164695" w:rsidRPr="00992DE1">
              <w:rPr>
                <w:bCs/>
              </w:rPr>
              <w:t>9</w:t>
            </w:r>
            <w:r w:rsidRPr="00992DE1">
              <w:rPr>
                <w:bCs/>
              </w:rPr>
              <w:t> </w:t>
            </w:r>
            <w:r w:rsidRPr="00992DE1">
              <w:rPr>
                <w:bCs/>
                <w:i/>
                <w:iCs/>
              </w:rPr>
              <w:t>euro</w:t>
            </w:r>
            <w:r w:rsidRPr="00992DE1">
              <w:rPr>
                <w:bCs/>
              </w:rPr>
              <w:t xml:space="preserve">, tai skaitā JNI iniciatīvas finansēšanai </w:t>
            </w:r>
            <w:r w:rsidR="009F50EA" w:rsidRPr="00992DE1">
              <w:rPr>
                <w:bCs/>
              </w:rPr>
              <w:t>-</w:t>
            </w:r>
            <w:r w:rsidRPr="00992DE1">
              <w:rPr>
                <w:bCs/>
              </w:rPr>
              <w:t xml:space="preserve"> 13 495 078 </w:t>
            </w:r>
            <w:r w:rsidRPr="00992DE1">
              <w:rPr>
                <w:bCs/>
                <w:i/>
                <w:iCs/>
              </w:rPr>
              <w:t>euro</w:t>
            </w:r>
            <w:r w:rsidRPr="00992DE1">
              <w:rPr>
                <w:bCs/>
              </w:rPr>
              <w:t xml:space="preserve">, ESF finansējums </w:t>
            </w:r>
            <w:r w:rsidR="009F50EA" w:rsidRPr="00992DE1">
              <w:rPr>
                <w:bCs/>
              </w:rPr>
              <w:t>-</w:t>
            </w:r>
            <w:r w:rsidRPr="00992DE1">
              <w:rPr>
                <w:bCs/>
              </w:rPr>
              <w:t xml:space="preserve"> 19 285 769 </w:t>
            </w:r>
            <w:r w:rsidRPr="00992DE1">
              <w:rPr>
                <w:bCs/>
                <w:i/>
                <w:iCs/>
              </w:rPr>
              <w:t>euro</w:t>
            </w:r>
            <w:r w:rsidRPr="00992DE1">
              <w:rPr>
                <w:bCs/>
              </w:rPr>
              <w:t xml:space="preserve"> un valsts budžeta līdzfinansējums </w:t>
            </w:r>
            <w:r w:rsidR="009F50EA" w:rsidRPr="00992DE1">
              <w:rPr>
                <w:bCs/>
              </w:rPr>
              <w:t>-</w:t>
            </w:r>
            <w:r w:rsidRPr="00992DE1">
              <w:rPr>
                <w:bCs/>
              </w:rPr>
              <w:t xml:space="preserve"> 3</w:t>
            </w:r>
            <w:r w:rsidR="009F50EA" w:rsidRPr="00992DE1">
              <w:rPr>
                <w:bCs/>
              </w:rPr>
              <w:t> </w:t>
            </w:r>
            <w:r w:rsidRPr="00992DE1">
              <w:rPr>
                <w:bCs/>
              </w:rPr>
              <w:t>403</w:t>
            </w:r>
            <w:r w:rsidR="009F50EA" w:rsidRPr="00992DE1">
              <w:rPr>
                <w:bCs/>
              </w:rPr>
              <w:t> </w:t>
            </w:r>
            <w:r w:rsidRPr="00992DE1">
              <w:rPr>
                <w:bCs/>
              </w:rPr>
              <w:t>37</w:t>
            </w:r>
            <w:r w:rsidR="00164695" w:rsidRPr="00992DE1">
              <w:rPr>
                <w:bCs/>
              </w:rPr>
              <w:t>2</w:t>
            </w:r>
            <w:r w:rsidRPr="00992DE1">
              <w:rPr>
                <w:bCs/>
              </w:rPr>
              <w:t> </w:t>
            </w:r>
            <w:r w:rsidRPr="00992DE1">
              <w:rPr>
                <w:bCs/>
                <w:i/>
                <w:iCs/>
              </w:rPr>
              <w:t>euro</w:t>
            </w:r>
            <w:r w:rsidRPr="00992DE1">
              <w:rPr>
                <w:i/>
              </w:rPr>
              <w:t>.</w:t>
            </w:r>
          </w:p>
          <w:p w14:paraId="1771D8F8" w14:textId="77777777" w:rsidR="00D16246" w:rsidRPr="00992DE1" w:rsidRDefault="00D16246" w:rsidP="00CF7A17">
            <w:pPr>
              <w:ind w:left="72"/>
              <w:jc w:val="both"/>
            </w:pPr>
            <w:r w:rsidRPr="00992DE1">
              <w:t xml:space="preserve">Finanšu līdzekļi pasākuma </w:t>
            </w:r>
            <w:r w:rsidRPr="00992DE1">
              <w:rPr>
                <w:bCs/>
              </w:rPr>
              <w:t xml:space="preserve">“Sākotnējās profesionālās izglītības programmu īstenošana Jauniešu garantijas ietvaros” </w:t>
            </w:r>
            <w:r w:rsidRPr="00992DE1">
              <w:t>ieviešanai plānoti Izglītības un zinātnes ministrijas budžeta apakšprogrammā 63.08.00 “Eiropas Sociālā fonda (ESF) projekti (2014-2020)”.</w:t>
            </w:r>
          </w:p>
          <w:p w14:paraId="059D62B0" w14:textId="77777777" w:rsidR="00D16246" w:rsidRPr="00992DE1" w:rsidRDefault="00D16246" w:rsidP="00CF7A17">
            <w:pPr>
              <w:ind w:left="72"/>
              <w:rPr>
                <w:sz w:val="14"/>
                <w:szCs w:val="14"/>
              </w:rPr>
            </w:pPr>
          </w:p>
          <w:p w14:paraId="297A1AEB" w14:textId="2FD16DB8" w:rsidR="0041549C" w:rsidRPr="00992DE1" w:rsidRDefault="00D16246" w:rsidP="0041549C">
            <w:pPr>
              <w:ind w:left="72"/>
              <w:jc w:val="both"/>
            </w:pPr>
            <w:r w:rsidRPr="00992DE1">
              <w:t xml:space="preserve">- 2014.gadā kopējais apgūtais finansējums </w:t>
            </w:r>
            <w:r w:rsidR="00367E46" w:rsidRPr="00992DE1">
              <w:t>1</w:t>
            </w:r>
            <w:r w:rsidRPr="00992DE1">
              <w:t> </w:t>
            </w:r>
            <w:r w:rsidR="00367E46" w:rsidRPr="00992DE1">
              <w:t>621</w:t>
            </w:r>
            <w:r w:rsidR="001F29A5" w:rsidRPr="00992DE1">
              <w:t> </w:t>
            </w:r>
            <w:r w:rsidR="00367E46" w:rsidRPr="00992DE1">
              <w:t>75</w:t>
            </w:r>
            <w:r w:rsidR="001F29A5" w:rsidRPr="00992DE1">
              <w:t xml:space="preserve">3 </w:t>
            </w:r>
            <w:r w:rsidRPr="00992DE1">
              <w:rPr>
                <w:i/>
                <w:iCs/>
              </w:rPr>
              <w:t>euro</w:t>
            </w:r>
            <w:r w:rsidRPr="00992DE1">
              <w:t xml:space="preserve">, tai skaitā ESF finansējums </w:t>
            </w:r>
            <w:r w:rsidR="00367E46" w:rsidRPr="00992DE1">
              <w:t>745</w:t>
            </w:r>
            <w:r w:rsidRPr="00992DE1">
              <w:t> </w:t>
            </w:r>
            <w:r w:rsidR="00367E46" w:rsidRPr="00992DE1">
              <w:t>091</w:t>
            </w:r>
            <w:r w:rsidRPr="00992DE1">
              <w:t xml:space="preserve"> </w:t>
            </w:r>
            <w:r w:rsidRPr="00992DE1">
              <w:rPr>
                <w:i/>
                <w:iCs/>
              </w:rPr>
              <w:t>euro</w:t>
            </w:r>
            <w:r w:rsidRPr="00992DE1">
              <w:t xml:space="preserve">, JNI finansējums 745 091 </w:t>
            </w:r>
            <w:r w:rsidRPr="00992DE1">
              <w:rPr>
                <w:i/>
                <w:iCs/>
              </w:rPr>
              <w:t>euro</w:t>
            </w:r>
            <w:r w:rsidRPr="00992DE1">
              <w:t xml:space="preserve"> u</w:t>
            </w:r>
            <w:r w:rsidR="00367E46" w:rsidRPr="00992DE1">
              <w:t>n valsts budžeta finansējums 131</w:t>
            </w:r>
            <w:r w:rsidR="001F29A5" w:rsidRPr="00992DE1">
              <w:t> </w:t>
            </w:r>
            <w:r w:rsidR="00367E46" w:rsidRPr="00992DE1">
              <w:t>57</w:t>
            </w:r>
            <w:r w:rsidR="001F29A5" w:rsidRPr="00992DE1">
              <w:t xml:space="preserve">1 </w:t>
            </w:r>
            <w:r w:rsidRPr="00992DE1">
              <w:rPr>
                <w:i/>
                <w:iCs/>
              </w:rPr>
              <w:t>euro</w:t>
            </w:r>
            <w:r w:rsidRPr="00992DE1">
              <w:t xml:space="preserve">. </w:t>
            </w:r>
          </w:p>
          <w:p w14:paraId="7A99E95F" w14:textId="3A4AA97E" w:rsidR="00D16246" w:rsidRPr="00992DE1" w:rsidRDefault="00D16246" w:rsidP="00CF7A17">
            <w:pPr>
              <w:ind w:left="72"/>
              <w:jc w:val="both"/>
            </w:pPr>
            <w:r w:rsidRPr="00992DE1">
              <w:t>- 2015.gad</w:t>
            </w:r>
            <w:r w:rsidR="00367E46" w:rsidRPr="00992DE1">
              <w:t>ā ko</w:t>
            </w:r>
            <w:r w:rsidR="00CE147B" w:rsidRPr="00992DE1">
              <w:t>pējais apgūtais finansējums 7 127</w:t>
            </w:r>
            <w:r w:rsidR="00367E46" w:rsidRPr="00992DE1">
              <w:t> </w:t>
            </w:r>
            <w:r w:rsidR="00CE147B" w:rsidRPr="00992DE1">
              <w:t>587</w:t>
            </w:r>
            <w:r w:rsidR="00367E46" w:rsidRPr="00992DE1">
              <w:t xml:space="preserve"> </w:t>
            </w:r>
            <w:r w:rsidR="00367E46" w:rsidRPr="00992DE1">
              <w:rPr>
                <w:i/>
                <w:iCs/>
              </w:rPr>
              <w:t>euro</w:t>
            </w:r>
            <w:r w:rsidR="00367E46" w:rsidRPr="00992DE1">
              <w:t xml:space="preserve">, </w:t>
            </w:r>
            <w:r w:rsidR="00170EAF" w:rsidRPr="00992DE1">
              <w:t xml:space="preserve">tai skaitā ESF finansējums </w:t>
            </w:r>
            <w:r w:rsidR="00305F61" w:rsidRPr="00992DE1">
              <w:t xml:space="preserve">3 282 306 </w:t>
            </w:r>
            <w:r w:rsidR="00367E46" w:rsidRPr="00992DE1">
              <w:rPr>
                <w:i/>
                <w:iCs/>
              </w:rPr>
              <w:t>euro</w:t>
            </w:r>
            <w:r w:rsidR="00367E46" w:rsidRPr="00992DE1">
              <w:t xml:space="preserve">, JNI finansējums </w:t>
            </w:r>
            <w:r w:rsidR="00305F61" w:rsidRPr="00992DE1">
              <w:t xml:space="preserve">3 266 677 </w:t>
            </w:r>
            <w:r w:rsidR="00367E46" w:rsidRPr="00992DE1">
              <w:rPr>
                <w:i/>
                <w:iCs/>
              </w:rPr>
              <w:t>euro</w:t>
            </w:r>
            <w:r w:rsidR="00367E46" w:rsidRPr="00992DE1">
              <w:t xml:space="preserve"> u</w:t>
            </w:r>
            <w:r w:rsidR="00170EAF" w:rsidRPr="00992DE1">
              <w:t>n valsts budžeta finansējums 578</w:t>
            </w:r>
            <w:r w:rsidR="00367E46" w:rsidRPr="00992DE1">
              <w:t> </w:t>
            </w:r>
            <w:r w:rsidR="008B163E" w:rsidRPr="00992DE1">
              <w:t>604</w:t>
            </w:r>
            <w:r w:rsidR="00367E46" w:rsidRPr="00992DE1">
              <w:t xml:space="preserve"> </w:t>
            </w:r>
            <w:r w:rsidR="00367E46" w:rsidRPr="00992DE1">
              <w:rPr>
                <w:i/>
                <w:iCs/>
              </w:rPr>
              <w:t>euro</w:t>
            </w:r>
            <w:r w:rsidR="00367E46" w:rsidRPr="00992DE1">
              <w:t>.</w:t>
            </w:r>
          </w:p>
          <w:p w14:paraId="7D9ACAEF" w14:textId="5C5521FD" w:rsidR="00D16246" w:rsidRPr="00992DE1" w:rsidRDefault="00D16246" w:rsidP="00CF7A17">
            <w:pPr>
              <w:ind w:left="72"/>
              <w:jc w:val="both"/>
            </w:pPr>
            <w:r w:rsidRPr="00992DE1">
              <w:t xml:space="preserve">- 2016.gadam indikatīvi kopējās izmaksas plānotas </w:t>
            </w:r>
            <w:r w:rsidR="002053A4" w:rsidRPr="00992DE1">
              <w:t>12</w:t>
            </w:r>
            <w:r w:rsidRPr="00992DE1">
              <w:t> </w:t>
            </w:r>
            <w:r w:rsidR="002053A4" w:rsidRPr="00992DE1">
              <w:t>377</w:t>
            </w:r>
            <w:r w:rsidRPr="00992DE1">
              <w:t> </w:t>
            </w:r>
            <w:r w:rsidR="002053A4" w:rsidRPr="00992DE1">
              <w:t>657</w:t>
            </w:r>
            <w:r w:rsidRPr="00992DE1">
              <w:t xml:space="preserve"> </w:t>
            </w:r>
            <w:r w:rsidRPr="00992DE1">
              <w:rPr>
                <w:i/>
                <w:iCs/>
              </w:rPr>
              <w:t>euro</w:t>
            </w:r>
            <w:r w:rsidRPr="00992DE1">
              <w:t xml:space="preserve"> apmērā, tai skaitā ESF finansējums </w:t>
            </w:r>
            <w:r w:rsidR="002053A4" w:rsidRPr="00992DE1">
              <w:t>7</w:t>
            </w:r>
            <w:r w:rsidRPr="00992DE1">
              <w:t> </w:t>
            </w:r>
            <w:r w:rsidR="002053A4" w:rsidRPr="00992DE1">
              <w:t>215</w:t>
            </w:r>
            <w:r w:rsidRPr="00992DE1">
              <w:t> </w:t>
            </w:r>
            <w:r w:rsidR="002053A4" w:rsidRPr="00992DE1">
              <w:t>944</w:t>
            </w:r>
            <w:r w:rsidRPr="00992DE1">
              <w:t xml:space="preserve"> </w:t>
            </w:r>
            <w:r w:rsidRPr="00992DE1">
              <w:rPr>
                <w:i/>
                <w:iCs/>
              </w:rPr>
              <w:t>euro</w:t>
            </w:r>
            <w:r w:rsidRPr="00992DE1">
              <w:t xml:space="preserve">, JNI finansējums 3 889 133 </w:t>
            </w:r>
            <w:r w:rsidRPr="00992DE1">
              <w:rPr>
                <w:i/>
                <w:iCs/>
              </w:rPr>
              <w:t>euro</w:t>
            </w:r>
            <w:r w:rsidRPr="00992DE1">
              <w:t xml:space="preserve"> un valsts budžeta finansējums </w:t>
            </w:r>
            <w:r w:rsidR="002053A4" w:rsidRPr="00992DE1">
              <w:t>1 272</w:t>
            </w:r>
            <w:r w:rsidRPr="00992DE1">
              <w:t> </w:t>
            </w:r>
            <w:r w:rsidR="002053A4" w:rsidRPr="00992DE1">
              <w:t>580</w:t>
            </w:r>
            <w:r w:rsidRPr="00992DE1">
              <w:t xml:space="preserve"> </w:t>
            </w:r>
            <w:r w:rsidRPr="00992DE1">
              <w:rPr>
                <w:i/>
                <w:iCs/>
              </w:rPr>
              <w:t>euro</w:t>
            </w:r>
            <w:r w:rsidRPr="00992DE1">
              <w:t xml:space="preserve">. </w:t>
            </w:r>
          </w:p>
          <w:p w14:paraId="36683979" w14:textId="31695336" w:rsidR="00D16246" w:rsidRPr="00992DE1" w:rsidRDefault="00D16246" w:rsidP="00CF7A17">
            <w:pPr>
              <w:ind w:left="72"/>
              <w:jc w:val="both"/>
            </w:pPr>
            <w:r w:rsidRPr="00992DE1">
              <w:t>- 2017.gadam indikatīvi kopējās izmaksas plānotas 10 </w:t>
            </w:r>
            <w:r w:rsidR="002053A4" w:rsidRPr="00992DE1">
              <w:t>534</w:t>
            </w:r>
            <w:r w:rsidRPr="00992DE1">
              <w:t> </w:t>
            </w:r>
            <w:r w:rsidR="002053A4" w:rsidRPr="00992DE1">
              <w:t>487</w:t>
            </w:r>
            <w:r w:rsidRPr="00992DE1">
              <w:t xml:space="preserve"> </w:t>
            </w:r>
            <w:r w:rsidRPr="00992DE1">
              <w:rPr>
                <w:i/>
                <w:iCs/>
              </w:rPr>
              <w:t xml:space="preserve">euro </w:t>
            </w:r>
            <w:r w:rsidRPr="00992DE1">
              <w:t xml:space="preserve">apmērā, tai skaitā ESF finansējums </w:t>
            </w:r>
            <w:r w:rsidR="002053A4" w:rsidRPr="00992DE1">
              <w:t>5</w:t>
            </w:r>
            <w:r w:rsidRPr="00992DE1">
              <w:t> </w:t>
            </w:r>
            <w:r w:rsidR="002053A4" w:rsidRPr="00992DE1">
              <w:t>708</w:t>
            </w:r>
            <w:r w:rsidRPr="00992DE1">
              <w:t> </w:t>
            </w:r>
            <w:r w:rsidR="002053A4" w:rsidRPr="00992DE1">
              <w:t>944</w:t>
            </w:r>
            <w:r w:rsidRPr="00992DE1">
              <w:t xml:space="preserve"> </w:t>
            </w:r>
            <w:r w:rsidRPr="00992DE1">
              <w:rPr>
                <w:i/>
                <w:iCs/>
              </w:rPr>
              <w:t>euro</w:t>
            </w:r>
            <w:r w:rsidRPr="00992DE1">
              <w:t>, JNI finansējums 3</w:t>
            </w:r>
            <w:r w:rsidR="002446F1" w:rsidRPr="00992DE1">
              <w:t> </w:t>
            </w:r>
            <w:r w:rsidRPr="00992DE1">
              <w:t xml:space="preserve">818 814 </w:t>
            </w:r>
            <w:r w:rsidRPr="00992DE1">
              <w:rPr>
                <w:i/>
                <w:iCs/>
              </w:rPr>
              <w:t xml:space="preserve">euro </w:t>
            </w:r>
            <w:r w:rsidRPr="00992DE1">
              <w:t>un valsts budžeta finansējums 1 0</w:t>
            </w:r>
            <w:r w:rsidR="00016AF1" w:rsidRPr="00992DE1">
              <w:t>06</w:t>
            </w:r>
            <w:r w:rsidRPr="00992DE1">
              <w:t> 7</w:t>
            </w:r>
            <w:r w:rsidR="00016AF1" w:rsidRPr="00992DE1">
              <w:t>29</w:t>
            </w:r>
            <w:r w:rsidRPr="00992DE1">
              <w:t xml:space="preserve"> </w:t>
            </w:r>
            <w:r w:rsidRPr="00992DE1">
              <w:rPr>
                <w:i/>
                <w:iCs/>
              </w:rPr>
              <w:t>euro.</w:t>
            </w:r>
            <w:r w:rsidRPr="00992DE1">
              <w:t xml:space="preserve"> 2017.gadam projekta īstenošanai paredzēts finansējums indikatīvi </w:t>
            </w:r>
            <w:r w:rsidR="00BE3D17" w:rsidRPr="00992DE1">
              <w:t>8 </w:t>
            </w:r>
            <w:r w:rsidR="00C03A67" w:rsidRPr="00992DE1">
              <w:t>325 805</w:t>
            </w:r>
            <w:r w:rsidRPr="00992DE1">
              <w:t xml:space="preserve"> </w:t>
            </w:r>
            <w:r w:rsidRPr="00992DE1">
              <w:rPr>
                <w:i/>
                <w:iCs/>
              </w:rPr>
              <w:t>euro</w:t>
            </w:r>
            <w:r w:rsidRPr="00992DE1">
              <w:t xml:space="preserve"> apmērā un tas ir indikatīvi par </w:t>
            </w:r>
            <w:r w:rsidR="00C03A67" w:rsidRPr="00992DE1">
              <w:t>2 208 682</w:t>
            </w:r>
            <w:r w:rsidRPr="00992DE1">
              <w:t xml:space="preserve"> </w:t>
            </w:r>
            <w:r w:rsidRPr="00992DE1">
              <w:rPr>
                <w:i/>
                <w:iCs/>
              </w:rPr>
              <w:t>euro</w:t>
            </w:r>
            <w:r w:rsidRPr="00992DE1">
              <w:t xml:space="preserve"> mazāk kā nepieciešams projekta ieviešanai 2017.gadā. </w:t>
            </w:r>
          </w:p>
          <w:p w14:paraId="0500F692" w14:textId="3AF24DD3" w:rsidR="00016AF1" w:rsidRPr="00992DE1" w:rsidRDefault="00D16246" w:rsidP="00CF7A17">
            <w:pPr>
              <w:ind w:left="72"/>
              <w:jc w:val="both"/>
            </w:pPr>
            <w:r w:rsidRPr="00992DE1">
              <w:t>- 2018.gadam indikatīvi kopējās izmaksas plānotas 4 5</w:t>
            </w:r>
            <w:r w:rsidR="00C93A4F" w:rsidRPr="00992DE1">
              <w:t>22</w:t>
            </w:r>
            <w:r w:rsidRPr="00992DE1">
              <w:t> </w:t>
            </w:r>
            <w:r w:rsidR="00CB23B7" w:rsidRPr="00992DE1">
              <w:t>735</w:t>
            </w:r>
            <w:r w:rsidRPr="00992DE1">
              <w:t xml:space="preserve"> </w:t>
            </w:r>
            <w:r w:rsidRPr="00992DE1">
              <w:rPr>
                <w:i/>
                <w:iCs/>
              </w:rPr>
              <w:t xml:space="preserve">euro </w:t>
            </w:r>
            <w:r w:rsidRPr="00992DE1">
              <w:t>apmērā, tai skaitā ESF finansējums 2 </w:t>
            </w:r>
            <w:r w:rsidR="007235E5" w:rsidRPr="00992DE1">
              <w:t>333</w:t>
            </w:r>
            <w:r w:rsidRPr="00992DE1">
              <w:t> </w:t>
            </w:r>
            <w:r w:rsidR="007235E5" w:rsidRPr="00992DE1">
              <w:t>484</w:t>
            </w:r>
            <w:r w:rsidRPr="00992DE1">
              <w:t xml:space="preserve"> </w:t>
            </w:r>
            <w:r w:rsidRPr="00992DE1">
              <w:rPr>
                <w:i/>
                <w:iCs/>
              </w:rPr>
              <w:t>euro</w:t>
            </w:r>
            <w:r w:rsidR="002446F1" w:rsidRPr="00992DE1">
              <w:t xml:space="preserve">, JNI finansējums </w:t>
            </w:r>
            <w:r w:rsidR="007235E5" w:rsidRPr="00992DE1">
              <w:t>1</w:t>
            </w:r>
            <w:r w:rsidR="002446F1" w:rsidRPr="00992DE1">
              <w:t> </w:t>
            </w:r>
            <w:r w:rsidR="007235E5" w:rsidRPr="00992DE1">
              <w:t>7</w:t>
            </w:r>
            <w:r w:rsidR="00A011C2" w:rsidRPr="00992DE1">
              <w:t>7</w:t>
            </w:r>
            <w:r w:rsidR="007235E5" w:rsidRPr="00992DE1">
              <w:t>5</w:t>
            </w:r>
            <w:r w:rsidRPr="00992DE1">
              <w:t> </w:t>
            </w:r>
            <w:r w:rsidR="00A011C2" w:rsidRPr="00992DE1">
              <w:t>3</w:t>
            </w:r>
            <w:r w:rsidR="007235E5" w:rsidRPr="00992DE1">
              <w:t>63</w:t>
            </w:r>
            <w:r w:rsidRPr="00992DE1">
              <w:t xml:space="preserve"> </w:t>
            </w:r>
            <w:r w:rsidRPr="00992DE1">
              <w:rPr>
                <w:i/>
                <w:iCs/>
              </w:rPr>
              <w:t>euro</w:t>
            </w:r>
            <w:r w:rsidRPr="00992DE1">
              <w:t xml:space="preserve"> un valsts budžeta finansējums </w:t>
            </w:r>
            <w:r w:rsidR="007235E5" w:rsidRPr="00992DE1">
              <w:t>413</w:t>
            </w:r>
            <w:r w:rsidRPr="00992DE1">
              <w:t> </w:t>
            </w:r>
            <w:r w:rsidR="007235E5" w:rsidRPr="00992DE1">
              <w:t>88</w:t>
            </w:r>
            <w:r w:rsidR="00CB23B7" w:rsidRPr="00992DE1">
              <w:t>8</w:t>
            </w:r>
            <w:r w:rsidRPr="00992DE1">
              <w:t xml:space="preserve"> </w:t>
            </w:r>
            <w:r w:rsidRPr="00992DE1">
              <w:rPr>
                <w:i/>
                <w:iCs/>
              </w:rPr>
              <w:t>euro</w:t>
            </w:r>
            <w:r w:rsidRPr="00992DE1">
              <w:t xml:space="preserve">.  </w:t>
            </w:r>
          </w:p>
          <w:p w14:paraId="1B83DA22" w14:textId="5775E1F7" w:rsidR="00D16246" w:rsidRPr="00992DE1" w:rsidRDefault="00D16246" w:rsidP="00CF7A17">
            <w:pPr>
              <w:ind w:left="72"/>
              <w:jc w:val="both"/>
              <w:rPr>
                <w:iCs/>
              </w:rPr>
            </w:pPr>
            <w:r w:rsidRPr="00992DE1">
              <w:t xml:space="preserve">2018.gadam projekta īstenošanai paredzēts finansējums indikatīvi </w:t>
            </w:r>
            <w:r w:rsidR="00BE3D17" w:rsidRPr="00992DE1">
              <w:t>3 </w:t>
            </w:r>
            <w:r w:rsidR="00C03A67" w:rsidRPr="00992DE1">
              <w:t>859 165</w:t>
            </w:r>
            <w:r w:rsidRPr="00992DE1">
              <w:rPr>
                <w:b/>
              </w:rPr>
              <w:t xml:space="preserve"> </w:t>
            </w:r>
            <w:r w:rsidRPr="00992DE1">
              <w:rPr>
                <w:i/>
                <w:iCs/>
              </w:rPr>
              <w:t>euro</w:t>
            </w:r>
            <w:r w:rsidR="007710B6" w:rsidRPr="00992DE1">
              <w:rPr>
                <w:i/>
                <w:iCs/>
              </w:rPr>
              <w:t xml:space="preserve"> </w:t>
            </w:r>
            <w:r w:rsidR="007710B6" w:rsidRPr="00992DE1">
              <w:t xml:space="preserve">apmērā un tas ir indikatīvi par </w:t>
            </w:r>
            <w:r w:rsidR="00C03A67" w:rsidRPr="00992DE1">
              <w:t>6</w:t>
            </w:r>
            <w:r w:rsidR="007235E5" w:rsidRPr="00992DE1">
              <w:t>63</w:t>
            </w:r>
            <w:r w:rsidR="00C03A67" w:rsidRPr="00992DE1">
              <w:t xml:space="preserve"> </w:t>
            </w:r>
            <w:r w:rsidR="007235E5" w:rsidRPr="00992DE1">
              <w:t>5</w:t>
            </w:r>
            <w:r w:rsidR="00CB23B7" w:rsidRPr="00992DE1">
              <w:t>70</w:t>
            </w:r>
            <w:r w:rsidR="007710B6" w:rsidRPr="00992DE1">
              <w:t xml:space="preserve"> </w:t>
            </w:r>
            <w:r w:rsidR="007710B6" w:rsidRPr="00992DE1">
              <w:rPr>
                <w:i/>
                <w:iCs/>
              </w:rPr>
              <w:t xml:space="preserve">euro </w:t>
            </w:r>
            <w:r w:rsidR="007710B6" w:rsidRPr="00992DE1">
              <w:t xml:space="preserve">mazāk kā nepieciešams projekta ieviešanai 2018.gadā. </w:t>
            </w:r>
          </w:p>
          <w:p w14:paraId="4B347845" w14:textId="013CFB5D" w:rsidR="00D16246" w:rsidRPr="00992DE1" w:rsidRDefault="00D16246" w:rsidP="00D16246">
            <w:pPr>
              <w:jc w:val="both"/>
              <w:rPr>
                <w:sz w:val="14"/>
              </w:rPr>
            </w:pPr>
          </w:p>
        </w:tc>
      </w:tr>
      <w:tr w:rsidR="0050193B" w:rsidRPr="00992DE1" w14:paraId="52B44A2D" w14:textId="77777777" w:rsidTr="00980344">
        <w:trPr>
          <w:trHeight w:val="555"/>
          <w:jc w:val="center"/>
        </w:trPr>
        <w:tc>
          <w:tcPr>
            <w:tcW w:w="2544" w:type="dxa"/>
            <w:tcBorders>
              <w:top w:val="outset" w:sz="6" w:space="0" w:color="414142"/>
              <w:left w:val="outset" w:sz="6" w:space="0" w:color="414142"/>
              <w:bottom w:val="outset" w:sz="6" w:space="0" w:color="414142"/>
              <w:right w:val="outset" w:sz="6" w:space="0" w:color="414142"/>
            </w:tcBorders>
            <w:hideMark/>
          </w:tcPr>
          <w:p w14:paraId="35861272" w14:textId="77777777" w:rsidR="0050193B" w:rsidRPr="00992DE1" w:rsidRDefault="0050193B" w:rsidP="00DD4ED9">
            <w:r w:rsidRPr="00992DE1">
              <w:lastRenderedPageBreak/>
              <w:t>7. Cita informācija</w:t>
            </w:r>
          </w:p>
        </w:tc>
        <w:tc>
          <w:tcPr>
            <w:tcW w:w="6945" w:type="dxa"/>
            <w:gridSpan w:val="5"/>
            <w:tcBorders>
              <w:top w:val="single" w:sz="4" w:space="0" w:color="auto"/>
              <w:left w:val="outset" w:sz="6" w:space="0" w:color="414142"/>
              <w:bottom w:val="outset" w:sz="6" w:space="0" w:color="414142"/>
              <w:right w:val="outset" w:sz="6" w:space="0" w:color="414142"/>
            </w:tcBorders>
          </w:tcPr>
          <w:p w14:paraId="12B74499" w14:textId="77777777" w:rsidR="009E2EAA" w:rsidRPr="00992DE1" w:rsidRDefault="00AF756E" w:rsidP="009E2EAA">
            <w:pPr>
              <w:ind w:left="72"/>
              <w:jc w:val="both"/>
            </w:pPr>
            <w:r w:rsidRPr="00992DE1">
              <w:t>Norādītais pasākumu finansējuma sadalījums pa gadiem ir indikatīvs un var mainīties.</w:t>
            </w:r>
          </w:p>
          <w:p w14:paraId="38149A33" w14:textId="0A72F039" w:rsidR="009E2EAA" w:rsidRPr="00992DE1" w:rsidRDefault="009E2EAA" w:rsidP="009E2EAA">
            <w:pPr>
              <w:ind w:left="72"/>
              <w:jc w:val="both"/>
            </w:pPr>
            <w:r w:rsidRPr="00992DE1">
              <w:t xml:space="preserve">LM normatīvajos aktos noteiktajā kārtībā </w:t>
            </w:r>
            <w:r w:rsidR="001F29A5" w:rsidRPr="00992DE1">
              <w:t xml:space="preserve">pēc </w:t>
            </w:r>
            <w:r w:rsidR="001943FA" w:rsidRPr="00992DE1">
              <w:t xml:space="preserve">projekta apstiprināšanas </w:t>
            </w:r>
            <w:r w:rsidR="001F29A5" w:rsidRPr="00992DE1">
              <w:t xml:space="preserve">iesniegs </w:t>
            </w:r>
            <w:r w:rsidRPr="00992DE1">
              <w:t xml:space="preserve">FM pieprasījumu apropriācijas pārdalei 2016.gadam un 2017.gadam un Izglītības un zinātnes ministrija (turpmāk – IZM) normatīvajos aktos noteiktajā kārtībā </w:t>
            </w:r>
            <w:r w:rsidR="001F29A5" w:rsidRPr="00992DE1">
              <w:t xml:space="preserve">pēc </w:t>
            </w:r>
            <w:r w:rsidR="001943FA" w:rsidRPr="00992DE1">
              <w:t xml:space="preserve">projekta apstiprināšanas </w:t>
            </w:r>
            <w:r w:rsidRPr="00992DE1">
              <w:t>iesnieg</w:t>
            </w:r>
            <w:r w:rsidR="001F29A5" w:rsidRPr="00992DE1">
              <w:t>s</w:t>
            </w:r>
            <w:r w:rsidRPr="00992DE1">
              <w:t xml:space="preserve"> FM pieprasījumu apropriācijas pārdalei 2017.gadam no 74.resora “Gadskārtējā valsts budžeta izpildes procesā pārdalāmais finansējums” 80.00.00 programmas “Nesadalītais finansējums Eiropas Savienības politiku instrumentu un pārējās ārvalstu finanšu palīdzības līdzfinansēto projektu un pasākumu īstenošanai”, savukārt par finansējumu 2018.gadam IZM </w:t>
            </w:r>
            <w:r w:rsidR="001F29A5" w:rsidRPr="00992DE1">
              <w:t xml:space="preserve">iesniegs </w:t>
            </w:r>
            <w:r w:rsidRPr="00992DE1">
              <w:t>FM priekšlikumus bāzes izdevumu 2018.-2020.gadam precizēšanai.</w:t>
            </w:r>
          </w:p>
          <w:p w14:paraId="737E634C" w14:textId="0C9CF5AA" w:rsidR="009E2EAA" w:rsidRPr="00992DE1" w:rsidRDefault="009E2EAA" w:rsidP="00CF4835">
            <w:pPr>
              <w:ind w:left="72"/>
              <w:jc w:val="both"/>
              <w:rPr>
                <w:sz w:val="14"/>
                <w:szCs w:val="14"/>
              </w:rPr>
            </w:pPr>
          </w:p>
        </w:tc>
      </w:tr>
    </w:tbl>
    <w:p w14:paraId="516FDC81" w14:textId="281EA92E" w:rsidR="0050193B" w:rsidRPr="00992DE1" w:rsidRDefault="0050193B" w:rsidP="00715166">
      <w:pPr>
        <w:rPr>
          <w:b/>
        </w:rPr>
      </w:pPr>
    </w:p>
    <w:p w14:paraId="3B4D20C7" w14:textId="77777777" w:rsidR="0050193B" w:rsidRPr="00992DE1" w:rsidRDefault="0050193B" w:rsidP="00715166">
      <w:pPr>
        <w:rPr>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681"/>
        <w:gridCol w:w="6484"/>
      </w:tblGrid>
      <w:tr w:rsidR="00F81B5A" w:rsidRPr="00992DE1" w14:paraId="707F5F3F" w14:textId="77777777" w:rsidTr="00715166">
        <w:trPr>
          <w:trHeight w:val="461"/>
          <w:jc w:val="center"/>
        </w:trPr>
        <w:tc>
          <w:tcPr>
            <w:tcW w:w="9634" w:type="dxa"/>
            <w:gridSpan w:val="3"/>
            <w:vAlign w:val="center"/>
          </w:tcPr>
          <w:p w14:paraId="2B442655" w14:textId="77777777" w:rsidR="00715166" w:rsidRPr="00992DE1" w:rsidRDefault="00715166" w:rsidP="00715166">
            <w:pPr>
              <w:jc w:val="center"/>
              <w:rPr>
                <w:b/>
              </w:rPr>
            </w:pPr>
            <w:r w:rsidRPr="00992DE1">
              <w:rPr>
                <w:b/>
              </w:rPr>
              <w:br w:type="page"/>
              <w:t>IV. Tiesību akta projekta ietekme uz spēkā esošo tiesību normu sistēmu</w:t>
            </w:r>
          </w:p>
        </w:tc>
      </w:tr>
      <w:tr w:rsidR="00F81B5A" w:rsidRPr="00992DE1" w14:paraId="774490DF" w14:textId="77777777" w:rsidTr="00715166">
        <w:trPr>
          <w:jc w:val="center"/>
        </w:trPr>
        <w:tc>
          <w:tcPr>
            <w:tcW w:w="469" w:type="dxa"/>
          </w:tcPr>
          <w:p w14:paraId="6175E1F4" w14:textId="77777777" w:rsidR="00715166" w:rsidRPr="00992DE1" w:rsidRDefault="00715166" w:rsidP="00715166">
            <w:pPr>
              <w:rPr>
                <w:iCs/>
              </w:rPr>
            </w:pPr>
            <w:r w:rsidRPr="00992DE1">
              <w:rPr>
                <w:iCs/>
              </w:rPr>
              <w:t>1.</w:t>
            </w:r>
          </w:p>
        </w:tc>
        <w:tc>
          <w:tcPr>
            <w:tcW w:w="2681" w:type="dxa"/>
          </w:tcPr>
          <w:p w14:paraId="026A4767" w14:textId="77777777" w:rsidR="00715166" w:rsidRPr="00992DE1" w:rsidRDefault="00715166" w:rsidP="00715166">
            <w:pPr>
              <w:rPr>
                <w:iCs/>
              </w:rPr>
            </w:pPr>
            <w:r w:rsidRPr="00992DE1">
              <w:t>Nepieciešamie saistītie tiesību aktu projekti</w:t>
            </w:r>
          </w:p>
        </w:tc>
        <w:tc>
          <w:tcPr>
            <w:tcW w:w="6484" w:type="dxa"/>
          </w:tcPr>
          <w:p w14:paraId="3A049A2C" w14:textId="72C8AD28" w:rsidR="00715166" w:rsidRPr="00992DE1" w:rsidRDefault="00715166" w:rsidP="002C1688">
            <w:pPr>
              <w:jc w:val="both"/>
              <w:rPr>
                <w:iCs/>
              </w:rPr>
            </w:pPr>
            <w:r w:rsidRPr="00992DE1">
              <w:t>MK noteikumu projekts virzāms izskatīšanai MK sēdē vienlaikus vai pēc atbilstošu grozījumu pieņemšanas</w:t>
            </w:r>
            <w:r w:rsidRPr="00992DE1">
              <w:rPr>
                <w:iCs/>
              </w:rPr>
              <w:t xml:space="preserve"> MK 2011.gada 25.janvāra noteikumos Nr.75 “</w:t>
            </w:r>
            <w:r w:rsidRPr="00992DE1">
              <w:rPr>
                <w:bCs/>
                <w:iCs/>
              </w:rPr>
              <w:t>Noteikumi par aktīvo nodarbinātības pasākumu un preventīvo bezdarba samazināšanas pasākumu organizēšanas un finansēšanas kārtību un pasākumu īstenotāju izvēles principiem</w:t>
            </w:r>
            <w:r w:rsidRPr="00992DE1">
              <w:rPr>
                <w:iCs/>
              </w:rPr>
              <w:t>”</w:t>
            </w:r>
            <w:r w:rsidR="00B95762" w:rsidRPr="00992DE1">
              <w:rPr>
                <w:bCs/>
                <w:shd w:val="clear" w:color="auto" w:fill="FFFFFF"/>
              </w:rPr>
              <w:t xml:space="preserve"> </w:t>
            </w:r>
            <w:r w:rsidR="00B95762" w:rsidRPr="00992DE1">
              <w:rPr>
                <w:bCs/>
                <w:iCs/>
              </w:rPr>
              <w:t>(izsludināti valsts sekretāru sanāksmē 2016.gada 13.oktobrī,  VSS</w:t>
            </w:r>
            <w:r w:rsidR="00B95762" w:rsidRPr="00992DE1">
              <w:rPr>
                <w:bCs/>
                <w:iCs/>
              </w:rPr>
              <w:noBreakHyphen/>
              <w:t>968</w:t>
            </w:r>
            <w:r w:rsidR="00C21377" w:rsidRPr="00992DE1">
              <w:rPr>
                <w:bCs/>
                <w:iCs/>
              </w:rPr>
              <w:t xml:space="preserve">, </w:t>
            </w:r>
            <w:bookmarkStart w:id="2" w:name="14"/>
            <w:r w:rsidR="00C21377" w:rsidRPr="00992DE1">
              <w:t>14.§</w:t>
            </w:r>
            <w:bookmarkEnd w:id="2"/>
            <w:r w:rsidR="00B95762" w:rsidRPr="00992DE1">
              <w:rPr>
                <w:bCs/>
                <w:iCs/>
              </w:rPr>
              <w:t>)</w:t>
            </w:r>
            <w:r w:rsidRPr="00992DE1">
              <w:rPr>
                <w:iCs/>
              </w:rPr>
              <w:t>.</w:t>
            </w:r>
          </w:p>
          <w:p w14:paraId="4241F443" w14:textId="5926A13E" w:rsidR="00A43B48" w:rsidRPr="00992DE1" w:rsidRDefault="00A43B48" w:rsidP="002C1688">
            <w:pPr>
              <w:jc w:val="both"/>
              <w:rPr>
                <w:sz w:val="14"/>
                <w:szCs w:val="14"/>
              </w:rPr>
            </w:pPr>
          </w:p>
        </w:tc>
      </w:tr>
      <w:tr w:rsidR="00F81B5A" w:rsidRPr="00992DE1" w14:paraId="627E2D32" w14:textId="77777777" w:rsidTr="00715166">
        <w:trPr>
          <w:jc w:val="center"/>
        </w:trPr>
        <w:tc>
          <w:tcPr>
            <w:tcW w:w="469" w:type="dxa"/>
          </w:tcPr>
          <w:p w14:paraId="1C76A663" w14:textId="77777777" w:rsidR="00715166" w:rsidRPr="00992DE1" w:rsidRDefault="00715166" w:rsidP="00715166">
            <w:pPr>
              <w:rPr>
                <w:iCs/>
              </w:rPr>
            </w:pPr>
            <w:r w:rsidRPr="00992DE1">
              <w:rPr>
                <w:iCs/>
              </w:rPr>
              <w:t>2.</w:t>
            </w:r>
          </w:p>
        </w:tc>
        <w:tc>
          <w:tcPr>
            <w:tcW w:w="2681" w:type="dxa"/>
          </w:tcPr>
          <w:p w14:paraId="0ED9E2AF" w14:textId="77777777" w:rsidR="00715166" w:rsidRPr="00992DE1" w:rsidRDefault="00715166" w:rsidP="00715166">
            <w:r w:rsidRPr="00992DE1">
              <w:t>Atbildīgā institūcija</w:t>
            </w:r>
          </w:p>
        </w:tc>
        <w:tc>
          <w:tcPr>
            <w:tcW w:w="6484" w:type="dxa"/>
          </w:tcPr>
          <w:p w14:paraId="57DA0853" w14:textId="77777777" w:rsidR="00715166" w:rsidRPr="00992DE1" w:rsidRDefault="002D08DF" w:rsidP="00715166">
            <w:r w:rsidRPr="00992DE1">
              <w:t>LM.</w:t>
            </w:r>
          </w:p>
        </w:tc>
      </w:tr>
      <w:tr w:rsidR="00715166" w:rsidRPr="00992DE1" w14:paraId="36027973" w14:textId="77777777" w:rsidTr="00715166">
        <w:trPr>
          <w:jc w:val="center"/>
        </w:trPr>
        <w:tc>
          <w:tcPr>
            <w:tcW w:w="469" w:type="dxa"/>
          </w:tcPr>
          <w:p w14:paraId="1D98B739" w14:textId="77777777" w:rsidR="00715166" w:rsidRPr="00992DE1" w:rsidRDefault="00715166" w:rsidP="00715166">
            <w:pPr>
              <w:rPr>
                <w:iCs/>
              </w:rPr>
            </w:pPr>
            <w:r w:rsidRPr="00992DE1">
              <w:rPr>
                <w:iCs/>
              </w:rPr>
              <w:t>3.</w:t>
            </w:r>
          </w:p>
        </w:tc>
        <w:tc>
          <w:tcPr>
            <w:tcW w:w="2681" w:type="dxa"/>
          </w:tcPr>
          <w:p w14:paraId="06B9DA4E" w14:textId="77777777" w:rsidR="00715166" w:rsidRPr="00992DE1" w:rsidRDefault="00715166" w:rsidP="00715166">
            <w:pPr>
              <w:rPr>
                <w:iCs/>
              </w:rPr>
            </w:pPr>
            <w:r w:rsidRPr="00992DE1">
              <w:t>Cita informācija</w:t>
            </w:r>
          </w:p>
        </w:tc>
        <w:tc>
          <w:tcPr>
            <w:tcW w:w="6484" w:type="dxa"/>
          </w:tcPr>
          <w:p w14:paraId="22F89896" w14:textId="77777777" w:rsidR="00715166" w:rsidRPr="00992DE1" w:rsidRDefault="00715166" w:rsidP="00715166">
            <w:pPr>
              <w:rPr>
                <w:iCs/>
              </w:rPr>
            </w:pPr>
            <w:r w:rsidRPr="00992DE1">
              <w:rPr>
                <w:iCs/>
              </w:rPr>
              <w:t>Nav.</w:t>
            </w:r>
          </w:p>
        </w:tc>
      </w:tr>
    </w:tbl>
    <w:p w14:paraId="17FA0B25" w14:textId="77777777" w:rsidR="00077F04" w:rsidRPr="00992DE1" w:rsidRDefault="00077F04" w:rsidP="00346F24">
      <w:pPr>
        <w:rPr>
          <w:b/>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56"/>
        <w:gridCol w:w="6394"/>
      </w:tblGrid>
      <w:tr w:rsidR="00F81B5A" w:rsidRPr="00992DE1" w14:paraId="48CC6E2A" w14:textId="77777777" w:rsidTr="00DD4ED9">
        <w:trPr>
          <w:trHeight w:val="421"/>
          <w:jc w:val="center"/>
        </w:trPr>
        <w:tc>
          <w:tcPr>
            <w:tcW w:w="9671" w:type="dxa"/>
            <w:gridSpan w:val="3"/>
            <w:vAlign w:val="center"/>
          </w:tcPr>
          <w:p w14:paraId="6E8A402A" w14:textId="77777777" w:rsidR="00077F04" w:rsidRPr="00992DE1" w:rsidRDefault="00077F04" w:rsidP="00346F24">
            <w:pPr>
              <w:pStyle w:val="naisnod"/>
              <w:spacing w:before="0" w:beforeAutospacing="0" w:after="0" w:afterAutospacing="0"/>
              <w:ind w:left="57" w:right="57"/>
              <w:jc w:val="center"/>
              <w:rPr>
                <w:rFonts w:eastAsiaTheme="minorHAnsi"/>
                <w:b/>
                <w:lang w:eastAsia="en-US"/>
              </w:rPr>
            </w:pPr>
            <w:r w:rsidRPr="00992DE1">
              <w:rPr>
                <w:rFonts w:eastAsiaTheme="minorHAnsi"/>
                <w:b/>
                <w:lang w:eastAsia="en-US"/>
              </w:rPr>
              <w:t>VI. Sabiedrības līdzdalība un komunikācijas aktivitātes</w:t>
            </w:r>
          </w:p>
        </w:tc>
      </w:tr>
      <w:tr w:rsidR="00F81B5A" w:rsidRPr="00992DE1" w14:paraId="7585B2D4" w14:textId="77777777" w:rsidTr="00DD4ED9">
        <w:trPr>
          <w:trHeight w:val="553"/>
          <w:jc w:val="center"/>
        </w:trPr>
        <w:tc>
          <w:tcPr>
            <w:tcW w:w="421" w:type="dxa"/>
          </w:tcPr>
          <w:p w14:paraId="65AB121A" w14:textId="77777777" w:rsidR="00077F04" w:rsidRPr="00992DE1" w:rsidRDefault="00077F04" w:rsidP="00346F24">
            <w:pPr>
              <w:ind w:left="57" w:right="57"/>
              <w:jc w:val="both"/>
            </w:pPr>
            <w:r w:rsidRPr="00992DE1">
              <w:t>1.</w:t>
            </w:r>
          </w:p>
        </w:tc>
        <w:tc>
          <w:tcPr>
            <w:tcW w:w="2856" w:type="dxa"/>
          </w:tcPr>
          <w:p w14:paraId="6EE26F45" w14:textId="77777777" w:rsidR="00077F04" w:rsidRPr="00992DE1" w:rsidRDefault="00077F04" w:rsidP="00346F24">
            <w:pPr>
              <w:tabs>
                <w:tab w:val="left" w:pos="170"/>
              </w:tabs>
              <w:ind w:left="57" w:right="57"/>
            </w:pPr>
            <w:r w:rsidRPr="00992DE1">
              <w:t>Plānotās sabiedrības līdzdalības un komunikācijas aktivitātes saistībā ar projektu</w:t>
            </w:r>
          </w:p>
        </w:tc>
        <w:tc>
          <w:tcPr>
            <w:tcW w:w="6394" w:type="dxa"/>
          </w:tcPr>
          <w:p w14:paraId="7FD3A59F" w14:textId="6456531F" w:rsidR="00077F04" w:rsidRPr="00992DE1" w:rsidRDefault="00077F04" w:rsidP="00CF4835">
            <w:pPr>
              <w:shd w:val="clear" w:color="auto" w:fill="FFFFFF"/>
              <w:ind w:left="114" w:right="113"/>
              <w:jc w:val="both"/>
            </w:pPr>
            <w:bookmarkStart w:id="3" w:name="p61"/>
            <w:bookmarkEnd w:id="3"/>
            <w:r w:rsidRPr="00992DE1">
              <w:t xml:space="preserve">Sabiedrības līdzdalība MK noteikumu projekta izstrādē tika nodrošināta, ievietojot MK noteikumu projektu </w:t>
            </w:r>
            <w:r w:rsidR="002D08DF" w:rsidRPr="00992DE1">
              <w:t>LM</w:t>
            </w:r>
            <w:r w:rsidRPr="00992DE1">
              <w:t xml:space="preserve"> tīmekļa vietnē </w:t>
            </w:r>
            <w:hyperlink r:id="rId8" w:history="1">
              <w:r w:rsidRPr="00992DE1">
                <w:rPr>
                  <w:rStyle w:val="Hyperlink"/>
                  <w:color w:val="auto"/>
                  <w:u w:val="none"/>
                </w:rPr>
                <w:t>www.lm.gov.lv</w:t>
              </w:r>
            </w:hyperlink>
            <w:r w:rsidRPr="00992DE1">
              <w:t>.</w:t>
            </w:r>
          </w:p>
        </w:tc>
      </w:tr>
      <w:tr w:rsidR="00F81B5A" w:rsidRPr="00992DE1" w14:paraId="73A86943" w14:textId="77777777" w:rsidTr="00DD4ED9">
        <w:trPr>
          <w:trHeight w:val="339"/>
          <w:jc w:val="center"/>
        </w:trPr>
        <w:tc>
          <w:tcPr>
            <w:tcW w:w="421" w:type="dxa"/>
          </w:tcPr>
          <w:p w14:paraId="252A68C7" w14:textId="77777777" w:rsidR="00077F04" w:rsidRPr="00992DE1" w:rsidRDefault="00077F04" w:rsidP="00346F24">
            <w:pPr>
              <w:ind w:left="57" w:right="57"/>
              <w:jc w:val="both"/>
            </w:pPr>
            <w:r w:rsidRPr="00992DE1">
              <w:t>2.</w:t>
            </w:r>
          </w:p>
        </w:tc>
        <w:tc>
          <w:tcPr>
            <w:tcW w:w="2856" w:type="dxa"/>
          </w:tcPr>
          <w:p w14:paraId="67025436" w14:textId="77777777" w:rsidR="00077F04" w:rsidRPr="00992DE1" w:rsidRDefault="00077F04" w:rsidP="00346F24">
            <w:pPr>
              <w:ind w:left="57" w:right="57"/>
            </w:pPr>
            <w:r w:rsidRPr="00992DE1">
              <w:t>Sabiedrības līdzdalība projekta izstrādē</w:t>
            </w:r>
          </w:p>
        </w:tc>
        <w:tc>
          <w:tcPr>
            <w:tcW w:w="6394" w:type="dxa"/>
          </w:tcPr>
          <w:p w14:paraId="5F65851D" w14:textId="77777777" w:rsidR="00077F04" w:rsidRPr="00992DE1" w:rsidRDefault="00077F04" w:rsidP="00417E90">
            <w:pPr>
              <w:shd w:val="clear" w:color="auto" w:fill="FFFFFF"/>
              <w:ind w:left="79" w:right="93"/>
              <w:jc w:val="both"/>
            </w:pPr>
            <w:bookmarkStart w:id="4" w:name="p62"/>
            <w:bookmarkEnd w:id="4"/>
            <w:r w:rsidRPr="00992DE1">
              <w:t>Sabiedrības pārstāvjiem tika nodrošinātas šādas iespējas līdzdarboties MK noteikumu projekta izstrādē:</w:t>
            </w:r>
          </w:p>
          <w:p w14:paraId="54B0A025" w14:textId="6DACF998" w:rsidR="00077F04" w:rsidRPr="00992DE1" w:rsidRDefault="00077F04" w:rsidP="00CF4835">
            <w:pPr>
              <w:shd w:val="clear" w:color="auto" w:fill="FFFFFF"/>
              <w:ind w:left="114" w:right="93"/>
              <w:jc w:val="both"/>
              <w:rPr>
                <w:iCs/>
              </w:rPr>
            </w:pPr>
            <w:r w:rsidRPr="00992DE1">
              <w:rPr>
                <w:iCs/>
              </w:rPr>
              <w:t>1) rakstiski sniegt viedokli par MK projektu (d</w:t>
            </w:r>
            <w:r w:rsidR="00991337" w:rsidRPr="00992DE1">
              <w:rPr>
                <w:iCs/>
              </w:rPr>
              <w:t>iskusijas dokumentu) līdz 2016.gada 12.</w:t>
            </w:r>
            <w:r w:rsidRPr="00992DE1">
              <w:rPr>
                <w:iCs/>
              </w:rPr>
              <w:t xml:space="preserve">oktobrim - nosūtot elektroniski uz e-pastu: </w:t>
            </w:r>
            <w:hyperlink r:id="rId9" w:history="1">
              <w:r w:rsidRPr="00992DE1">
                <w:rPr>
                  <w:rStyle w:val="Hyperlink"/>
                  <w:iCs/>
                  <w:color w:val="auto"/>
                  <w:u w:val="none"/>
                </w:rPr>
                <w:t>atbildiga.iestade@lm.gov.lv</w:t>
              </w:r>
            </w:hyperlink>
            <w:r w:rsidRPr="00992DE1">
              <w:rPr>
                <w:iCs/>
              </w:rPr>
              <w:t>,</w:t>
            </w:r>
          </w:p>
          <w:p w14:paraId="70A16133" w14:textId="77777777" w:rsidR="00077F04" w:rsidRPr="00992DE1" w:rsidRDefault="00077F04" w:rsidP="00CF4835">
            <w:pPr>
              <w:shd w:val="clear" w:color="auto" w:fill="FFFFFF"/>
              <w:ind w:left="114" w:right="93"/>
              <w:jc w:val="both"/>
              <w:rPr>
                <w:iCs/>
              </w:rPr>
            </w:pPr>
            <w:r w:rsidRPr="00992DE1">
              <w:rPr>
                <w:iCs/>
              </w:rPr>
              <w:t>2) klātienē.</w:t>
            </w:r>
          </w:p>
          <w:p w14:paraId="16FC99E3" w14:textId="062911ED" w:rsidR="00610361" w:rsidRPr="00992DE1" w:rsidRDefault="00610361" w:rsidP="00CF4835">
            <w:pPr>
              <w:shd w:val="clear" w:color="auto" w:fill="FFFFFF"/>
              <w:ind w:left="114" w:right="93"/>
              <w:jc w:val="both"/>
              <w:rPr>
                <w:sz w:val="12"/>
              </w:rPr>
            </w:pPr>
          </w:p>
        </w:tc>
      </w:tr>
      <w:tr w:rsidR="00F81B5A" w:rsidRPr="00992DE1" w14:paraId="3BCE17EF" w14:textId="77777777" w:rsidTr="00DD4ED9">
        <w:trPr>
          <w:trHeight w:val="476"/>
          <w:jc w:val="center"/>
        </w:trPr>
        <w:tc>
          <w:tcPr>
            <w:tcW w:w="421" w:type="dxa"/>
          </w:tcPr>
          <w:p w14:paraId="1EDB1A57" w14:textId="77777777" w:rsidR="00077F04" w:rsidRPr="00992DE1" w:rsidRDefault="00077F04" w:rsidP="00346F24">
            <w:pPr>
              <w:ind w:left="57" w:right="57"/>
              <w:jc w:val="both"/>
            </w:pPr>
            <w:r w:rsidRPr="00992DE1">
              <w:t>3.</w:t>
            </w:r>
          </w:p>
        </w:tc>
        <w:tc>
          <w:tcPr>
            <w:tcW w:w="2856" w:type="dxa"/>
          </w:tcPr>
          <w:p w14:paraId="568E3DC4" w14:textId="77777777" w:rsidR="00077F04" w:rsidRPr="00992DE1" w:rsidRDefault="00077F04" w:rsidP="00346F24">
            <w:pPr>
              <w:ind w:left="57" w:right="57"/>
            </w:pPr>
            <w:r w:rsidRPr="00992DE1">
              <w:t>Sabiedrības līdzdalības rezultāti</w:t>
            </w:r>
          </w:p>
        </w:tc>
        <w:tc>
          <w:tcPr>
            <w:tcW w:w="6394" w:type="dxa"/>
          </w:tcPr>
          <w:p w14:paraId="29E470F4" w14:textId="5EBFBB74" w:rsidR="00077F04" w:rsidRPr="00992DE1" w:rsidRDefault="00077F04" w:rsidP="00CF4835">
            <w:pPr>
              <w:shd w:val="clear" w:color="auto" w:fill="FFFFFF"/>
              <w:ind w:left="114" w:right="113"/>
              <w:jc w:val="both"/>
            </w:pPr>
            <w:r w:rsidRPr="00992DE1">
              <w:t>Iebildumi/komentāri netika saņemti.</w:t>
            </w:r>
          </w:p>
        </w:tc>
      </w:tr>
      <w:tr w:rsidR="00077F04" w:rsidRPr="00992DE1" w14:paraId="13C5AF85" w14:textId="77777777" w:rsidTr="00DD4ED9">
        <w:trPr>
          <w:trHeight w:val="476"/>
          <w:jc w:val="center"/>
        </w:trPr>
        <w:tc>
          <w:tcPr>
            <w:tcW w:w="421" w:type="dxa"/>
          </w:tcPr>
          <w:p w14:paraId="6C78F6C0" w14:textId="77777777" w:rsidR="00077F04" w:rsidRPr="00992DE1" w:rsidRDefault="00077F04" w:rsidP="00346F24">
            <w:pPr>
              <w:ind w:left="57" w:right="57"/>
              <w:jc w:val="both"/>
            </w:pPr>
            <w:r w:rsidRPr="00992DE1">
              <w:t>4.</w:t>
            </w:r>
          </w:p>
        </w:tc>
        <w:tc>
          <w:tcPr>
            <w:tcW w:w="2856" w:type="dxa"/>
          </w:tcPr>
          <w:p w14:paraId="779F162A" w14:textId="77777777" w:rsidR="00077F04" w:rsidRPr="00992DE1" w:rsidRDefault="00077F04" w:rsidP="00346F24">
            <w:pPr>
              <w:ind w:left="57" w:right="57"/>
            </w:pPr>
            <w:r w:rsidRPr="00992DE1">
              <w:t>Cita informācija</w:t>
            </w:r>
          </w:p>
        </w:tc>
        <w:tc>
          <w:tcPr>
            <w:tcW w:w="6394" w:type="dxa"/>
          </w:tcPr>
          <w:p w14:paraId="2D22312F" w14:textId="77777777" w:rsidR="00077F04" w:rsidRPr="00992DE1" w:rsidRDefault="00077F04" w:rsidP="00CF4835">
            <w:pPr>
              <w:ind w:left="114" w:right="113"/>
              <w:jc w:val="both"/>
            </w:pPr>
            <w:r w:rsidRPr="00992DE1">
              <w:t>Nav.</w:t>
            </w:r>
          </w:p>
        </w:tc>
      </w:tr>
    </w:tbl>
    <w:p w14:paraId="21EB33D2" w14:textId="77777777" w:rsidR="00077F04" w:rsidRPr="00992DE1" w:rsidRDefault="00077F04" w:rsidP="00346F24"/>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129"/>
        <w:gridCol w:w="5115"/>
      </w:tblGrid>
      <w:tr w:rsidR="00F81B5A" w:rsidRPr="00992DE1" w14:paraId="5E5C7EAE" w14:textId="77777777" w:rsidTr="00DD4ED9">
        <w:trPr>
          <w:trHeight w:val="381"/>
          <w:jc w:val="center"/>
        </w:trPr>
        <w:tc>
          <w:tcPr>
            <w:tcW w:w="9665" w:type="dxa"/>
            <w:gridSpan w:val="3"/>
            <w:vAlign w:val="center"/>
          </w:tcPr>
          <w:p w14:paraId="572FC319" w14:textId="77777777" w:rsidR="00077F04" w:rsidRPr="00992DE1" w:rsidRDefault="00077F04" w:rsidP="00346F24">
            <w:pPr>
              <w:pStyle w:val="naisnod"/>
              <w:spacing w:before="0" w:beforeAutospacing="0" w:after="0" w:afterAutospacing="0"/>
              <w:ind w:left="57" w:right="57"/>
              <w:jc w:val="center"/>
            </w:pPr>
            <w:r w:rsidRPr="00992DE1">
              <w:rPr>
                <w:b/>
              </w:rPr>
              <w:t>VII. Tiesību akta projekta izpildes nodrošināšana un tās ietekme uz institūcijām</w:t>
            </w:r>
          </w:p>
        </w:tc>
      </w:tr>
      <w:tr w:rsidR="00F81B5A" w:rsidRPr="00992DE1" w14:paraId="08195E11" w14:textId="77777777" w:rsidTr="00DD4ED9">
        <w:trPr>
          <w:trHeight w:val="427"/>
          <w:jc w:val="center"/>
        </w:trPr>
        <w:tc>
          <w:tcPr>
            <w:tcW w:w="421" w:type="dxa"/>
          </w:tcPr>
          <w:p w14:paraId="1D74C8EE" w14:textId="77777777" w:rsidR="00077F04" w:rsidRPr="00992DE1" w:rsidRDefault="00077F04" w:rsidP="00346F24">
            <w:pPr>
              <w:pStyle w:val="naisnod"/>
              <w:spacing w:before="0" w:beforeAutospacing="0" w:after="0" w:afterAutospacing="0"/>
              <w:ind w:left="57" w:right="57"/>
              <w:jc w:val="both"/>
            </w:pPr>
            <w:r w:rsidRPr="00992DE1">
              <w:lastRenderedPageBreak/>
              <w:t>1.</w:t>
            </w:r>
          </w:p>
        </w:tc>
        <w:tc>
          <w:tcPr>
            <w:tcW w:w="4129" w:type="dxa"/>
          </w:tcPr>
          <w:p w14:paraId="244D25A2" w14:textId="77777777" w:rsidR="00077F04" w:rsidRPr="00992DE1" w:rsidRDefault="00077F04" w:rsidP="00346F24">
            <w:pPr>
              <w:pStyle w:val="naisf"/>
              <w:spacing w:before="0" w:beforeAutospacing="0" w:after="0" w:afterAutospacing="0"/>
              <w:ind w:left="57" w:right="57"/>
            </w:pPr>
            <w:r w:rsidRPr="00992DE1">
              <w:t>Projekta izpildē iesaistītās institūcijas</w:t>
            </w:r>
          </w:p>
        </w:tc>
        <w:tc>
          <w:tcPr>
            <w:tcW w:w="5115" w:type="dxa"/>
          </w:tcPr>
          <w:p w14:paraId="050BC2DA" w14:textId="77777777" w:rsidR="00077F04" w:rsidRPr="00992DE1" w:rsidRDefault="002D08DF" w:rsidP="00CF4835">
            <w:pPr>
              <w:shd w:val="clear" w:color="auto" w:fill="FFFFFF"/>
              <w:ind w:left="94" w:right="113"/>
              <w:jc w:val="both"/>
            </w:pPr>
            <w:bookmarkStart w:id="5" w:name="p66"/>
            <w:bookmarkStart w:id="6" w:name="p67"/>
            <w:bookmarkStart w:id="7" w:name="p68"/>
            <w:bookmarkStart w:id="8" w:name="p69"/>
            <w:bookmarkEnd w:id="5"/>
            <w:bookmarkEnd w:id="6"/>
            <w:bookmarkEnd w:id="7"/>
            <w:bookmarkEnd w:id="8"/>
            <w:r w:rsidRPr="00992DE1">
              <w:t>LM</w:t>
            </w:r>
            <w:r w:rsidR="00077F04" w:rsidRPr="00992DE1">
              <w:t xml:space="preserve"> kā atbildīgā iestāde, </w:t>
            </w:r>
            <w:r w:rsidR="007C01FE" w:rsidRPr="00992DE1">
              <w:t>CFLA</w:t>
            </w:r>
            <w:r w:rsidR="00077F04" w:rsidRPr="00992DE1">
              <w:t xml:space="preserve"> kā sadarbības iestāde, NVA</w:t>
            </w:r>
            <w:r w:rsidR="00346F24" w:rsidRPr="00992DE1">
              <w:t xml:space="preserve"> un VIAA</w:t>
            </w:r>
            <w:r w:rsidR="00077F04" w:rsidRPr="00992DE1">
              <w:t xml:space="preserve"> kā finansējuma saņēmēj</w:t>
            </w:r>
            <w:r w:rsidR="00346F24" w:rsidRPr="00992DE1">
              <w:t>i</w:t>
            </w:r>
            <w:r w:rsidR="00077F04" w:rsidRPr="00992DE1">
              <w:t>.</w:t>
            </w:r>
          </w:p>
          <w:p w14:paraId="3EA98328" w14:textId="32F1E5DB" w:rsidR="00591B36" w:rsidRPr="00992DE1" w:rsidRDefault="00591B36" w:rsidP="00CF4835">
            <w:pPr>
              <w:shd w:val="clear" w:color="auto" w:fill="FFFFFF"/>
              <w:ind w:left="94" w:right="113"/>
              <w:jc w:val="both"/>
              <w:rPr>
                <w:sz w:val="10"/>
              </w:rPr>
            </w:pPr>
          </w:p>
        </w:tc>
      </w:tr>
      <w:tr w:rsidR="00F81B5A" w:rsidRPr="00992DE1" w14:paraId="07FD7492" w14:textId="77777777" w:rsidTr="00DD4ED9">
        <w:trPr>
          <w:trHeight w:val="463"/>
          <w:jc w:val="center"/>
        </w:trPr>
        <w:tc>
          <w:tcPr>
            <w:tcW w:w="421" w:type="dxa"/>
          </w:tcPr>
          <w:p w14:paraId="503A5F0F" w14:textId="77777777" w:rsidR="00077F04" w:rsidRPr="00992DE1" w:rsidRDefault="00077F04" w:rsidP="00346F24">
            <w:pPr>
              <w:pStyle w:val="naisnod"/>
              <w:spacing w:before="0" w:beforeAutospacing="0" w:after="0" w:afterAutospacing="0"/>
              <w:ind w:left="57" w:right="57"/>
              <w:jc w:val="both"/>
            </w:pPr>
            <w:r w:rsidRPr="00992DE1">
              <w:t>2.</w:t>
            </w:r>
          </w:p>
        </w:tc>
        <w:tc>
          <w:tcPr>
            <w:tcW w:w="4129" w:type="dxa"/>
          </w:tcPr>
          <w:p w14:paraId="6A5D94B8" w14:textId="77777777" w:rsidR="00077F04" w:rsidRPr="00992DE1" w:rsidRDefault="00077F04" w:rsidP="00346F24">
            <w:pPr>
              <w:pStyle w:val="naisf"/>
              <w:spacing w:before="0" w:beforeAutospacing="0" w:after="0" w:afterAutospacing="0"/>
              <w:ind w:left="57" w:right="57"/>
            </w:pPr>
            <w:r w:rsidRPr="00992DE1">
              <w:t>Projekta izpildes ietekme uz pār</w:t>
            </w:r>
            <w:r w:rsidRPr="00992DE1">
              <w:softHyphen/>
              <w:t>valdes funkcijām un institucionālo struktūru.</w:t>
            </w:r>
          </w:p>
          <w:p w14:paraId="231F419E" w14:textId="77777777" w:rsidR="00077F04" w:rsidRPr="00992DE1" w:rsidRDefault="00077F04" w:rsidP="00417E90">
            <w:pPr>
              <w:pStyle w:val="naisf"/>
              <w:spacing w:before="0" w:beforeAutospacing="0" w:after="0" w:afterAutospacing="0"/>
              <w:ind w:left="57" w:right="57"/>
            </w:pPr>
            <w:r w:rsidRPr="00992DE1">
              <w:t>Jaunu institūciju izveide, esošu institūciju likvidācija vai reorga</w:t>
            </w:r>
            <w:r w:rsidRPr="00992DE1">
              <w:softHyphen/>
              <w:t>nizācija, to ietekme uz institūcijas cilvēkresursiem</w:t>
            </w:r>
          </w:p>
        </w:tc>
        <w:tc>
          <w:tcPr>
            <w:tcW w:w="5115" w:type="dxa"/>
          </w:tcPr>
          <w:p w14:paraId="01251E06" w14:textId="77777777" w:rsidR="00077F04" w:rsidRPr="00992DE1" w:rsidRDefault="00077F04" w:rsidP="00417E90">
            <w:pPr>
              <w:shd w:val="clear" w:color="auto" w:fill="FFFFFF"/>
              <w:ind w:left="57" w:right="113"/>
              <w:jc w:val="both"/>
            </w:pPr>
            <w:r w:rsidRPr="00992DE1">
              <w:t>MK noteikumu projekts šo jomu neskar.</w:t>
            </w:r>
          </w:p>
        </w:tc>
      </w:tr>
      <w:tr w:rsidR="00077F04" w:rsidRPr="00992DE1" w14:paraId="77E21A75" w14:textId="77777777" w:rsidTr="00DD4ED9">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216DB4D9" w14:textId="77777777" w:rsidR="00077F04" w:rsidRPr="00992DE1" w:rsidRDefault="00077F04" w:rsidP="00346F24">
            <w:pPr>
              <w:pStyle w:val="naisnod"/>
              <w:spacing w:before="0" w:beforeAutospacing="0" w:after="0" w:afterAutospacing="0"/>
              <w:ind w:left="57" w:right="57"/>
              <w:jc w:val="both"/>
            </w:pPr>
            <w:r w:rsidRPr="00992DE1">
              <w:t>3.</w:t>
            </w:r>
          </w:p>
        </w:tc>
        <w:tc>
          <w:tcPr>
            <w:tcW w:w="4129" w:type="dxa"/>
            <w:tcBorders>
              <w:top w:val="single" w:sz="4" w:space="0" w:color="auto"/>
              <w:left w:val="single" w:sz="4" w:space="0" w:color="auto"/>
              <w:bottom w:val="single" w:sz="4" w:space="0" w:color="auto"/>
              <w:right w:val="single" w:sz="4" w:space="0" w:color="auto"/>
            </w:tcBorders>
          </w:tcPr>
          <w:p w14:paraId="08BFA378" w14:textId="77777777" w:rsidR="00077F04" w:rsidRPr="00992DE1" w:rsidRDefault="00077F04" w:rsidP="00346F24">
            <w:pPr>
              <w:pStyle w:val="naisf"/>
              <w:spacing w:before="0" w:beforeAutospacing="0" w:after="0" w:afterAutospacing="0"/>
              <w:ind w:left="57" w:right="57"/>
            </w:pPr>
            <w:r w:rsidRPr="00992DE1">
              <w:t>Cita informācija</w:t>
            </w:r>
          </w:p>
        </w:tc>
        <w:tc>
          <w:tcPr>
            <w:tcW w:w="5115" w:type="dxa"/>
            <w:tcBorders>
              <w:top w:val="single" w:sz="4" w:space="0" w:color="auto"/>
              <w:left w:val="single" w:sz="4" w:space="0" w:color="auto"/>
              <w:bottom w:val="single" w:sz="4" w:space="0" w:color="auto"/>
              <w:right w:val="single" w:sz="4" w:space="0" w:color="auto"/>
            </w:tcBorders>
          </w:tcPr>
          <w:p w14:paraId="3AEED805" w14:textId="77777777" w:rsidR="00077F04" w:rsidRPr="00992DE1" w:rsidRDefault="00077F04" w:rsidP="00417E90">
            <w:pPr>
              <w:ind w:left="57" w:right="57"/>
              <w:jc w:val="both"/>
            </w:pPr>
            <w:r w:rsidRPr="00992DE1">
              <w:t>Nav.</w:t>
            </w:r>
          </w:p>
        </w:tc>
      </w:tr>
    </w:tbl>
    <w:p w14:paraId="381DEC8C" w14:textId="77777777" w:rsidR="00077F04" w:rsidRPr="00992DE1" w:rsidRDefault="00077F04" w:rsidP="00346F24"/>
    <w:p w14:paraId="6F087C04" w14:textId="66A68030" w:rsidR="00077F04" w:rsidRPr="00992DE1" w:rsidRDefault="00077F04" w:rsidP="00346F24">
      <w:r w:rsidRPr="00992DE1">
        <w:t>Anotācijas V.sadaļa – MK noteikumu projekts šo jomu neskar.</w:t>
      </w:r>
    </w:p>
    <w:p w14:paraId="605E6ACD" w14:textId="24F469CC" w:rsidR="009A27AC" w:rsidRDefault="009A27AC" w:rsidP="00346F24"/>
    <w:p w14:paraId="4F8B79A5" w14:textId="7D2D0543" w:rsidR="00992DE1" w:rsidRDefault="00992DE1" w:rsidP="00346F24"/>
    <w:p w14:paraId="432FD925" w14:textId="77777777" w:rsidR="00992DE1" w:rsidRPr="00992DE1" w:rsidRDefault="00992DE1" w:rsidP="00346F24"/>
    <w:p w14:paraId="7481DCEE" w14:textId="77777777" w:rsidR="00992DE1" w:rsidRPr="00992DE1" w:rsidRDefault="00992DE1" w:rsidP="00992DE1">
      <w:pPr>
        <w:ind w:left="-142" w:right="-382"/>
        <w:rPr>
          <w:sz w:val="28"/>
        </w:rPr>
      </w:pPr>
      <w:r w:rsidRPr="00992DE1">
        <w:rPr>
          <w:sz w:val="28"/>
        </w:rPr>
        <w:t>Labklājības ministra vietā –</w:t>
      </w:r>
    </w:p>
    <w:p w14:paraId="35059F22" w14:textId="77777777" w:rsidR="00992DE1" w:rsidRPr="00992DE1" w:rsidRDefault="00992DE1" w:rsidP="00992DE1">
      <w:pPr>
        <w:ind w:left="-142" w:right="-382"/>
        <w:rPr>
          <w:sz w:val="28"/>
        </w:rPr>
      </w:pPr>
      <w:r w:rsidRPr="00992DE1">
        <w:rPr>
          <w:sz w:val="28"/>
        </w:rPr>
        <w:t>Ministru prezidenta biedrs, ekonomikas ministrs                               A.Ašeradens</w:t>
      </w:r>
    </w:p>
    <w:p w14:paraId="231E229E" w14:textId="77777777" w:rsidR="00992DE1" w:rsidRDefault="00992DE1" w:rsidP="002D08DF">
      <w:pPr>
        <w:rPr>
          <w:sz w:val="20"/>
        </w:rPr>
      </w:pPr>
    </w:p>
    <w:p w14:paraId="62B74318" w14:textId="77777777" w:rsidR="00992DE1" w:rsidRDefault="00992DE1" w:rsidP="002D08DF">
      <w:pPr>
        <w:rPr>
          <w:sz w:val="20"/>
        </w:rPr>
      </w:pPr>
    </w:p>
    <w:p w14:paraId="1D930BD1" w14:textId="77777777" w:rsidR="00992DE1" w:rsidRDefault="00992DE1" w:rsidP="002D08DF">
      <w:pPr>
        <w:rPr>
          <w:sz w:val="20"/>
        </w:rPr>
      </w:pPr>
    </w:p>
    <w:p w14:paraId="6EFA9286" w14:textId="77777777" w:rsidR="00992DE1" w:rsidRDefault="00992DE1" w:rsidP="002D08DF">
      <w:pPr>
        <w:rPr>
          <w:sz w:val="20"/>
        </w:rPr>
      </w:pPr>
    </w:p>
    <w:p w14:paraId="1613D9BF" w14:textId="77777777" w:rsidR="00992DE1" w:rsidRDefault="00992DE1" w:rsidP="002D08DF">
      <w:pPr>
        <w:rPr>
          <w:sz w:val="20"/>
        </w:rPr>
      </w:pPr>
    </w:p>
    <w:p w14:paraId="76745190" w14:textId="77777777" w:rsidR="00992DE1" w:rsidRDefault="00992DE1" w:rsidP="002D08DF">
      <w:pPr>
        <w:rPr>
          <w:sz w:val="20"/>
        </w:rPr>
      </w:pPr>
    </w:p>
    <w:p w14:paraId="004CD7AA" w14:textId="77777777" w:rsidR="00992DE1" w:rsidRDefault="00992DE1" w:rsidP="002D08DF">
      <w:pPr>
        <w:rPr>
          <w:sz w:val="20"/>
        </w:rPr>
      </w:pPr>
    </w:p>
    <w:p w14:paraId="6D39BB4B" w14:textId="77777777" w:rsidR="00992DE1" w:rsidRDefault="00992DE1" w:rsidP="002D08DF">
      <w:pPr>
        <w:rPr>
          <w:sz w:val="20"/>
        </w:rPr>
      </w:pPr>
    </w:p>
    <w:p w14:paraId="76BBE230" w14:textId="77777777" w:rsidR="00992DE1" w:rsidRDefault="00992DE1" w:rsidP="002D08DF">
      <w:pPr>
        <w:rPr>
          <w:sz w:val="20"/>
        </w:rPr>
      </w:pPr>
    </w:p>
    <w:p w14:paraId="00AEDFAE" w14:textId="77777777" w:rsidR="00992DE1" w:rsidRDefault="00992DE1" w:rsidP="002D08DF">
      <w:pPr>
        <w:rPr>
          <w:sz w:val="20"/>
        </w:rPr>
      </w:pPr>
    </w:p>
    <w:p w14:paraId="6C04A473" w14:textId="77777777" w:rsidR="00992DE1" w:rsidRDefault="00992DE1" w:rsidP="002D08DF">
      <w:pPr>
        <w:rPr>
          <w:sz w:val="20"/>
        </w:rPr>
      </w:pPr>
    </w:p>
    <w:p w14:paraId="43A54394" w14:textId="77777777" w:rsidR="00992DE1" w:rsidRDefault="00992DE1" w:rsidP="002D08DF">
      <w:pPr>
        <w:rPr>
          <w:sz w:val="20"/>
        </w:rPr>
      </w:pPr>
    </w:p>
    <w:p w14:paraId="219ED560" w14:textId="77777777" w:rsidR="00992DE1" w:rsidRDefault="00992DE1" w:rsidP="002D08DF">
      <w:pPr>
        <w:rPr>
          <w:sz w:val="20"/>
        </w:rPr>
      </w:pPr>
    </w:p>
    <w:p w14:paraId="7D7107A8" w14:textId="77777777" w:rsidR="00992DE1" w:rsidRDefault="00992DE1" w:rsidP="002D08DF">
      <w:pPr>
        <w:rPr>
          <w:sz w:val="20"/>
        </w:rPr>
      </w:pPr>
    </w:p>
    <w:p w14:paraId="7B205341" w14:textId="77777777" w:rsidR="00992DE1" w:rsidRDefault="00992DE1" w:rsidP="002D08DF">
      <w:pPr>
        <w:rPr>
          <w:sz w:val="20"/>
        </w:rPr>
      </w:pPr>
    </w:p>
    <w:p w14:paraId="3C42A95F" w14:textId="77777777" w:rsidR="00992DE1" w:rsidRDefault="00992DE1" w:rsidP="002D08DF">
      <w:pPr>
        <w:rPr>
          <w:sz w:val="20"/>
        </w:rPr>
      </w:pPr>
    </w:p>
    <w:p w14:paraId="53DBD0AA" w14:textId="77777777" w:rsidR="00992DE1" w:rsidRDefault="00992DE1" w:rsidP="002D08DF">
      <w:pPr>
        <w:rPr>
          <w:sz w:val="20"/>
        </w:rPr>
      </w:pPr>
    </w:p>
    <w:p w14:paraId="459CF596" w14:textId="77777777" w:rsidR="00992DE1" w:rsidRDefault="00992DE1" w:rsidP="002D08DF">
      <w:pPr>
        <w:rPr>
          <w:sz w:val="20"/>
        </w:rPr>
      </w:pPr>
    </w:p>
    <w:p w14:paraId="0BD8DE43" w14:textId="77777777" w:rsidR="00992DE1" w:rsidRDefault="00992DE1" w:rsidP="002D08DF">
      <w:pPr>
        <w:rPr>
          <w:sz w:val="20"/>
        </w:rPr>
      </w:pPr>
    </w:p>
    <w:p w14:paraId="59FA3092" w14:textId="77777777" w:rsidR="00992DE1" w:rsidRDefault="00992DE1" w:rsidP="002D08DF">
      <w:pPr>
        <w:rPr>
          <w:sz w:val="20"/>
        </w:rPr>
      </w:pPr>
    </w:p>
    <w:p w14:paraId="10804185" w14:textId="77777777" w:rsidR="00992DE1" w:rsidRDefault="00992DE1" w:rsidP="002D08DF">
      <w:pPr>
        <w:rPr>
          <w:sz w:val="20"/>
        </w:rPr>
      </w:pPr>
    </w:p>
    <w:p w14:paraId="1A92A075" w14:textId="77777777" w:rsidR="00992DE1" w:rsidRDefault="00992DE1" w:rsidP="002D08DF">
      <w:pPr>
        <w:rPr>
          <w:sz w:val="20"/>
        </w:rPr>
      </w:pPr>
    </w:p>
    <w:p w14:paraId="4DCF72E8" w14:textId="77777777" w:rsidR="00992DE1" w:rsidRDefault="00992DE1" w:rsidP="002D08DF">
      <w:pPr>
        <w:rPr>
          <w:sz w:val="20"/>
        </w:rPr>
      </w:pPr>
    </w:p>
    <w:p w14:paraId="449AE8D0" w14:textId="77777777" w:rsidR="00992DE1" w:rsidRDefault="00992DE1" w:rsidP="002D08DF">
      <w:pPr>
        <w:rPr>
          <w:sz w:val="20"/>
        </w:rPr>
      </w:pPr>
    </w:p>
    <w:p w14:paraId="5EEC1E7B" w14:textId="2FE99CF0" w:rsidR="00992DE1" w:rsidRDefault="00992DE1" w:rsidP="002D08DF">
      <w:pPr>
        <w:rPr>
          <w:sz w:val="20"/>
        </w:rPr>
      </w:pPr>
    </w:p>
    <w:p w14:paraId="30367D41" w14:textId="77777777" w:rsidR="00992DE1" w:rsidRDefault="00992DE1" w:rsidP="002D08DF">
      <w:pPr>
        <w:rPr>
          <w:sz w:val="20"/>
        </w:rPr>
      </w:pPr>
    </w:p>
    <w:p w14:paraId="0153686F" w14:textId="77777777" w:rsidR="00992DE1" w:rsidRDefault="00992DE1" w:rsidP="002D08DF">
      <w:pPr>
        <w:rPr>
          <w:sz w:val="20"/>
        </w:rPr>
      </w:pPr>
    </w:p>
    <w:p w14:paraId="63FB1107" w14:textId="77777777" w:rsidR="00992DE1" w:rsidRDefault="00992DE1" w:rsidP="002D08DF">
      <w:pPr>
        <w:rPr>
          <w:sz w:val="20"/>
        </w:rPr>
      </w:pPr>
    </w:p>
    <w:p w14:paraId="42B16020" w14:textId="3CCF1DDC" w:rsidR="002D08DF" w:rsidRPr="00992DE1" w:rsidRDefault="00966F50" w:rsidP="002D08DF">
      <w:pPr>
        <w:rPr>
          <w:sz w:val="20"/>
        </w:rPr>
      </w:pPr>
      <w:r w:rsidRPr="00992DE1">
        <w:rPr>
          <w:sz w:val="20"/>
        </w:rPr>
        <w:t>2</w:t>
      </w:r>
      <w:r w:rsidR="00971BB6" w:rsidRPr="00992DE1">
        <w:rPr>
          <w:sz w:val="20"/>
        </w:rPr>
        <w:t>8</w:t>
      </w:r>
      <w:r w:rsidR="002D08DF" w:rsidRPr="00992DE1">
        <w:rPr>
          <w:sz w:val="20"/>
        </w:rPr>
        <w:t>.1</w:t>
      </w:r>
      <w:r w:rsidR="006C1340" w:rsidRPr="00992DE1">
        <w:rPr>
          <w:sz w:val="20"/>
        </w:rPr>
        <w:t>2</w:t>
      </w:r>
      <w:r w:rsidR="002D08DF" w:rsidRPr="00992DE1">
        <w:rPr>
          <w:sz w:val="20"/>
        </w:rPr>
        <w:t xml:space="preserve">.2016. </w:t>
      </w:r>
      <w:r w:rsidR="00992DE1">
        <w:rPr>
          <w:sz w:val="20"/>
        </w:rPr>
        <w:t>10</w:t>
      </w:r>
      <w:r w:rsidR="003C5048" w:rsidRPr="00992DE1">
        <w:rPr>
          <w:sz w:val="20"/>
        </w:rPr>
        <w:t>:</w:t>
      </w:r>
      <w:r w:rsidR="00992DE1">
        <w:rPr>
          <w:sz w:val="20"/>
        </w:rPr>
        <w:t>05</w:t>
      </w:r>
      <w:bookmarkStart w:id="9" w:name="_GoBack"/>
      <w:bookmarkEnd w:id="9"/>
    </w:p>
    <w:p w14:paraId="29C18D1C" w14:textId="7233DAD7" w:rsidR="002D08DF" w:rsidRPr="00992DE1" w:rsidRDefault="00C70E8E" w:rsidP="002D08DF">
      <w:pPr>
        <w:rPr>
          <w:sz w:val="20"/>
        </w:rPr>
      </w:pPr>
      <w:r w:rsidRPr="00992DE1">
        <w:rPr>
          <w:sz w:val="20"/>
        </w:rPr>
        <w:t>3</w:t>
      </w:r>
      <w:r w:rsidR="00992DE1">
        <w:rPr>
          <w:sz w:val="20"/>
        </w:rPr>
        <w:t>737</w:t>
      </w:r>
    </w:p>
    <w:p w14:paraId="014F2AB7" w14:textId="77777777" w:rsidR="002D08DF" w:rsidRPr="00992DE1" w:rsidRDefault="002D08DF" w:rsidP="002D08DF">
      <w:pPr>
        <w:rPr>
          <w:sz w:val="20"/>
        </w:rPr>
      </w:pPr>
      <w:r w:rsidRPr="00992DE1">
        <w:rPr>
          <w:sz w:val="20"/>
        </w:rPr>
        <w:t>K.Korsaka, 67021565</w:t>
      </w:r>
    </w:p>
    <w:p w14:paraId="3CB6C39C" w14:textId="0AC9F15F" w:rsidR="002D08DF" w:rsidRPr="00992DE1" w:rsidRDefault="00992DE1" w:rsidP="00346F24">
      <w:hyperlink r:id="rId10" w:history="1">
        <w:r w:rsidR="002D08DF" w:rsidRPr="00992DE1">
          <w:rPr>
            <w:rStyle w:val="Hyperlink"/>
            <w:color w:val="auto"/>
            <w:sz w:val="20"/>
            <w:u w:val="none"/>
          </w:rPr>
          <w:t>Karina.Korsaka@lm.gov.lv</w:t>
        </w:r>
      </w:hyperlink>
    </w:p>
    <w:sectPr w:rsidR="002D08DF" w:rsidRPr="00992DE1" w:rsidSect="00992DE1">
      <w:footerReference w:type="default" r:id="rId11"/>
      <w:pgSz w:w="11906" w:h="16838"/>
      <w:pgMar w:top="1135" w:right="1416" w:bottom="1276" w:left="180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AFA34" w14:textId="77777777" w:rsidR="00DD4ED9" w:rsidRDefault="00DD4ED9" w:rsidP="00FB281F">
      <w:r>
        <w:separator/>
      </w:r>
    </w:p>
  </w:endnote>
  <w:endnote w:type="continuationSeparator" w:id="0">
    <w:p w14:paraId="541CE947" w14:textId="77777777" w:rsidR="00DD4ED9" w:rsidRDefault="00DD4ED9" w:rsidP="00FB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88458"/>
      <w:docPartObj>
        <w:docPartGallery w:val="Page Numbers (Bottom of Page)"/>
        <w:docPartUnique/>
      </w:docPartObj>
    </w:sdtPr>
    <w:sdtEndPr>
      <w:rPr>
        <w:noProof/>
      </w:rPr>
    </w:sdtEndPr>
    <w:sdtContent>
      <w:p w14:paraId="6422B3FE" w14:textId="46FEECB0" w:rsidR="00DD4ED9" w:rsidRDefault="00DD4ED9">
        <w:pPr>
          <w:pStyle w:val="Footer"/>
          <w:jc w:val="center"/>
        </w:pPr>
        <w:r>
          <w:fldChar w:fldCharType="begin"/>
        </w:r>
        <w:r>
          <w:instrText xml:space="preserve"> PAGE   \* MERGEFORMAT </w:instrText>
        </w:r>
        <w:r>
          <w:fldChar w:fldCharType="separate"/>
        </w:r>
        <w:r w:rsidR="00992DE1">
          <w:rPr>
            <w:noProof/>
          </w:rPr>
          <w:t>12</w:t>
        </w:r>
        <w:r>
          <w:rPr>
            <w:noProof/>
          </w:rPr>
          <w:fldChar w:fldCharType="end"/>
        </w:r>
      </w:p>
    </w:sdtContent>
  </w:sdt>
  <w:p w14:paraId="60FF543C" w14:textId="490182C5" w:rsidR="002A5511" w:rsidRPr="002A5511" w:rsidRDefault="002A5511" w:rsidP="002A5511">
    <w:pPr>
      <w:pStyle w:val="Footer"/>
      <w:jc w:val="both"/>
      <w:rPr>
        <w:bCs/>
        <w:sz w:val="20"/>
        <w:szCs w:val="20"/>
      </w:rPr>
    </w:pPr>
    <w:r w:rsidRPr="002A5511">
      <w:rPr>
        <w:sz w:val="20"/>
        <w:szCs w:val="20"/>
      </w:rPr>
      <w:t>LMAnot_</w:t>
    </w:r>
    <w:r w:rsidR="00301A18">
      <w:rPr>
        <w:sz w:val="20"/>
        <w:szCs w:val="20"/>
      </w:rPr>
      <w:t>2</w:t>
    </w:r>
    <w:r w:rsidR="00971BB6">
      <w:rPr>
        <w:sz w:val="20"/>
        <w:szCs w:val="20"/>
      </w:rPr>
      <w:t>8</w:t>
    </w:r>
    <w:r w:rsidRPr="002A5511">
      <w:rPr>
        <w:sz w:val="20"/>
        <w:szCs w:val="20"/>
      </w:rPr>
      <w:t>122016_SAM721groz; Ministru kabineta noteikumu “</w:t>
    </w:r>
    <w:r w:rsidRPr="002A5511">
      <w:rPr>
        <w:bCs/>
        <w:sz w:val="20"/>
        <w:szCs w:val="20"/>
      </w:rPr>
      <w:t xml:space="preserve">Grozījumi “Ministru kabineta 2015.gada 28.aprīļa noteikumos Nr.207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Pr="002A5511">
      <w:rPr>
        <w:sz w:val="20"/>
        <w:szCs w:val="20"/>
      </w:rPr>
      <w:t>projekta</w:t>
    </w:r>
    <w:r w:rsidRPr="002A5511">
      <w:rPr>
        <w:bCs/>
        <w:sz w:val="20"/>
        <w:szCs w:val="20"/>
      </w:rPr>
      <w:t xml:space="preserve"> sākotnējās ietekmes novērtējuma ziņojums (anotācija)</w:t>
    </w:r>
  </w:p>
  <w:p w14:paraId="7A1EC267" w14:textId="20406214" w:rsidR="002A5511" w:rsidRPr="002A5511" w:rsidRDefault="002A5511" w:rsidP="002A5511">
    <w:pPr>
      <w:pStyle w:val="Footer"/>
    </w:pPr>
  </w:p>
  <w:p w14:paraId="2260111C" w14:textId="77777777" w:rsidR="00DD4ED9" w:rsidRDefault="00DD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858B" w14:textId="77777777" w:rsidR="00DD4ED9" w:rsidRDefault="00DD4ED9" w:rsidP="00FB281F">
      <w:r>
        <w:separator/>
      </w:r>
    </w:p>
  </w:footnote>
  <w:footnote w:type="continuationSeparator" w:id="0">
    <w:p w14:paraId="6DBD4C88" w14:textId="77777777" w:rsidR="00DD4ED9" w:rsidRDefault="00DD4ED9" w:rsidP="00FB2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5670"/>
    <w:multiLevelType w:val="hybridMultilevel"/>
    <w:tmpl w:val="ABA8FEE6"/>
    <w:lvl w:ilvl="0" w:tplc="27704D60">
      <w:start w:val="1"/>
      <w:numFmt w:val="decimal"/>
      <w:lvlText w:val="%1."/>
      <w:lvlJc w:val="left"/>
      <w:pPr>
        <w:ind w:left="298" w:hanging="360"/>
      </w:pPr>
      <w:rPr>
        <w:rFonts w:hint="default"/>
      </w:rPr>
    </w:lvl>
    <w:lvl w:ilvl="1" w:tplc="04260019">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1" w15:restartNumberingAfterBreak="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C416F7"/>
    <w:multiLevelType w:val="hybridMultilevel"/>
    <w:tmpl w:val="424CB2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3C"/>
    <w:rsid w:val="000053CB"/>
    <w:rsid w:val="00013655"/>
    <w:rsid w:val="000158B4"/>
    <w:rsid w:val="00016AF1"/>
    <w:rsid w:val="000354C0"/>
    <w:rsid w:val="00036380"/>
    <w:rsid w:val="00040555"/>
    <w:rsid w:val="00057DDB"/>
    <w:rsid w:val="0006171C"/>
    <w:rsid w:val="00062185"/>
    <w:rsid w:val="00063D05"/>
    <w:rsid w:val="0007316B"/>
    <w:rsid w:val="00077996"/>
    <w:rsid w:val="00077F04"/>
    <w:rsid w:val="00085823"/>
    <w:rsid w:val="00085B64"/>
    <w:rsid w:val="00085B97"/>
    <w:rsid w:val="00092005"/>
    <w:rsid w:val="00097803"/>
    <w:rsid w:val="000B3B66"/>
    <w:rsid w:val="000D7F8C"/>
    <w:rsid w:val="000F40D1"/>
    <w:rsid w:val="00100D56"/>
    <w:rsid w:val="0011258F"/>
    <w:rsid w:val="00116D02"/>
    <w:rsid w:val="001557FA"/>
    <w:rsid w:val="00164695"/>
    <w:rsid w:val="00170EAF"/>
    <w:rsid w:val="001772D6"/>
    <w:rsid w:val="0018284A"/>
    <w:rsid w:val="00190A8C"/>
    <w:rsid w:val="001943FA"/>
    <w:rsid w:val="001A4CD8"/>
    <w:rsid w:val="001C13B1"/>
    <w:rsid w:val="001C7750"/>
    <w:rsid w:val="001F23AD"/>
    <w:rsid w:val="001F29A5"/>
    <w:rsid w:val="002053A4"/>
    <w:rsid w:val="002060A0"/>
    <w:rsid w:val="00206FD6"/>
    <w:rsid w:val="00220B3E"/>
    <w:rsid w:val="002446F1"/>
    <w:rsid w:val="00246735"/>
    <w:rsid w:val="002848CF"/>
    <w:rsid w:val="00286987"/>
    <w:rsid w:val="002A540F"/>
    <w:rsid w:val="002A5511"/>
    <w:rsid w:val="002C091F"/>
    <w:rsid w:val="002C0928"/>
    <w:rsid w:val="002C1688"/>
    <w:rsid w:val="002C75CB"/>
    <w:rsid w:val="002D08DF"/>
    <w:rsid w:val="002D7FBF"/>
    <w:rsid w:val="002E153C"/>
    <w:rsid w:val="002E41E0"/>
    <w:rsid w:val="002E72D7"/>
    <w:rsid w:val="002F3D5A"/>
    <w:rsid w:val="00301A18"/>
    <w:rsid w:val="00305941"/>
    <w:rsid w:val="00305F61"/>
    <w:rsid w:val="0031395F"/>
    <w:rsid w:val="00322705"/>
    <w:rsid w:val="00327FAD"/>
    <w:rsid w:val="003323EB"/>
    <w:rsid w:val="00334C9B"/>
    <w:rsid w:val="00346F24"/>
    <w:rsid w:val="003538C6"/>
    <w:rsid w:val="00367E46"/>
    <w:rsid w:val="003732B8"/>
    <w:rsid w:val="00376814"/>
    <w:rsid w:val="0038308E"/>
    <w:rsid w:val="00383224"/>
    <w:rsid w:val="00394A36"/>
    <w:rsid w:val="003C12C6"/>
    <w:rsid w:val="003C5048"/>
    <w:rsid w:val="003E178A"/>
    <w:rsid w:val="003E4A93"/>
    <w:rsid w:val="003F01FD"/>
    <w:rsid w:val="003F1037"/>
    <w:rsid w:val="00401F86"/>
    <w:rsid w:val="00404474"/>
    <w:rsid w:val="00404CB0"/>
    <w:rsid w:val="00406DB0"/>
    <w:rsid w:val="00410065"/>
    <w:rsid w:val="0041549C"/>
    <w:rsid w:val="00417E90"/>
    <w:rsid w:val="00421696"/>
    <w:rsid w:val="00455969"/>
    <w:rsid w:val="00467F72"/>
    <w:rsid w:val="00476050"/>
    <w:rsid w:val="00485E72"/>
    <w:rsid w:val="004A5743"/>
    <w:rsid w:val="004A79E1"/>
    <w:rsid w:val="004B0D78"/>
    <w:rsid w:val="004C656A"/>
    <w:rsid w:val="004D4E59"/>
    <w:rsid w:val="004D61DB"/>
    <w:rsid w:val="004E4B81"/>
    <w:rsid w:val="004E7424"/>
    <w:rsid w:val="004F3D63"/>
    <w:rsid w:val="004F59C2"/>
    <w:rsid w:val="004F7568"/>
    <w:rsid w:val="0050193B"/>
    <w:rsid w:val="00510E2E"/>
    <w:rsid w:val="0052121B"/>
    <w:rsid w:val="00525639"/>
    <w:rsid w:val="00533B0C"/>
    <w:rsid w:val="00537226"/>
    <w:rsid w:val="0054440B"/>
    <w:rsid w:val="005668C7"/>
    <w:rsid w:val="00571B1C"/>
    <w:rsid w:val="005818D3"/>
    <w:rsid w:val="00591B36"/>
    <w:rsid w:val="005A1038"/>
    <w:rsid w:val="005C4979"/>
    <w:rsid w:val="005D395F"/>
    <w:rsid w:val="005D521F"/>
    <w:rsid w:val="005F3EFE"/>
    <w:rsid w:val="0060042C"/>
    <w:rsid w:val="00603406"/>
    <w:rsid w:val="00610361"/>
    <w:rsid w:val="00612377"/>
    <w:rsid w:val="00616B56"/>
    <w:rsid w:val="00646628"/>
    <w:rsid w:val="00652419"/>
    <w:rsid w:val="00667019"/>
    <w:rsid w:val="00667F91"/>
    <w:rsid w:val="006731EF"/>
    <w:rsid w:val="00674A3D"/>
    <w:rsid w:val="00693AE3"/>
    <w:rsid w:val="00693CD6"/>
    <w:rsid w:val="006C1340"/>
    <w:rsid w:val="006C15C5"/>
    <w:rsid w:val="006D372E"/>
    <w:rsid w:val="0070001D"/>
    <w:rsid w:val="00707A37"/>
    <w:rsid w:val="00712FF7"/>
    <w:rsid w:val="00715166"/>
    <w:rsid w:val="00720955"/>
    <w:rsid w:val="007235E5"/>
    <w:rsid w:val="00735E67"/>
    <w:rsid w:val="00746477"/>
    <w:rsid w:val="00760EAB"/>
    <w:rsid w:val="007710B6"/>
    <w:rsid w:val="00780BC8"/>
    <w:rsid w:val="007810D2"/>
    <w:rsid w:val="007820F9"/>
    <w:rsid w:val="0079327C"/>
    <w:rsid w:val="007B1898"/>
    <w:rsid w:val="007C01FE"/>
    <w:rsid w:val="007C0E3D"/>
    <w:rsid w:val="007C26CE"/>
    <w:rsid w:val="007C26F2"/>
    <w:rsid w:val="007D21B6"/>
    <w:rsid w:val="007F5A95"/>
    <w:rsid w:val="00802BC1"/>
    <w:rsid w:val="00805F1A"/>
    <w:rsid w:val="0081068C"/>
    <w:rsid w:val="00821A03"/>
    <w:rsid w:val="00823285"/>
    <w:rsid w:val="00836164"/>
    <w:rsid w:val="00851554"/>
    <w:rsid w:val="00854DE8"/>
    <w:rsid w:val="00855FB1"/>
    <w:rsid w:val="00861182"/>
    <w:rsid w:val="0086121F"/>
    <w:rsid w:val="00883148"/>
    <w:rsid w:val="00887D2C"/>
    <w:rsid w:val="008A69F8"/>
    <w:rsid w:val="008B163E"/>
    <w:rsid w:val="008B2982"/>
    <w:rsid w:val="008B6D8C"/>
    <w:rsid w:val="008C1B37"/>
    <w:rsid w:val="008D46D2"/>
    <w:rsid w:val="008D722B"/>
    <w:rsid w:val="008E51F3"/>
    <w:rsid w:val="008F02B4"/>
    <w:rsid w:val="009001E5"/>
    <w:rsid w:val="00907E72"/>
    <w:rsid w:val="0091262D"/>
    <w:rsid w:val="00924CB1"/>
    <w:rsid w:val="0093285B"/>
    <w:rsid w:val="00932A0E"/>
    <w:rsid w:val="00936008"/>
    <w:rsid w:val="009557C6"/>
    <w:rsid w:val="00963EB6"/>
    <w:rsid w:val="00966B1F"/>
    <w:rsid w:val="00966F50"/>
    <w:rsid w:val="009676B8"/>
    <w:rsid w:val="00971BB6"/>
    <w:rsid w:val="00980344"/>
    <w:rsid w:val="009807BC"/>
    <w:rsid w:val="00991337"/>
    <w:rsid w:val="00992DE1"/>
    <w:rsid w:val="00997115"/>
    <w:rsid w:val="009A27AC"/>
    <w:rsid w:val="009B56F2"/>
    <w:rsid w:val="009C6930"/>
    <w:rsid w:val="009D09D6"/>
    <w:rsid w:val="009D1E67"/>
    <w:rsid w:val="009E2EAA"/>
    <w:rsid w:val="009F45CC"/>
    <w:rsid w:val="009F50EA"/>
    <w:rsid w:val="009F6EFC"/>
    <w:rsid w:val="00A011C2"/>
    <w:rsid w:val="00A106CC"/>
    <w:rsid w:val="00A2326F"/>
    <w:rsid w:val="00A23552"/>
    <w:rsid w:val="00A238D8"/>
    <w:rsid w:val="00A24203"/>
    <w:rsid w:val="00A43B48"/>
    <w:rsid w:val="00A6012D"/>
    <w:rsid w:val="00A72FC9"/>
    <w:rsid w:val="00A73063"/>
    <w:rsid w:val="00A748B2"/>
    <w:rsid w:val="00A910F7"/>
    <w:rsid w:val="00A9376B"/>
    <w:rsid w:val="00A93CA1"/>
    <w:rsid w:val="00A945FE"/>
    <w:rsid w:val="00A971B1"/>
    <w:rsid w:val="00AB42BF"/>
    <w:rsid w:val="00AB7105"/>
    <w:rsid w:val="00AD7F3C"/>
    <w:rsid w:val="00AE34EC"/>
    <w:rsid w:val="00AF03A9"/>
    <w:rsid w:val="00AF223D"/>
    <w:rsid w:val="00AF49FD"/>
    <w:rsid w:val="00AF70FF"/>
    <w:rsid w:val="00AF756E"/>
    <w:rsid w:val="00B043C7"/>
    <w:rsid w:val="00B11828"/>
    <w:rsid w:val="00B14B55"/>
    <w:rsid w:val="00B354E3"/>
    <w:rsid w:val="00B51952"/>
    <w:rsid w:val="00B5498E"/>
    <w:rsid w:val="00B571C2"/>
    <w:rsid w:val="00B60BBC"/>
    <w:rsid w:val="00B71F18"/>
    <w:rsid w:val="00B924A9"/>
    <w:rsid w:val="00B95762"/>
    <w:rsid w:val="00BA78B4"/>
    <w:rsid w:val="00BB17E6"/>
    <w:rsid w:val="00BB3342"/>
    <w:rsid w:val="00BC7B29"/>
    <w:rsid w:val="00BD1E3B"/>
    <w:rsid w:val="00BD626B"/>
    <w:rsid w:val="00BE0785"/>
    <w:rsid w:val="00BE3D17"/>
    <w:rsid w:val="00BE5285"/>
    <w:rsid w:val="00C03A67"/>
    <w:rsid w:val="00C04434"/>
    <w:rsid w:val="00C047D2"/>
    <w:rsid w:val="00C17A3B"/>
    <w:rsid w:val="00C21377"/>
    <w:rsid w:val="00C247C9"/>
    <w:rsid w:val="00C265D4"/>
    <w:rsid w:val="00C35FC3"/>
    <w:rsid w:val="00C36B11"/>
    <w:rsid w:val="00C41FB3"/>
    <w:rsid w:val="00C526D1"/>
    <w:rsid w:val="00C54E98"/>
    <w:rsid w:val="00C67D39"/>
    <w:rsid w:val="00C70DD3"/>
    <w:rsid w:val="00C70E8E"/>
    <w:rsid w:val="00C82527"/>
    <w:rsid w:val="00C8655C"/>
    <w:rsid w:val="00C93A4F"/>
    <w:rsid w:val="00CA20CC"/>
    <w:rsid w:val="00CA24B4"/>
    <w:rsid w:val="00CA7AFC"/>
    <w:rsid w:val="00CB23B7"/>
    <w:rsid w:val="00CC4C9C"/>
    <w:rsid w:val="00CC6CFD"/>
    <w:rsid w:val="00CD08BA"/>
    <w:rsid w:val="00CD169D"/>
    <w:rsid w:val="00CD4FA6"/>
    <w:rsid w:val="00CD5B96"/>
    <w:rsid w:val="00CE147B"/>
    <w:rsid w:val="00CF4835"/>
    <w:rsid w:val="00CF67B3"/>
    <w:rsid w:val="00CF7A17"/>
    <w:rsid w:val="00D16246"/>
    <w:rsid w:val="00D1712D"/>
    <w:rsid w:val="00D2786F"/>
    <w:rsid w:val="00D42B50"/>
    <w:rsid w:val="00D46D00"/>
    <w:rsid w:val="00D549A1"/>
    <w:rsid w:val="00D54CBF"/>
    <w:rsid w:val="00D57732"/>
    <w:rsid w:val="00D62494"/>
    <w:rsid w:val="00D6708E"/>
    <w:rsid w:val="00D7155C"/>
    <w:rsid w:val="00D74651"/>
    <w:rsid w:val="00D754BD"/>
    <w:rsid w:val="00D778FC"/>
    <w:rsid w:val="00D82021"/>
    <w:rsid w:val="00DA0ECC"/>
    <w:rsid w:val="00DA3793"/>
    <w:rsid w:val="00DB423F"/>
    <w:rsid w:val="00DC5909"/>
    <w:rsid w:val="00DD09F3"/>
    <w:rsid w:val="00DD1499"/>
    <w:rsid w:val="00DD4ED9"/>
    <w:rsid w:val="00DF4C90"/>
    <w:rsid w:val="00E05C69"/>
    <w:rsid w:val="00E0784F"/>
    <w:rsid w:val="00E07A67"/>
    <w:rsid w:val="00E13834"/>
    <w:rsid w:val="00E207E6"/>
    <w:rsid w:val="00E276FC"/>
    <w:rsid w:val="00E54FEC"/>
    <w:rsid w:val="00E66432"/>
    <w:rsid w:val="00E83943"/>
    <w:rsid w:val="00E86E31"/>
    <w:rsid w:val="00EA6367"/>
    <w:rsid w:val="00EB014B"/>
    <w:rsid w:val="00EB2AC3"/>
    <w:rsid w:val="00EB2B65"/>
    <w:rsid w:val="00EC3588"/>
    <w:rsid w:val="00EC6F36"/>
    <w:rsid w:val="00ED3C6C"/>
    <w:rsid w:val="00EE047C"/>
    <w:rsid w:val="00EE6524"/>
    <w:rsid w:val="00EE694F"/>
    <w:rsid w:val="00EF4C73"/>
    <w:rsid w:val="00F145F0"/>
    <w:rsid w:val="00F156A2"/>
    <w:rsid w:val="00F219AF"/>
    <w:rsid w:val="00F36B6C"/>
    <w:rsid w:val="00F37739"/>
    <w:rsid w:val="00F416C4"/>
    <w:rsid w:val="00F50F3C"/>
    <w:rsid w:val="00F6541C"/>
    <w:rsid w:val="00F679F2"/>
    <w:rsid w:val="00F81B5A"/>
    <w:rsid w:val="00FB281F"/>
    <w:rsid w:val="00FB3B81"/>
    <w:rsid w:val="00FE7E14"/>
    <w:rsid w:val="00FF4423"/>
    <w:rsid w:val="00FF6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EB92C6E"/>
  <w15:chartTrackingRefBased/>
  <w15:docId w15:val="{2DF43F5D-CCB0-4A14-9B74-F0E132B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5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2E153C"/>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FB281F"/>
    <w:pPr>
      <w:tabs>
        <w:tab w:val="center" w:pos="4153"/>
        <w:tab w:val="right" w:pos="8306"/>
      </w:tabs>
    </w:pPr>
  </w:style>
  <w:style w:type="character" w:customStyle="1" w:styleId="HeaderChar">
    <w:name w:val="Header Char"/>
    <w:basedOn w:val="DefaultParagraphFont"/>
    <w:link w:val="Header"/>
    <w:uiPriority w:val="99"/>
    <w:rsid w:val="00FB281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B281F"/>
    <w:pPr>
      <w:tabs>
        <w:tab w:val="center" w:pos="4153"/>
        <w:tab w:val="right" w:pos="8306"/>
      </w:tabs>
    </w:pPr>
  </w:style>
  <w:style w:type="character" w:customStyle="1" w:styleId="FooterChar">
    <w:name w:val="Footer Char"/>
    <w:basedOn w:val="DefaultParagraphFont"/>
    <w:link w:val="Footer"/>
    <w:uiPriority w:val="99"/>
    <w:rsid w:val="00FB281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E6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4F"/>
    <w:rPr>
      <w:rFonts w:ascii="Segoe UI" w:eastAsia="Times New Roman" w:hAnsi="Segoe UI" w:cs="Segoe UI"/>
      <w:sz w:val="18"/>
      <w:szCs w:val="18"/>
      <w:lang w:eastAsia="lv-LV"/>
    </w:rPr>
  </w:style>
  <w:style w:type="paragraph" w:customStyle="1" w:styleId="tv2121">
    <w:name w:val="tv2121"/>
    <w:basedOn w:val="Normal"/>
    <w:rsid w:val="001C7750"/>
    <w:pPr>
      <w:spacing w:before="400" w:line="360" w:lineRule="auto"/>
      <w:jc w:val="center"/>
    </w:pPr>
    <w:rPr>
      <w:rFonts w:ascii="Verdana" w:hAnsi="Verdana"/>
      <w:b/>
      <w:bCs/>
      <w:sz w:val="20"/>
      <w:szCs w:val="20"/>
    </w:rPr>
  </w:style>
  <w:style w:type="paragraph" w:customStyle="1" w:styleId="naisnod">
    <w:name w:val="naisnod"/>
    <w:basedOn w:val="Normal"/>
    <w:rsid w:val="00077F04"/>
    <w:pPr>
      <w:spacing w:before="100" w:beforeAutospacing="1" w:after="100" w:afterAutospacing="1"/>
    </w:pPr>
  </w:style>
  <w:style w:type="paragraph" w:customStyle="1" w:styleId="naiskr">
    <w:name w:val="naiskr"/>
    <w:basedOn w:val="Normal"/>
    <w:rsid w:val="00077F04"/>
    <w:pPr>
      <w:spacing w:before="100" w:beforeAutospacing="1" w:after="100" w:afterAutospacing="1"/>
    </w:pPr>
  </w:style>
  <w:style w:type="paragraph" w:customStyle="1" w:styleId="naisf">
    <w:name w:val="naisf"/>
    <w:basedOn w:val="Normal"/>
    <w:rsid w:val="00077F04"/>
    <w:pPr>
      <w:spacing w:before="100" w:beforeAutospacing="1" w:after="100" w:afterAutospacing="1"/>
    </w:pPr>
  </w:style>
  <w:style w:type="character" w:styleId="Hyperlink">
    <w:name w:val="Hyperlink"/>
    <w:basedOn w:val="DefaultParagraphFont"/>
    <w:uiPriority w:val="99"/>
    <w:unhideWhenUsed/>
    <w:rsid w:val="00077F04"/>
    <w:rPr>
      <w:color w:val="0563C1" w:themeColor="hyperlink"/>
      <w:u w:val="single"/>
    </w:rPr>
  </w:style>
  <w:style w:type="character" w:styleId="CommentReference">
    <w:name w:val="annotation reference"/>
    <w:basedOn w:val="DefaultParagraphFont"/>
    <w:uiPriority w:val="99"/>
    <w:semiHidden/>
    <w:unhideWhenUsed/>
    <w:rsid w:val="00346F24"/>
    <w:rPr>
      <w:sz w:val="16"/>
      <w:szCs w:val="16"/>
    </w:rPr>
  </w:style>
  <w:style w:type="paragraph" w:styleId="CommentText">
    <w:name w:val="annotation text"/>
    <w:basedOn w:val="Normal"/>
    <w:link w:val="CommentTextChar"/>
    <w:uiPriority w:val="99"/>
    <w:semiHidden/>
    <w:unhideWhenUsed/>
    <w:rsid w:val="00346F24"/>
    <w:rPr>
      <w:sz w:val="20"/>
      <w:szCs w:val="20"/>
    </w:rPr>
  </w:style>
  <w:style w:type="character" w:customStyle="1" w:styleId="CommentTextChar">
    <w:name w:val="Comment Text Char"/>
    <w:basedOn w:val="DefaultParagraphFont"/>
    <w:link w:val="CommentText"/>
    <w:uiPriority w:val="99"/>
    <w:semiHidden/>
    <w:rsid w:val="00346F2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46F24"/>
    <w:rPr>
      <w:b/>
      <w:bCs/>
    </w:rPr>
  </w:style>
  <w:style w:type="character" w:customStyle="1" w:styleId="CommentSubjectChar">
    <w:name w:val="Comment Subject Char"/>
    <w:basedOn w:val="CommentTextChar"/>
    <w:link w:val="CommentSubject"/>
    <w:uiPriority w:val="99"/>
    <w:semiHidden/>
    <w:rsid w:val="00346F24"/>
    <w:rPr>
      <w:rFonts w:ascii="Times New Roman" w:eastAsia="Times New Roman" w:hAnsi="Times New Roman" w:cs="Times New Roman"/>
      <w:b/>
      <w:bCs/>
      <w:sz w:val="20"/>
      <w:szCs w:val="20"/>
      <w:lang w:eastAsia="lv-LV"/>
    </w:rPr>
  </w:style>
  <w:style w:type="paragraph" w:styleId="Revision">
    <w:name w:val="Revision"/>
    <w:hidden/>
    <w:uiPriority w:val="99"/>
    <w:semiHidden/>
    <w:rsid w:val="00417E90"/>
    <w:pPr>
      <w:spacing w:after="0"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52121B"/>
    <w:rPr>
      <w:rFonts w:ascii="Calibri" w:hAnsi="Calibri" w:cs="Calibri"/>
      <w:sz w:val="22"/>
      <w:szCs w:val="22"/>
    </w:rPr>
  </w:style>
  <w:style w:type="character" w:customStyle="1" w:styleId="PlainTextChar">
    <w:name w:val="Plain Text Char"/>
    <w:basedOn w:val="DefaultParagraphFont"/>
    <w:link w:val="PlainText"/>
    <w:uiPriority w:val="99"/>
    <w:semiHidden/>
    <w:rsid w:val="0052121B"/>
    <w:rPr>
      <w:rFonts w:ascii="Calibri" w:eastAsia="Times New Roman" w:hAnsi="Calibri" w:cs="Calibri"/>
      <w:lang w:eastAsia="lv-LV"/>
    </w:rPr>
  </w:style>
  <w:style w:type="character" w:customStyle="1" w:styleId="st">
    <w:name w:val="st"/>
    <w:basedOn w:val="DefaultParagraphFont"/>
    <w:rsid w:val="0052121B"/>
  </w:style>
  <w:style w:type="character" w:styleId="Emphasis">
    <w:name w:val="Emphasis"/>
    <w:basedOn w:val="DefaultParagraphFont"/>
    <w:uiPriority w:val="20"/>
    <w:qFormat/>
    <w:rsid w:val="0041549C"/>
    <w:rPr>
      <w:i/>
      <w:iCs/>
    </w:rPr>
  </w:style>
  <w:style w:type="character" w:customStyle="1" w:styleId="ListParagraphChar">
    <w:name w:val="List Paragraph Char"/>
    <w:aliases w:val="2 Char"/>
    <w:link w:val="ListParagraph"/>
    <w:uiPriority w:val="34"/>
    <w:locked/>
    <w:rsid w:val="009E2E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192">
      <w:bodyDiv w:val="1"/>
      <w:marLeft w:val="0"/>
      <w:marRight w:val="0"/>
      <w:marTop w:val="0"/>
      <w:marBottom w:val="0"/>
      <w:divBdr>
        <w:top w:val="none" w:sz="0" w:space="0" w:color="auto"/>
        <w:left w:val="none" w:sz="0" w:space="0" w:color="auto"/>
        <w:bottom w:val="none" w:sz="0" w:space="0" w:color="auto"/>
        <w:right w:val="none" w:sz="0" w:space="0" w:color="auto"/>
      </w:divBdr>
    </w:div>
    <w:div w:id="340592081">
      <w:bodyDiv w:val="1"/>
      <w:marLeft w:val="0"/>
      <w:marRight w:val="0"/>
      <w:marTop w:val="0"/>
      <w:marBottom w:val="0"/>
      <w:divBdr>
        <w:top w:val="none" w:sz="0" w:space="0" w:color="auto"/>
        <w:left w:val="none" w:sz="0" w:space="0" w:color="auto"/>
        <w:bottom w:val="none" w:sz="0" w:space="0" w:color="auto"/>
        <w:right w:val="none" w:sz="0" w:space="0" w:color="auto"/>
      </w:divBdr>
    </w:div>
    <w:div w:id="368337118">
      <w:bodyDiv w:val="1"/>
      <w:marLeft w:val="0"/>
      <w:marRight w:val="0"/>
      <w:marTop w:val="0"/>
      <w:marBottom w:val="0"/>
      <w:divBdr>
        <w:top w:val="none" w:sz="0" w:space="0" w:color="auto"/>
        <w:left w:val="none" w:sz="0" w:space="0" w:color="auto"/>
        <w:bottom w:val="none" w:sz="0" w:space="0" w:color="auto"/>
        <w:right w:val="none" w:sz="0" w:space="0" w:color="auto"/>
      </w:divBdr>
      <w:divsChild>
        <w:div w:id="635456740">
          <w:marLeft w:val="0"/>
          <w:marRight w:val="0"/>
          <w:marTop w:val="0"/>
          <w:marBottom w:val="0"/>
          <w:divBdr>
            <w:top w:val="none" w:sz="0" w:space="0" w:color="auto"/>
            <w:left w:val="none" w:sz="0" w:space="0" w:color="auto"/>
            <w:bottom w:val="none" w:sz="0" w:space="0" w:color="auto"/>
            <w:right w:val="none" w:sz="0" w:space="0" w:color="auto"/>
          </w:divBdr>
        </w:div>
        <w:div w:id="1703823490">
          <w:marLeft w:val="0"/>
          <w:marRight w:val="0"/>
          <w:marTop w:val="0"/>
          <w:marBottom w:val="0"/>
          <w:divBdr>
            <w:top w:val="none" w:sz="0" w:space="0" w:color="auto"/>
            <w:left w:val="none" w:sz="0" w:space="0" w:color="auto"/>
            <w:bottom w:val="none" w:sz="0" w:space="0" w:color="auto"/>
            <w:right w:val="none" w:sz="0" w:space="0" w:color="auto"/>
          </w:divBdr>
        </w:div>
        <w:div w:id="1171915862">
          <w:marLeft w:val="0"/>
          <w:marRight w:val="0"/>
          <w:marTop w:val="0"/>
          <w:marBottom w:val="0"/>
          <w:divBdr>
            <w:top w:val="none" w:sz="0" w:space="0" w:color="auto"/>
            <w:left w:val="none" w:sz="0" w:space="0" w:color="auto"/>
            <w:bottom w:val="none" w:sz="0" w:space="0" w:color="auto"/>
            <w:right w:val="none" w:sz="0" w:space="0" w:color="auto"/>
          </w:divBdr>
        </w:div>
        <w:div w:id="1759398191">
          <w:marLeft w:val="0"/>
          <w:marRight w:val="0"/>
          <w:marTop w:val="0"/>
          <w:marBottom w:val="0"/>
          <w:divBdr>
            <w:top w:val="none" w:sz="0" w:space="0" w:color="auto"/>
            <w:left w:val="none" w:sz="0" w:space="0" w:color="auto"/>
            <w:bottom w:val="none" w:sz="0" w:space="0" w:color="auto"/>
            <w:right w:val="none" w:sz="0" w:space="0" w:color="auto"/>
          </w:divBdr>
        </w:div>
        <w:div w:id="1082606310">
          <w:marLeft w:val="0"/>
          <w:marRight w:val="0"/>
          <w:marTop w:val="0"/>
          <w:marBottom w:val="0"/>
          <w:divBdr>
            <w:top w:val="none" w:sz="0" w:space="0" w:color="auto"/>
            <w:left w:val="none" w:sz="0" w:space="0" w:color="auto"/>
            <w:bottom w:val="none" w:sz="0" w:space="0" w:color="auto"/>
            <w:right w:val="none" w:sz="0" w:space="0" w:color="auto"/>
          </w:divBdr>
        </w:div>
      </w:divsChild>
    </w:div>
    <w:div w:id="378437336">
      <w:bodyDiv w:val="1"/>
      <w:marLeft w:val="0"/>
      <w:marRight w:val="0"/>
      <w:marTop w:val="0"/>
      <w:marBottom w:val="0"/>
      <w:divBdr>
        <w:top w:val="none" w:sz="0" w:space="0" w:color="auto"/>
        <w:left w:val="none" w:sz="0" w:space="0" w:color="auto"/>
        <w:bottom w:val="none" w:sz="0" w:space="0" w:color="auto"/>
        <w:right w:val="none" w:sz="0" w:space="0" w:color="auto"/>
      </w:divBdr>
      <w:divsChild>
        <w:div w:id="697313362">
          <w:marLeft w:val="0"/>
          <w:marRight w:val="0"/>
          <w:marTop w:val="0"/>
          <w:marBottom w:val="0"/>
          <w:divBdr>
            <w:top w:val="none" w:sz="0" w:space="0" w:color="auto"/>
            <w:left w:val="none" w:sz="0" w:space="0" w:color="auto"/>
            <w:bottom w:val="none" w:sz="0" w:space="0" w:color="auto"/>
            <w:right w:val="none" w:sz="0" w:space="0" w:color="auto"/>
          </w:divBdr>
        </w:div>
        <w:div w:id="1710376735">
          <w:marLeft w:val="0"/>
          <w:marRight w:val="0"/>
          <w:marTop w:val="0"/>
          <w:marBottom w:val="0"/>
          <w:divBdr>
            <w:top w:val="none" w:sz="0" w:space="0" w:color="auto"/>
            <w:left w:val="none" w:sz="0" w:space="0" w:color="auto"/>
            <w:bottom w:val="none" w:sz="0" w:space="0" w:color="auto"/>
            <w:right w:val="none" w:sz="0" w:space="0" w:color="auto"/>
          </w:divBdr>
        </w:div>
        <w:div w:id="359087586">
          <w:marLeft w:val="0"/>
          <w:marRight w:val="0"/>
          <w:marTop w:val="0"/>
          <w:marBottom w:val="0"/>
          <w:divBdr>
            <w:top w:val="none" w:sz="0" w:space="0" w:color="auto"/>
            <w:left w:val="none" w:sz="0" w:space="0" w:color="auto"/>
            <w:bottom w:val="none" w:sz="0" w:space="0" w:color="auto"/>
            <w:right w:val="none" w:sz="0" w:space="0" w:color="auto"/>
          </w:divBdr>
        </w:div>
        <w:div w:id="597786413">
          <w:marLeft w:val="0"/>
          <w:marRight w:val="0"/>
          <w:marTop w:val="0"/>
          <w:marBottom w:val="0"/>
          <w:divBdr>
            <w:top w:val="none" w:sz="0" w:space="0" w:color="auto"/>
            <w:left w:val="none" w:sz="0" w:space="0" w:color="auto"/>
            <w:bottom w:val="none" w:sz="0" w:space="0" w:color="auto"/>
            <w:right w:val="none" w:sz="0" w:space="0" w:color="auto"/>
          </w:divBdr>
        </w:div>
        <w:div w:id="498229213">
          <w:marLeft w:val="0"/>
          <w:marRight w:val="0"/>
          <w:marTop w:val="0"/>
          <w:marBottom w:val="0"/>
          <w:divBdr>
            <w:top w:val="none" w:sz="0" w:space="0" w:color="auto"/>
            <w:left w:val="none" w:sz="0" w:space="0" w:color="auto"/>
            <w:bottom w:val="none" w:sz="0" w:space="0" w:color="auto"/>
            <w:right w:val="none" w:sz="0" w:space="0" w:color="auto"/>
          </w:divBdr>
        </w:div>
        <w:div w:id="1364592737">
          <w:marLeft w:val="0"/>
          <w:marRight w:val="0"/>
          <w:marTop w:val="0"/>
          <w:marBottom w:val="0"/>
          <w:divBdr>
            <w:top w:val="none" w:sz="0" w:space="0" w:color="auto"/>
            <w:left w:val="none" w:sz="0" w:space="0" w:color="auto"/>
            <w:bottom w:val="none" w:sz="0" w:space="0" w:color="auto"/>
            <w:right w:val="none" w:sz="0" w:space="0" w:color="auto"/>
          </w:divBdr>
        </w:div>
        <w:div w:id="2017993636">
          <w:marLeft w:val="0"/>
          <w:marRight w:val="0"/>
          <w:marTop w:val="0"/>
          <w:marBottom w:val="0"/>
          <w:divBdr>
            <w:top w:val="none" w:sz="0" w:space="0" w:color="auto"/>
            <w:left w:val="none" w:sz="0" w:space="0" w:color="auto"/>
            <w:bottom w:val="none" w:sz="0" w:space="0" w:color="auto"/>
            <w:right w:val="none" w:sz="0" w:space="0" w:color="auto"/>
          </w:divBdr>
        </w:div>
        <w:div w:id="1258901445">
          <w:marLeft w:val="0"/>
          <w:marRight w:val="0"/>
          <w:marTop w:val="0"/>
          <w:marBottom w:val="0"/>
          <w:divBdr>
            <w:top w:val="none" w:sz="0" w:space="0" w:color="auto"/>
            <w:left w:val="none" w:sz="0" w:space="0" w:color="auto"/>
            <w:bottom w:val="none" w:sz="0" w:space="0" w:color="auto"/>
            <w:right w:val="none" w:sz="0" w:space="0" w:color="auto"/>
          </w:divBdr>
        </w:div>
        <w:div w:id="1666013623">
          <w:marLeft w:val="0"/>
          <w:marRight w:val="0"/>
          <w:marTop w:val="0"/>
          <w:marBottom w:val="0"/>
          <w:divBdr>
            <w:top w:val="none" w:sz="0" w:space="0" w:color="auto"/>
            <w:left w:val="none" w:sz="0" w:space="0" w:color="auto"/>
            <w:bottom w:val="none" w:sz="0" w:space="0" w:color="auto"/>
            <w:right w:val="none" w:sz="0" w:space="0" w:color="auto"/>
          </w:divBdr>
        </w:div>
        <w:div w:id="1691449703">
          <w:marLeft w:val="0"/>
          <w:marRight w:val="0"/>
          <w:marTop w:val="0"/>
          <w:marBottom w:val="0"/>
          <w:divBdr>
            <w:top w:val="none" w:sz="0" w:space="0" w:color="auto"/>
            <w:left w:val="none" w:sz="0" w:space="0" w:color="auto"/>
            <w:bottom w:val="none" w:sz="0" w:space="0" w:color="auto"/>
            <w:right w:val="none" w:sz="0" w:space="0" w:color="auto"/>
          </w:divBdr>
        </w:div>
        <w:div w:id="144324257">
          <w:marLeft w:val="0"/>
          <w:marRight w:val="0"/>
          <w:marTop w:val="0"/>
          <w:marBottom w:val="0"/>
          <w:divBdr>
            <w:top w:val="none" w:sz="0" w:space="0" w:color="auto"/>
            <w:left w:val="none" w:sz="0" w:space="0" w:color="auto"/>
            <w:bottom w:val="none" w:sz="0" w:space="0" w:color="auto"/>
            <w:right w:val="none" w:sz="0" w:space="0" w:color="auto"/>
          </w:divBdr>
        </w:div>
        <w:div w:id="1220870767">
          <w:marLeft w:val="0"/>
          <w:marRight w:val="0"/>
          <w:marTop w:val="0"/>
          <w:marBottom w:val="0"/>
          <w:divBdr>
            <w:top w:val="none" w:sz="0" w:space="0" w:color="auto"/>
            <w:left w:val="none" w:sz="0" w:space="0" w:color="auto"/>
            <w:bottom w:val="none" w:sz="0" w:space="0" w:color="auto"/>
            <w:right w:val="none" w:sz="0" w:space="0" w:color="auto"/>
          </w:divBdr>
        </w:div>
        <w:div w:id="1735422011">
          <w:marLeft w:val="0"/>
          <w:marRight w:val="0"/>
          <w:marTop w:val="0"/>
          <w:marBottom w:val="0"/>
          <w:divBdr>
            <w:top w:val="none" w:sz="0" w:space="0" w:color="auto"/>
            <w:left w:val="none" w:sz="0" w:space="0" w:color="auto"/>
            <w:bottom w:val="none" w:sz="0" w:space="0" w:color="auto"/>
            <w:right w:val="none" w:sz="0" w:space="0" w:color="auto"/>
          </w:divBdr>
        </w:div>
        <w:div w:id="1088119399">
          <w:marLeft w:val="0"/>
          <w:marRight w:val="0"/>
          <w:marTop w:val="0"/>
          <w:marBottom w:val="0"/>
          <w:divBdr>
            <w:top w:val="none" w:sz="0" w:space="0" w:color="auto"/>
            <w:left w:val="none" w:sz="0" w:space="0" w:color="auto"/>
            <w:bottom w:val="none" w:sz="0" w:space="0" w:color="auto"/>
            <w:right w:val="none" w:sz="0" w:space="0" w:color="auto"/>
          </w:divBdr>
        </w:div>
        <w:div w:id="984630248">
          <w:marLeft w:val="0"/>
          <w:marRight w:val="0"/>
          <w:marTop w:val="0"/>
          <w:marBottom w:val="0"/>
          <w:divBdr>
            <w:top w:val="none" w:sz="0" w:space="0" w:color="auto"/>
            <w:left w:val="none" w:sz="0" w:space="0" w:color="auto"/>
            <w:bottom w:val="none" w:sz="0" w:space="0" w:color="auto"/>
            <w:right w:val="none" w:sz="0" w:space="0" w:color="auto"/>
          </w:divBdr>
        </w:div>
        <w:div w:id="786504009">
          <w:marLeft w:val="0"/>
          <w:marRight w:val="0"/>
          <w:marTop w:val="0"/>
          <w:marBottom w:val="0"/>
          <w:divBdr>
            <w:top w:val="none" w:sz="0" w:space="0" w:color="auto"/>
            <w:left w:val="none" w:sz="0" w:space="0" w:color="auto"/>
            <w:bottom w:val="none" w:sz="0" w:space="0" w:color="auto"/>
            <w:right w:val="none" w:sz="0" w:space="0" w:color="auto"/>
          </w:divBdr>
        </w:div>
        <w:div w:id="510876843">
          <w:marLeft w:val="0"/>
          <w:marRight w:val="0"/>
          <w:marTop w:val="0"/>
          <w:marBottom w:val="0"/>
          <w:divBdr>
            <w:top w:val="none" w:sz="0" w:space="0" w:color="auto"/>
            <w:left w:val="none" w:sz="0" w:space="0" w:color="auto"/>
            <w:bottom w:val="none" w:sz="0" w:space="0" w:color="auto"/>
            <w:right w:val="none" w:sz="0" w:space="0" w:color="auto"/>
          </w:divBdr>
        </w:div>
        <w:div w:id="670567552">
          <w:marLeft w:val="0"/>
          <w:marRight w:val="0"/>
          <w:marTop w:val="0"/>
          <w:marBottom w:val="0"/>
          <w:divBdr>
            <w:top w:val="none" w:sz="0" w:space="0" w:color="auto"/>
            <w:left w:val="none" w:sz="0" w:space="0" w:color="auto"/>
            <w:bottom w:val="none" w:sz="0" w:space="0" w:color="auto"/>
            <w:right w:val="none" w:sz="0" w:space="0" w:color="auto"/>
          </w:divBdr>
        </w:div>
      </w:divsChild>
    </w:div>
    <w:div w:id="1309437134">
      <w:bodyDiv w:val="1"/>
      <w:marLeft w:val="0"/>
      <w:marRight w:val="0"/>
      <w:marTop w:val="0"/>
      <w:marBottom w:val="0"/>
      <w:divBdr>
        <w:top w:val="none" w:sz="0" w:space="0" w:color="auto"/>
        <w:left w:val="none" w:sz="0" w:space="0" w:color="auto"/>
        <w:bottom w:val="none" w:sz="0" w:space="0" w:color="auto"/>
        <w:right w:val="none" w:sz="0" w:space="0" w:color="auto"/>
      </w:divBdr>
    </w:div>
    <w:div w:id="1447388004">
      <w:bodyDiv w:val="1"/>
      <w:marLeft w:val="0"/>
      <w:marRight w:val="0"/>
      <w:marTop w:val="0"/>
      <w:marBottom w:val="0"/>
      <w:divBdr>
        <w:top w:val="none" w:sz="0" w:space="0" w:color="auto"/>
        <w:left w:val="none" w:sz="0" w:space="0" w:color="auto"/>
        <w:bottom w:val="none" w:sz="0" w:space="0" w:color="auto"/>
        <w:right w:val="none" w:sz="0" w:space="0" w:color="auto"/>
      </w:divBdr>
    </w:div>
    <w:div w:id="1716151211">
      <w:bodyDiv w:val="1"/>
      <w:marLeft w:val="0"/>
      <w:marRight w:val="0"/>
      <w:marTop w:val="0"/>
      <w:marBottom w:val="0"/>
      <w:divBdr>
        <w:top w:val="none" w:sz="0" w:space="0" w:color="auto"/>
        <w:left w:val="none" w:sz="0" w:space="0" w:color="auto"/>
        <w:bottom w:val="none" w:sz="0" w:space="0" w:color="auto"/>
        <w:right w:val="none" w:sz="0" w:space="0" w:color="auto"/>
      </w:divBdr>
      <w:divsChild>
        <w:div w:id="217055690">
          <w:marLeft w:val="0"/>
          <w:marRight w:val="0"/>
          <w:marTop w:val="0"/>
          <w:marBottom w:val="0"/>
          <w:divBdr>
            <w:top w:val="none" w:sz="0" w:space="0" w:color="auto"/>
            <w:left w:val="none" w:sz="0" w:space="0" w:color="auto"/>
            <w:bottom w:val="none" w:sz="0" w:space="0" w:color="auto"/>
            <w:right w:val="none" w:sz="0" w:space="0" w:color="auto"/>
          </w:divBdr>
        </w:div>
        <w:div w:id="923564457">
          <w:marLeft w:val="0"/>
          <w:marRight w:val="0"/>
          <w:marTop w:val="0"/>
          <w:marBottom w:val="0"/>
          <w:divBdr>
            <w:top w:val="none" w:sz="0" w:space="0" w:color="auto"/>
            <w:left w:val="none" w:sz="0" w:space="0" w:color="auto"/>
            <w:bottom w:val="none" w:sz="0" w:space="0" w:color="auto"/>
            <w:right w:val="none" w:sz="0" w:space="0" w:color="auto"/>
          </w:divBdr>
        </w:div>
        <w:div w:id="1833526710">
          <w:marLeft w:val="0"/>
          <w:marRight w:val="0"/>
          <w:marTop w:val="0"/>
          <w:marBottom w:val="0"/>
          <w:divBdr>
            <w:top w:val="none" w:sz="0" w:space="0" w:color="auto"/>
            <w:left w:val="none" w:sz="0" w:space="0" w:color="auto"/>
            <w:bottom w:val="none" w:sz="0" w:space="0" w:color="auto"/>
            <w:right w:val="none" w:sz="0" w:space="0" w:color="auto"/>
          </w:divBdr>
        </w:div>
        <w:div w:id="321203946">
          <w:marLeft w:val="0"/>
          <w:marRight w:val="0"/>
          <w:marTop w:val="0"/>
          <w:marBottom w:val="0"/>
          <w:divBdr>
            <w:top w:val="none" w:sz="0" w:space="0" w:color="auto"/>
            <w:left w:val="none" w:sz="0" w:space="0" w:color="auto"/>
            <w:bottom w:val="none" w:sz="0" w:space="0" w:color="auto"/>
            <w:right w:val="none" w:sz="0" w:space="0" w:color="auto"/>
          </w:divBdr>
        </w:div>
      </w:divsChild>
    </w:div>
    <w:div w:id="20777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09F5-77A3-43D9-A647-6D6BFFE9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18578</Words>
  <Characters>10591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Vibe</dc:creator>
  <cp:keywords/>
  <dc:description/>
  <cp:lastModifiedBy>Karina Korsaka</cp:lastModifiedBy>
  <cp:revision>3</cp:revision>
  <cp:lastPrinted>2016-12-07T11:31:00Z</cp:lastPrinted>
  <dcterms:created xsi:type="dcterms:W3CDTF">2016-12-28T08:01:00Z</dcterms:created>
  <dcterms:modified xsi:type="dcterms:W3CDTF">2016-12-28T08:04:00Z</dcterms:modified>
</cp:coreProperties>
</file>